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Hlk92961273"/>
      <w:bookmarkEnd w:id="0"/>
    </w:p>
    <w:p>
      <w:pPr>
        <w:rPr>
          <w:color w:val="auto"/>
          <w:highlight w:val="none"/>
        </w:rPr>
      </w:pPr>
    </w:p>
    <w:p>
      <w:pPr>
        <w:rPr>
          <w:color w:val="auto"/>
          <w:highlight w:val="none"/>
        </w:rPr>
      </w:pPr>
    </w:p>
    <w:p>
      <w:pPr>
        <w:rPr>
          <w:color w:val="auto"/>
          <w:highlight w:val="none"/>
        </w:rPr>
      </w:pPr>
    </w:p>
    <w:p>
      <w:pPr>
        <w:spacing w:before="156" w:beforeLines="50" w:line="780" w:lineRule="exact"/>
        <w:jc w:val="center"/>
        <w:rPr>
          <w:rFonts w:hint="eastAsia" w:ascii="方正小标宋_GBK" w:hAnsi="黑体" w:eastAsia="方正小标宋_GBK"/>
          <w:b/>
          <w:color w:val="auto"/>
          <w:sz w:val="84"/>
          <w:szCs w:val="84"/>
          <w:highlight w:val="none"/>
        </w:rPr>
      </w:pPr>
      <w:r>
        <w:rPr>
          <w:rFonts w:hint="eastAsia" w:ascii="方正小标宋_GBK" w:hAnsi="黑体" w:eastAsia="方正小标宋_GBK"/>
          <w:b/>
          <w:color w:val="auto"/>
          <w:sz w:val="84"/>
          <w:szCs w:val="84"/>
          <w:highlight w:val="none"/>
        </w:rPr>
        <w:t>竞争性磋商采购文件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left="3200" w:hanging="3200" w:hangingChars="1000"/>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项目名称:钦州市电子政务外网二期（含电子口岸专线）线路服务</w:t>
      </w:r>
    </w:p>
    <w:p>
      <w:pPr>
        <w:spacing w:line="500" w:lineRule="exact"/>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项目编号:</w:t>
      </w:r>
      <w:r>
        <w:rPr>
          <w:rFonts w:hint="eastAsia" w:ascii="方正小标宋_GBK" w:hAnsi="微软雅黑" w:eastAsia="方正小标宋_GBK"/>
          <w:color w:val="auto"/>
          <w:sz w:val="32"/>
          <w:szCs w:val="32"/>
          <w:highlight w:val="none"/>
          <w:lang w:eastAsia="zh-CN"/>
        </w:rPr>
        <w:t>QZZC2025-C3-990082-QZSZ</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tabs>
          <w:tab w:val="left" w:pos="360"/>
        </w:tabs>
        <w:spacing w:line="440" w:lineRule="exact"/>
        <w:jc w:val="center"/>
        <w:rPr>
          <w:rFonts w:hint="eastAsia" w:ascii="仿宋_GB2312" w:hAnsi="宋体" w:eastAsia="仿宋_GB2312"/>
          <w:color w:val="auto"/>
          <w:sz w:val="32"/>
          <w:szCs w:val="32"/>
          <w:highlight w:val="none"/>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年0</w:t>
      </w:r>
      <w:r>
        <w:rPr>
          <w:rFonts w:hint="eastAsia" w:ascii="方正小标宋_GBK" w:hAnsi="微软雅黑" w:eastAsia="方正小标宋_GBK"/>
          <w:color w:val="auto"/>
          <w:sz w:val="32"/>
          <w:szCs w:val="32"/>
          <w:highlight w:val="none"/>
          <w:lang w:val="en-US" w:eastAsia="zh-CN"/>
        </w:rPr>
        <w:t>4</w:t>
      </w:r>
      <w:r>
        <w:rPr>
          <w:rFonts w:hint="eastAsia" w:ascii="方正小标宋_GBK" w:hAnsi="微软雅黑" w:eastAsia="方正小标宋_GBK"/>
          <w:color w:val="auto"/>
          <w:sz w:val="32"/>
          <w:szCs w:val="32"/>
          <w:highlight w:val="none"/>
        </w:rPr>
        <w:t>月</w:t>
      </w:r>
    </w:p>
    <w:p>
      <w:pPr>
        <w:rPr>
          <w:color w:val="auto"/>
          <w:highlight w:val="none"/>
        </w:rPr>
      </w:pPr>
    </w:p>
    <w:p>
      <w:pPr>
        <w:rPr>
          <w:color w:val="auto"/>
          <w:highlight w:val="none"/>
        </w:rPr>
      </w:pPr>
    </w:p>
    <w:p>
      <w:pPr>
        <w:spacing w:line="640" w:lineRule="exact"/>
        <w:jc w:val="center"/>
        <w:rPr>
          <w:rFonts w:hint="eastAsia" w:ascii="方正小标宋_GBK" w:hAnsi="宋体" w:eastAsia="方正小标宋_GBK"/>
          <w:b/>
          <w:color w:val="auto"/>
          <w:sz w:val="32"/>
          <w:szCs w:val="32"/>
          <w:highlight w:val="none"/>
        </w:rPr>
      </w:pPr>
      <w:r>
        <w:rPr>
          <w:rFonts w:hint="eastAsia" w:ascii="方正小标宋_GBK" w:hAnsi="宋体" w:eastAsia="方正小标宋_GBK"/>
          <w:b/>
          <w:color w:val="auto"/>
          <w:sz w:val="44"/>
          <w:szCs w:val="44"/>
          <w:highlight w:val="none"/>
        </w:rPr>
        <w:t>目   录</w:t>
      </w:r>
    </w:p>
    <w:p>
      <w:pPr>
        <w:rPr>
          <w:color w:val="auto"/>
          <w:highlight w:val="none"/>
        </w:rPr>
      </w:pP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bookmarkStart w:id="1" w:name="_Toc354479497"/>
      <w:r>
        <w:rPr>
          <w:rFonts w:hint="eastAsia" w:ascii="方正小标宋_GBK" w:hAnsi="仿宋" w:eastAsia="方正小标宋_GBK"/>
          <w:b/>
          <w:color w:val="auto"/>
          <w:sz w:val="28"/>
          <w:szCs w:val="28"/>
          <w:highlight w:val="none"/>
        </w:rPr>
        <w:fldChar w:fldCharType="begin"/>
      </w:r>
      <w:r>
        <w:rPr>
          <w:rFonts w:hint="eastAsia" w:ascii="方正小标宋_GBK" w:hAnsi="仿宋" w:eastAsia="方正小标宋_GBK"/>
          <w:b/>
          <w:color w:val="auto"/>
          <w:sz w:val="28"/>
          <w:szCs w:val="28"/>
          <w:highlight w:val="none"/>
        </w:rPr>
        <w:instrText xml:space="preserve"> TOC \o "1-1" \h \z \u </w:instrText>
      </w:r>
      <w:r>
        <w:rPr>
          <w:rFonts w:hint="eastAsia" w:ascii="方正小标宋_GBK" w:hAnsi="仿宋" w:eastAsia="方正小标宋_GBK"/>
          <w:b/>
          <w:color w:val="auto"/>
          <w:sz w:val="28"/>
          <w:szCs w:val="28"/>
          <w:highlight w:val="none"/>
        </w:rPr>
        <w:fldChar w:fldCharType="separate"/>
      </w:r>
      <w:r>
        <w:rPr>
          <w:color w:val="auto"/>
          <w:highlight w:val="none"/>
        </w:rPr>
        <w:fldChar w:fldCharType="begin"/>
      </w:r>
      <w:r>
        <w:rPr>
          <w:color w:val="auto"/>
          <w:highlight w:val="none"/>
        </w:rPr>
        <w:instrText xml:space="preserve"> HYPERLINK \l "_Toc92355023" </w:instrText>
      </w:r>
      <w:r>
        <w:rPr>
          <w:color w:val="auto"/>
          <w:highlight w:val="none"/>
        </w:rPr>
        <w:fldChar w:fldCharType="separate"/>
      </w:r>
      <w:r>
        <w:rPr>
          <w:rStyle w:val="43"/>
          <w:rFonts w:ascii="方正小标宋_GBK" w:hAnsi="宋体" w:eastAsia="方正小标宋_GBK"/>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"_Toc92355024" </w:instrText>
      </w:r>
      <w:r>
        <w:rPr>
          <w:color w:val="auto"/>
          <w:highlight w:val="none"/>
        </w:rPr>
        <w:fldChar w:fldCharType="separate"/>
      </w:r>
      <w:r>
        <w:rPr>
          <w:rStyle w:val="43"/>
          <w:rFonts w:ascii="方正小标宋_GBK" w:hAnsi="宋体" w:eastAsia="方正小标宋_GBK"/>
          <w:color w:val="auto"/>
          <w:sz w:val="28"/>
          <w:szCs w:val="28"/>
          <w:highlight w:val="none"/>
        </w:rPr>
        <w:t>第二章  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"_Toc92355025" </w:instrText>
      </w:r>
      <w:r>
        <w:rPr>
          <w:color w:val="auto"/>
          <w:highlight w:val="none"/>
        </w:rPr>
        <w:fldChar w:fldCharType="separate"/>
      </w:r>
      <w:r>
        <w:rPr>
          <w:rStyle w:val="43"/>
          <w:rFonts w:ascii="方正小标宋简体" w:eastAsia="方正小标宋简体"/>
          <w:color w:val="auto"/>
          <w:sz w:val="28"/>
          <w:szCs w:val="28"/>
          <w:highlight w:val="none"/>
        </w:rPr>
        <w:t>第三章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_Toc92355025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"_Toc92355026" </w:instrText>
      </w:r>
      <w:r>
        <w:rPr>
          <w:color w:val="auto"/>
          <w:highlight w:val="none"/>
        </w:rPr>
        <w:fldChar w:fldCharType="separate"/>
      </w:r>
      <w:r>
        <w:rPr>
          <w:rStyle w:val="43"/>
          <w:rFonts w:ascii="方正小标宋_GBK" w:hAnsi="宋体" w:eastAsia="方正小标宋_GBK"/>
          <w:color w:val="auto"/>
          <w:sz w:val="28"/>
          <w:szCs w:val="28"/>
          <w:highlight w:val="none"/>
        </w:rPr>
        <w:t>第四章  评定标准及推荐原则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_Toc92355026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"_Toc92355027" </w:instrText>
      </w:r>
      <w:r>
        <w:rPr>
          <w:color w:val="auto"/>
          <w:highlight w:val="none"/>
        </w:rPr>
        <w:fldChar w:fldCharType="separate"/>
      </w:r>
      <w:r>
        <w:rPr>
          <w:rStyle w:val="43"/>
          <w:rFonts w:ascii="方正小标宋_GBK" w:eastAsia="方正小标宋_GBK"/>
          <w:color w:val="auto"/>
          <w:sz w:val="28"/>
          <w:szCs w:val="28"/>
          <w:highlight w:val="none"/>
        </w:rPr>
        <w:t>第五章  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_Toc92355027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"_Toc92355028" </w:instrText>
      </w:r>
      <w:r>
        <w:rPr>
          <w:color w:val="auto"/>
          <w:highlight w:val="none"/>
        </w:rPr>
        <w:fldChar w:fldCharType="separate"/>
      </w:r>
      <w:r>
        <w:rPr>
          <w:rStyle w:val="43"/>
          <w:rFonts w:ascii="方正小标宋_GBK" w:hAnsi="方正小标宋_GBK" w:eastAsia="方正小标宋_GBK"/>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_Toc92355028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pPr>
        <w:rPr>
          <w:color w:val="auto"/>
          <w:highlight w:val="none"/>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highlight w:val="none"/>
        </w:rPr>
        <w:fldChar w:fldCharType="end"/>
      </w:r>
    </w:p>
    <w:p>
      <w:pPr>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宋体" w:eastAsia="方正小标宋_GBK"/>
          <w:color w:val="auto"/>
          <w:highlight w:val="none"/>
        </w:rPr>
      </w:pPr>
      <w:bookmarkStart w:id="2" w:name="_Toc92355023"/>
      <w:r>
        <w:rPr>
          <w:rFonts w:hint="eastAsia" w:ascii="方正小标宋_GBK" w:hAnsi="宋体" w:eastAsia="方正小标宋_GBK"/>
          <w:color w:val="auto"/>
          <w:highlight w:val="none"/>
        </w:rPr>
        <w:t>第一章  竞争性磋商公告</w:t>
      </w:r>
      <w:bookmarkEnd w:id="1"/>
      <w:bookmarkEnd w:id="2"/>
    </w:p>
    <w:p>
      <w:pPr>
        <w:spacing w:line="600" w:lineRule="exact"/>
        <w:jc w:val="center"/>
        <w:rPr>
          <w:rFonts w:hint="eastAsia" w:ascii="黑体" w:hAnsi="宋体" w:eastAsia="黑体"/>
          <w:b/>
          <w:color w:val="auto"/>
          <w:sz w:val="32"/>
          <w:szCs w:val="32"/>
          <w:highlight w:val="none"/>
        </w:rPr>
      </w:pPr>
      <w:r>
        <w:rPr>
          <w:rFonts w:ascii="黑体" w:hAnsi="宋体" w:eastAsia="黑体"/>
          <w:b/>
          <w:color w:val="auto"/>
          <w:sz w:val="32"/>
          <w:szCs w:val="32"/>
          <w:highlight w:val="none"/>
        </w:rPr>
        <w:br w:type="page"/>
      </w:r>
    </w:p>
    <w:p>
      <w:pPr>
        <w:rPr>
          <w:color w:val="auto"/>
          <w:highlight w:val="none"/>
        </w:rPr>
      </w:pPr>
    </w:p>
    <w:p>
      <w:pPr>
        <w:spacing w:line="600" w:lineRule="exact"/>
        <w:jc w:val="center"/>
        <w:rPr>
          <w:rFonts w:hint="eastAsia" w:ascii="方正小标宋_GBK" w:hAnsi="宋体" w:eastAsia="方正小标宋_GBK"/>
          <w:b/>
          <w:color w:val="auto"/>
          <w:sz w:val="34"/>
          <w:szCs w:val="34"/>
          <w:highlight w:val="none"/>
        </w:rPr>
      </w:pPr>
      <w:r>
        <w:rPr>
          <w:rFonts w:hint="eastAsia" w:ascii="方正小标宋_GBK" w:hAnsi="宋体" w:eastAsia="方正小标宋_GBK"/>
          <w:b/>
          <w:color w:val="auto"/>
          <w:sz w:val="34"/>
          <w:szCs w:val="34"/>
          <w:highlight w:val="none"/>
        </w:rPr>
        <w:t>钦州市政府采购中心关于</w:t>
      </w:r>
      <w:r>
        <w:rPr>
          <w:rFonts w:hint="eastAsia" w:ascii="方正小标宋_GBK" w:hAnsi="宋体" w:eastAsia="方正小标宋_GBK"/>
          <w:b/>
          <w:color w:val="auto"/>
          <w:sz w:val="34"/>
          <w:szCs w:val="34"/>
          <w:highlight w:val="none"/>
          <w:lang w:eastAsia="zh-CN"/>
        </w:rPr>
        <w:t>钦州市电子政务外网二期（含电子口岸专线）线路服务</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lang w:eastAsia="zh-CN"/>
        </w:rPr>
        <w:t>QZZC2025-C3-990082-QZSZ</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rPr>
        <w:t>的竞争性磋商公告</w:t>
      </w:r>
    </w:p>
    <w:p>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auto"/>
          <w:sz w:val="32"/>
          <w:szCs w:val="32"/>
          <w:highlight w:val="none"/>
        </w:rPr>
      </w:pPr>
      <w:bookmarkStart w:id="3" w:name="_Toc38370138"/>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钦州市电子政务外网二期（含电子口岸专线）线路服务</w:t>
      </w:r>
      <w:r>
        <w:rPr>
          <w:rFonts w:hint="eastAsia" w:ascii="宋体" w:hAnsi="宋体"/>
          <w:color w:val="auto"/>
          <w:szCs w:val="21"/>
          <w:highlight w:val="none"/>
        </w:rPr>
        <w:t>项目的潜在供应商应在广西政府采购云平台（https://www.gcy.zfcg.gxzf.gov.cn/）获取采购文件，并于202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w:t>
      </w:r>
      <w:r>
        <w:rPr>
          <w:rFonts w:hint="eastAsia" w:ascii="宋体" w:hAnsi="宋体"/>
          <w:bCs/>
          <w:color w:val="auto"/>
          <w:szCs w:val="21"/>
          <w:highlight w:val="none"/>
          <w:lang w:val="en-US" w:eastAsia="zh-CN"/>
        </w:rPr>
        <w:t>7</w:t>
      </w:r>
      <w:r>
        <w:rPr>
          <w:rFonts w:hint="eastAsia" w:ascii="宋体" w:hAnsi="宋体"/>
          <w:bCs/>
          <w:color w:val="auto"/>
          <w:szCs w:val="21"/>
          <w:highlight w:val="none"/>
        </w:rPr>
        <w:t>日</w:t>
      </w:r>
      <w:r>
        <w:rPr>
          <w:color w:val="auto"/>
          <w:highlight w:val="none"/>
        </w:rPr>
        <w:t>09:30</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bookmarkEnd w:id="3"/>
    <w:p>
      <w:pPr>
        <w:spacing w:line="400" w:lineRule="exact"/>
        <w:rPr>
          <w:b/>
          <w:color w:val="auto"/>
          <w:highlight w:val="none"/>
        </w:rPr>
      </w:pPr>
      <w:bookmarkStart w:id="4" w:name="_Toc35393790"/>
      <w:bookmarkStart w:id="5" w:name="_Toc28359002"/>
      <w:bookmarkStart w:id="6" w:name="_Toc28359079"/>
      <w:bookmarkStart w:id="7" w:name="_Toc35393621"/>
      <w:bookmarkStart w:id="8" w:name="_Hlk24379207"/>
      <w:bookmarkStart w:id="9" w:name="_Toc38370146"/>
      <w:r>
        <w:rPr>
          <w:rFonts w:hint="eastAsia"/>
          <w:b/>
          <w:color w:val="auto"/>
          <w:highlight w:val="none"/>
        </w:rPr>
        <w:t>一、项目基本情况</w:t>
      </w:r>
      <w:bookmarkEnd w:id="4"/>
      <w:bookmarkEnd w:id="5"/>
      <w:bookmarkEnd w:id="6"/>
      <w:bookmarkEnd w:id="7"/>
    </w:p>
    <w:p>
      <w:pPr>
        <w:spacing w:line="400" w:lineRule="exact"/>
        <w:ind w:firstLine="420"/>
        <w:rPr>
          <w:rFonts w:hint="eastAsia" w:eastAsia="宋体"/>
          <w:color w:val="auto"/>
          <w:highlight w:val="none"/>
          <w:lang w:eastAsia="zh-CN"/>
        </w:rPr>
      </w:pPr>
      <w:r>
        <w:rPr>
          <w:rFonts w:hint="eastAsia"/>
          <w:color w:val="auto"/>
          <w:highlight w:val="none"/>
        </w:rPr>
        <w:t>项目编号：</w:t>
      </w:r>
      <w:r>
        <w:rPr>
          <w:rFonts w:hint="eastAsia" w:ascii="宋体" w:hAnsi="宋体"/>
          <w:bCs/>
          <w:color w:val="auto"/>
          <w:highlight w:val="none"/>
          <w:lang w:eastAsia="zh-CN"/>
        </w:rPr>
        <w:t>QZZC2025-C3-990082-QZSZ</w:t>
      </w:r>
    </w:p>
    <w:p>
      <w:pPr>
        <w:spacing w:line="400" w:lineRule="exact"/>
        <w:ind w:firstLine="420"/>
        <w:rPr>
          <w:color w:val="auto"/>
          <w:highlight w:val="none"/>
        </w:rPr>
      </w:pPr>
      <w:r>
        <w:rPr>
          <w:rFonts w:hint="eastAsia"/>
          <w:color w:val="auto"/>
          <w:highlight w:val="none"/>
        </w:rPr>
        <w:t>项目名称：钦州市电子政务外网二期（含电子口岸专线）线路服务</w:t>
      </w:r>
    </w:p>
    <w:bookmarkEnd w:id="8"/>
    <w:p>
      <w:pPr>
        <w:spacing w:line="400" w:lineRule="exact"/>
        <w:ind w:firstLine="420"/>
        <w:rPr>
          <w:color w:val="auto"/>
          <w:highlight w:val="none"/>
        </w:rPr>
      </w:pPr>
      <w:r>
        <w:rPr>
          <w:rFonts w:hint="eastAsia"/>
          <w:color w:val="auto"/>
          <w:highlight w:val="none"/>
        </w:rPr>
        <w:t>预算总金额(元</w:t>
      </w:r>
      <w:r>
        <w:rPr>
          <w:color w:val="auto"/>
          <w:highlight w:val="none"/>
        </w:rPr>
        <w:t>)</w:t>
      </w:r>
      <w:r>
        <w:rPr>
          <w:rFonts w:hint="eastAsia"/>
          <w:color w:val="auto"/>
          <w:highlight w:val="none"/>
        </w:rPr>
        <w:t>：1,352,520.00</w:t>
      </w:r>
    </w:p>
    <w:p>
      <w:pPr>
        <w:spacing w:line="400" w:lineRule="exact"/>
        <w:ind w:firstLine="420"/>
        <w:rPr>
          <w:color w:val="auto"/>
          <w:highlight w:val="none"/>
        </w:rPr>
      </w:pPr>
      <w:r>
        <w:rPr>
          <w:rFonts w:hint="eastAsia"/>
          <w:color w:val="auto"/>
          <w:highlight w:val="none"/>
        </w:rPr>
        <w:t>采购需求：</w:t>
      </w:r>
    </w:p>
    <w:p>
      <w:pPr>
        <w:spacing w:line="400" w:lineRule="exact"/>
        <w:ind w:firstLine="420"/>
        <w:rPr>
          <w:color w:val="auto"/>
          <w:highlight w:val="none"/>
        </w:rPr>
      </w:pPr>
    </w:p>
    <w:p>
      <w:pPr>
        <w:spacing w:line="400" w:lineRule="exact"/>
        <w:ind w:firstLine="420"/>
        <w:rPr>
          <w:bCs/>
          <w:color w:val="auto"/>
          <w:highlight w:val="none"/>
        </w:rPr>
      </w:pPr>
      <w:r>
        <w:rPr>
          <w:rFonts w:hint="eastAsia"/>
          <w:color w:val="auto"/>
          <w:highlight w:val="none"/>
        </w:rPr>
        <w:t>标项名称：钦州市电子政务外网二期（含电子口岸专线）线路服务</w:t>
      </w:r>
    </w:p>
    <w:p>
      <w:pPr>
        <w:spacing w:line="400" w:lineRule="exact"/>
        <w:ind w:firstLine="420"/>
        <w:rPr>
          <w:color w:val="auto"/>
          <w:highlight w:val="none"/>
        </w:rPr>
      </w:pPr>
      <w:r>
        <w:rPr>
          <w:rFonts w:hint="eastAsia"/>
          <w:bCs/>
          <w:color w:val="auto"/>
          <w:highlight w:val="none"/>
        </w:rPr>
        <w:t>数量：</w:t>
      </w:r>
    </w:p>
    <w:p>
      <w:pPr>
        <w:spacing w:line="400" w:lineRule="exact"/>
        <w:ind w:firstLine="420"/>
        <w:rPr>
          <w:color w:val="auto"/>
          <w:highlight w:val="none"/>
        </w:rPr>
      </w:pPr>
      <w:r>
        <w:rPr>
          <w:rFonts w:hint="eastAsia"/>
          <w:color w:val="auto"/>
          <w:highlight w:val="none"/>
        </w:rPr>
        <w:t>预算金额(元</w:t>
      </w:r>
      <w:r>
        <w:rPr>
          <w:color w:val="auto"/>
          <w:highlight w:val="none"/>
        </w:rPr>
        <w:t>)</w:t>
      </w:r>
      <w:r>
        <w:rPr>
          <w:rFonts w:hint="eastAsia"/>
          <w:color w:val="auto"/>
          <w:highlight w:val="none"/>
        </w:rPr>
        <w:t>：1,352,520.00</w:t>
      </w:r>
    </w:p>
    <w:p>
      <w:pPr>
        <w:spacing w:line="400" w:lineRule="exact"/>
        <w:ind w:firstLine="420"/>
        <w:rPr>
          <w:rFonts w:hint="eastAsia"/>
          <w:color w:val="auto"/>
          <w:highlight w:val="none"/>
        </w:rPr>
      </w:pPr>
      <w:r>
        <w:rPr>
          <w:rFonts w:hint="eastAsia"/>
          <w:color w:val="auto"/>
          <w:highlight w:val="none"/>
        </w:rPr>
        <w:t>简要规格描述或项目基本概况介绍、用途：按照广西电子政务外网总体规划，开展钦州市电子政务外网二期（含电子口岸专线）线路服务采购，并对现有的96台接入路由器（防火墙）、核心机房2台汇聚交换机、核心机房安全网关等设备进行运维服务。线路接入单位为市中级法院等78个单位，共78条线路（详见采购清单）。其中，带宽为10M的2条，带宽为100M的67条，带宽为200M的9条。线路需从各单位办公地点（或指定地点）汇聚至钦州市行政信息中心10楼核心机房。</w:t>
      </w:r>
    </w:p>
    <w:p>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pPr>
        <w:spacing w:line="400" w:lineRule="exact"/>
        <w:ind w:firstLine="420"/>
        <w:rPr>
          <w:rFonts w:hint="eastAsia" w:eastAsia="宋体"/>
          <w:color w:val="auto"/>
          <w:highlight w:val="none"/>
          <w:lang w:eastAsia="zh-CN"/>
        </w:rPr>
      </w:pPr>
      <w:r>
        <w:rPr>
          <w:rFonts w:hint="eastAsia"/>
          <w:color w:val="auto"/>
          <w:highlight w:val="none"/>
        </w:rPr>
        <w:t>合同履行期限：</w:t>
      </w:r>
      <w:r>
        <w:rPr>
          <w:rFonts w:hint="eastAsia" w:ascii="宋体" w:hAnsi="宋体"/>
          <w:bCs/>
          <w:color w:val="auto"/>
          <w:szCs w:val="21"/>
          <w:highlight w:val="none"/>
        </w:rPr>
        <w:t>自签订合同之日起</w:t>
      </w:r>
      <w:r>
        <w:rPr>
          <w:rFonts w:hint="eastAsia" w:ascii="宋体" w:hAnsi="宋体"/>
          <w:bCs/>
          <w:color w:val="auto"/>
          <w:szCs w:val="21"/>
          <w:highlight w:val="none"/>
          <w:lang w:val="en-US" w:eastAsia="zh-CN"/>
        </w:rPr>
        <w:t>90</w:t>
      </w:r>
      <w:r>
        <w:rPr>
          <w:rFonts w:hint="eastAsia" w:ascii="宋体" w:hAnsi="宋体"/>
          <w:bCs/>
          <w:color w:val="auto"/>
          <w:szCs w:val="21"/>
          <w:highlight w:val="none"/>
        </w:rPr>
        <w:t>个日历天内交付使用，并提供3年服务</w:t>
      </w:r>
      <w:r>
        <w:rPr>
          <w:rFonts w:hint="eastAsia" w:ascii="宋体" w:hAnsi="宋体"/>
          <w:bCs/>
          <w:color w:val="auto"/>
          <w:szCs w:val="21"/>
          <w:highlight w:val="none"/>
          <w:lang w:eastAsia="zh-CN"/>
        </w:rPr>
        <w:t>。</w:t>
      </w:r>
    </w:p>
    <w:p>
      <w:pPr>
        <w:spacing w:line="400" w:lineRule="exact"/>
        <w:ind w:firstLine="420"/>
        <w:rPr>
          <w:color w:val="auto"/>
          <w:highlight w:val="none"/>
        </w:rPr>
      </w:pPr>
      <w:r>
        <w:rPr>
          <w:rFonts w:hint="eastAsia"/>
          <w:color w:val="auto"/>
          <w:highlight w:val="none"/>
        </w:rPr>
        <w:t>本标项(否</w:t>
      </w:r>
      <w:r>
        <w:rPr>
          <w:color w:val="auto"/>
          <w:highlight w:val="none"/>
        </w:rPr>
        <w:t>)</w:t>
      </w:r>
      <w:r>
        <w:rPr>
          <w:rFonts w:hint="eastAsia"/>
          <w:color w:val="auto"/>
          <w:highlight w:val="none"/>
        </w:rPr>
        <w:t>接受联合体投标。</w:t>
      </w:r>
    </w:p>
    <w:p>
      <w:pPr>
        <w:spacing w:line="400" w:lineRule="exact"/>
        <w:ind w:firstLine="420"/>
        <w:rPr>
          <w:color w:val="auto"/>
          <w:highlight w:val="none"/>
        </w:rPr>
      </w:pPr>
      <w:r>
        <w:rPr>
          <w:rFonts w:hint="eastAsia"/>
          <w:color w:val="auto"/>
          <w:highlight w:val="none"/>
        </w:rPr>
        <w:t>备注：</w:t>
      </w:r>
    </w:p>
    <w:p>
      <w:pPr>
        <w:spacing w:line="400" w:lineRule="exact"/>
        <w:ind w:firstLine="420"/>
        <w:rPr>
          <w:color w:val="auto"/>
          <w:highlight w:val="none"/>
        </w:rPr>
      </w:pPr>
    </w:p>
    <w:p>
      <w:pPr>
        <w:spacing w:line="400" w:lineRule="exact"/>
        <w:rPr>
          <w:b/>
          <w:color w:val="auto"/>
          <w:highlight w:val="none"/>
        </w:rPr>
      </w:pPr>
      <w:bookmarkStart w:id="10" w:name="_Toc35393791"/>
      <w:bookmarkStart w:id="11" w:name="_Toc28359003"/>
      <w:bookmarkStart w:id="12" w:name="_Toc28359080"/>
      <w:bookmarkStart w:id="13" w:name="_Toc35393622"/>
      <w:r>
        <w:rPr>
          <w:rFonts w:hint="eastAsia"/>
          <w:b/>
          <w:color w:val="auto"/>
          <w:highlight w:val="none"/>
        </w:rPr>
        <w:t>二、申请人的资格要求：</w:t>
      </w:r>
      <w:bookmarkEnd w:id="10"/>
      <w:bookmarkEnd w:id="11"/>
      <w:bookmarkEnd w:id="12"/>
      <w:bookmarkEnd w:id="13"/>
      <w:bookmarkStart w:id="14" w:name="_Toc35393792"/>
      <w:bookmarkStart w:id="15" w:name="_Toc28359004"/>
      <w:bookmarkStart w:id="16" w:name="_Toc35393623"/>
      <w:bookmarkStart w:id="17" w:name="_Toc28359081"/>
    </w:p>
    <w:p>
      <w:pPr>
        <w:spacing w:line="400" w:lineRule="exact"/>
        <w:ind w:firstLine="420"/>
        <w:rPr>
          <w:b/>
          <w:color w:val="auto"/>
          <w:highlight w:val="none"/>
        </w:rPr>
      </w:pPr>
      <w:bookmarkStart w:id="18" w:name="_Hlk111714912"/>
      <w:r>
        <w:rPr>
          <w:rFonts w:hint="eastAsia"/>
          <w:color w:val="auto"/>
          <w:highlight w:val="none"/>
        </w:rPr>
        <w:t>1.满足《中华人民共和国政府采购法》第二十二条规定</w:t>
      </w:r>
    </w:p>
    <w:p>
      <w:pPr>
        <w:spacing w:line="400" w:lineRule="exact"/>
        <w:ind w:firstLine="420"/>
        <w:rPr>
          <w:rFonts w:hint="eastAsia" w:ascii="宋体" w:hAnsi="宋体" w:eastAsia="宋体"/>
          <w:color w:val="auto"/>
          <w:szCs w:val="21"/>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pPr>
        <w:spacing w:line="400" w:lineRule="exact"/>
        <w:ind w:firstLine="435"/>
        <w:rPr>
          <w:color w:val="auto"/>
          <w:highlight w:val="none"/>
        </w:rPr>
      </w:pPr>
      <w:r>
        <w:rPr>
          <w:rFonts w:hint="eastAsia"/>
          <w:color w:val="auto"/>
          <w:highlight w:val="none"/>
        </w:rPr>
        <w:t>3.本项目的特定资格要求：无</w:t>
      </w:r>
    </w:p>
    <w:bookmarkEnd w:id="18"/>
    <w:p>
      <w:pPr>
        <w:spacing w:line="400" w:lineRule="exact"/>
        <w:rPr>
          <w:b/>
          <w:color w:val="auto"/>
          <w:highlight w:val="none"/>
        </w:rPr>
      </w:pPr>
      <w:r>
        <w:rPr>
          <w:rFonts w:hint="eastAsia"/>
          <w:b/>
          <w:color w:val="auto"/>
          <w:highlight w:val="none"/>
        </w:rPr>
        <w:t>三、获取采购文件</w:t>
      </w:r>
      <w:bookmarkEnd w:id="14"/>
      <w:bookmarkEnd w:id="15"/>
      <w:bookmarkEnd w:id="16"/>
      <w:bookmarkEnd w:id="17"/>
    </w:p>
    <w:p>
      <w:pPr>
        <w:spacing w:line="400" w:lineRule="exact"/>
        <w:ind w:firstLine="420"/>
        <w:jc w:val="left"/>
        <w:rPr>
          <w:color w:val="auto"/>
          <w:highlight w:val="none"/>
        </w:rPr>
      </w:pPr>
      <w:bookmarkStart w:id="19" w:name="_Toc38370141"/>
      <w:r>
        <w:rPr>
          <w:rFonts w:hint="eastAsia"/>
          <w:color w:val="auto"/>
          <w:highlight w:val="none"/>
        </w:rPr>
        <w:t>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24</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30</w:t>
      </w:r>
      <w:r>
        <w:rPr>
          <w:rFonts w:hint="eastAsia"/>
          <w:color w:val="auto"/>
          <w:highlight w:val="none"/>
        </w:rPr>
        <w:t>日，每天上午00:00至12:00，下午12:00至23:59（北京时间，法定节假日除外）</w:t>
      </w:r>
    </w:p>
    <w:p>
      <w:pPr>
        <w:spacing w:line="400" w:lineRule="exact"/>
        <w:ind w:firstLine="420"/>
        <w:rPr>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0" w:name="_Hlk164066481"/>
      <w:r>
        <w:rPr>
          <w:rFonts w:hint="eastAsia" w:ascii="宋体" w:hAnsi="宋体"/>
          <w:color w:val="auto"/>
          <w:szCs w:val="21"/>
          <w:highlight w:val="none"/>
        </w:rPr>
        <w:t>广西政府采购云平台（https://www.gcy.zfcg.gxzf.gov.cn/）</w:t>
      </w:r>
      <w:bookmarkEnd w:id="20"/>
    </w:p>
    <w:p>
      <w:pPr>
        <w:spacing w:line="400" w:lineRule="exact"/>
        <w:ind w:firstLine="420"/>
        <w:rPr>
          <w:color w:val="auto"/>
          <w:highlight w:val="none"/>
        </w:rPr>
      </w:pPr>
      <w:r>
        <w:rPr>
          <w:rFonts w:hint="eastAsia"/>
          <w:color w:val="auto"/>
          <w:highlight w:val="none"/>
        </w:rPr>
        <w:t>方式：供应商登录广西政府采购云平台(以下称“政采云平台”)在线获取采购文件（进入“项目采购”应用选择项目，获取采购文件）</w:t>
      </w:r>
    </w:p>
    <w:p>
      <w:pPr>
        <w:spacing w:line="400" w:lineRule="exact"/>
        <w:ind w:firstLine="420"/>
        <w:rPr>
          <w:color w:val="auto"/>
          <w:highlight w:val="none"/>
        </w:rPr>
      </w:pPr>
      <w:r>
        <w:rPr>
          <w:rFonts w:hint="eastAsia"/>
          <w:color w:val="auto"/>
          <w:highlight w:val="none"/>
        </w:rPr>
        <w:t>售价(元</w:t>
      </w:r>
      <w:r>
        <w:rPr>
          <w:color w:val="auto"/>
          <w:highlight w:val="none"/>
        </w:rPr>
        <w:t>)</w:t>
      </w:r>
      <w:r>
        <w:rPr>
          <w:rFonts w:hint="eastAsia"/>
          <w:color w:val="auto"/>
          <w:highlight w:val="none"/>
        </w:rPr>
        <w:t>：0</w:t>
      </w:r>
    </w:p>
    <w:p>
      <w:pPr>
        <w:spacing w:line="400" w:lineRule="exact"/>
        <w:rPr>
          <w:b/>
          <w:color w:val="auto"/>
          <w:highlight w:val="none"/>
        </w:rPr>
      </w:pPr>
      <w:r>
        <w:rPr>
          <w:rFonts w:hint="eastAsia"/>
          <w:b/>
          <w:bCs/>
          <w:color w:val="auto"/>
          <w:highlight w:val="none"/>
        </w:rPr>
        <w:t>四、</w:t>
      </w:r>
      <w:bookmarkEnd w:id="19"/>
      <w:bookmarkStart w:id="21" w:name="_Toc28359005"/>
      <w:bookmarkStart w:id="22" w:name="_Toc28359082"/>
      <w:bookmarkStart w:id="23" w:name="_Toc35393793"/>
      <w:bookmarkStart w:id="24" w:name="_Toc35393624"/>
      <w:r>
        <w:rPr>
          <w:rFonts w:hint="eastAsia"/>
          <w:b/>
          <w:color w:val="auto"/>
          <w:highlight w:val="none"/>
        </w:rPr>
        <w:t>响应文件</w:t>
      </w:r>
      <w:bookmarkEnd w:id="21"/>
      <w:bookmarkEnd w:id="22"/>
      <w:r>
        <w:rPr>
          <w:rFonts w:hint="eastAsia"/>
          <w:b/>
          <w:color w:val="auto"/>
          <w:highlight w:val="none"/>
        </w:rPr>
        <w:t>提交</w:t>
      </w:r>
      <w:bookmarkEnd w:id="23"/>
      <w:bookmarkEnd w:id="24"/>
    </w:p>
    <w:p>
      <w:pPr>
        <w:spacing w:line="400" w:lineRule="exact"/>
        <w:ind w:firstLine="420"/>
        <w:rPr>
          <w:color w:val="auto"/>
          <w:highlight w:val="none"/>
        </w:rPr>
      </w:pPr>
      <w:r>
        <w:rPr>
          <w:rFonts w:hint="eastAsia"/>
          <w:color w:val="auto"/>
          <w:highlight w:val="none"/>
        </w:rPr>
        <w:t>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r>
        <w:rPr>
          <w:color w:val="auto"/>
          <w:highlight w:val="none"/>
        </w:rPr>
        <w:t>09:30</w:t>
      </w:r>
      <w:r>
        <w:rPr>
          <w:rFonts w:hint="eastAsia"/>
          <w:color w:val="auto"/>
          <w:highlight w:val="none"/>
        </w:rPr>
        <w:t>（北京时间）</w:t>
      </w:r>
    </w:p>
    <w:p>
      <w:pPr>
        <w:spacing w:line="400" w:lineRule="exact"/>
        <w:ind w:firstLine="420"/>
        <w:rPr>
          <w:rFonts w:hint="eastAsia" w:ascii="宋体" w:hAnsi="宋体" w:cs="Courier New"/>
          <w:color w:val="auto"/>
          <w:szCs w:val="21"/>
          <w:highlight w:val="none"/>
        </w:rPr>
      </w:pPr>
      <w:r>
        <w:rPr>
          <w:rFonts w:hint="eastAsia"/>
          <w:color w:val="auto"/>
          <w:highlight w:val="none"/>
        </w:rPr>
        <w:t>地点(网址）：</w:t>
      </w:r>
      <w:r>
        <w:rPr>
          <w:rFonts w:hint="eastAsia" w:ascii="宋体" w:hAnsi="宋体" w:cs="Courier New"/>
          <w:color w:val="auto"/>
          <w:szCs w:val="21"/>
          <w:highlight w:val="none"/>
        </w:rPr>
        <w:t>政府采购云平台（</w:t>
      </w:r>
      <w:r>
        <w:rPr>
          <w:rFonts w:ascii="宋体" w:hAnsi="宋体" w:cs="Courier New"/>
          <w:color w:val="auto"/>
          <w:szCs w:val="21"/>
          <w:highlight w:val="none"/>
        </w:rPr>
        <w:t>https://www.gcy.zfcg.gxzf.gov.cn/</w:t>
      </w:r>
      <w:r>
        <w:rPr>
          <w:rFonts w:hint="eastAsia" w:ascii="宋体" w:hAnsi="宋体" w:cs="Courier New"/>
          <w:color w:val="auto"/>
          <w:szCs w:val="21"/>
          <w:highlight w:val="none"/>
        </w:rPr>
        <w:t>）</w:t>
      </w:r>
    </w:p>
    <w:p>
      <w:pPr>
        <w:spacing w:line="400" w:lineRule="exact"/>
        <w:rPr>
          <w:rFonts w:hint="eastAsia" w:ascii="宋体" w:hAnsi="宋体" w:cs="Courier New"/>
          <w:b/>
          <w:bCs/>
          <w:color w:val="auto"/>
          <w:szCs w:val="21"/>
          <w:highlight w:val="none"/>
        </w:rPr>
      </w:pPr>
      <w:r>
        <w:rPr>
          <w:rFonts w:hint="eastAsia" w:ascii="宋体" w:hAnsi="宋体" w:cs="Courier New"/>
          <w:b/>
          <w:bCs/>
          <w:color w:val="auto"/>
          <w:szCs w:val="21"/>
          <w:highlight w:val="none"/>
        </w:rPr>
        <w:t>五、响应文件开启</w:t>
      </w:r>
    </w:p>
    <w:p>
      <w:pPr>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开启时间：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r>
        <w:rPr>
          <w:color w:val="auto"/>
          <w:highlight w:val="none"/>
        </w:rPr>
        <w:t>09:30</w:t>
      </w:r>
      <w:r>
        <w:rPr>
          <w:rFonts w:hint="eastAsia"/>
          <w:color w:val="auto"/>
          <w:highlight w:val="none"/>
        </w:rPr>
        <w:t>（北京时间）</w:t>
      </w:r>
    </w:p>
    <w:p>
      <w:pPr>
        <w:spacing w:line="40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地点：</w:t>
      </w:r>
      <w:bookmarkStart w:id="25" w:name="_Toc28359084"/>
      <w:bookmarkStart w:id="26" w:name="_Toc35393794"/>
      <w:bookmarkStart w:id="27" w:name="_Toc28359007"/>
      <w:bookmarkStart w:id="28" w:name="_Toc35393625"/>
      <w:r>
        <w:rPr>
          <w:rFonts w:hint="eastAsia"/>
          <w:color w:val="auto"/>
          <w:highlight w:val="none"/>
        </w:rPr>
        <w:t>广西钦州市金海湾东大街8号市政务服务中心三楼开标室</w:t>
      </w:r>
    </w:p>
    <w:p>
      <w:pPr>
        <w:spacing w:line="400" w:lineRule="exact"/>
        <w:rPr>
          <w:b/>
          <w:color w:val="auto"/>
          <w:highlight w:val="none"/>
        </w:rPr>
      </w:pPr>
      <w:r>
        <w:rPr>
          <w:rFonts w:hint="eastAsia"/>
          <w:b/>
          <w:color w:val="auto"/>
          <w:highlight w:val="none"/>
        </w:rPr>
        <w:t>六、公告期限</w:t>
      </w:r>
      <w:bookmarkEnd w:id="25"/>
      <w:bookmarkEnd w:id="26"/>
      <w:bookmarkEnd w:id="27"/>
      <w:bookmarkEnd w:id="28"/>
    </w:p>
    <w:p>
      <w:pPr>
        <w:spacing w:line="400" w:lineRule="exact"/>
        <w:ind w:firstLine="420"/>
        <w:rPr>
          <w:color w:val="auto"/>
          <w:highlight w:val="none"/>
        </w:rPr>
      </w:pPr>
      <w:r>
        <w:rPr>
          <w:rFonts w:hint="eastAsia"/>
          <w:color w:val="auto"/>
          <w:highlight w:val="none"/>
        </w:rPr>
        <w:t>自本公告发布之日起</w:t>
      </w:r>
      <w:r>
        <w:rPr>
          <w:color w:val="auto"/>
          <w:highlight w:val="none"/>
        </w:rPr>
        <w:t>5</w:t>
      </w:r>
      <w:r>
        <w:rPr>
          <w:rFonts w:hint="eastAsia"/>
          <w:color w:val="auto"/>
          <w:highlight w:val="none"/>
        </w:rPr>
        <w:t>个工作日。</w:t>
      </w:r>
    </w:p>
    <w:p>
      <w:pPr>
        <w:spacing w:line="400" w:lineRule="exact"/>
        <w:rPr>
          <w:b/>
          <w:color w:val="auto"/>
          <w:highlight w:val="none"/>
        </w:rPr>
      </w:pPr>
      <w:bookmarkStart w:id="29" w:name="_Toc35393796"/>
      <w:bookmarkStart w:id="30" w:name="_Toc28359085"/>
      <w:bookmarkStart w:id="31" w:name="_Toc35393627"/>
      <w:bookmarkStart w:id="32" w:name="_Toc28359008"/>
      <w:r>
        <w:rPr>
          <w:rFonts w:hint="eastAsia"/>
          <w:b/>
          <w:color w:val="auto"/>
          <w:highlight w:val="none"/>
        </w:rPr>
        <w:t>七、其他补充事宜</w:t>
      </w:r>
    </w:p>
    <w:p>
      <w:pPr>
        <w:spacing w:line="400" w:lineRule="exact"/>
        <w:ind w:firstLine="420"/>
        <w:rPr>
          <w:rFonts w:hint="default"/>
          <w:color w:val="auto"/>
          <w:highlight w:val="none"/>
          <w:lang w:val="en-US" w:eastAsia="zh-CN"/>
        </w:rPr>
      </w:pPr>
      <w:r>
        <w:rPr>
          <w:rFonts w:hint="eastAsia"/>
          <w:color w:val="auto"/>
          <w:highlight w:val="none"/>
          <w:lang w:val="en-US" w:eastAsia="zh-CN"/>
        </w:rPr>
        <w:t>1..本项目接受银行、保险、石油石化、电力、电信行业的投标人分支机构参与投标。</w:t>
      </w:r>
    </w:p>
    <w:p>
      <w:pPr>
        <w:spacing w:line="400" w:lineRule="exact"/>
        <w:ind w:firstLine="420"/>
        <w:rPr>
          <w:b/>
          <w:color w:val="auto"/>
          <w:highlight w:val="none"/>
        </w:rPr>
      </w:pPr>
      <w:r>
        <w:rPr>
          <w:rFonts w:hint="eastAsia"/>
          <w:color w:val="auto"/>
          <w:highlight w:val="none"/>
          <w:lang w:val="en-US" w:eastAsia="zh-CN"/>
        </w:rPr>
        <w:t>2</w:t>
      </w:r>
      <w:r>
        <w:rPr>
          <w:color w:val="auto"/>
          <w:highlight w:val="none"/>
        </w:rPr>
        <w:t>.</w:t>
      </w:r>
      <w:r>
        <w:rPr>
          <w:rFonts w:hint="eastAsia"/>
          <w:bCs/>
          <w:color w:val="auto"/>
          <w:highlight w:val="none"/>
        </w:rPr>
        <w:t>本项目需落实的政府采购政策</w:t>
      </w:r>
      <w:r>
        <w:rPr>
          <w:rFonts w:hint="eastAsia"/>
          <w:b/>
          <w:color w:val="auto"/>
          <w:highlight w:val="none"/>
        </w:rPr>
        <w:t>：</w:t>
      </w:r>
    </w:p>
    <w:p>
      <w:pPr>
        <w:spacing w:line="400"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00"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00" w:lineRule="exact"/>
        <w:ind w:firstLine="420"/>
        <w:rPr>
          <w:color w:val="auto"/>
          <w:highlight w:val="none"/>
        </w:rPr>
      </w:pPr>
      <w:r>
        <w:rPr>
          <w:rFonts w:hint="eastAsia"/>
          <w:color w:val="auto"/>
          <w:highlight w:val="none"/>
        </w:rPr>
        <w:t>(3)财政部 民政部 中国残疾人联合会关于促进残疾人就业政府采购政策的通知 (财库﹝2017﹞141号)</w:t>
      </w:r>
    </w:p>
    <w:p>
      <w:pPr>
        <w:spacing w:line="400" w:lineRule="exact"/>
        <w:ind w:firstLine="420"/>
        <w:rPr>
          <w:color w:val="auto"/>
          <w:highlight w:val="none"/>
        </w:rPr>
      </w:pPr>
      <w:r>
        <w:rPr>
          <w:rFonts w:hint="eastAsia"/>
          <w:color w:val="auto"/>
          <w:highlight w:val="none"/>
          <w:lang w:val="en-US" w:eastAsia="zh-CN"/>
        </w:rPr>
        <w:t>3</w:t>
      </w:r>
      <w:r>
        <w:rPr>
          <w:color w:val="auto"/>
          <w:highlight w:val="none"/>
        </w:rPr>
        <w:t>.</w:t>
      </w:r>
      <w:bookmarkStart w:id="33" w:name="_Hlk91598380"/>
      <w:r>
        <w:rPr>
          <w:rFonts w:hint="eastAsia"/>
          <w:color w:val="auto"/>
          <w:highlight w:val="none"/>
        </w:rPr>
        <w:t>全流程电子化</w:t>
      </w:r>
      <w:bookmarkEnd w:id="33"/>
      <w:r>
        <w:rPr>
          <w:rFonts w:hint="eastAsia"/>
          <w:color w:val="auto"/>
          <w:highlight w:val="none"/>
        </w:rPr>
        <w:t>要求：</w:t>
      </w:r>
    </w:p>
    <w:p>
      <w:pPr>
        <w:spacing w:line="400" w:lineRule="exact"/>
        <w:ind w:firstLine="420"/>
        <w:rPr>
          <w:color w:val="auto"/>
          <w:highlight w:val="none"/>
        </w:rPr>
      </w:pPr>
      <w:r>
        <w:rPr>
          <w:rFonts w:hint="eastAsia"/>
          <w:color w:val="auto"/>
          <w:highlight w:val="none"/>
        </w:rPr>
        <w:t>本项目为全流程电子化项目，供应商应做好参与全流程电子化交易的充分准备，熟悉掌握电子化采购项目操作指南</w:t>
      </w:r>
      <w:bookmarkStart w:id="34" w:name="_Hlk147760538"/>
      <w:r>
        <w:rPr>
          <w:rFonts w:hint="eastAsia"/>
          <w:color w:val="auto"/>
          <w:highlight w:val="none"/>
        </w:rPr>
        <w:t>(操作指南：</w:t>
      </w:r>
      <w:r>
        <w:rPr>
          <w:color w:val="auto"/>
          <w:highlight w:val="none"/>
        </w:rPr>
        <w:fldChar w:fldCharType="begin"/>
      </w:r>
      <w:r>
        <w:rPr>
          <w:color w:val="auto"/>
          <w:highlight w:val="none"/>
        </w:rPr>
        <w:instrText xml:space="preserve"> HYPERLINK "https://helpcenter.zcygov.cn/document/" \l "/document/dashboard?siteCode=beijing&amp;channel=dt" </w:instrText>
      </w:r>
      <w:r>
        <w:rPr>
          <w:color w:val="auto"/>
          <w:highlight w:val="none"/>
        </w:rPr>
        <w:fldChar w:fldCharType="separate"/>
      </w:r>
      <w:r>
        <w:rPr>
          <w:rStyle w:val="43"/>
          <w:rFonts w:hint="eastAsia"/>
          <w:color w:val="auto"/>
          <w:highlight w:val="none"/>
        </w:rPr>
        <w:t>政采云电子卖场首页右上角—服务中心—帮助文档—项目采购</w:t>
      </w:r>
      <w:r>
        <w:rPr>
          <w:rStyle w:val="43"/>
          <w:rFonts w:hint="eastAsia"/>
          <w:color w:val="auto"/>
          <w:highlight w:val="none"/>
        </w:rPr>
        <w:fldChar w:fldCharType="end"/>
      </w:r>
      <w:r>
        <w:rPr>
          <w:rFonts w:hint="eastAsia"/>
          <w:color w:val="auto"/>
          <w:highlight w:val="none"/>
        </w:rPr>
        <w:t>)，及时完成CA申领和绑定(操作指南：</w:t>
      </w:r>
      <w:r>
        <w:rPr>
          <w:color w:val="auto"/>
          <w:highlight w:val="none"/>
        </w:rPr>
        <w:fldChar w:fldCharType="begin"/>
      </w:r>
      <w:r>
        <w:rPr>
          <w:color w:val="auto"/>
          <w:highlight w:val="none"/>
        </w:rPr>
        <w:instrText xml:space="preserve"> HYPERLINK "https://helpcenter.zcygov.cn/document/" \l "/document/detail?siteCode=beijing&amp;manualId=795&amp;topicId=4081" </w:instrText>
      </w:r>
      <w:r>
        <w:rPr>
          <w:color w:val="auto"/>
          <w:highlight w:val="none"/>
        </w:rPr>
        <w:fldChar w:fldCharType="separate"/>
      </w:r>
      <w:r>
        <w:rPr>
          <w:rStyle w:val="43"/>
          <w:rFonts w:hint="eastAsia"/>
          <w:color w:val="auto"/>
          <w:highlight w:val="none"/>
        </w:rPr>
        <w:t>政采云电子卖场首页右上角—帮助文档—入驻与配置—CA管理</w:t>
      </w:r>
      <w:r>
        <w:rPr>
          <w:rStyle w:val="43"/>
          <w:rFonts w:hint="eastAsia"/>
          <w:color w:val="auto"/>
          <w:highlight w:val="none"/>
        </w:rPr>
        <w:fldChar w:fldCharType="end"/>
      </w:r>
      <w:r>
        <w:rPr>
          <w:rFonts w:hint="eastAsia"/>
          <w:color w:val="auto"/>
          <w:highlight w:val="none"/>
        </w:rPr>
        <w:t>；CA证书申领路径：</w:t>
      </w:r>
      <w:r>
        <w:rPr>
          <w:color w:val="auto"/>
          <w:highlight w:val="none"/>
        </w:rPr>
        <w:fldChar w:fldCharType="begin"/>
      </w:r>
      <w:r>
        <w:rPr>
          <w:color w:val="auto"/>
          <w:highlight w:val="none"/>
        </w:rPr>
        <w:instrText xml:space="preserve"> HYPERLINK "https://helpcenter.zcygov.cn/document/" \l "/document/detail?siteCode=beijing&amp;manualId=795&amp;topicId=4083" </w:instrText>
      </w:r>
      <w:r>
        <w:rPr>
          <w:color w:val="auto"/>
          <w:highlight w:val="none"/>
        </w:rPr>
        <w:fldChar w:fldCharType="separate"/>
      </w:r>
      <w:r>
        <w:rPr>
          <w:rStyle w:val="43"/>
          <w:rFonts w:hint="eastAsia"/>
          <w:color w:val="auto"/>
          <w:highlight w:val="none"/>
        </w:rPr>
        <w:t>政采云平台—我的工作台右上角—CA管理—CA证书申领</w:t>
      </w:r>
      <w:r>
        <w:rPr>
          <w:rStyle w:val="43"/>
          <w:rFonts w:hint="eastAsia"/>
          <w:color w:val="auto"/>
          <w:highlight w:val="none"/>
        </w:rPr>
        <w:fldChar w:fldCharType="end"/>
      </w:r>
      <w:r>
        <w:rPr>
          <w:rFonts w:hint="eastAsia"/>
          <w:color w:val="auto"/>
          <w:highlight w:val="none"/>
        </w:rPr>
        <w:t>)</w:t>
      </w:r>
      <w:bookmarkEnd w:id="34"/>
      <w:r>
        <w:rPr>
          <w:rFonts w:hint="eastAsia"/>
          <w:color w:val="auto"/>
          <w:highlight w:val="none"/>
        </w:rPr>
        <w:t>。因未注册入库、未办理CA数字证书、CA证书故障、操作不当等原因造成谈判失败等后果由供应商承担。</w:t>
      </w:r>
    </w:p>
    <w:p>
      <w:pPr>
        <w:spacing w:line="400" w:lineRule="exact"/>
        <w:ind w:firstLine="420"/>
        <w:rPr>
          <w:color w:val="auto"/>
          <w:highlight w:val="none"/>
        </w:rPr>
      </w:pPr>
      <w:r>
        <w:rPr>
          <w:color w:val="auto"/>
          <w:highlight w:val="none"/>
        </w:rPr>
        <w:t>(1)</w:t>
      </w:r>
      <w:r>
        <w:rPr>
          <w:rFonts w:hint="eastAsia"/>
          <w:color w:val="auto"/>
          <w:highlight w:val="none"/>
        </w:rPr>
        <w:t>依法获取采购文件：供应商须在获取采购文件时间内登录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3"/>
          <w:rFonts w:hint="eastAsia"/>
          <w:color w:val="auto"/>
          <w:highlight w:val="none"/>
        </w:rPr>
        <w:t>政府采购云平台</w:t>
      </w:r>
      <w:r>
        <w:rPr>
          <w:rStyle w:val="43"/>
          <w:rFonts w:hint="eastAsia"/>
          <w:color w:val="auto"/>
          <w:highlight w:val="none"/>
        </w:rPr>
        <w:fldChar w:fldCharType="end"/>
      </w:r>
      <w:r>
        <w:rPr>
          <w:rFonts w:hint="eastAsia"/>
          <w:color w:val="auto"/>
          <w:highlight w:val="none"/>
        </w:rPr>
        <w:t>申请下载采购文件才视作依法获取采购文件。</w:t>
      </w:r>
    </w:p>
    <w:p>
      <w:pPr>
        <w:spacing w:line="400"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供应商应通过广西政府采购云平台客户端制作响应文件，供应商自行前往下载安装（</w:t>
      </w:r>
      <w:r>
        <w:rPr>
          <w:color w:val="auto"/>
          <w:highlight w:val="none"/>
        </w:rPr>
        <w:fldChar w:fldCharType="begin"/>
      </w:r>
      <w:r>
        <w:rPr>
          <w:color w:val="auto"/>
          <w:highlight w:val="none"/>
        </w:rPr>
        <w:instrText xml:space="preserve"> HYPERLINK "https://sitecdn.zcycdn.com/zcy-client/bidding-client-new/official/guangxi/GuangXiSetup.exe" </w:instrText>
      </w:r>
      <w:r>
        <w:rPr>
          <w:color w:val="auto"/>
          <w:highlight w:val="none"/>
        </w:rPr>
        <w:fldChar w:fldCharType="separate"/>
      </w:r>
      <w:r>
        <w:rPr>
          <w:rFonts w:hint="eastAsia"/>
          <w:color w:val="auto"/>
          <w:highlight w:val="none"/>
        </w:rPr>
        <w:t>客户端下载</w:t>
      </w:r>
      <w:r>
        <w:rPr>
          <w:rFonts w:hint="eastAsia"/>
          <w:color w:val="auto"/>
          <w:highlight w:val="none"/>
        </w:rPr>
        <w:fldChar w:fldCharType="end"/>
      </w:r>
      <w:r>
        <w:rPr>
          <w:rFonts w:hint="eastAsia"/>
          <w:color w:val="auto"/>
          <w:highlight w:val="none"/>
        </w:rPr>
        <w:t>）。</w:t>
      </w:r>
    </w:p>
    <w:p>
      <w:pPr>
        <w:spacing w:line="400"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auto"/>
          <w:highlight w:val="none"/>
        </w:rPr>
      </w:pPr>
      <w:r>
        <w:rPr>
          <w:rFonts w:hint="eastAsia"/>
          <w:color w:val="auto"/>
          <w:highlight w:val="none"/>
        </w:rPr>
        <w:t>(</w:t>
      </w:r>
      <w:r>
        <w:rPr>
          <w:color w:val="auto"/>
          <w:highlight w:val="none"/>
        </w:rPr>
        <w:t>4)</w:t>
      </w:r>
      <w:r>
        <w:rPr>
          <w:rFonts w:hint="eastAsia"/>
          <w:color w:val="auto"/>
          <w:highlight w:val="none"/>
        </w:rPr>
        <w:t>供应商法定代表人或委托代理人须按时登录</w:t>
      </w:r>
      <w:bookmarkStart w:id="35" w:name="_Hlk90367388"/>
      <w:r>
        <w:rPr>
          <w:rFonts w:hint="eastAsia" w:ascii="宋体" w:hAnsi="宋体" w:cs="Courier New"/>
          <w:color w:val="auto"/>
          <w:szCs w:val="21"/>
          <w:highlight w:val="none"/>
        </w:rPr>
        <w:t>政采云远程开标大厅</w:t>
      </w:r>
      <w:bookmarkEnd w:id="35"/>
      <w:r>
        <w:rPr>
          <w:rFonts w:hint="eastAsia"/>
          <w:color w:val="auto"/>
          <w:highlight w:val="none"/>
        </w:rPr>
        <w:t>，保持全程在线并关注评审磋商进度，评审期间磋商小组提出澄清等要求时，供应商须在规定时间内进行应答，否则按采购文件或政采云平台的相关规定执行。</w:t>
      </w:r>
    </w:p>
    <w:p>
      <w:pPr>
        <w:spacing w:line="400" w:lineRule="exact"/>
        <w:ind w:firstLine="420"/>
        <w:rPr>
          <w:rFonts w:hint="eastAsia" w:hAnsi="宋体"/>
          <w:color w:val="auto"/>
          <w:highlight w:val="none"/>
        </w:rPr>
      </w:pPr>
      <w:r>
        <w:rPr>
          <w:rFonts w:hint="eastAsia"/>
          <w:color w:val="auto"/>
          <w:highlight w:val="none"/>
        </w:rPr>
        <w:t>(</w:t>
      </w:r>
      <w:r>
        <w:rPr>
          <w:color w:val="auto"/>
          <w:highlight w:val="none"/>
        </w:rPr>
        <w:t>5)</w:t>
      </w:r>
      <w:r>
        <w:rPr>
          <w:rFonts w:hint="eastAsia"/>
          <w:color w:val="auto"/>
          <w:highlight w:val="none"/>
        </w:rPr>
        <w:t>供应商参与磋商过程中涉及政府采购云平台的问题，请咨询政采云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lang w:val="en-US" w:eastAsia="zh-CN"/>
        </w:rPr>
        <w:t>4</w:t>
      </w:r>
      <w:r>
        <w:rPr>
          <w:rFonts w:hAnsi="宋体"/>
          <w:color w:val="auto"/>
          <w:highlight w:val="none"/>
        </w:rPr>
        <w:t>.</w:t>
      </w:r>
      <w:r>
        <w:rPr>
          <w:rFonts w:hint="eastAsia" w:hAnsi="宋体"/>
          <w:color w:val="auto"/>
          <w:highlight w:val="none"/>
        </w:rPr>
        <w:t>查询媒体：中国政府采购网、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color w:val="auto"/>
          <w:highlight w:val="none"/>
        </w:rPr>
        <w:t>。</w:t>
      </w:r>
    </w:p>
    <w:p>
      <w:pPr>
        <w:spacing w:line="400" w:lineRule="exact"/>
        <w:ind w:firstLine="420"/>
        <w:jc w:val="left"/>
        <w:rPr>
          <w:rFonts w:hint="eastAsia" w:hAnsi="宋体"/>
          <w:color w:val="auto"/>
          <w:highlight w:val="none"/>
        </w:rPr>
      </w:pPr>
      <w:bookmarkStart w:id="36" w:name="_Hlk107409555"/>
      <w:bookmarkStart w:id="37" w:name="_Hlk108515619"/>
      <w:r>
        <w:rPr>
          <w:rFonts w:hint="eastAsia" w:hAnsi="宋体"/>
          <w:color w:val="auto"/>
          <w:highlight w:val="none"/>
          <w:lang w:val="en-US" w:eastAsia="zh-CN"/>
        </w:rPr>
        <w:t>5</w:t>
      </w:r>
      <w:r>
        <w:rPr>
          <w:rFonts w:hAnsi="宋体"/>
          <w:color w:val="auto"/>
          <w:highlight w:val="none"/>
        </w:rPr>
        <w:t>.</w:t>
      </w:r>
      <w:r>
        <w:rPr>
          <w:rFonts w:hint="eastAsia" w:hAnsi="宋体"/>
          <w:color w:val="auto"/>
          <w:highlight w:val="none"/>
        </w:rPr>
        <w:t>钦州市政府采购中心联系方式：</w:t>
      </w:r>
    </w:p>
    <w:p>
      <w:pPr>
        <w:spacing w:line="400" w:lineRule="exact"/>
        <w:ind w:firstLine="420"/>
        <w:jc w:val="left"/>
        <w:rPr>
          <w:rFonts w:hint="eastAsia" w:hAnsi="宋体"/>
          <w:color w:val="auto"/>
          <w:highlight w:val="none"/>
        </w:rPr>
      </w:pPr>
      <w:r>
        <w:rPr>
          <w:rFonts w:hAnsi="宋体"/>
          <w:color w:val="auto"/>
          <w:highlight w:val="none"/>
        </w:rPr>
        <w:t>(1)</w:t>
      </w:r>
      <w:r>
        <w:rPr>
          <w:rFonts w:hint="eastAsia" w:hAnsi="宋体"/>
          <w:color w:val="auto"/>
          <w:highlight w:val="none"/>
        </w:rPr>
        <w:t>采购部(采购文件</w:t>
      </w:r>
      <w:r>
        <w:rPr>
          <w:rFonts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联系方式：0777-2886022</w:t>
      </w:r>
    </w:p>
    <w:p>
      <w:pPr>
        <w:spacing w:line="400" w:lineRule="exact"/>
        <w:ind w:firstLine="420"/>
        <w:jc w:val="left"/>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综合二部(评审、磋商、成交及合同管理)</w:t>
      </w:r>
    </w:p>
    <w:p>
      <w:pPr>
        <w:spacing w:line="400" w:lineRule="exact"/>
        <w:ind w:firstLine="420"/>
        <w:jc w:val="left"/>
        <w:rPr>
          <w:rFonts w:hint="eastAsia"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联系方式：0777-2886006</w:t>
      </w:r>
      <w:bookmarkEnd w:id="36"/>
    </w:p>
    <w:bookmarkEnd w:id="37"/>
    <w:p>
      <w:pPr>
        <w:spacing w:line="400" w:lineRule="exact"/>
        <w:rPr>
          <w:b/>
          <w:color w:val="auto"/>
          <w:highlight w:val="none"/>
        </w:rPr>
      </w:pPr>
      <w:r>
        <w:rPr>
          <w:rFonts w:hint="eastAsia"/>
          <w:b/>
          <w:color w:val="auto"/>
          <w:highlight w:val="none"/>
        </w:rPr>
        <w:t>八、对本次采购项目提出询问，请按</w:t>
      </w:r>
      <w:r>
        <w:rPr>
          <w:b/>
          <w:color w:val="auto"/>
          <w:highlight w:val="none"/>
        </w:rPr>
        <w:t>以下方式</w:t>
      </w:r>
      <w:r>
        <w:rPr>
          <w:rFonts w:hint="eastAsia"/>
          <w:b/>
          <w:color w:val="auto"/>
          <w:highlight w:val="none"/>
        </w:rPr>
        <w:t>联系</w:t>
      </w:r>
      <w:bookmarkEnd w:id="29"/>
      <w:bookmarkEnd w:id="30"/>
      <w:bookmarkEnd w:id="31"/>
      <w:bookmarkEnd w:id="32"/>
    </w:p>
    <w:p>
      <w:pPr>
        <w:spacing w:line="400" w:lineRule="exact"/>
        <w:ind w:firstLine="420" w:firstLineChars="200"/>
        <w:rPr>
          <w:color w:val="auto"/>
          <w:highlight w:val="none"/>
        </w:rPr>
      </w:pPr>
      <w:r>
        <w:rPr>
          <w:rFonts w:hint="eastAsia"/>
          <w:color w:val="auto"/>
          <w:highlight w:val="none"/>
        </w:rPr>
        <w:t>1.采购人信息</w:t>
      </w:r>
      <w:bookmarkEnd w:id="9"/>
    </w:p>
    <w:p>
      <w:pPr>
        <w:spacing w:line="400" w:lineRule="exact"/>
        <w:ind w:firstLine="420" w:firstLineChars="200"/>
        <w:rPr>
          <w:color w:val="auto"/>
          <w:highlight w:val="none"/>
        </w:rPr>
      </w:pPr>
      <w:r>
        <w:rPr>
          <w:rFonts w:hint="eastAsia"/>
          <w:color w:val="auto"/>
          <w:highlight w:val="none"/>
        </w:rPr>
        <w:t>名称：钦州市大数据发展局</w:t>
      </w:r>
    </w:p>
    <w:p>
      <w:pPr>
        <w:spacing w:line="400" w:lineRule="exact"/>
        <w:ind w:firstLine="420" w:firstLineChars="200"/>
        <w:rPr>
          <w:rFonts w:hint="default" w:eastAsia="宋体"/>
          <w:color w:val="auto"/>
          <w:highlight w:val="none"/>
          <w:lang w:val="en-US" w:eastAsia="zh-CN"/>
        </w:rPr>
      </w:pPr>
      <w:bookmarkStart w:id="38" w:name="_Toc38370147"/>
      <w:r>
        <w:rPr>
          <w:rFonts w:hint="eastAsia"/>
          <w:color w:val="auto"/>
          <w:highlight w:val="none"/>
        </w:rPr>
        <w:t>地址：</w:t>
      </w:r>
      <w:r>
        <w:rPr>
          <w:rFonts w:hint="eastAsia"/>
          <w:color w:val="auto"/>
          <w:highlight w:val="none"/>
          <w:lang w:eastAsia="zh-CN"/>
        </w:rPr>
        <w:t>钦州市</w:t>
      </w:r>
      <w:r>
        <w:rPr>
          <w:rFonts w:hint="eastAsia"/>
          <w:color w:val="auto"/>
          <w:highlight w:val="none"/>
        </w:rPr>
        <w:t>坭兴街</w:t>
      </w:r>
      <w:r>
        <w:rPr>
          <w:rFonts w:hint="eastAsia"/>
          <w:color w:val="auto"/>
          <w:highlight w:val="none"/>
          <w:lang w:val="en-US" w:eastAsia="zh-CN"/>
        </w:rPr>
        <w:t>666号</w:t>
      </w:r>
    </w:p>
    <w:p>
      <w:pPr>
        <w:spacing w:line="400" w:lineRule="exact"/>
        <w:ind w:firstLine="420" w:firstLineChars="200"/>
        <w:rPr>
          <w:color w:val="auto"/>
          <w:highlight w:val="none"/>
        </w:rPr>
      </w:pPr>
      <w:r>
        <w:rPr>
          <w:rFonts w:hint="eastAsia"/>
          <w:color w:val="auto"/>
          <w:highlight w:val="none"/>
        </w:rPr>
        <w:t>项目联系人：陈伟良</w:t>
      </w:r>
    </w:p>
    <w:p>
      <w:pPr>
        <w:spacing w:line="400" w:lineRule="exact"/>
        <w:ind w:firstLine="420" w:firstLineChars="200"/>
        <w:rPr>
          <w:rFonts w:hint="default" w:eastAsia="宋体"/>
          <w:color w:val="auto"/>
          <w:highlight w:val="none"/>
          <w:lang w:val="en-US" w:eastAsia="zh-CN"/>
        </w:rPr>
      </w:pPr>
      <w:r>
        <w:rPr>
          <w:rFonts w:hint="eastAsia"/>
          <w:color w:val="auto"/>
          <w:highlight w:val="none"/>
        </w:rPr>
        <w:t>联系方式：</w:t>
      </w:r>
      <w:r>
        <w:rPr>
          <w:rFonts w:hint="eastAsia"/>
          <w:color w:val="auto"/>
          <w:highlight w:val="none"/>
          <w:lang w:val="en-US" w:eastAsia="zh-CN"/>
        </w:rPr>
        <w:t>0777-3689080</w:t>
      </w:r>
    </w:p>
    <w:bookmarkEnd w:id="38"/>
    <w:p>
      <w:pPr>
        <w:spacing w:line="400" w:lineRule="exact"/>
        <w:ind w:firstLine="420" w:firstLineChars="200"/>
        <w:rPr>
          <w:color w:val="auto"/>
          <w:highlight w:val="none"/>
        </w:rPr>
      </w:pPr>
      <w:r>
        <w:rPr>
          <w:rFonts w:hint="eastAsia"/>
          <w:color w:val="auto"/>
          <w:highlight w:val="none"/>
        </w:rPr>
        <w:t>2.采购代理机构信息</w:t>
      </w:r>
    </w:p>
    <w:p>
      <w:pPr>
        <w:spacing w:line="400" w:lineRule="exact"/>
        <w:ind w:firstLine="420" w:firstLineChars="200"/>
        <w:rPr>
          <w:color w:val="auto"/>
          <w:highlight w:val="none"/>
        </w:rPr>
      </w:pPr>
      <w:r>
        <w:rPr>
          <w:rFonts w:hint="eastAsia"/>
          <w:color w:val="auto"/>
          <w:highlight w:val="none"/>
        </w:rPr>
        <w:t>名称：钦州市政府采购中心</w:t>
      </w:r>
    </w:p>
    <w:p>
      <w:pPr>
        <w:spacing w:line="400" w:lineRule="exact"/>
        <w:ind w:firstLine="420" w:firstLineChars="200"/>
        <w:rPr>
          <w:color w:val="auto"/>
          <w:highlight w:val="none"/>
        </w:rPr>
      </w:pPr>
      <w:r>
        <w:rPr>
          <w:rFonts w:hint="eastAsia"/>
          <w:color w:val="auto"/>
          <w:highlight w:val="none"/>
        </w:rPr>
        <w:t>地址：钦州市金海湾东大街8号</w:t>
      </w:r>
    </w:p>
    <w:p>
      <w:pPr>
        <w:spacing w:line="400" w:lineRule="exact"/>
        <w:ind w:firstLine="420" w:firstLineChars="200"/>
        <w:rPr>
          <w:rFonts w:hint="eastAsia" w:eastAsia="宋体"/>
          <w:color w:val="auto"/>
          <w:highlight w:val="none"/>
          <w:lang w:val="en-US" w:eastAsia="zh-CN"/>
        </w:rPr>
      </w:pPr>
      <w:r>
        <w:rPr>
          <w:rFonts w:hint="eastAsia"/>
          <w:color w:val="auto"/>
          <w:highlight w:val="none"/>
        </w:rPr>
        <w:t>项目联系人：</w:t>
      </w:r>
      <w:r>
        <w:rPr>
          <w:rFonts w:hint="eastAsia"/>
          <w:color w:val="auto"/>
          <w:highlight w:val="none"/>
          <w:lang w:val="en-US" w:eastAsia="zh-CN"/>
        </w:rPr>
        <w:t>黄忠秀</w:t>
      </w:r>
    </w:p>
    <w:p>
      <w:pPr>
        <w:spacing w:line="400" w:lineRule="exact"/>
        <w:ind w:firstLine="420" w:firstLineChars="200"/>
        <w:rPr>
          <w:color w:val="auto"/>
          <w:highlight w:val="none"/>
        </w:rPr>
      </w:pPr>
      <w:r>
        <w:rPr>
          <w:rFonts w:hint="eastAsia"/>
          <w:color w:val="auto"/>
          <w:highlight w:val="none"/>
        </w:rPr>
        <w:t>项目联系方式：</w:t>
      </w:r>
      <w:bookmarkStart w:id="39" w:name="_Toc28359087"/>
      <w:bookmarkStart w:id="40" w:name="_Toc28359010"/>
      <w:r>
        <w:rPr>
          <w:rFonts w:hint="eastAsia" w:hAnsi="宋体"/>
          <w:color w:val="auto"/>
          <w:highlight w:val="none"/>
        </w:rPr>
        <w:t>0777-2886022</w:t>
      </w:r>
    </w:p>
    <w:p>
      <w:pPr>
        <w:widowControl/>
        <w:jc w:val="left"/>
        <w:rPr>
          <w:color w:val="auto"/>
          <w:highlight w:val="none"/>
        </w:rPr>
      </w:pPr>
      <w:r>
        <w:rPr>
          <w:color w:val="auto"/>
          <w:highlight w:val="none"/>
        </w:rPr>
        <w:br w:type="page"/>
      </w:r>
    </w:p>
    <w:p>
      <w:pPr>
        <w:rPr>
          <w:color w:val="auto"/>
          <w:highlight w:val="none"/>
        </w:rPr>
      </w:pPr>
    </w:p>
    <w:bookmarkEnd w:id="39"/>
    <w:bookmarkEnd w:id="40"/>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宋体" w:eastAsia="方正小标宋_GBK"/>
          <w:color w:val="auto"/>
          <w:highlight w:val="none"/>
        </w:rPr>
      </w:pPr>
      <w:bookmarkStart w:id="41" w:name="_Toc92355024"/>
      <w:r>
        <w:rPr>
          <w:rFonts w:hint="eastAsia" w:ascii="方正小标宋_GBK" w:hAnsi="宋体" w:eastAsia="方正小标宋_GBK"/>
          <w:color w:val="auto"/>
          <w:highlight w:val="none"/>
        </w:rPr>
        <w:t>第二章  项目需求</w:t>
      </w:r>
      <w:bookmarkEnd w:id="41"/>
    </w:p>
    <w:p>
      <w:pPr>
        <w:spacing w:line="440" w:lineRule="exact"/>
        <w:jc w:val="center"/>
        <w:rPr>
          <w:rFonts w:hint="eastAsia" w:ascii="宋体" w:hAnsi="宋体"/>
          <w:b/>
          <w:color w:val="auto"/>
          <w:sz w:val="36"/>
          <w:szCs w:val="36"/>
          <w:highlight w:val="none"/>
        </w:rPr>
      </w:pPr>
      <w:r>
        <w:rPr>
          <w:rFonts w:ascii="宋体" w:hAnsi="宋体"/>
          <w:b/>
          <w:color w:val="auto"/>
          <w:szCs w:val="21"/>
          <w:highlight w:val="none"/>
        </w:rPr>
        <w:br w:type="page"/>
      </w:r>
      <w:r>
        <w:rPr>
          <w:rFonts w:hint="eastAsia" w:ascii="宋体" w:hAnsi="宋体"/>
          <w:b/>
          <w:color w:val="auto"/>
          <w:sz w:val="36"/>
          <w:szCs w:val="36"/>
          <w:highlight w:val="none"/>
        </w:rPr>
        <w:t>项目需求</w:t>
      </w:r>
    </w:p>
    <w:p>
      <w:pPr>
        <w:spacing w:line="396" w:lineRule="exact"/>
        <w:rPr>
          <w:rFonts w:hint="eastAsia" w:ascii="宋体" w:hAnsi="宋体"/>
          <w:b/>
          <w:color w:val="auto"/>
          <w:szCs w:val="21"/>
          <w:highlight w:val="none"/>
        </w:rPr>
      </w:pPr>
    </w:p>
    <w:p>
      <w:pPr>
        <w:numPr>
          <w:ilvl w:val="0"/>
          <w:numId w:val="2"/>
        </w:numPr>
        <w:spacing w:line="460" w:lineRule="exact"/>
        <w:rPr>
          <w:rFonts w:hint="eastAsia" w:ascii="宋体" w:hAnsi="宋体"/>
          <w:color w:val="auto"/>
          <w:szCs w:val="21"/>
          <w:highlight w:val="none"/>
          <w:lang w:eastAsia="zh-CN"/>
        </w:rPr>
      </w:pPr>
      <w:bookmarkStart w:id="42" w:name="_Hlk89960406"/>
      <w:bookmarkStart w:id="43" w:name="_Toc354479498"/>
      <w:bookmarkStart w:id="44" w:name="_Toc358477280"/>
      <w:r>
        <w:rPr>
          <w:rFonts w:hint="eastAsia" w:ascii="宋体" w:hAnsi="宋体"/>
          <w:color w:val="auto"/>
          <w:szCs w:val="21"/>
          <w:highlight w:val="none"/>
        </w:rPr>
        <w:t>采购预算：</w:t>
      </w:r>
      <w:r>
        <w:rPr>
          <w:rFonts w:hint="eastAsia" w:ascii="宋体" w:hAnsi="宋体"/>
          <w:color w:val="auto"/>
          <w:szCs w:val="21"/>
          <w:highlight w:val="none"/>
          <w:lang w:eastAsia="zh-CN"/>
        </w:rPr>
        <w:t>壹佰叁拾伍万贰仟伍佰贰拾元整（</w:t>
      </w:r>
      <w:r>
        <w:rPr>
          <w:rFonts w:hint="eastAsia" w:ascii="宋体" w:hAnsi="宋体"/>
          <w:color w:val="auto"/>
          <w:szCs w:val="21"/>
          <w:highlight w:val="none"/>
        </w:rPr>
        <w:t>￥</w:t>
      </w:r>
      <w:r>
        <w:rPr>
          <w:rFonts w:hint="default" w:ascii="Times New Roman" w:hAnsi="Times New Roman" w:eastAsia="仿宋_GB2312" w:cs="Times New Roman"/>
          <w:color w:val="auto"/>
          <w:sz w:val="32"/>
          <w:szCs w:val="32"/>
          <w:highlight w:val="none"/>
          <w:lang w:val="en-US" w:eastAsia="zh-CN"/>
        </w:rPr>
        <w:t>135</w:t>
      </w:r>
      <w:r>
        <w:rPr>
          <w:rFonts w:hint="eastAsia" w:ascii="Times New Roman" w:hAnsi="Times New Roman" w:eastAsia="仿宋_GB2312" w:cs="Times New Roman"/>
          <w:color w:val="auto"/>
          <w:sz w:val="32"/>
          <w:szCs w:val="32"/>
          <w:highlight w:val="none"/>
          <w:lang w:val="en-US" w:eastAsia="zh-CN"/>
        </w:rPr>
        <w:t>2520.00）</w:t>
      </w:r>
    </w:p>
    <w:p>
      <w:pPr>
        <w:spacing w:line="460" w:lineRule="exact"/>
        <w:rPr>
          <w:rFonts w:ascii="宋体" w:hAnsi="宋体"/>
          <w:color w:val="auto"/>
          <w:szCs w:val="21"/>
          <w:highlight w:val="none"/>
        </w:rPr>
      </w:pPr>
      <w:r>
        <w:rPr>
          <w:rFonts w:hint="eastAsia" w:ascii="宋体" w:hAnsi="宋体"/>
          <w:color w:val="auto"/>
          <w:szCs w:val="21"/>
          <w:highlight w:val="none"/>
        </w:rPr>
        <w:t>二、本项目对应的中小企业划分标准所属行业为：线路租赁服务：信息传输业</w:t>
      </w:r>
    </w:p>
    <w:p>
      <w:pPr>
        <w:spacing w:line="460" w:lineRule="exact"/>
        <w:rPr>
          <w:rFonts w:ascii="宋体" w:hAnsi="宋体"/>
          <w:color w:val="auto"/>
          <w:szCs w:val="21"/>
          <w:highlight w:val="none"/>
          <w:u w:val="single"/>
        </w:rPr>
      </w:pPr>
      <w:r>
        <w:rPr>
          <w:rFonts w:hint="eastAsia" w:ascii="宋体" w:hAnsi="宋体"/>
          <w:color w:val="auto"/>
          <w:szCs w:val="21"/>
          <w:highlight w:val="none"/>
        </w:rPr>
        <w:t>三、磋商文件中可能实质性变动的内容：</w:t>
      </w:r>
      <w:r>
        <w:rPr>
          <w:rFonts w:hint="eastAsia" w:ascii="宋体" w:hAnsi="宋体" w:cs="宋体"/>
          <w:color w:val="auto"/>
          <w:kern w:val="0"/>
          <w:szCs w:val="21"/>
          <w:highlight w:val="none"/>
          <w:u w:val="single"/>
        </w:rPr>
        <w:t>采购需求的技术、服务要求以及合同草案条款</w:t>
      </w:r>
    </w:p>
    <w:p>
      <w:pPr>
        <w:spacing w:line="460" w:lineRule="exact"/>
        <w:rPr>
          <w:rFonts w:ascii="宋体" w:hAnsi="宋体"/>
          <w:color w:val="auto"/>
          <w:szCs w:val="21"/>
          <w:highlight w:val="none"/>
        </w:rPr>
      </w:pPr>
      <w:r>
        <w:rPr>
          <w:rFonts w:hint="eastAsia" w:ascii="宋体" w:hAnsi="宋体"/>
          <w:color w:val="auto"/>
          <w:szCs w:val="21"/>
          <w:highlight w:val="none"/>
        </w:rPr>
        <w:t>四、项目需求：</w:t>
      </w:r>
      <w:bookmarkEnd w:id="42"/>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1.本表中的品牌型号、技术参数及其性能（配置）仅起参考作用，供应商可选用其他品牌型号替代，但这些替代的品牌型号要实质上相当于或优于参考品牌型号及其技术参数性能（配置）要求。</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3.本项目不接受供应商提供通过中国海关报关验放进入中国境内且产自关境外的产品。</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标注★号的技术参数为实质性响应条款，要求必须满足或优于，否则视为无效响应文件。</w:t>
      </w:r>
    </w:p>
    <w:p>
      <w:pPr>
        <w:spacing w:line="460" w:lineRule="exact"/>
        <w:ind w:firstLine="420" w:firstLineChars="200"/>
        <w:rPr>
          <w:rFonts w:hint="eastAsia" w:ascii="宋体" w:hAnsi="宋体"/>
          <w:color w:val="auto"/>
          <w:szCs w:val="21"/>
          <w:highlight w:val="none"/>
        </w:rPr>
      </w:pPr>
    </w:p>
    <w:p>
      <w:pPr>
        <w:widowControl/>
        <w:spacing w:line="460" w:lineRule="exact"/>
        <w:jc w:val="left"/>
        <w:rPr>
          <w:rFonts w:ascii="宋体" w:hAnsi="宋体"/>
          <w:b/>
          <w:color w:val="auto"/>
          <w:szCs w:val="21"/>
          <w:highlight w:val="none"/>
        </w:rPr>
      </w:pPr>
    </w:p>
    <w:p>
      <w:pPr>
        <w:ind w:firstLine="482"/>
        <w:rPr>
          <w:rFonts w:hint="eastAsia" w:eastAsia="宋体"/>
          <w:b/>
          <w:color w:val="auto"/>
          <w:sz w:val="24"/>
          <w:highlight w:val="none"/>
          <w:lang w:eastAsia="zh-CN"/>
        </w:rPr>
      </w:pPr>
      <w:r>
        <w:rPr>
          <w:color w:val="auto"/>
          <w:highlight w:val="none"/>
        </w:rPr>
        <w:br w:type="page"/>
      </w:r>
    </w:p>
    <w:tbl>
      <w:tblPr>
        <w:tblStyle w:val="36"/>
        <w:tblW w:w="9954" w:type="dxa"/>
        <w:tblInd w:w="-689" w:type="dxa"/>
        <w:tblLayout w:type="fixed"/>
        <w:tblCellMar>
          <w:top w:w="0" w:type="dxa"/>
          <w:left w:w="108" w:type="dxa"/>
          <w:bottom w:w="0" w:type="dxa"/>
          <w:right w:w="108" w:type="dxa"/>
        </w:tblCellMar>
      </w:tblPr>
      <w:tblGrid>
        <w:gridCol w:w="705"/>
        <w:gridCol w:w="1686"/>
        <w:gridCol w:w="725"/>
        <w:gridCol w:w="722"/>
        <w:gridCol w:w="5166"/>
        <w:gridCol w:w="950"/>
      </w:tblGrid>
      <w:tr>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68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服务名称</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51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服务技术参数及功能要求</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CellMar>
            <w:top w:w="0" w:type="dxa"/>
            <w:left w:w="108" w:type="dxa"/>
            <w:bottom w:w="0" w:type="dxa"/>
            <w:right w:w="108" w:type="dxa"/>
          </w:tblCellMar>
        </w:tblPrEx>
        <w:trPr>
          <w:trHeight w:val="528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10M</w:t>
            </w:r>
            <w:r>
              <w:rPr>
                <w:rFonts w:hint="eastAsia" w:ascii="宋体" w:hAnsi="宋体" w:cs="宋体"/>
                <w:color w:val="auto"/>
                <w:kern w:val="0"/>
                <w:szCs w:val="21"/>
                <w:highlight w:val="none"/>
              </w:rPr>
              <w:t>城域网专线电路租赁</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条</w:t>
            </w:r>
          </w:p>
        </w:tc>
        <w:tc>
          <w:tcPr>
            <w:tcW w:w="516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.服务期：3年；</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2.速率：上、下行不低于10Mbps；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3.线路连接方式：IPRAN点对点光纤专线线路或更先进的专用专线；</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4.线路技术指标：</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（1）线路可用率≥99.50%;</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（2）系统端到端的时延上限400ms，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其中网络时延不超过50ms；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（3）网络丢包率上限值为 1×10</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（4）包误差率上限值为 1×10</w:t>
            </w:r>
            <w:r>
              <w:rPr>
                <w:rFonts w:hint="eastAsia" w:ascii="宋体" w:hAnsi="宋体" w:cs="宋体"/>
                <w:color w:val="auto"/>
                <w:kern w:val="0"/>
                <w:szCs w:val="21"/>
                <w:highlight w:val="none"/>
                <w:vertAlign w:val="superscript"/>
              </w:rPr>
              <w:t>-4</w:t>
            </w:r>
            <w:r>
              <w:rPr>
                <w:rFonts w:hint="eastAsia" w:ascii="宋体" w:hAnsi="宋体" w:cs="宋体"/>
                <w:color w:val="auto"/>
                <w:kern w:val="0"/>
                <w:szCs w:val="21"/>
                <w:highlight w:val="none"/>
              </w:rPr>
              <w:t>；</w:t>
            </w:r>
          </w:p>
          <w:p>
            <w:pPr>
              <w:widowControl/>
              <w:ind w:firstLine="0" w:firstLineChars="0"/>
              <w:jc w:val="left"/>
              <w:textAlignment w:val="baseline"/>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5.具备自愈保护功能接入段节点业务恢复时间小于50ms。</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hint="eastAsia"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40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210" w:firstLineChars="100"/>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rPr>
              <w:t>100M城域网专线电路租赁</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210" w:firstLineChars="100"/>
              <w:jc w:val="both"/>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67</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w:t>
            </w:r>
          </w:p>
        </w:tc>
        <w:tc>
          <w:tcPr>
            <w:tcW w:w="5166" w:type="dxa"/>
            <w:tcBorders>
              <w:top w:val="single" w:color="000000" w:sz="4" w:space="0"/>
              <w:left w:val="single" w:color="000000" w:sz="4" w:space="0"/>
              <w:bottom w:val="single" w:color="000000" w:sz="4" w:space="0"/>
              <w:right w:val="single" w:color="000000" w:sz="4" w:space="0"/>
            </w:tcBorders>
            <w:noWrap/>
            <w:vAlign w:val="bottom"/>
          </w:tcPr>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1.服务期：3年；</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2.速率：上、下行不低于100Mbps；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3.线路连接方式：IPRAN点对点光纤专线线路或更先进的专用专线；</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4.线路技术指标：</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（1）线路可用率≥99.50%;</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（2）系统端到端的时延上限400ms，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其中网络时延不超过50ms；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（3）网络丢包率上限值为 1×10</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（4）包误差率上限值为 1×10</w:t>
            </w:r>
            <w:r>
              <w:rPr>
                <w:rFonts w:hint="eastAsia" w:ascii="宋体" w:hAnsi="宋体" w:cs="宋体"/>
                <w:color w:val="auto"/>
                <w:kern w:val="0"/>
                <w:szCs w:val="21"/>
                <w:highlight w:val="none"/>
                <w:vertAlign w:val="superscript"/>
              </w:rPr>
              <w:t>-4</w:t>
            </w:r>
            <w:r>
              <w:rPr>
                <w:rFonts w:hint="eastAsia" w:ascii="宋体" w:hAnsi="宋体" w:cs="宋体"/>
                <w:color w:val="auto"/>
                <w:kern w:val="0"/>
                <w:szCs w:val="21"/>
                <w:highlight w:val="none"/>
              </w:rPr>
              <w:t>；</w:t>
            </w:r>
          </w:p>
          <w:p>
            <w:pPr>
              <w:widowControl/>
              <w:ind w:firstLine="0" w:firstLineChars="0"/>
              <w:jc w:val="left"/>
              <w:textAlignment w:val="baseline"/>
              <w:rPr>
                <w:rFonts w:ascii="宋体" w:hAnsi="宋体" w:cs="宋体"/>
                <w:color w:val="auto"/>
                <w:szCs w:val="21"/>
                <w:highlight w:val="none"/>
              </w:rPr>
            </w:pPr>
            <w:r>
              <w:rPr>
                <w:rFonts w:hint="eastAsia" w:ascii="宋体" w:hAnsi="宋体" w:cs="宋体"/>
                <w:color w:val="auto"/>
                <w:kern w:val="0"/>
                <w:szCs w:val="21"/>
                <w:highlight w:val="none"/>
              </w:rPr>
              <w:t>5.具备自愈保护功能接入段节点业务恢复时间小于50ms。</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210" w:firstLineChars="100"/>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3</w:t>
            </w:r>
          </w:p>
        </w:tc>
        <w:tc>
          <w:tcPr>
            <w:tcW w:w="168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rPr>
              <w:t>200M城域网专线电路租赁</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9</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5166" w:type="dxa"/>
            <w:tcBorders>
              <w:top w:val="single" w:color="000000" w:sz="4" w:space="0"/>
              <w:left w:val="single" w:color="000000" w:sz="4" w:space="0"/>
              <w:bottom w:val="single" w:color="000000" w:sz="4" w:space="0"/>
              <w:right w:val="single" w:color="000000" w:sz="4" w:space="0"/>
            </w:tcBorders>
            <w:noWrap/>
            <w:vAlign w:val="bottom"/>
          </w:tcPr>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1.服务期：3年；</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2.速率：上、下行不低于200Mbps；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3.线路连接方式：IPRAN点对点光纤专线线路或更先进的专用专线；</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4.线路技术指标：</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（1）线路可用率≥99.50%;</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（2）系统端到端的时延上限400ms，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其中网络时延不超过50ms；</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（3）网络丢包率上限值为 1×10</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w:t>
            </w:r>
          </w:p>
          <w:p>
            <w:pPr>
              <w:widowControl/>
              <w:ind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（4）包误差率上限值为 1×10</w:t>
            </w:r>
            <w:r>
              <w:rPr>
                <w:rFonts w:hint="eastAsia" w:ascii="宋体" w:hAnsi="宋体" w:cs="宋体"/>
                <w:color w:val="auto"/>
                <w:kern w:val="0"/>
                <w:szCs w:val="21"/>
                <w:highlight w:val="none"/>
                <w:vertAlign w:val="superscript"/>
              </w:rPr>
              <w:t>-4</w:t>
            </w:r>
            <w:r>
              <w:rPr>
                <w:rFonts w:hint="eastAsia" w:ascii="宋体" w:hAnsi="宋体" w:cs="宋体"/>
                <w:color w:val="auto"/>
                <w:kern w:val="0"/>
                <w:szCs w:val="21"/>
                <w:highlight w:val="none"/>
              </w:rPr>
              <w:t>；</w:t>
            </w:r>
          </w:p>
          <w:p>
            <w:pPr>
              <w:widowControl/>
              <w:ind w:firstLine="0" w:firstLineChars="0"/>
              <w:jc w:val="left"/>
              <w:textAlignment w:val="baseline"/>
              <w:rPr>
                <w:rFonts w:ascii="宋体" w:hAnsi="宋体" w:cs="宋体"/>
                <w:color w:val="auto"/>
                <w:szCs w:val="21"/>
                <w:highlight w:val="none"/>
              </w:rPr>
            </w:pPr>
            <w:r>
              <w:rPr>
                <w:rFonts w:hint="eastAsia" w:ascii="宋体" w:hAnsi="宋体" w:cs="宋体"/>
                <w:color w:val="auto"/>
                <w:kern w:val="0"/>
                <w:szCs w:val="21"/>
                <w:highlight w:val="none"/>
              </w:rPr>
              <w:t>5.具备自愈保护功能接入段节点业务恢复时间小于50ms。</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210" w:firstLineChars="100"/>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w:t>
            </w:r>
          </w:p>
        </w:tc>
        <w:tc>
          <w:tcPr>
            <w:tcW w:w="168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设备运维</w:t>
            </w:r>
            <w:r>
              <w:rPr>
                <w:rFonts w:hint="eastAsia" w:ascii="宋体" w:hAnsi="宋体" w:cs="宋体"/>
                <w:color w:val="auto"/>
                <w:kern w:val="0"/>
                <w:szCs w:val="21"/>
                <w:highlight w:val="none"/>
                <w:lang w:val="en-US" w:eastAsia="zh-CN"/>
              </w:rPr>
              <w:t>服务</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baseline"/>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0" w:firstLineChars="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项</w:t>
            </w:r>
          </w:p>
        </w:tc>
        <w:tc>
          <w:tcPr>
            <w:tcW w:w="516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textAlignment w:val="baseline"/>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提供</w:t>
            </w:r>
            <w:r>
              <w:rPr>
                <w:rFonts w:hint="eastAsia" w:ascii="宋体" w:hAnsi="宋体" w:cs="宋体"/>
                <w:color w:val="auto"/>
                <w:kern w:val="0"/>
                <w:szCs w:val="21"/>
                <w:highlight w:val="none"/>
              </w:rPr>
              <w:t>对现有96台末端锐捷RSR30-X接入路由器（防火墙）、核心机房2台华为S9306汇聚交换机、核心机房2台锐捷RG-EG2000XE安全网关等设备</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运维服务</w:t>
            </w:r>
            <w:r>
              <w:rPr>
                <w:rFonts w:hint="eastAsia" w:ascii="宋体" w:hAnsi="宋体" w:cs="宋体"/>
                <w:color w:val="auto"/>
                <w:kern w:val="0"/>
                <w:szCs w:val="21"/>
                <w:highlight w:val="none"/>
                <w:lang w:eastAsia="zh-CN"/>
              </w:rPr>
              <w:t>。</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12" w:hRule="atLeast"/>
        </w:trPr>
        <w:tc>
          <w:tcPr>
            <w:tcW w:w="9954"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宋体"/>
                <w:color w:val="auto"/>
                <w:szCs w:val="21"/>
                <w:highlight w:val="none"/>
              </w:rPr>
            </w:pPr>
            <w:r>
              <w:rPr>
                <w:rFonts w:hint="eastAsia" w:ascii="宋体" w:hAnsi="宋体" w:cs="宋体"/>
                <w:b/>
                <w:color w:val="auto"/>
                <w:kern w:val="0"/>
                <w:szCs w:val="21"/>
                <w:highlight w:val="none"/>
                <w:lang w:bidi="ar"/>
              </w:rPr>
              <w:t>商务条款</w:t>
            </w:r>
          </w:p>
        </w:tc>
      </w:tr>
      <w:tr>
        <w:tblPrEx>
          <w:tblCellMar>
            <w:top w:w="0" w:type="dxa"/>
            <w:left w:w="108" w:type="dxa"/>
            <w:bottom w:w="0" w:type="dxa"/>
            <w:right w:w="108" w:type="dxa"/>
          </w:tblCellMar>
        </w:tblPrEx>
        <w:trPr>
          <w:trHeight w:val="562"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firstLine="0" w:firstLineChars="0"/>
              <w:rPr>
                <w:rFonts w:ascii="宋体" w:hAnsi="宋体" w:cs="微软雅黑"/>
                <w:b/>
                <w:color w:val="auto"/>
                <w:kern w:val="0"/>
                <w:szCs w:val="21"/>
                <w:highlight w:val="none"/>
              </w:rPr>
            </w:pPr>
            <w:r>
              <w:rPr>
                <w:rFonts w:hint="eastAsia" w:ascii="宋体" w:hAnsi="宋体" w:cs="微软雅黑"/>
                <w:b/>
                <w:color w:val="auto"/>
                <w:kern w:val="0"/>
                <w:szCs w:val="21"/>
                <w:highlight w:val="none"/>
              </w:rPr>
              <w:t>项号</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b/>
                <w:color w:val="auto"/>
                <w:kern w:val="0"/>
                <w:szCs w:val="21"/>
                <w:highlight w:val="none"/>
              </w:rPr>
            </w:pPr>
            <w:r>
              <w:rPr>
                <w:rFonts w:hint="eastAsia" w:ascii="宋体" w:hAnsi="宋体" w:cs="微软雅黑"/>
                <w:b/>
                <w:color w:val="auto"/>
                <w:kern w:val="0"/>
                <w:szCs w:val="21"/>
                <w:highlight w:val="none"/>
              </w:rPr>
              <w:t>商务内容</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b/>
                <w:color w:val="auto"/>
                <w:kern w:val="0"/>
                <w:szCs w:val="21"/>
                <w:highlight w:val="none"/>
              </w:rPr>
            </w:pPr>
            <w:r>
              <w:rPr>
                <w:rFonts w:hint="eastAsia" w:ascii="宋体" w:hAnsi="宋体" w:cs="微软雅黑"/>
                <w:b/>
                <w:color w:val="auto"/>
                <w:kern w:val="0"/>
                <w:szCs w:val="21"/>
                <w:highlight w:val="none"/>
              </w:rPr>
              <w:t>商务需求</w:t>
            </w:r>
          </w:p>
        </w:tc>
      </w:tr>
      <w:tr>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firstLine="0" w:firstLineChars="0"/>
              <w:jc w:val="center"/>
              <w:rPr>
                <w:rFonts w:ascii="宋体" w:hAnsi="宋体" w:cs="微软雅黑"/>
                <w:b/>
                <w:color w:val="auto"/>
                <w:kern w:val="0"/>
                <w:szCs w:val="21"/>
                <w:highlight w:val="none"/>
              </w:rPr>
            </w:pPr>
            <w:r>
              <w:rPr>
                <w:rFonts w:hint="eastAsia" w:ascii="宋体" w:hAnsi="宋体" w:cs="微软雅黑"/>
                <w:b/>
                <w:color w:val="auto"/>
                <w:kern w:val="0"/>
                <w:szCs w:val="21"/>
                <w:highlight w:val="none"/>
              </w:rPr>
              <w:t>1</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1" w:firstLineChars="100"/>
              <w:jc w:val="center"/>
              <w:rPr>
                <w:rFonts w:ascii="宋体" w:hAnsi="宋体" w:cs="微软雅黑"/>
                <w:b/>
                <w:color w:val="auto"/>
                <w:szCs w:val="21"/>
                <w:highlight w:val="none"/>
              </w:rPr>
            </w:pPr>
            <w:r>
              <w:rPr>
                <w:rFonts w:hint="eastAsia" w:ascii="宋体" w:hAnsi="宋体" w:cs="微软雅黑"/>
                <w:b/>
                <w:color w:val="auto"/>
                <w:szCs w:val="21"/>
                <w:highlight w:val="none"/>
              </w:rPr>
              <w:t>投标要求及须知</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numPr>
                <w:ilvl w:val="0"/>
                <w:numId w:val="3"/>
              </w:numPr>
              <w:spacing w:line="360" w:lineRule="exact"/>
              <w:ind w:firstLine="0" w:firstLineChars="0"/>
              <w:rPr>
                <w:rFonts w:ascii="宋体" w:hAnsi="宋体" w:cs="微软雅黑"/>
                <w:color w:val="auto"/>
                <w:szCs w:val="21"/>
                <w:highlight w:val="none"/>
              </w:rPr>
            </w:pPr>
            <w:r>
              <w:rPr>
                <w:rFonts w:hint="eastAsia" w:ascii="宋体" w:hAnsi="宋体" w:cs="微软雅黑"/>
                <w:color w:val="auto"/>
                <w:szCs w:val="21"/>
                <w:highlight w:val="none"/>
              </w:rPr>
              <w:t>为保证本项目实施可行性，供应商</w:t>
            </w:r>
            <w:r>
              <w:rPr>
                <w:rFonts w:hint="eastAsia" w:ascii="宋体" w:hAnsi="宋体" w:cs="微软雅黑"/>
                <w:b/>
                <w:color w:val="auto"/>
                <w:szCs w:val="21"/>
                <w:highlight w:val="none"/>
              </w:rPr>
              <w:t>必须</w:t>
            </w:r>
            <w:r>
              <w:rPr>
                <w:rFonts w:hint="eastAsia" w:ascii="宋体" w:hAnsi="宋体" w:cs="微软雅黑"/>
                <w:color w:val="auto"/>
                <w:szCs w:val="21"/>
                <w:highlight w:val="none"/>
              </w:rPr>
              <w:t>在投标文件内提供</w:t>
            </w:r>
            <w:r>
              <w:rPr>
                <w:rFonts w:hint="eastAsia" w:ascii="宋体" w:hAnsi="宋体" w:cs="微软雅黑"/>
                <w:b/>
                <w:color w:val="auto"/>
                <w:szCs w:val="21"/>
                <w:highlight w:val="none"/>
              </w:rPr>
              <w:t>技术方案</w:t>
            </w:r>
            <w:r>
              <w:rPr>
                <w:rFonts w:hint="eastAsia" w:ascii="宋体" w:hAnsi="宋体" w:cs="微软雅黑"/>
                <w:color w:val="auto"/>
                <w:szCs w:val="21"/>
                <w:highlight w:val="none"/>
              </w:rPr>
              <w:t>，内容应包含系统设计、网络架构等基本内容，否则投标无效。</w:t>
            </w:r>
          </w:p>
        </w:tc>
      </w:tr>
      <w:tr>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2</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投标报价要求</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本项目投标报价为采购人提供的所有服务的报价，报价含括：</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1.项目整体服务的价格；</w:t>
            </w:r>
            <w:r>
              <w:rPr>
                <w:rFonts w:hint="eastAsia" w:ascii="宋体" w:hAnsi="宋体" w:cs="微软雅黑"/>
                <w:color w:val="auto"/>
                <w:szCs w:val="21"/>
                <w:highlight w:val="none"/>
              </w:rPr>
              <w:t>服务期限内（3年）所提供服务的费用，以及为提供服务所包括的备件、专用工具、安装、调试、检验、技术培训等全部费用。</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2.必要的保险费用和各项税金；</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3.安装、调试、培训、技术支持、售后服务、更新升级等费用；</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4.项目验收产生的费用。</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在本项目实施过程中，投标总价不予调整，采购人不再支付中标价格以外的任何费用。</w:t>
            </w:r>
          </w:p>
        </w:tc>
      </w:tr>
      <w:tr>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3</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实施和运营维护要求</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rPr>
                <w:rFonts w:hint="eastAsia" w:ascii="宋体" w:hAnsi="宋体" w:cs="微软雅黑"/>
                <w:b/>
                <w:color w:val="auto"/>
                <w:szCs w:val="21"/>
                <w:highlight w:val="none"/>
              </w:rPr>
            </w:pPr>
            <w:r>
              <w:rPr>
                <w:rFonts w:hint="eastAsia" w:ascii="宋体" w:hAnsi="宋体" w:cs="微软雅黑"/>
                <w:color w:val="auto"/>
                <w:szCs w:val="21"/>
                <w:highlight w:val="none"/>
              </w:rPr>
              <w:t>1.本项目要求一次性安装完毕。</w:t>
            </w:r>
            <w:r>
              <w:rPr>
                <w:rFonts w:hint="eastAsia" w:ascii="宋体" w:hAnsi="宋体" w:cs="Arial"/>
                <w:bCs/>
                <w:color w:val="auto"/>
                <w:szCs w:val="21"/>
                <w:highlight w:val="none"/>
              </w:rPr>
              <w:t>拟投入本项目运维人员中</w:t>
            </w:r>
            <w:r>
              <w:rPr>
                <w:rFonts w:hint="eastAsia" w:ascii="宋体" w:hAnsi="宋体" w:cs="Arial"/>
                <w:bCs/>
                <w:color w:val="auto"/>
                <w:szCs w:val="21"/>
                <w:highlight w:val="none"/>
                <w:lang w:val="en-US" w:eastAsia="zh-CN"/>
              </w:rPr>
              <w:t>有</w:t>
            </w:r>
            <w:r>
              <w:rPr>
                <w:rFonts w:hint="eastAsia" w:ascii="宋体" w:hAnsi="宋体" w:cs="Arial"/>
                <w:bCs/>
                <w:color w:val="auto"/>
                <w:szCs w:val="21"/>
                <w:highlight w:val="none"/>
              </w:rPr>
              <w:t>职称或职业资格技术人员的</w:t>
            </w:r>
            <w:r>
              <w:rPr>
                <w:rFonts w:hint="eastAsia" w:ascii="宋体" w:hAnsi="宋体" w:cs="Arial"/>
                <w:bCs/>
                <w:color w:val="auto"/>
                <w:szCs w:val="21"/>
                <w:highlight w:val="none"/>
                <w:lang w:val="en-US" w:eastAsia="zh-CN"/>
              </w:rPr>
              <w:t>优先考虑。</w:t>
            </w:r>
            <w:r>
              <w:rPr>
                <w:rFonts w:hint="eastAsia" w:ascii="宋体" w:hAnsi="宋体" w:cs="微软雅黑"/>
                <w:b/>
                <w:color w:val="auto"/>
                <w:szCs w:val="21"/>
                <w:highlight w:val="none"/>
              </w:rPr>
              <w:t>交付保障：供应商至少要提供实施人员</w:t>
            </w:r>
            <w:r>
              <w:rPr>
                <w:rFonts w:hint="eastAsia" w:ascii="宋体" w:hAnsi="宋体" w:cs="微软雅黑"/>
                <w:b/>
                <w:color w:val="auto"/>
                <w:szCs w:val="21"/>
                <w:highlight w:val="none"/>
                <w:lang w:val="en-US" w:eastAsia="zh-CN"/>
              </w:rPr>
              <w:t>6</w:t>
            </w:r>
            <w:r>
              <w:rPr>
                <w:rFonts w:hint="eastAsia" w:ascii="宋体" w:hAnsi="宋体" w:cs="微软雅黑"/>
                <w:b/>
                <w:color w:val="auto"/>
                <w:szCs w:val="21"/>
                <w:highlight w:val="none"/>
              </w:rPr>
              <w:t>人，实施车辆</w:t>
            </w:r>
            <w:r>
              <w:rPr>
                <w:rFonts w:hint="eastAsia" w:ascii="宋体" w:hAnsi="宋体" w:cs="微软雅黑"/>
                <w:b/>
                <w:color w:val="auto"/>
                <w:szCs w:val="21"/>
                <w:highlight w:val="none"/>
                <w:lang w:val="en-US" w:eastAsia="zh-CN"/>
              </w:rPr>
              <w:t>3</w:t>
            </w:r>
            <w:r>
              <w:rPr>
                <w:rFonts w:hint="eastAsia" w:ascii="宋体" w:hAnsi="宋体" w:cs="微软雅黑"/>
                <w:b/>
                <w:color w:val="auto"/>
                <w:szCs w:val="21"/>
                <w:highlight w:val="none"/>
              </w:rPr>
              <w:t>辆。</w:t>
            </w:r>
          </w:p>
          <w:p>
            <w:pPr>
              <w:spacing w:line="360" w:lineRule="exact"/>
              <w:ind w:firstLine="0" w:firstLineChars="0"/>
              <w:rPr>
                <w:rFonts w:ascii="宋体" w:hAnsi="宋体" w:cs="微软雅黑"/>
                <w:color w:val="auto"/>
                <w:szCs w:val="21"/>
                <w:highlight w:val="none"/>
              </w:rPr>
            </w:pPr>
            <w:r>
              <w:rPr>
                <w:rFonts w:hint="eastAsia" w:ascii="宋体" w:hAnsi="宋体" w:cs="微软雅黑"/>
                <w:color w:val="auto"/>
                <w:szCs w:val="21"/>
                <w:highlight w:val="none"/>
              </w:rPr>
              <w:t>2.</w:t>
            </w:r>
            <w:r>
              <w:rPr>
                <w:rFonts w:hint="eastAsia" w:ascii="宋体" w:hAnsi="宋体" w:cs="宋体"/>
                <w:b/>
                <w:color w:val="auto"/>
                <w:highlight w:val="none"/>
              </w:rPr>
              <w:t>★</w:t>
            </w:r>
            <w:r>
              <w:rPr>
                <w:rFonts w:hint="eastAsia" w:ascii="宋体" w:hAnsi="宋体" w:cs="微软雅黑"/>
                <w:color w:val="auto"/>
                <w:szCs w:val="21"/>
                <w:highlight w:val="none"/>
              </w:rPr>
              <w:t>提供巡检维护服务，在服务期内，每2月提供1次</w:t>
            </w:r>
            <w:r>
              <w:rPr>
                <w:rFonts w:hint="eastAsia" w:ascii="宋体" w:hAnsi="宋体" w:cs="微软雅黑"/>
                <w:color w:val="auto"/>
                <w:szCs w:val="21"/>
                <w:highlight w:val="none"/>
                <w:lang w:eastAsia="zh-CN"/>
              </w:rPr>
              <w:t>巡检</w:t>
            </w:r>
            <w:r>
              <w:rPr>
                <w:rFonts w:hint="eastAsia" w:ascii="宋体" w:hAnsi="宋体" w:cs="微软雅黑"/>
                <w:color w:val="auto"/>
                <w:szCs w:val="21"/>
                <w:highlight w:val="none"/>
              </w:rPr>
              <w:t>服务，检测系统运行情况，并做好系统运行记录，每年至少提供6次巡检。提供7×24小时客服电话服务，故障响应时间小于10分钟，一小时内到达现场。按照故障程度，一般故障2小时内修复；重大故障8小时内修复；如遇特殊情况，故障修复时间最长不超过12小时。如需更换备件，备件更换时间不能超过4小时。由于不可抗力的原因（如重大自然灾害等）造成的损坏不受此时限限制。制定应急保障预案，安排专人负责核心设备和易发生故障设备的现场维护和技术保障。突发事件期间，做好重要部位的安全保障，增加巡检次数。除外，供应商应制定“不定期回访 ＋ 故障响应”的售后服务工作模式，建立日常监控制度，将通过电话、远程指导等方式实现随时处理各种故障，当发生重大故障无法解决时，供应商应在故障发生后4小时内派工程师到达现场进行解决。</w:t>
            </w:r>
          </w:p>
          <w:p>
            <w:pPr>
              <w:spacing w:line="360" w:lineRule="exact"/>
              <w:ind w:firstLine="0" w:firstLineChars="0"/>
              <w:rPr>
                <w:rFonts w:ascii="宋体" w:hAnsi="宋体" w:cs="微软雅黑"/>
                <w:color w:val="auto"/>
                <w:szCs w:val="21"/>
                <w:highlight w:val="none"/>
              </w:rPr>
            </w:pPr>
            <w:r>
              <w:rPr>
                <w:rFonts w:hint="eastAsia" w:ascii="宋体" w:hAnsi="宋体" w:cs="微软雅黑"/>
                <w:color w:val="auto"/>
                <w:szCs w:val="21"/>
                <w:highlight w:val="none"/>
              </w:rPr>
              <w:t>3.维护要求：</w:t>
            </w:r>
            <w:r>
              <w:rPr>
                <w:rFonts w:hint="eastAsia" w:ascii="宋体" w:hAnsi="宋体" w:cs="微软雅黑"/>
                <w:b/>
                <w:color w:val="auto"/>
                <w:szCs w:val="21"/>
                <w:highlight w:val="none"/>
              </w:rPr>
              <w:t>为了满足本项目的运营服务要求，售后服务人员不少于</w:t>
            </w:r>
            <w:r>
              <w:rPr>
                <w:rFonts w:hint="eastAsia" w:ascii="宋体" w:hAnsi="宋体" w:cs="微软雅黑"/>
                <w:b/>
                <w:color w:val="auto"/>
                <w:szCs w:val="21"/>
                <w:highlight w:val="none"/>
                <w:lang w:val="en-US" w:eastAsia="zh-CN"/>
              </w:rPr>
              <w:t>6</w:t>
            </w:r>
            <w:r>
              <w:rPr>
                <w:rFonts w:hint="eastAsia" w:ascii="宋体" w:hAnsi="宋体" w:cs="微软雅黑"/>
                <w:b/>
                <w:color w:val="auto"/>
                <w:szCs w:val="21"/>
                <w:highlight w:val="none"/>
              </w:rPr>
              <w:t>人，售后维护服务车辆不少于</w:t>
            </w:r>
            <w:r>
              <w:rPr>
                <w:rFonts w:hint="eastAsia" w:ascii="宋体" w:hAnsi="宋体" w:cs="微软雅黑"/>
                <w:b/>
                <w:color w:val="auto"/>
                <w:szCs w:val="21"/>
                <w:highlight w:val="none"/>
                <w:lang w:val="en-US" w:eastAsia="zh-CN"/>
              </w:rPr>
              <w:t>3</w:t>
            </w:r>
            <w:r>
              <w:rPr>
                <w:rFonts w:hint="eastAsia" w:ascii="宋体" w:hAnsi="宋体" w:cs="微软雅黑"/>
                <w:b/>
                <w:color w:val="auto"/>
                <w:szCs w:val="21"/>
                <w:highlight w:val="none"/>
              </w:rPr>
              <w:t>辆</w:t>
            </w:r>
            <w:r>
              <w:rPr>
                <w:rFonts w:hint="eastAsia" w:ascii="宋体" w:hAnsi="宋体" w:cs="微软雅黑"/>
                <w:color w:val="auto"/>
                <w:szCs w:val="21"/>
                <w:highlight w:val="none"/>
              </w:rPr>
              <w:t>。</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szCs w:val="21"/>
                <w:highlight w:val="none"/>
              </w:rPr>
              <w:t>4.</w:t>
            </w:r>
            <w:r>
              <w:rPr>
                <w:rFonts w:hint="eastAsia" w:ascii="宋体" w:hAnsi="宋体" w:cs="宋体"/>
                <w:b/>
                <w:color w:val="auto"/>
                <w:highlight w:val="none"/>
              </w:rPr>
              <w:t>★</w:t>
            </w:r>
            <w:r>
              <w:rPr>
                <w:rFonts w:hint="eastAsia" w:ascii="宋体" w:hAnsi="宋体" w:cs="微软雅黑"/>
                <w:color w:val="auto"/>
                <w:szCs w:val="21"/>
                <w:highlight w:val="none"/>
              </w:rPr>
              <w:t>为保证本项目实施可行性，供应商</w:t>
            </w:r>
            <w:r>
              <w:rPr>
                <w:rFonts w:hint="eastAsia" w:ascii="宋体" w:hAnsi="宋体" w:cs="微软雅黑"/>
                <w:b/>
                <w:color w:val="auto"/>
                <w:szCs w:val="21"/>
                <w:highlight w:val="none"/>
              </w:rPr>
              <w:t>必须</w:t>
            </w:r>
            <w:r>
              <w:rPr>
                <w:rFonts w:hint="eastAsia" w:ascii="宋体" w:hAnsi="宋体" w:cs="微软雅黑"/>
                <w:color w:val="auto"/>
                <w:szCs w:val="21"/>
                <w:highlight w:val="none"/>
              </w:rPr>
              <w:t>在投标文件内提供</w:t>
            </w:r>
            <w:r>
              <w:rPr>
                <w:rFonts w:hint="eastAsia" w:ascii="宋体" w:hAnsi="宋体" w:cs="微软雅黑"/>
                <w:b/>
                <w:color w:val="auto"/>
                <w:szCs w:val="21"/>
                <w:highlight w:val="none"/>
              </w:rPr>
              <w:t>运维服务</w:t>
            </w:r>
            <w:r>
              <w:rPr>
                <w:rFonts w:hint="eastAsia" w:ascii="宋体" w:hAnsi="宋体" w:cs="微软雅黑"/>
                <w:color w:val="auto"/>
                <w:szCs w:val="21"/>
                <w:highlight w:val="none"/>
              </w:rPr>
              <w:t>方案，内容应包含实施能力配备、运维服务承诺及人员车辆配置等，否则投标无效。</w:t>
            </w:r>
          </w:p>
        </w:tc>
      </w:tr>
      <w:tr>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4</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宋体"/>
                <w:b/>
                <w:color w:val="auto"/>
                <w:highlight w:val="none"/>
              </w:rPr>
              <w:t>★</w:t>
            </w:r>
            <w:r>
              <w:rPr>
                <w:rFonts w:hint="eastAsia" w:ascii="宋体" w:hAnsi="宋体" w:cs="微软雅黑"/>
                <w:color w:val="auto"/>
                <w:kern w:val="0"/>
                <w:szCs w:val="21"/>
                <w:highlight w:val="none"/>
              </w:rPr>
              <w:t>交付使用时间及交付地点</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1.自中标通知书发出之日起</w:t>
            </w:r>
            <w:r>
              <w:rPr>
                <w:rFonts w:hint="eastAsia" w:ascii="宋体" w:hAnsi="宋体" w:cs="微软雅黑"/>
                <w:color w:val="auto"/>
                <w:kern w:val="0"/>
                <w:szCs w:val="21"/>
                <w:highlight w:val="none"/>
                <w:lang w:val="en-US" w:eastAsia="zh-CN"/>
              </w:rPr>
              <w:t>15</w:t>
            </w:r>
            <w:r>
              <w:rPr>
                <w:rFonts w:hint="eastAsia" w:ascii="宋体" w:hAnsi="宋体" w:cs="微软雅黑"/>
                <w:color w:val="auto"/>
                <w:kern w:val="0"/>
                <w:szCs w:val="21"/>
                <w:highlight w:val="none"/>
              </w:rPr>
              <w:t>日内签订合同。</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2.交付使用时间：采购合同签订后</w:t>
            </w:r>
            <w:r>
              <w:rPr>
                <w:rFonts w:hint="eastAsia" w:ascii="宋体" w:hAnsi="宋体" w:cs="微软雅黑"/>
                <w:color w:val="auto"/>
                <w:kern w:val="0"/>
                <w:szCs w:val="21"/>
                <w:highlight w:val="none"/>
                <w:lang w:val="en-US" w:eastAsia="zh-CN"/>
              </w:rPr>
              <w:t>90日</w:t>
            </w:r>
            <w:r>
              <w:rPr>
                <w:rFonts w:hint="eastAsia" w:ascii="宋体" w:hAnsi="宋体" w:cs="微软雅黑"/>
                <w:color w:val="auto"/>
                <w:kern w:val="0"/>
                <w:szCs w:val="21"/>
                <w:highlight w:val="none"/>
              </w:rPr>
              <w:t>内调试开通所有线路。</w:t>
            </w:r>
          </w:p>
          <w:p>
            <w:pPr>
              <w:snapToGrid w:val="0"/>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3.交付地点：采购人指定地点。</w:t>
            </w:r>
          </w:p>
        </w:tc>
      </w:tr>
      <w:tr>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spacing w:val="-6"/>
                <w:kern w:val="0"/>
                <w:szCs w:val="21"/>
                <w:highlight w:val="none"/>
              </w:rPr>
            </w:pPr>
            <w:r>
              <w:rPr>
                <w:rFonts w:hint="eastAsia" w:ascii="宋体" w:hAnsi="宋体" w:cs="微软雅黑"/>
                <w:color w:val="auto"/>
                <w:spacing w:val="-6"/>
                <w:kern w:val="0"/>
                <w:szCs w:val="21"/>
                <w:highlight w:val="none"/>
              </w:rPr>
              <w:t>5</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付款条件</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szCs w:val="21"/>
                <w:highlight w:val="none"/>
              </w:rPr>
              <w:t>付款方式：项目合同金额分三年支付，每年服务期满后支付该年度费用，以后年度费用依次类推。</w:t>
            </w:r>
          </w:p>
        </w:tc>
      </w:tr>
      <w:tr>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6</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color w:val="auto"/>
                <w:highlight w:val="none"/>
              </w:rPr>
            </w:pPr>
            <w:r>
              <w:rPr>
                <w:rFonts w:hint="eastAsia" w:ascii="宋体" w:hAnsi="宋体" w:cs="宋体"/>
                <w:b/>
                <w:color w:val="auto"/>
                <w:highlight w:val="none"/>
              </w:rPr>
              <w:t>★</w:t>
            </w:r>
            <w:r>
              <w:rPr>
                <w:rFonts w:hint="eastAsia"/>
                <w:color w:val="auto"/>
                <w:highlight w:val="none"/>
              </w:rPr>
              <w:t>服务要求</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rPr>
                <w:rFonts w:hint="eastAsia"/>
                <w:color w:val="auto"/>
                <w:highlight w:val="none"/>
              </w:rPr>
            </w:pPr>
            <w:r>
              <w:rPr>
                <w:rFonts w:hint="eastAsia"/>
                <w:color w:val="auto"/>
                <w:highlight w:val="none"/>
              </w:rPr>
              <w:t>1.按照广西电子政务外网有关规范做好专网IP地址规划，并配置好各网络设备，含各单位局域网对接、核心路由器配置、末端电脑数据配置，确保各单位终端所有办公电脑可正常接入电子政务外网办公。</w:t>
            </w:r>
          </w:p>
          <w:p>
            <w:pPr>
              <w:spacing w:line="360" w:lineRule="exact"/>
              <w:ind w:firstLine="0" w:firstLineChars="0"/>
              <w:rPr>
                <w:rFonts w:hint="eastAsia"/>
                <w:color w:val="auto"/>
                <w:highlight w:val="none"/>
              </w:rPr>
            </w:pPr>
            <w:r>
              <w:rPr>
                <w:rFonts w:hint="eastAsia"/>
                <w:color w:val="auto"/>
                <w:highlight w:val="none"/>
              </w:rPr>
              <w:t>2.在服务期间，接采购人服务通知立即响应，4小时内到达指定现场进行处理，重大问题或其它无法迅速解决的问题应在24小时内解决。</w:t>
            </w:r>
          </w:p>
          <w:p>
            <w:pPr>
              <w:spacing w:line="360" w:lineRule="exact"/>
              <w:ind w:firstLine="0" w:firstLineChars="0"/>
              <w:rPr>
                <w:rFonts w:hint="eastAsia"/>
                <w:color w:val="auto"/>
                <w:highlight w:val="none"/>
              </w:rPr>
            </w:pPr>
            <w:r>
              <w:rPr>
                <w:rFonts w:hint="eastAsia"/>
                <w:color w:val="auto"/>
                <w:highlight w:val="none"/>
              </w:rPr>
              <w:t>3.须提供7×24小时技术支持电话服务，并提供售后服务承诺书。</w:t>
            </w:r>
          </w:p>
          <w:p>
            <w:pPr>
              <w:spacing w:line="360" w:lineRule="exact"/>
              <w:ind w:firstLine="0" w:firstLineChars="0"/>
              <w:rPr>
                <w:rFonts w:hint="eastAsia"/>
                <w:color w:val="auto"/>
                <w:highlight w:val="none"/>
              </w:rPr>
            </w:pPr>
            <w:r>
              <w:rPr>
                <w:rFonts w:hint="eastAsia"/>
                <w:color w:val="auto"/>
                <w:highlight w:val="none"/>
              </w:rPr>
              <w:t>4.须提供针对本项目有效的干系人列表（包括：运营商客户经理和技术接口人及联系电话清单、工作日服务时间及售后服务联系人联系电话清单）。</w:t>
            </w:r>
          </w:p>
          <w:p>
            <w:pPr>
              <w:spacing w:line="360" w:lineRule="exact"/>
              <w:ind w:firstLine="0" w:firstLineChars="0"/>
              <w:rPr>
                <w:rFonts w:hint="eastAsia"/>
                <w:color w:val="auto"/>
                <w:highlight w:val="none"/>
              </w:rPr>
            </w:pPr>
            <w:r>
              <w:rPr>
                <w:rFonts w:hint="eastAsia"/>
                <w:color w:val="auto"/>
                <w:highlight w:val="none"/>
              </w:rPr>
              <w:t>5.投标人在提供服务过程中，对所接触到的所有信息负有保密义务，并签署相关保密协议，如因服务商原因造成的信息泄露事件，采购人可追究其责任。</w:t>
            </w:r>
          </w:p>
        </w:tc>
      </w:tr>
      <w:tr>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7</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采购标的的验收标准</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1.按国家相关标准、规范和采购需求进行验收。</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2.项目实施完毕由采购人、中标人、使用方共同验收，并出具验收文书。有必要时可委托第三方（具备省级或以上检测机构）开展相关技术指标验收工作。如抽取的技术指标检测结果不合格的，则视为服务不合格，须按采购人要求及时整改，如因此过程耽误造成损失的，中标人承担由此所造成全部损失。</w:t>
            </w:r>
          </w:p>
        </w:tc>
      </w:tr>
      <w:tr>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8</w:t>
            </w:r>
          </w:p>
        </w:tc>
        <w:tc>
          <w:tcPr>
            <w:tcW w:w="3133"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其他要求</w:t>
            </w:r>
          </w:p>
        </w:tc>
        <w:tc>
          <w:tcPr>
            <w:tcW w:w="611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rPr>
                <w:rFonts w:hint="eastAsia" w:ascii="宋体" w:hAnsi="宋体" w:eastAsia="宋体" w:cs="微软雅黑"/>
                <w:b/>
                <w:color w:val="auto"/>
                <w:kern w:val="0"/>
                <w:szCs w:val="21"/>
                <w:highlight w:val="none"/>
                <w:lang w:eastAsia="zh-CN"/>
              </w:rPr>
            </w:pPr>
            <w:r>
              <w:rPr>
                <w:rFonts w:hint="eastAsia" w:ascii="宋体" w:hAnsi="宋体" w:cs="微软雅黑"/>
                <w:b/>
                <w:color w:val="auto"/>
                <w:kern w:val="0"/>
                <w:szCs w:val="21"/>
                <w:highlight w:val="none"/>
              </w:rPr>
              <w:t>1.</w:t>
            </w:r>
            <w:r>
              <w:rPr>
                <w:rFonts w:hint="eastAsia" w:ascii="宋体" w:hAnsi="宋体" w:cs="宋体"/>
                <w:b/>
                <w:color w:val="auto"/>
                <w:highlight w:val="none"/>
              </w:rPr>
              <w:t>★</w:t>
            </w:r>
            <w:r>
              <w:rPr>
                <w:rFonts w:hint="eastAsia" w:ascii="宋体" w:hAnsi="宋体" w:cs="微软雅黑"/>
                <w:b/>
                <w:color w:val="auto"/>
                <w:kern w:val="0"/>
                <w:szCs w:val="21"/>
                <w:highlight w:val="none"/>
              </w:rPr>
              <w:t>投标人须在投标文件中提供针对本项目制定的保密承诺。</w:t>
            </w:r>
            <w:r>
              <w:rPr>
                <w:rFonts w:hint="eastAsia" w:ascii="宋体" w:hAnsi="宋体" w:cs="微软雅黑"/>
                <w:b/>
                <w:color w:val="auto"/>
                <w:kern w:val="0"/>
                <w:szCs w:val="21"/>
                <w:highlight w:val="none"/>
                <w:lang w:eastAsia="zh-CN"/>
              </w:rPr>
              <w:t>（</w:t>
            </w:r>
            <w:r>
              <w:rPr>
                <w:rFonts w:hint="eastAsia" w:ascii="宋体" w:hAnsi="宋体" w:cs="微软雅黑"/>
                <w:b/>
                <w:color w:val="auto"/>
                <w:kern w:val="0"/>
                <w:szCs w:val="21"/>
                <w:highlight w:val="none"/>
                <w:lang w:val="en-US" w:eastAsia="zh-CN"/>
              </w:rPr>
              <w:t>格式自拟</w:t>
            </w:r>
            <w:r>
              <w:rPr>
                <w:rFonts w:hint="eastAsia" w:ascii="宋体" w:hAnsi="宋体" w:cs="微软雅黑"/>
                <w:b/>
                <w:color w:val="auto"/>
                <w:kern w:val="0"/>
                <w:szCs w:val="21"/>
                <w:highlight w:val="none"/>
                <w:lang w:eastAsia="zh-CN"/>
              </w:rPr>
              <w:t>）</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2.</w:t>
            </w:r>
            <w:r>
              <w:rPr>
                <w:rFonts w:hint="eastAsia" w:ascii="宋体" w:hAnsi="宋体" w:cs="宋体"/>
                <w:b/>
                <w:color w:val="auto"/>
                <w:highlight w:val="none"/>
              </w:rPr>
              <w:t>★</w:t>
            </w:r>
            <w:r>
              <w:rPr>
                <w:rFonts w:hint="eastAsia" w:ascii="宋体" w:hAnsi="宋体" w:cs="微软雅黑"/>
                <w:color w:val="auto"/>
                <w:kern w:val="0"/>
                <w:szCs w:val="21"/>
                <w:highlight w:val="none"/>
              </w:rPr>
              <w:t>保密要求：中标人对采购人及其下属单位所提供的技术及数据资料应严格保密，不得扩散。</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3.投标人对招标文件的项目要求应完全响应，如果存在虚假响应或者是虚假承诺，由此造成的一切后果由投标人承担。</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4.投标人应当保证其所提供服务包含的所有软硬件产品为符合国家知识产权法律法规要求的国产正规正版产品。</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5.投标人应对投标内容所涉及的专利承担法律责任，并负责保护采购人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pPr>
              <w:spacing w:line="360" w:lineRule="exact"/>
              <w:ind w:firstLine="0" w:firstLineChars="0"/>
              <w:rPr>
                <w:rFonts w:ascii="宋体" w:hAnsi="宋体" w:cs="微软雅黑"/>
                <w:color w:val="auto"/>
                <w:kern w:val="0"/>
                <w:szCs w:val="21"/>
                <w:highlight w:val="none"/>
              </w:rPr>
            </w:pPr>
            <w:r>
              <w:rPr>
                <w:rFonts w:hint="eastAsia" w:ascii="宋体" w:hAnsi="宋体" w:cs="微软雅黑"/>
                <w:color w:val="auto"/>
                <w:kern w:val="0"/>
                <w:szCs w:val="21"/>
                <w:highlight w:val="none"/>
              </w:rPr>
              <w:t>6.投标人应承诺投标文件中提供的证明材料和资质文件真实，如出现虚假投标情况，投标人除了应接受有关部门的处罚外，还应依据《中华人民共和国民法典》的相关条款来确定赔偿金额。</w:t>
            </w:r>
          </w:p>
        </w:tc>
      </w:tr>
    </w:tbl>
    <w:p>
      <w:pPr>
        <w:spacing w:line="360" w:lineRule="exact"/>
        <w:ind w:firstLine="420"/>
        <w:rPr>
          <w:rFonts w:hint="default"/>
          <w:color w:val="auto"/>
          <w:highlight w:val="none"/>
          <w:lang w:val="en-US" w:eastAsia="zh-CN"/>
        </w:rPr>
      </w:pPr>
    </w:p>
    <w:p>
      <w:pPr>
        <w:pStyle w:val="2"/>
        <w:rPr>
          <w:color w:val="auto"/>
          <w:highlight w:val="none"/>
        </w:rPr>
      </w:pPr>
      <w:r>
        <w:rPr>
          <w:rFonts w:hint="eastAsia" w:ascii="宋体" w:hAnsi="宋体"/>
          <w:b/>
          <w:color w:val="auto"/>
          <w:sz w:val="32"/>
          <w:highlight w:val="none"/>
        </w:rPr>
        <w:br w:type="page"/>
      </w:r>
    </w:p>
    <w:p>
      <w:pPr>
        <w:widowControl/>
        <w:spacing w:line="460" w:lineRule="exact"/>
        <w:jc w:val="left"/>
        <w:rPr>
          <w:rFonts w:ascii="宋体" w:hAnsi="宋体"/>
          <w:color w:val="auto"/>
          <w:szCs w:val="21"/>
          <w:highlight w:val="none"/>
        </w:rPr>
      </w:pPr>
    </w:p>
    <w:p>
      <w:pPr>
        <w:ind w:left="0" w:leftChars="0" w:firstLine="0" w:firstLineChars="0"/>
        <w:rPr>
          <w:rFonts w:hint="eastAsia" w:ascii="宋体" w:hAnsi="宋体"/>
          <w:b/>
          <w:color w:val="auto"/>
          <w:sz w:val="24"/>
          <w:szCs w:val="21"/>
          <w:highlight w:val="none"/>
          <w:lang w:val="en-US" w:eastAsia="zh-CN"/>
        </w:rPr>
      </w:pPr>
    </w:p>
    <w:p>
      <w:pPr>
        <w:rPr>
          <w:rFonts w:hint="eastAsia" w:ascii="宋体" w:hAnsi="宋体"/>
          <w:b/>
          <w:color w:val="auto"/>
          <w:sz w:val="24"/>
          <w:szCs w:val="21"/>
          <w:highlight w:val="none"/>
          <w:lang w:val="en-US" w:eastAsia="zh-CN"/>
        </w:rPr>
      </w:pPr>
      <w:r>
        <w:rPr>
          <w:rFonts w:hint="eastAsia" w:ascii="宋体" w:hAnsi="宋体"/>
          <w:b/>
          <w:color w:val="auto"/>
          <w:sz w:val="24"/>
          <w:szCs w:val="21"/>
          <w:highlight w:val="none"/>
          <w:lang w:val="en-US" w:eastAsia="zh-CN"/>
        </w:rPr>
        <w:t>钦州市电子政务外网二期（含电子口岸专线）线路服务采购清单</w:t>
      </w:r>
    </w:p>
    <w:p>
      <w:pPr>
        <w:rPr>
          <w:rFonts w:hint="eastAsia" w:ascii="宋体" w:hAnsi="宋体"/>
          <w:b/>
          <w:color w:val="auto"/>
          <w:sz w:val="24"/>
          <w:szCs w:val="21"/>
          <w:highlight w:val="none"/>
          <w:lang w:val="en-US" w:eastAsia="zh-CN"/>
        </w:rPr>
      </w:pPr>
    </w:p>
    <w:tbl>
      <w:tblPr>
        <w:tblStyle w:val="36"/>
        <w:tblW w:w="936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2010"/>
        <w:gridCol w:w="930"/>
        <w:gridCol w:w="1125"/>
        <w:gridCol w:w="2166"/>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10" w:type="dxa"/>
            <w:tcBorders>
              <w:top w:val="single" w:color="auto" w:sz="6" w:space="0"/>
              <w:left w:val="nil"/>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接入单位（地址）清单</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带宽（M）</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数量（条）</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接入单位具体地址</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市中级法院</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钦南区蓬莱大道与金海湾东大街交汇处</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市检察院</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钦州市钦北区新华路508</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市发展改革委</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钦州市钦州湾大道北郊市粮食和物资储备局大楼</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市科技局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钦州市钦南区建设路9号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市民政局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钦州市金华路6号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市司法局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钦州市新华路7号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市交通运输局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钦州市永福西大街6号交通组织管理中心7楼</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市水利局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钦州市滨江北路7号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市林业局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钦州市钦南区新兴街20号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市卫生健康委</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钦州市钦北区永福西大街1号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市商务局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钦北区金华路新一中北面二级公路南面</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市文化广电体育旅游局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钦州市钦北区富民路5号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市海洋局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钦州市育才路228号12楼</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市城市管理局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钦州市文峰北路160号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市市场监管局（第二办公区）</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钦州市文峰北路160号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市自然资源局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钦州市永福西大街12-1号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市生态环境局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钦州市富民路28号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市信访局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钦州市永福东大街7号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市总工会</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钦州市钦北区永福东大街7号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市贸促会</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钦州市金华路6号民政局9楼</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市残联</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钦州市钦北区北环路2号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市红十字会</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钦州市钦南区向阳街道新华路9号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市国资委</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钦州市永福西大街6号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市向阳派出所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钦州市兴业路3号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市国动办</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钦州湾大道北进城路口（汽车北站旁）</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市森林公安局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钦州市钦北区汽车北站对面木材市场里面</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市接待办</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钦州市钦南区文峰北路2号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市园区办</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钦州市永福西大街6号交通组织管理中心8楼</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市供销社</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钦州市人民路13号恒基广场A座13层</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市社科联</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钦州市永福西大街金中街47号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市公积金管理中心</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钦州市兴桂路1号钦江丽景小区7号楼B单元2-4层</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市土地储备中心</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钦州市钦北区子材街道新华路410号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市农科所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钦州市钦南区富民路79号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市林科所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钦州市钦南区西环南路118号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市市政工程和照明管理处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钦州市钦南区人民路293号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市融媒体中心</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钦州市丽桥街18号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市公共资源交易中心</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钦州市金海湾东大街8号市政务服务中心三楼行政办公区</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市疾控中心</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钦州市北环西路16号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钦州海关</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钦廉街181号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钦州海关（原钦州出入境检验检疫局办公点）</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钦州市钦南区钦廉街181号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钦州海事局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钦州市钦南区蓬莱南大道103号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市国家安全局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市税务局（原市国税局办公点）</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钦州市文峰北路47号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市税务局（原市地税局办公点）</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钦北区子材街道文峰北路与子材西大街交汇处</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市烟草专卖局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钦州市钦北区子材西大街238号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钦州供电局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钦州市文峰南路2号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市气象局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钦州市钦南区南珠西大街112号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广西沿海公路发展中心</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钦州市钦南区通达巷2号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市邮政管理局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钦州市钦北区永福西大街6</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人民银行钦州市分行</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钦南区南珠街道金盛街与文峰北路交汇处</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国家金融监督管理总局钦州监管分局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钦州市钦北区钦州湾大道43号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市档案馆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钦北区永福东大街红日路3号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广西盐业集团有限公司钦州分公司（原钦州盐务管理局)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钦州市西环北路辅路与北部湾大道交汇处盐业公司</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钦州海关港口报关大厅</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钦州海关港口报关大厅内</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钦州海关港口综合楼</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钦州港正元大酒店对面</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钦州海关（原钦州出入境检验检疫局）港口巨龙报关大厅</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港口巨龙报关大厅内</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钦州港区海事处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钦州港海景1号旁</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钦州海事局钦州海巡基地</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钦州港中粮码头旁</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钦州海事局茅尾海办事处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茅尾海沙井港</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钦州海事局大风江工作站</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钦南区东场镇中学旁</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钦州海事局港口报关大厅</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港口巨龙报关大厅内</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钦州出入境边防检查站</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钦州市钦南区蓬菜南大道101号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钦州出入境边防检查站监护中队</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钦州港珍宝二路1号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钦州港海关（原钦州保税港区海关新综合楼）</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钦州港新城区水体景观西面，滨海公路北面</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钦州港海关（原钦州保税港区出入境检验检疫局新综合楼）</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钦州港新城区水体景观西面，滨海公路北面</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钦州保税港区海事处新综合楼</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钦州港新城区水体景观西面，滨海公路北面</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钦州保税港区出入境边防检查站新综合楼</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钦州港新城区水体景观西面，滨海公路北面</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南宁海关电子口岸数字中心</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南宁海关</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钦州市行政信息中心机房互联网出口线路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部署在市行政信息中心机房，用于电子口岸监控</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市教育局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钦州市乘风大道1号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市公安局(第一办公区)</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钦州市子材东大街6号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市公安局(第二办公区)</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钦州湾大道61号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市人力资源社会保障局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钦州市永福西大街东泉大厦5楼</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市财政局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钦州市银河街125号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市市场监管局（第一办公区）</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钦州市钦北区富民路中段</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市行政审批局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钦州市金海湾东大街8号市政务服务中心二楼行政办公区</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市住房城乡建设局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钦州市三沿路11号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市农业农村局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钦州市南珠东大街236号</w:t>
            </w: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含已有锐捷RSR30-X路由器（防火墙）维护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20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预留线路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p>
        </w:tc>
        <w:tc>
          <w:tcPr>
            <w:tcW w:w="24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宋体" w:hAnsi="宋体" w:eastAsia="宋体" w:cs="宋体"/>
                <w:color w:val="auto"/>
                <w:sz w:val="21"/>
                <w:szCs w:val="21"/>
                <w:highlight w:val="none"/>
              </w:rPr>
            </w:pPr>
          </w:p>
        </w:tc>
      </w:tr>
    </w:tbl>
    <w:p>
      <w:pPr>
        <w:widowControl/>
        <w:jc w:val="left"/>
        <w:rPr>
          <w:rFonts w:hint="eastAsia" w:ascii="宋体" w:hAnsi="宋体"/>
          <w:color w:val="auto"/>
          <w:szCs w:val="21"/>
          <w:highlight w:val="none"/>
        </w:rPr>
      </w:pPr>
    </w:p>
    <w:p>
      <w:pPr>
        <w:widowControl/>
        <w:jc w:val="left"/>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br w:type="page"/>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color w:val="auto"/>
          <w:highlight w:val="none"/>
        </w:rPr>
      </w:pPr>
    </w:p>
    <w:p>
      <w:pPr>
        <w:pStyle w:val="3"/>
        <w:spacing w:line="400" w:lineRule="exact"/>
        <w:rPr>
          <w:rFonts w:ascii="方正小标宋简体" w:eastAsia="方正小标宋简体"/>
          <w:color w:val="auto"/>
          <w:highlight w:val="none"/>
        </w:rPr>
      </w:pPr>
      <w:bookmarkStart w:id="45" w:name="_Toc92355025"/>
      <w:r>
        <w:rPr>
          <w:rFonts w:hint="eastAsia" w:ascii="方正小标宋简体" w:eastAsia="方正小标宋简体"/>
          <w:color w:val="auto"/>
          <w:highlight w:val="none"/>
        </w:rPr>
        <w:t>第三章  供应商须知</w:t>
      </w:r>
      <w:bookmarkEnd w:id="43"/>
      <w:bookmarkEnd w:id="44"/>
      <w:bookmarkEnd w:id="45"/>
    </w:p>
    <w:p>
      <w:pPr>
        <w:jc w:val="center"/>
        <w:rPr>
          <w:rFonts w:hint="eastAsia" w:ascii="仿宋_GB2312" w:hAnsi="宋体" w:eastAsia="仿宋_GB2312"/>
          <w:b/>
          <w:color w:val="auto"/>
          <w:sz w:val="32"/>
          <w:szCs w:val="32"/>
          <w:highlight w:val="none"/>
        </w:rPr>
      </w:pPr>
      <w:bookmarkStart w:id="46" w:name="_Toc357157408"/>
      <w:bookmarkStart w:id="47" w:name="_Toc350325671"/>
      <w:bookmarkStart w:id="48" w:name="_Toc354479499"/>
      <w:bookmarkStart w:id="49" w:name="_Toc358477281"/>
      <w:r>
        <w:rPr>
          <w:rFonts w:ascii="仿宋_GB2312" w:hAnsi="宋体" w:eastAsia="仿宋_GB2312"/>
          <w:b/>
          <w:color w:val="auto"/>
          <w:sz w:val="32"/>
          <w:szCs w:val="32"/>
          <w:highlight w:val="none"/>
        </w:rPr>
        <w:br w:type="page"/>
      </w:r>
    </w:p>
    <w:p>
      <w:pPr>
        <w:rPr>
          <w:color w:val="auto"/>
          <w:highlight w:val="none"/>
        </w:rPr>
      </w:pPr>
    </w:p>
    <w:p>
      <w:pPr>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tbl>
      <w:tblPr>
        <w:tblStyle w:val="36"/>
        <w:tblW w:w="9351" w:type="dxa"/>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页码</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    容</w:t>
            </w:r>
          </w:p>
        </w:tc>
      </w:tr>
      <w:tr>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3"/>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"_一、总_则" </w:instrText>
            </w:r>
            <w:r>
              <w:rPr>
                <w:rFonts w:ascii="宋体" w:hAnsi="宋体" w:cs="宋体"/>
                <w:color w:val="auto"/>
                <w:kern w:val="0"/>
                <w:szCs w:val="21"/>
                <w:highlight w:val="none"/>
              </w:rPr>
              <w:fldChar w:fldCharType="separate"/>
            </w:r>
            <w:r>
              <w:rPr>
                <w:rStyle w:val="43"/>
                <w:rFonts w:hint="eastAsia" w:ascii="宋体" w:hAnsi="宋体" w:cs="宋体"/>
                <w:color w:val="auto"/>
                <w:kern w:val="0"/>
                <w:szCs w:val="21"/>
                <w:highlight w:val="none"/>
                <w:u w:val="none"/>
              </w:rPr>
              <w:t>项目名称：钦州市电子政务外网二期（含电子口岸专线）线路服务</w:t>
            </w:r>
          </w:p>
          <w:p>
            <w:pPr>
              <w:widowControl/>
              <w:spacing w:line="440" w:lineRule="exact"/>
              <w:rPr>
                <w:rFonts w:hint="eastAsia" w:ascii="宋体" w:hAnsi="宋体"/>
                <w:color w:val="auto"/>
                <w:szCs w:val="21"/>
                <w:highlight w:val="none"/>
              </w:rPr>
            </w:pPr>
            <w:r>
              <w:rPr>
                <w:rStyle w:val="43"/>
                <w:rFonts w:hint="eastAsia" w:ascii="宋体" w:hAnsi="宋体"/>
                <w:color w:val="auto"/>
                <w:szCs w:val="21"/>
                <w:highlight w:val="none"/>
                <w:u w:val="none"/>
              </w:rPr>
              <w:t>项目编号：</w:t>
            </w:r>
            <w:r>
              <w:rPr>
                <w:rFonts w:ascii="宋体" w:hAnsi="宋体" w:cs="宋体"/>
                <w:color w:val="auto"/>
                <w:kern w:val="0"/>
                <w:szCs w:val="21"/>
                <w:highlight w:val="none"/>
              </w:rPr>
              <w:fldChar w:fldCharType="end"/>
            </w:r>
            <w:r>
              <w:rPr>
                <w:rFonts w:hint="eastAsia" w:ascii="宋体" w:hAnsi="宋体" w:cs="宋体"/>
                <w:color w:val="auto"/>
                <w:kern w:val="0"/>
                <w:szCs w:val="21"/>
                <w:highlight w:val="none"/>
              </w:rPr>
              <w:t>QZZC2025-C3-990082-QZSZ</w:t>
            </w:r>
          </w:p>
        </w:tc>
      </w:tr>
      <w:tr>
        <w:tblPrEx>
          <w:tblCellMar>
            <w:top w:w="0" w:type="dxa"/>
            <w:left w:w="108" w:type="dxa"/>
            <w:bottom w:w="0" w:type="dxa"/>
            <w:right w:w="108" w:type="dxa"/>
          </w:tblCellMar>
        </w:tblPrEx>
        <w:trPr>
          <w:trHeight w:val="26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3"/>
                <w:rFonts w:hint="eastAsia" w:ascii="宋体" w:hAnsi="宋体"/>
                <w:color w:val="auto"/>
                <w:szCs w:val="21"/>
                <w:highlight w:val="none"/>
                <w:u w:val="none"/>
              </w:rPr>
            </w:pPr>
            <w:r>
              <w:rPr>
                <w:rStyle w:val="43"/>
                <w:rFonts w:ascii="宋体" w:hAnsi="宋体"/>
                <w:color w:val="auto"/>
                <w:szCs w:val="21"/>
                <w:highlight w:val="none"/>
                <w:u w:val="none"/>
              </w:rPr>
              <w:fldChar w:fldCharType="begin"/>
            </w:r>
            <w:r>
              <w:rPr>
                <w:rStyle w:val="43"/>
                <w:rFonts w:ascii="宋体" w:hAnsi="宋体"/>
                <w:color w:val="auto"/>
                <w:szCs w:val="21"/>
                <w:highlight w:val="none"/>
                <w:u w:val="none"/>
              </w:rPr>
              <w:instrText xml:space="preserve"> </w:instrText>
            </w:r>
            <w:r>
              <w:rPr>
                <w:rStyle w:val="43"/>
                <w:rFonts w:hint="eastAsia" w:ascii="宋体" w:hAnsi="宋体"/>
                <w:color w:val="auto"/>
                <w:szCs w:val="21"/>
                <w:highlight w:val="none"/>
                <w:u w:val="none"/>
              </w:rPr>
              <w:instrText xml:space="preserve">HYPERLINK </w:instrText>
            </w:r>
            <w:r>
              <w:rPr>
                <w:rStyle w:val="43"/>
                <w:rFonts w:ascii="宋体" w:hAnsi="宋体"/>
                <w:color w:val="auto"/>
                <w:szCs w:val="21"/>
                <w:highlight w:val="none"/>
                <w:u w:val="none"/>
              </w:rPr>
              <w:instrText xml:space="preserve"> \l "_一、总_则" </w:instrText>
            </w:r>
            <w:r>
              <w:rPr>
                <w:rStyle w:val="43"/>
                <w:rFonts w:ascii="宋体" w:hAnsi="宋体"/>
                <w:color w:val="auto"/>
                <w:szCs w:val="21"/>
                <w:highlight w:val="none"/>
                <w:u w:val="none"/>
              </w:rPr>
              <w:fldChar w:fldCharType="separate"/>
            </w:r>
            <w:r>
              <w:rPr>
                <w:rStyle w:val="43"/>
                <w:rFonts w:hint="eastAsia" w:ascii="宋体" w:hAnsi="宋体"/>
                <w:color w:val="auto"/>
                <w:szCs w:val="21"/>
                <w:highlight w:val="none"/>
                <w:u w:val="none"/>
              </w:rPr>
              <w:t>供应商资格：</w:t>
            </w:r>
          </w:p>
          <w:p>
            <w:pPr>
              <w:spacing w:line="440" w:lineRule="exact"/>
              <w:rPr>
                <w:rStyle w:val="43"/>
                <w:rFonts w:hint="eastAsia" w:ascii="宋体" w:hAnsi="宋体"/>
                <w:color w:val="auto"/>
                <w:szCs w:val="21"/>
                <w:highlight w:val="none"/>
                <w:u w:val="none"/>
              </w:rPr>
            </w:pPr>
            <w:r>
              <w:rPr>
                <w:rStyle w:val="43"/>
                <w:rFonts w:hint="eastAsia" w:ascii="宋体" w:hAnsi="宋体"/>
                <w:color w:val="auto"/>
                <w:szCs w:val="21"/>
                <w:highlight w:val="none"/>
                <w:u w:val="none"/>
              </w:rPr>
              <w:t>1.满足《中华人民共和国政府采购法》第二十二条规定</w:t>
            </w:r>
          </w:p>
          <w:p>
            <w:pPr>
              <w:spacing w:line="440" w:lineRule="exact"/>
              <w:rPr>
                <w:rStyle w:val="43"/>
                <w:rFonts w:hint="eastAsia" w:ascii="宋体" w:hAnsi="宋体" w:eastAsia="宋体"/>
                <w:color w:val="auto"/>
                <w:szCs w:val="21"/>
                <w:highlight w:val="none"/>
                <w:u w:val="none"/>
                <w:lang w:eastAsia="zh-CN"/>
              </w:rPr>
            </w:pPr>
            <w:r>
              <w:rPr>
                <w:rStyle w:val="43"/>
                <w:rFonts w:hint="eastAsia" w:ascii="宋体" w:hAnsi="宋体"/>
                <w:color w:val="auto"/>
                <w:szCs w:val="21"/>
                <w:highlight w:val="none"/>
                <w:u w:val="none"/>
              </w:rPr>
              <w:t>2.落实政府采购政策需满足的资格要求：</w:t>
            </w:r>
            <w:r>
              <w:rPr>
                <w:rStyle w:val="43"/>
                <w:rFonts w:hint="eastAsia" w:ascii="宋体" w:hAnsi="宋体"/>
                <w:color w:val="auto"/>
                <w:szCs w:val="21"/>
                <w:highlight w:val="none"/>
                <w:u w:val="none"/>
                <w:lang w:val="en-US" w:eastAsia="zh-CN"/>
              </w:rPr>
              <w:t>无</w:t>
            </w:r>
          </w:p>
          <w:p>
            <w:pPr>
              <w:spacing w:line="440" w:lineRule="exact"/>
              <w:rPr>
                <w:rFonts w:hint="eastAsia" w:ascii="宋体" w:hAnsi="宋体"/>
                <w:color w:val="auto"/>
                <w:szCs w:val="21"/>
                <w:highlight w:val="none"/>
              </w:rPr>
            </w:pPr>
            <w:r>
              <w:rPr>
                <w:rStyle w:val="43"/>
                <w:rFonts w:hint="eastAsia" w:ascii="宋体" w:hAnsi="宋体"/>
                <w:color w:val="auto"/>
                <w:szCs w:val="21"/>
                <w:highlight w:val="none"/>
                <w:u w:val="none"/>
              </w:rPr>
              <w:t>3.本项目的特定资格要求：无</w:t>
            </w:r>
            <w:r>
              <w:rPr>
                <w:rStyle w:val="43"/>
                <w:rFonts w:ascii="宋体" w:hAnsi="宋体"/>
                <w:color w:val="auto"/>
                <w:szCs w:val="21"/>
                <w:highlight w:val="none"/>
                <w:u w:val="none"/>
              </w:rPr>
              <w:fldChar w:fldCharType="end"/>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color w:val="auto"/>
                <w:highlight w:val="none"/>
              </w:rPr>
            </w:pPr>
            <w:r>
              <w:rPr>
                <w:color w:val="auto"/>
                <w:highlight w:val="none"/>
              </w:rPr>
              <w:fldChar w:fldCharType="begin"/>
            </w:r>
            <w:r>
              <w:rPr>
                <w:color w:val="auto"/>
                <w:highlight w:val="none"/>
              </w:rPr>
              <w:instrText xml:space="preserve"> HYPERLINK \l "_（五）报价" </w:instrText>
            </w:r>
            <w:r>
              <w:rPr>
                <w:color w:val="auto"/>
                <w:highlight w:val="none"/>
              </w:rPr>
              <w:fldChar w:fldCharType="separate"/>
            </w:r>
            <w:r>
              <w:rPr>
                <w:rStyle w:val="43"/>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3"/>
                <w:rFonts w:hint="eastAsia" w:ascii="宋体" w:hAnsi="宋体" w:cs="宋体"/>
                <w:color w:val="auto"/>
                <w:kern w:val="0"/>
                <w:szCs w:val="21"/>
                <w:highlight w:val="none"/>
                <w:u w:val="none"/>
              </w:rPr>
              <w:fldChar w:fldCharType="end"/>
            </w:r>
          </w:p>
        </w:tc>
      </w:tr>
      <w:tr>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hint="eastAsia" w:ascii="宋体" w:hAnsi="宋体"/>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"_四、响应文件开启" </w:instrText>
            </w:r>
            <w:r>
              <w:rPr>
                <w:rFonts w:ascii="宋体" w:hAnsi="宋体" w:cs="宋体"/>
                <w:color w:val="auto"/>
                <w:kern w:val="0"/>
                <w:szCs w:val="21"/>
                <w:highlight w:val="none"/>
              </w:rPr>
              <w:fldChar w:fldCharType="separate"/>
            </w:r>
            <w:r>
              <w:rPr>
                <w:rStyle w:val="43"/>
                <w:rFonts w:hint="eastAsia" w:ascii="宋体" w:hAnsi="宋体" w:cs="宋体"/>
                <w:color w:val="auto"/>
                <w:kern w:val="0"/>
                <w:szCs w:val="21"/>
                <w:highlight w:val="none"/>
                <w:u w:val="none"/>
              </w:rPr>
              <w:t>响应文件提交截止时间及开启时间：</w:t>
            </w:r>
            <w:r>
              <w:rPr>
                <w:rStyle w:val="43"/>
                <w:rFonts w:hint="eastAsia" w:ascii="宋体" w:hAnsi="宋体"/>
                <w:color w:val="auto"/>
                <w:szCs w:val="21"/>
                <w:highlight w:val="none"/>
                <w:u w:val="none"/>
              </w:rPr>
              <w:t>202</w:t>
            </w:r>
            <w:r>
              <w:rPr>
                <w:rStyle w:val="43"/>
                <w:rFonts w:hint="eastAsia" w:ascii="宋体" w:hAnsi="宋体"/>
                <w:color w:val="auto"/>
                <w:szCs w:val="21"/>
                <w:highlight w:val="none"/>
                <w:u w:val="none"/>
                <w:lang w:val="en-US" w:eastAsia="zh-CN"/>
              </w:rPr>
              <w:t>5</w:t>
            </w:r>
            <w:r>
              <w:rPr>
                <w:rStyle w:val="43"/>
                <w:rFonts w:hint="eastAsia" w:ascii="宋体" w:hAnsi="宋体"/>
                <w:color w:val="auto"/>
                <w:szCs w:val="21"/>
                <w:highlight w:val="none"/>
                <w:u w:val="none"/>
              </w:rPr>
              <w:t>年</w:t>
            </w:r>
            <w:r>
              <w:rPr>
                <w:rStyle w:val="43"/>
                <w:rFonts w:hint="eastAsia" w:ascii="宋体" w:hAnsi="宋体"/>
                <w:color w:val="auto"/>
                <w:szCs w:val="21"/>
                <w:highlight w:val="none"/>
                <w:u w:val="none"/>
                <w:lang w:val="en-US" w:eastAsia="zh-CN"/>
              </w:rPr>
              <w:t>5</w:t>
            </w:r>
            <w:r>
              <w:rPr>
                <w:rStyle w:val="43"/>
                <w:rFonts w:hint="eastAsia" w:ascii="宋体" w:hAnsi="宋体"/>
                <w:color w:val="auto"/>
                <w:szCs w:val="21"/>
                <w:highlight w:val="none"/>
                <w:u w:val="none"/>
              </w:rPr>
              <w:t>月</w:t>
            </w:r>
            <w:r>
              <w:rPr>
                <w:rStyle w:val="43"/>
                <w:rFonts w:hint="eastAsia" w:ascii="宋体" w:hAnsi="宋体"/>
                <w:color w:val="auto"/>
                <w:szCs w:val="21"/>
                <w:highlight w:val="none"/>
                <w:u w:val="none"/>
                <w:lang w:val="en-US" w:eastAsia="zh-CN"/>
              </w:rPr>
              <w:t>7</w:t>
            </w:r>
            <w:bookmarkStart w:id="156" w:name="_GoBack"/>
            <w:bookmarkEnd w:id="156"/>
            <w:r>
              <w:rPr>
                <w:rStyle w:val="43"/>
                <w:rFonts w:hint="eastAsia" w:ascii="宋体" w:hAnsi="宋体"/>
                <w:color w:val="auto"/>
                <w:szCs w:val="21"/>
                <w:highlight w:val="none"/>
                <w:u w:val="none"/>
              </w:rPr>
              <w:t>日</w:t>
            </w:r>
            <w:r>
              <w:rPr>
                <w:rStyle w:val="43"/>
                <w:rFonts w:ascii="宋体" w:hAnsi="宋体"/>
                <w:color w:val="auto"/>
                <w:szCs w:val="21"/>
                <w:highlight w:val="none"/>
                <w:u w:val="none"/>
              </w:rPr>
              <w:t>09</w:t>
            </w:r>
            <w:r>
              <w:rPr>
                <w:rStyle w:val="43"/>
                <w:rFonts w:hint="eastAsia" w:ascii="宋体" w:hAnsi="宋体"/>
                <w:color w:val="auto"/>
                <w:szCs w:val="21"/>
                <w:highlight w:val="none"/>
                <w:u w:val="none"/>
              </w:rPr>
              <w:t>时</w:t>
            </w:r>
            <w:r>
              <w:rPr>
                <w:rStyle w:val="43"/>
                <w:rFonts w:ascii="宋体" w:hAnsi="宋体"/>
                <w:color w:val="auto"/>
                <w:szCs w:val="21"/>
                <w:highlight w:val="none"/>
                <w:u w:val="none"/>
              </w:rPr>
              <w:t>3</w:t>
            </w:r>
            <w:r>
              <w:rPr>
                <w:rStyle w:val="43"/>
                <w:rFonts w:hint="eastAsia" w:ascii="宋体" w:hAnsi="宋体"/>
                <w:color w:val="auto"/>
                <w:szCs w:val="21"/>
                <w:highlight w:val="none"/>
                <w:u w:val="none"/>
              </w:rPr>
              <w:t>0分。</w:t>
            </w:r>
          </w:p>
          <w:p>
            <w:pPr>
              <w:widowControl/>
              <w:spacing w:line="440" w:lineRule="exact"/>
              <w:rPr>
                <w:color w:val="auto"/>
                <w:highlight w:val="none"/>
              </w:rPr>
            </w:pPr>
            <w:r>
              <w:rPr>
                <w:rStyle w:val="43"/>
                <w:rFonts w:hint="eastAsia"/>
                <w:b/>
                <w:color w:val="auto"/>
                <w:szCs w:val="21"/>
                <w:highlight w:val="none"/>
                <w:u w:val="none"/>
              </w:rPr>
              <w:t>注意事项：</w:t>
            </w:r>
            <w:r>
              <w:rPr>
                <w:rStyle w:val="43"/>
                <w:rFonts w:hint="eastAsia"/>
                <w:bCs/>
                <w:color w:val="auto"/>
                <w:highlight w:val="none"/>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17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hint="eastAsia" w:ascii="宋体" w:hAnsi="宋体" w:cs="宋体"/>
                <w:color w:val="auto"/>
                <w:kern w:val="0"/>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\l "_五、评审与磋商" </w:instrText>
            </w:r>
            <w:r>
              <w:rPr>
                <w:rFonts w:ascii="宋体" w:hAnsi="宋体" w:cs="宋体"/>
                <w:color w:val="auto"/>
                <w:kern w:val="0"/>
                <w:szCs w:val="21"/>
                <w:highlight w:val="none"/>
              </w:rPr>
              <w:fldChar w:fldCharType="separate"/>
            </w:r>
            <w:r>
              <w:rPr>
                <w:rStyle w:val="43"/>
                <w:rFonts w:ascii="宋体" w:hAnsi="宋体" w:cs="宋体"/>
                <w:color w:val="auto"/>
                <w:kern w:val="0"/>
                <w:szCs w:val="21"/>
                <w:highlight w:val="none"/>
                <w:u w:val="none"/>
              </w:rPr>
              <w:t>评审及磋商：</w:t>
            </w:r>
          </w:p>
          <w:p>
            <w:pPr>
              <w:widowControl/>
              <w:spacing w:line="440" w:lineRule="exact"/>
              <w:rPr>
                <w:rFonts w:hint="eastAsia" w:ascii="宋体" w:hAnsi="宋体" w:cs="宋体"/>
                <w:color w:val="auto"/>
                <w:kern w:val="0"/>
                <w:szCs w:val="21"/>
                <w:highlight w:val="none"/>
              </w:rPr>
            </w:pPr>
            <w:r>
              <w:rPr>
                <w:rStyle w:val="43"/>
                <w:rFonts w:hint="eastAsia" w:ascii="宋体" w:hAnsi="宋体" w:cs="宋体"/>
                <w:color w:val="auto"/>
                <w:kern w:val="0"/>
                <w:szCs w:val="21"/>
                <w:highlight w:val="none"/>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104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"_第四章__评定标准及推荐原则" </w:instrText>
            </w:r>
            <w:r>
              <w:rPr>
                <w:color w:val="auto"/>
                <w:highlight w:val="none"/>
              </w:rPr>
              <w:fldChar w:fldCharType="separate"/>
            </w:r>
            <w:r>
              <w:rPr>
                <w:rStyle w:val="43"/>
                <w:rFonts w:hint="eastAsia" w:ascii="宋体" w:hAnsi="宋体" w:cs="宋体"/>
                <w:color w:val="auto"/>
                <w:kern w:val="0"/>
                <w:szCs w:val="21"/>
                <w:highlight w:val="none"/>
                <w:u w:val="none"/>
              </w:rPr>
              <w:t>评定方法：</w:t>
            </w:r>
            <w:r>
              <w:rPr>
                <w:rStyle w:val="43"/>
                <w:rFonts w:hint="eastAsia"/>
                <w:color w:val="auto"/>
                <w:highlight w:val="none"/>
                <w:u w:val="none"/>
              </w:rPr>
              <w:t>详见第四章《评定标准及推荐原则》。</w:t>
            </w:r>
            <w:r>
              <w:rPr>
                <w:rStyle w:val="43"/>
                <w:rFonts w:hint="eastAsia"/>
                <w:color w:val="auto"/>
                <w:highlight w:val="none"/>
                <w:u w:val="none"/>
              </w:rPr>
              <w:fldChar w:fldCharType="end"/>
            </w:r>
          </w:p>
        </w:tc>
      </w:tr>
      <w:tr>
        <w:tblPrEx>
          <w:tblCellMar>
            <w:top w:w="0" w:type="dxa"/>
            <w:left w:w="108" w:type="dxa"/>
            <w:bottom w:w="0" w:type="dxa"/>
            <w:right w:w="108" w:type="dxa"/>
          </w:tblCellMar>
        </w:tblPrEx>
        <w:trPr>
          <w:trHeight w:val="12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8</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"_十、其他事项" </w:instrText>
            </w:r>
            <w:r>
              <w:rPr>
                <w:color w:val="auto"/>
                <w:highlight w:val="none"/>
              </w:rPr>
              <w:fldChar w:fldCharType="separate"/>
            </w:r>
            <w:r>
              <w:rPr>
                <w:rStyle w:val="43"/>
                <w:rFonts w:hint="eastAsia" w:ascii="宋体" w:hAnsi="宋体" w:cs="宋体"/>
                <w:color w:val="auto"/>
                <w:kern w:val="0"/>
                <w:szCs w:val="21"/>
                <w:highlight w:val="none"/>
                <w:u w:val="none"/>
              </w:rPr>
              <w:t>代理服务费：按钦州市物价局“钦市价费〔2013﹞4号”文件，以差额定率累进法计算。成交供应商须按成交金额缴纳相应的代理服务费。</w:t>
            </w:r>
            <w:r>
              <w:rPr>
                <w:rStyle w:val="43"/>
                <w:rFonts w:hint="eastAsia" w:ascii="宋体" w:hAnsi="宋体" w:cs="宋体"/>
                <w:color w:val="auto"/>
                <w:kern w:val="0"/>
                <w:szCs w:val="21"/>
                <w:highlight w:val="none"/>
                <w:u w:val="none"/>
              </w:rPr>
              <w:fldChar w:fldCharType="end"/>
            </w:r>
          </w:p>
        </w:tc>
      </w:tr>
    </w:tbl>
    <w:p>
      <w:pPr>
        <w:rPr>
          <w:color w:val="auto"/>
          <w:highlight w:val="none"/>
        </w:rPr>
      </w:pPr>
      <w:bookmarkStart w:id="50" w:name="_Toc420505403"/>
    </w:p>
    <w:p>
      <w:pPr>
        <w:widowControl/>
        <w:jc w:val="left"/>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br w:type="page"/>
      </w:r>
    </w:p>
    <w:p>
      <w:pPr>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bookmarkEnd w:id="50"/>
    </w:p>
    <w:p>
      <w:pPr>
        <w:pStyle w:val="4"/>
        <w:spacing w:line="420" w:lineRule="exact"/>
        <w:rPr>
          <w:color w:val="auto"/>
          <w:highlight w:val="none"/>
        </w:rPr>
      </w:pPr>
      <w:bookmarkStart w:id="51" w:name="_一、总_则"/>
      <w:bookmarkEnd w:id="51"/>
      <w:r>
        <w:rPr>
          <w:rFonts w:hint="eastAsia"/>
          <w:color w:val="auto"/>
          <w:highlight w:val="none"/>
        </w:rPr>
        <w:t>一、总　则</w:t>
      </w:r>
    </w:p>
    <w:p>
      <w:pPr>
        <w:spacing w:line="406" w:lineRule="exact"/>
        <w:ind w:firstLine="210" w:firstLineChars="100"/>
        <w:rPr>
          <w:rFonts w:hint="eastAsia" w:ascii="宋体" w:hAnsi="宋体"/>
          <w:color w:val="auto"/>
          <w:szCs w:val="21"/>
          <w:highlight w:val="none"/>
        </w:rPr>
      </w:pPr>
      <w:r>
        <w:rPr>
          <w:rFonts w:hint="eastAsia" w:ascii="宋体" w:hAnsi="宋体"/>
          <w:color w:val="auto"/>
          <w:szCs w:val="21"/>
          <w:highlight w:val="none"/>
        </w:rPr>
        <w:t>（一）适用范围</w:t>
      </w:r>
    </w:p>
    <w:p>
      <w:pPr>
        <w:spacing w:line="406" w:lineRule="exact"/>
        <w:ind w:right="-334" w:rightChars="-159" w:firstLine="420"/>
        <w:rPr>
          <w:color w:val="auto"/>
          <w:szCs w:val="21"/>
          <w:highlight w:val="none"/>
        </w:rPr>
      </w:pPr>
      <w:r>
        <w:rPr>
          <w:rFonts w:ascii="宋体"/>
          <w:color w:val="auto"/>
          <w:highlight w:val="none"/>
        </w:rPr>
        <w:t>1.</w:t>
      </w:r>
      <w:r>
        <w:rPr>
          <w:rFonts w:hint="eastAsia" w:ascii="宋体"/>
          <w:color w:val="auto"/>
          <w:highlight w:val="none"/>
        </w:rPr>
        <w:t>项目名称：钦州市电子政务外网二期（含电子口岸专线）线路服务</w:t>
      </w:r>
    </w:p>
    <w:p>
      <w:pPr>
        <w:spacing w:line="406" w:lineRule="exact"/>
        <w:ind w:right="-334" w:rightChars="-159" w:firstLine="420"/>
        <w:rPr>
          <w:rFonts w:hint="eastAsia" w:eastAsia="宋体"/>
          <w:color w:val="auto"/>
          <w:highlight w:val="none"/>
          <w:lang w:eastAsia="zh-CN"/>
        </w:rPr>
      </w:pPr>
      <w:r>
        <w:rPr>
          <w:color w:val="auto"/>
          <w:szCs w:val="21"/>
          <w:highlight w:val="none"/>
        </w:rPr>
        <w:t>2.</w:t>
      </w:r>
      <w:r>
        <w:rPr>
          <w:rFonts w:hint="eastAsia"/>
          <w:color w:val="auto"/>
          <w:highlight w:val="none"/>
        </w:rPr>
        <w:t>项目编号：</w:t>
      </w:r>
      <w:r>
        <w:rPr>
          <w:rFonts w:hint="eastAsia"/>
          <w:color w:val="auto"/>
          <w:highlight w:val="none"/>
          <w:lang w:eastAsia="zh-CN"/>
        </w:rPr>
        <w:t>QZZC2025-C3-990082-QZSZ</w:t>
      </w:r>
    </w:p>
    <w:p>
      <w:pPr>
        <w:spacing w:line="406" w:lineRule="exact"/>
        <w:ind w:right="-334" w:rightChars="-159" w:firstLine="420"/>
        <w:rPr>
          <w:color w:val="auto"/>
          <w:szCs w:val="21"/>
          <w:highlight w:val="none"/>
        </w:rPr>
      </w:pPr>
      <w:r>
        <w:rPr>
          <w:rFonts w:hint="eastAsia" w:hAnsi="宋体"/>
          <w:color w:val="auto"/>
          <w:highlight w:val="none"/>
        </w:rPr>
        <w:t>本文件仅适用于本文件中所叙述的货物、服务类政府采购项目。</w:t>
      </w:r>
    </w:p>
    <w:p>
      <w:pPr>
        <w:spacing w:line="406" w:lineRule="exact"/>
        <w:ind w:firstLine="210" w:firstLineChars="100"/>
        <w:rPr>
          <w:rFonts w:hint="eastAsia" w:ascii="宋体" w:hAnsi="宋体"/>
          <w:color w:val="auto"/>
          <w:szCs w:val="21"/>
          <w:highlight w:val="none"/>
        </w:rPr>
      </w:pPr>
      <w:r>
        <w:rPr>
          <w:rFonts w:hint="eastAsia" w:ascii="宋体" w:hAnsi="宋体"/>
          <w:color w:val="auto"/>
          <w:szCs w:val="21"/>
          <w:highlight w:val="none"/>
        </w:rPr>
        <w:t>（二）定义</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2.“供应商”是指响应本文件要求，参加磋商的法人或其他组织。如果该供应商在本次采购项目中成交,即成为“成交供应商”。</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“采购代理机构”是指</w:t>
      </w:r>
      <w:r>
        <w:rPr>
          <w:rFonts w:hint="eastAsia" w:ascii="宋体" w:hAnsi="宋体"/>
          <w:color w:val="auto"/>
          <w:highlight w:val="none"/>
        </w:rPr>
        <w:t>钦州市政府采购中心。</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“货物和服务”是指本次采购文件中所采购的各种形态和种类的产品以及其提供的服务。</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“竞争性磋商采购文件”是指采用竞争性磋商方式进行政府采购的指导文件，简称“磋商文件”或“采购文件”。</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“响应文件”是指供应商根据采购文件要求，编制包含技术、服务和报价等所有内容的响应文件。</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“书面形式”</w:t>
      </w:r>
      <w:r>
        <w:rPr>
          <w:rFonts w:ascii="Helvetica" w:hAnsi="Helvetica"/>
          <w:color w:val="auto"/>
          <w:szCs w:val="21"/>
          <w:highlight w:val="none"/>
        </w:rPr>
        <w:t>是</w:t>
      </w:r>
      <w:r>
        <w:rPr>
          <w:rFonts w:hint="eastAsia" w:ascii="Helvetica" w:hAnsi="Helvetica"/>
          <w:color w:val="auto"/>
          <w:szCs w:val="21"/>
          <w:highlight w:val="none"/>
        </w:rPr>
        <w:t>指</w:t>
      </w:r>
      <w:r>
        <w:rPr>
          <w:rFonts w:ascii="Helvetica" w:hAnsi="Helvetica"/>
          <w:color w:val="auto"/>
          <w:szCs w:val="21"/>
          <w:highlight w:val="none"/>
        </w:rPr>
        <w:t>合同书、信件、电报、电传、传真等可以有形地表现所载内容的形式。</w:t>
      </w:r>
    </w:p>
    <w:p>
      <w:pPr>
        <w:spacing w:line="406" w:lineRule="exact"/>
        <w:ind w:firstLine="211" w:firstLineChars="100"/>
        <w:rPr>
          <w:rFonts w:hint="eastAsia" w:ascii="宋体" w:hAnsi="宋体"/>
          <w:b/>
          <w:color w:val="auto"/>
          <w:szCs w:val="21"/>
          <w:highlight w:val="none"/>
        </w:rPr>
      </w:pPr>
      <w:r>
        <w:rPr>
          <w:rFonts w:hint="eastAsia" w:ascii="宋体" w:hAnsi="宋体"/>
          <w:b/>
          <w:color w:val="auto"/>
          <w:szCs w:val="21"/>
          <w:highlight w:val="none"/>
        </w:rPr>
        <w:t>（三）供应商资格</w:t>
      </w:r>
    </w:p>
    <w:p>
      <w:pPr>
        <w:spacing w:line="406" w:lineRule="exact"/>
        <w:ind w:firstLine="420" w:firstLineChars="200"/>
        <w:rPr>
          <w:color w:val="auto"/>
          <w:highlight w:val="none"/>
        </w:rPr>
      </w:pPr>
      <w:r>
        <w:rPr>
          <w:rFonts w:hint="eastAsia"/>
          <w:color w:val="auto"/>
          <w:highlight w:val="none"/>
        </w:rPr>
        <w:t>1.满足《中华人民共和国政府采购法》第二十二条规定</w:t>
      </w:r>
    </w:p>
    <w:p>
      <w:pPr>
        <w:spacing w:line="406" w:lineRule="exact"/>
        <w:ind w:firstLine="42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pPr>
        <w:spacing w:line="406" w:lineRule="exact"/>
        <w:ind w:firstLine="420" w:firstLineChars="200"/>
        <w:rPr>
          <w:color w:val="auto"/>
          <w:highlight w:val="none"/>
        </w:rPr>
      </w:pPr>
      <w:r>
        <w:rPr>
          <w:rFonts w:hint="eastAsia"/>
          <w:color w:val="auto"/>
          <w:highlight w:val="none"/>
        </w:rPr>
        <w:t>3.本项目的特定资格要求：无</w:t>
      </w:r>
    </w:p>
    <w:p>
      <w:pPr>
        <w:spacing w:line="406" w:lineRule="exact"/>
        <w:ind w:firstLine="211" w:firstLineChars="100"/>
        <w:rPr>
          <w:b/>
          <w:bCs/>
          <w:color w:val="auto"/>
          <w:highlight w:val="none"/>
        </w:rPr>
      </w:pPr>
      <w:r>
        <w:rPr>
          <w:rFonts w:hint="eastAsia"/>
          <w:b/>
          <w:bCs/>
          <w:color w:val="auto"/>
          <w:highlight w:val="none"/>
        </w:rPr>
        <w:t>（四）采购方式</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竞争性磋商</w:t>
      </w:r>
    </w:p>
    <w:p>
      <w:pPr>
        <w:spacing w:line="406" w:lineRule="exact"/>
        <w:ind w:firstLine="211" w:firstLineChars="100"/>
        <w:rPr>
          <w:b/>
          <w:bCs/>
          <w:color w:val="auto"/>
          <w:highlight w:val="none"/>
        </w:rPr>
      </w:pPr>
      <w:bookmarkStart w:id="52" w:name="_Toc254970530"/>
      <w:bookmarkStart w:id="53" w:name="_Toc352700410"/>
      <w:bookmarkStart w:id="54" w:name="_Toc353785281"/>
      <w:bookmarkStart w:id="55" w:name="_Toc254970671"/>
      <w:r>
        <w:rPr>
          <w:rFonts w:hint="eastAsia"/>
          <w:b/>
          <w:bCs/>
          <w:color w:val="auto"/>
          <w:highlight w:val="none"/>
        </w:rPr>
        <w:t>（五）代理委托</w:t>
      </w:r>
      <w:bookmarkEnd w:id="52"/>
      <w:bookmarkEnd w:id="53"/>
      <w:bookmarkEnd w:id="54"/>
      <w:bookmarkEnd w:id="55"/>
    </w:p>
    <w:p>
      <w:pPr>
        <w:snapToGrid w:val="0"/>
        <w:spacing w:line="406" w:lineRule="exact"/>
        <w:ind w:firstLine="420" w:firstLineChars="200"/>
        <w:rPr>
          <w:rFonts w:hint="eastAsia" w:ascii="宋体" w:hAnsi="宋体" w:cs="Courier New"/>
          <w:bCs/>
          <w:color w:val="auto"/>
          <w:szCs w:val="21"/>
          <w:highlight w:val="none"/>
        </w:rPr>
      </w:pPr>
      <w:r>
        <w:rPr>
          <w:rFonts w:hint="eastAsia" w:ascii="宋体" w:hAnsi="宋体" w:cs="Courier New"/>
          <w:bCs/>
          <w:color w:val="auto"/>
          <w:szCs w:val="21"/>
          <w:highlight w:val="none"/>
        </w:rPr>
        <w:t>委托磋商的供应商须提供授权委托书（格式见第六章）。</w:t>
      </w:r>
    </w:p>
    <w:p>
      <w:pPr>
        <w:spacing w:line="406" w:lineRule="exact"/>
        <w:ind w:firstLine="211" w:firstLineChars="100"/>
        <w:rPr>
          <w:b/>
          <w:bCs/>
          <w:color w:val="auto"/>
          <w:highlight w:val="none"/>
        </w:rPr>
      </w:pPr>
      <w:bookmarkStart w:id="56" w:name="_Toc254970672"/>
      <w:bookmarkStart w:id="57" w:name="_Toc352700411"/>
      <w:bookmarkStart w:id="58" w:name="_Toc254970531"/>
      <w:bookmarkStart w:id="59" w:name="_Toc353785282"/>
      <w:r>
        <w:rPr>
          <w:rFonts w:hint="eastAsia"/>
          <w:b/>
          <w:bCs/>
          <w:color w:val="auto"/>
          <w:highlight w:val="none"/>
        </w:rPr>
        <w:t>（六）磋商费用</w:t>
      </w:r>
      <w:bookmarkEnd w:id="56"/>
      <w:bookmarkEnd w:id="57"/>
      <w:bookmarkEnd w:id="58"/>
      <w:bookmarkEnd w:id="59"/>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供应商自行承担所有与磋商有关的全部费用。</w:t>
      </w:r>
    </w:p>
    <w:p>
      <w:pPr>
        <w:spacing w:line="406" w:lineRule="exact"/>
        <w:ind w:firstLine="211" w:firstLineChars="100"/>
        <w:rPr>
          <w:b/>
          <w:bCs/>
          <w:color w:val="auto"/>
          <w:highlight w:val="none"/>
        </w:rPr>
      </w:pPr>
      <w:bookmarkStart w:id="60" w:name="_Toc353785283"/>
      <w:bookmarkStart w:id="61" w:name="_Toc352700413"/>
      <w:r>
        <w:rPr>
          <w:rFonts w:hint="eastAsia"/>
          <w:b/>
          <w:bCs/>
          <w:color w:val="auto"/>
          <w:highlight w:val="none"/>
        </w:rPr>
        <w:t>（七）转包与分包</w:t>
      </w:r>
      <w:bookmarkEnd w:id="60"/>
      <w:bookmarkEnd w:id="61"/>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p>
      <w:pPr>
        <w:spacing w:line="406" w:lineRule="exact"/>
        <w:ind w:firstLine="211" w:firstLineChars="100"/>
        <w:rPr>
          <w:b/>
          <w:bCs/>
          <w:color w:val="auto"/>
          <w:highlight w:val="none"/>
        </w:rPr>
      </w:pPr>
      <w:bookmarkStart w:id="62" w:name="_Toc254970532"/>
      <w:bookmarkStart w:id="63" w:name="_Toc353785284"/>
      <w:bookmarkStart w:id="64" w:name="_Toc352700414"/>
      <w:bookmarkStart w:id="65" w:name="_Toc254970673"/>
      <w:r>
        <w:rPr>
          <w:rFonts w:hint="eastAsia"/>
          <w:b/>
          <w:bCs/>
          <w:color w:val="auto"/>
          <w:highlight w:val="none"/>
        </w:rPr>
        <w:t>（八）特别说明</w:t>
      </w:r>
      <w:bookmarkEnd w:id="62"/>
      <w:bookmarkEnd w:id="63"/>
      <w:bookmarkEnd w:id="64"/>
      <w:bookmarkEnd w:id="65"/>
    </w:p>
    <w:p>
      <w:pPr>
        <w:pStyle w:val="22"/>
        <w:snapToGrid w:val="0"/>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2"/>
        <w:snapToGrid w:val="0"/>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pPr>
        <w:pStyle w:val="22"/>
        <w:snapToGrid w:val="0"/>
        <w:spacing w:line="406" w:lineRule="exact"/>
        <w:ind w:firstLine="420"/>
        <w:rPr>
          <w:rFonts w:hint="default" w:hAnsi="宋体" w:eastAsia="宋体"/>
          <w:color w:val="auto"/>
          <w:highlight w:val="none"/>
          <w:lang w:val="en-US" w:eastAsia="zh-CN"/>
        </w:rPr>
      </w:pPr>
      <w:r>
        <w:rPr>
          <w:rFonts w:hint="eastAsia" w:hAnsi="宋体"/>
          <w:color w:val="auto"/>
          <w:highlight w:val="none"/>
          <w:lang w:val="en-US" w:eastAsia="zh-CN"/>
        </w:rPr>
        <w:t>3.本项目接受银行、保险、石油石化、电力、电信行业的投标人分支机构参与投标。</w:t>
      </w:r>
    </w:p>
    <w:p>
      <w:pPr>
        <w:spacing w:line="406" w:lineRule="exact"/>
        <w:ind w:firstLine="211" w:firstLineChars="100"/>
        <w:rPr>
          <w:b/>
          <w:bCs/>
          <w:color w:val="auto"/>
          <w:highlight w:val="none"/>
        </w:rPr>
      </w:pPr>
      <w:bookmarkStart w:id="66" w:name="_Toc352700415"/>
      <w:bookmarkStart w:id="67" w:name="_Toc254970533"/>
      <w:bookmarkStart w:id="68" w:name="_Toc254970674"/>
      <w:bookmarkStart w:id="69" w:name="_Toc353785285"/>
      <w:r>
        <w:rPr>
          <w:rFonts w:hint="eastAsia"/>
          <w:b/>
          <w:bCs/>
          <w:color w:val="auto"/>
          <w:highlight w:val="none"/>
        </w:rPr>
        <w:t>（九）询问、质疑和投诉</w:t>
      </w:r>
      <w:bookmarkEnd w:id="66"/>
      <w:bookmarkEnd w:id="67"/>
      <w:bookmarkEnd w:id="68"/>
      <w:bookmarkEnd w:id="69"/>
    </w:p>
    <w:p>
      <w:pPr>
        <w:pStyle w:val="22"/>
        <w:snapToGrid w:val="0"/>
        <w:spacing w:line="406" w:lineRule="exact"/>
        <w:ind w:firstLine="420"/>
        <w:rPr>
          <w:rFonts w:hint="eastAsia"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pPr>
        <w:pStyle w:val="22"/>
        <w:snapToGrid w:val="0"/>
        <w:spacing w:line="406" w:lineRule="exact"/>
        <w:ind w:firstLine="420"/>
        <w:rPr>
          <w:rFonts w:hint="eastAsia" w:hAnsi="宋体"/>
          <w:bCs/>
          <w:color w:val="auto"/>
          <w:highlight w:val="none"/>
        </w:rPr>
      </w:pPr>
      <w:r>
        <w:rPr>
          <w:rFonts w:hAnsi="宋体"/>
          <w:bCs/>
          <w:color w:val="auto"/>
          <w:highlight w:val="none"/>
        </w:rPr>
        <w:t>2.</w:t>
      </w:r>
      <w:r>
        <w:rPr>
          <w:rFonts w:hint="eastAsia" w:hAnsi="宋体"/>
          <w:bCs/>
          <w:color w:val="auto"/>
          <w:highlight w:val="none"/>
        </w:rPr>
        <w:t>供应商认为采购文件、采购过程或成交结果使自己的合法权益受到损害的，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w:t>
      </w:r>
      <w:r>
        <w:rPr>
          <w:rFonts w:hint="eastAsia" w:cs="Arial"/>
          <w:color w:val="auto"/>
          <w:highlight w:val="none"/>
        </w:rPr>
        <w:t>向</w:t>
      </w:r>
      <w:r>
        <w:rPr>
          <w:rFonts w:cs="Arial"/>
          <w:color w:val="auto"/>
          <w:highlight w:val="none"/>
        </w:rPr>
        <w:t>采购人、</w:t>
      </w:r>
      <w:r>
        <w:rPr>
          <w:rFonts w:hint="eastAsia" w:cs="Arial"/>
          <w:color w:val="auto"/>
          <w:highlight w:val="none"/>
        </w:rPr>
        <w:t>本中心</w:t>
      </w:r>
      <w:r>
        <w:rPr>
          <w:rFonts w:cs="Arial"/>
          <w:color w:val="auto"/>
          <w:highlight w:val="none"/>
        </w:rPr>
        <w:t>提出质疑。</w:t>
      </w:r>
      <w:r>
        <w:rPr>
          <w:rFonts w:hint="eastAsia" w:hAnsi="宋体"/>
          <w:bCs/>
          <w:color w:val="auto"/>
          <w:highlight w:val="none"/>
        </w:rPr>
        <w:t>供应商必须在法定质疑期内一次性提出针对同一采购程序环节的质疑。</w:t>
      </w:r>
      <w:r>
        <w:rPr>
          <w:rFonts w:hint="eastAsia" w:hAnsi="宋体" w:cs="宋体"/>
          <w:color w:val="auto"/>
          <w:highlight w:val="none"/>
        </w:rPr>
        <w:t>供应商应知其权益受到损害之日，是指：</w:t>
      </w:r>
    </w:p>
    <w:p>
      <w:pPr>
        <w:pStyle w:val="22"/>
        <w:adjustRightInd w:val="0"/>
        <w:snapToGrid w:val="0"/>
        <w:spacing w:line="406"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对采购文件提出质疑的，为获取采购文件之日；</w:t>
      </w:r>
    </w:p>
    <w:p>
      <w:pPr>
        <w:pStyle w:val="22"/>
        <w:adjustRightInd w:val="0"/>
        <w:snapToGrid w:val="0"/>
        <w:spacing w:line="406"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对采购过程提出质疑的，为各采购程序环节结束之日；</w:t>
      </w:r>
    </w:p>
    <w:p>
      <w:pPr>
        <w:widowControl/>
        <w:adjustRightInd w:val="0"/>
        <w:snapToGrid w:val="0"/>
        <w:spacing w:line="406" w:lineRule="exact"/>
        <w:ind w:firstLine="102" w:firstLineChars="49"/>
        <w:jc w:val="left"/>
        <w:rPr>
          <w:rFonts w:hint="eastAsia"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对成交结果提出质疑的，为成交结果公告期限届满之日。</w:t>
      </w:r>
    </w:p>
    <w:p>
      <w:pPr>
        <w:widowControl/>
        <w:adjustRightInd w:val="0"/>
        <w:snapToGrid w:val="0"/>
        <w:spacing w:line="406" w:lineRule="exact"/>
        <w:ind w:firstLine="420"/>
        <w:jc w:val="left"/>
        <w:rPr>
          <w:rFonts w:hint="eastAsia"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pPr>
        <w:pStyle w:val="22"/>
        <w:snapToGrid w:val="0"/>
        <w:spacing w:line="406" w:lineRule="exact"/>
        <w:ind w:firstLine="420"/>
        <w:rPr>
          <w:rFonts w:hint="eastAsia"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06"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06" w:lineRule="exact"/>
        <w:ind w:firstLine="420"/>
        <w:rPr>
          <w:color w:val="auto"/>
          <w:highlight w:val="none"/>
        </w:rPr>
      </w:pPr>
      <w:r>
        <w:rPr>
          <w:rFonts w:hint="eastAsia"/>
          <w:color w:val="auto"/>
          <w:highlight w:val="none"/>
        </w:rPr>
        <w:t>采购监管部门联系方式：钦州市财政局      0777-</w:t>
      </w:r>
      <w:r>
        <w:rPr>
          <w:color w:val="auto"/>
          <w:highlight w:val="none"/>
        </w:rPr>
        <w:t>2895258</w:t>
      </w:r>
    </w:p>
    <w:p>
      <w:pPr>
        <w:spacing w:line="406" w:lineRule="exact"/>
        <w:ind w:firstLine="211" w:firstLineChars="100"/>
        <w:rPr>
          <w:b/>
          <w:bCs/>
          <w:color w:val="auto"/>
          <w:highlight w:val="none"/>
        </w:rPr>
      </w:pPr>
      <w:r>
        <w:rPr>
          <w:rFonts w:hint="eastAsia"/>
          <w:b/>
          <w:bCs/>
          <w:color w:val="auto"/>
          <w:highlight w:val="none"/>
        </w:rPr>
        <w:t xml:space="preserve">（十）查询媒体 </w:t>
      </w:r>
      <w:r>
        <w:rPr>
          <w:rFonts w:hint="eastAsia"/>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color w:val="auto"/>
          <w:highlight w:val="none"/>
        </w:rPr>
        <w:t>。</w:t>
      </w:r>
    </w:p>
    <w:p>
      <w:pPr>
        <w:pStyle w:val="4"/>
        <w:spacing w:line="406" w:lineRule="exact"/>
        <w:rPr>
          <w:color w:val="auto"/>
          <w:highlight w:val="none"/>
        </w:rPr>
      </w:pPr>
      <w:bookmarkStart w:id="70" w:name="_Toc352700416"/>
      <w:bookmarkStart w:id="71" w:name="_Toc353785286"/>
      <w:r>
        <w:rPr>
          <w:rFonts w:hint="eastAsia"/>
          <w:color w:val="auto"/>
          <w:highlight w:val="none"/>
        </w:rPr>
        <w:t>二、竞争性磋商采购文件</w:t>
      </w:r>
      <w:bookmarkEnd w:id="70"/>
      <w:bookmarkEnd w:id="71"/>
    </w:p>
    <w:p>
      <w:pPr>
        <w:spacing w:line="406" w:lineRule="exact"/>
        <w:ind w:firstLine="211" w:firstLineChars="100"/>
        <w:rPr>
          <w:b/>
          <w:bCs/>
          <w:color w:val="auto"/>
          <w:highlight w:val="none"/>
        </w:rPr>
      </w:pPr>
      <w:bookmarkStart w:id="72" w:name="_Toc353785287"/>
      <w:bookmarkStart w:id="73" w:name="_Toc352700417"/>
      <w:r>
        <w:rPr>
          <w:rFonts w:hint="eastAsia"/>
          <w:b/>
          <w:bCs/>
          <w:color w:val="auto"/>
          <w:highlight w:val="none"/>
        </w:rPr>
        <w:t>（一）竞争性磋商采购文件的组成</w:t>
      </w:r>
      <w:bookmarkEnd w:id="72"/>
      <w:bookmarkEnd w:id="73"/>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第一章 竞争性磋商公告</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第二章 项目需求</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第三章 供应商须知</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第四章 评定标准及推荐原则</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第五章 合同文本</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第六章 响应文件格式</w:t>
      </w:r>
    </w:p>
    <w:p>
      <w:pPr>
        <w:spacing w:line="406" w:lineRule="exact"/>
        <w:ind w:firstLine="211" w:firstLineChars="100"/>
        <w:rPr>
          <w:b/>
          <w:bCs/>
          <w:color w:val="auto"/>
          <w:highlight w:val="none"/>
        </w:rPr>
      </w:pPr>
      <w:bookmarkStart w:id="74" w:name="_Toc353785289"/>
      <w:bookmarkStart w:id="75" w:name="_Toc352700419"/>
      <w:r>
        <w:rPr>
          <w:rFonts w:hint="eastAsia"/>
          <w:b/>
          <w:bCs/>
          <w:color w:val="auto"/>
          <w:highlight w:val="none"/>
        </w:rPr>
        <w:t>（二）竞争性磋商采购文件的澄清与修改</w:t>
      </w:r>
      <w:bookmarkEnd w:id="74"/>
      <w:bookmarkEnd w:id="75"/>
    </w:p>
    <w:p>
      <w:pPr>
        <w:pStyle w:val="22"/>
        <w:snapToGrid w:val="0"/>
        <w:spacing w:line="406" w:lineRule="exact"/>
        <w:ind w:firstLine="420"/>
        <w:jc w:val="left"/>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highlight w:val="none"/>
        </w:rPr>
        <w:t>5</w:t>
      </w:r>
      <w:r>
        <w:rPr>
          <w:rFonts w:hint="eastAsia" w:hAnsi="宋体"/>
          <w:color w:val="auto"/>
          <w:highlight w:val="none"/>
        </w:rPr>
        <w:t>日前，以书面形式通知所有依法获取磋商文件的供应商，不足</w:t>
      </w:r>
      <w:r>
        <w:rPr>
          <w:rFonts w:hAnsi="宋体"/>
          <w:color w:val="auto"/>
          <w:highlight w:val="none"/>
        </w:rPr>
        <w:t>5</w:t>
      </w:r>
      <w:r>
        <w:rPr>
          <w:rFonts w:hint="eastAsia" w:hAnsi="宋体"/>
          <w:color w:val="auto"/>
          <w:highlight w:val="none"/>
        </w:rPr>
        <w:t>日的，采购人、本中心应当顺延提交首次响应文件截止之日。</w:t>
      </w:r>
    </w:p>
    <w:p>
      <w:pPr>
        <w:pStyle w:val="22"/>
        <w:snapToGrid w:val="0"/>
        <w:spacing w:line="406" w:lineRule="exact"/>
        <w:ind w:firstLine="420"/>
        <w:jc w:val="left"/>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提供期限届满后，获取磋商文件的供应商不足3家的，本中心可以顺延提供期限，并予公告。</w:t>
      </w:r>
    </w:p>
    <w:p>
      <w:pPr>
        <w:pStyle w:val="4"/>
        <w:spacing w:line="406" w:lineRule="exact"/>
        <w:rPr>
          <w:color w:val="auto"/>
          <w:highlight w:val="none"/>
        </w:rPr>
      </w:pPr>
      <w:bookmarkStart w:id="76" w:name="_三、响应文件"/>
      <w:bookmarkEnd w:id="76"/>
      <w:r>
        <w:rPr>
          <w:rFonts w:hint="eastAsia"/>
          <w:color w:val="auto"/>
          <w:highlight w:val="none"/>
        </w:rPr>
        <w:t>三、响应文件</w:t>
      </w:r>
    </w:p>
    <w:p>
      <w:pPr>
        <w:spacing w:line="406" w:lineRule="exact"/>
        <w:ind w:firstLine="211" w:firstLineChars="100"/>
        <w:rPr>
          <w:rFonts w:hint="eastAsia" w:hAnsi="宋体"/>
          <w:b/>
          <w:bCs/>
          <w:color w:val="auto"/>
          <w:highlight w:val="none"/>
        </w:rPr>
      </w:pPr>
      <w:r>
        <w:rPr>
          <w:rFonts w:hint="eastAsia" w:hAnsi="宋体"/>
          <w:b/>
          <w:bCs/>
          <w:color w:val="auto"/>
          <w:highlight w:val="none"/>
        </w:rPr>
        <w:t>（一）供应商的风险</w:t>
      </w:r>
    </w:p>
    <w:p>
      <w:pPr>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供应商应当按照磋商文件的要求编制响应文件，并对其提交的响应文件的真实性、合法性承担法律责任。</w:t>
      </w:r>
    </w:p>
    <w:p>
      <w:pPr>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供应商在采购活动中提供任何虚假材料的，磋商小组将报财政部门查处。</w:t>
      </w:r>
    </w:p>
    <w:p>
      <w:pPr>
        <w:snapToGrid w:val="0"/>
        <w:spacing w:line="406" w:lineRule="exact"/>
        <w:ind w:firstLine="211" w:firstLineChars="100"/>
        <w:rPr>
          <w:rFonts w:hint="eastAsia" w:ascii="宋体" w:hAnsi="宋体"/>
          <w:b/>
          <w:color w:val="auto"/>
          <w:szCs w:val="21"/>
          <w:highlight w:val="none"/>
        </w:rPr>
      </w:pPr>
      <w:r>
        <w:rPr>
          <w:rFonts w:hint="eastAsia" w:hAnsi="宋体"/>
          <w:b/>
          <w:bCs/>
          <w:color w:val="auto"/>
          <w:highlight w:val="none"/>
        </w:rPr>
        <w:t>（二）</w:t>
      </w:r>
      <w:r>
        <w:rPr>
          <w:rFonts w:hint="eastAsia" w:ascii="宋体" w:hAnsi="宋体"/>
          <w:b/>
          <w:color w:val="auto"/>
          <w:szCs w:val="21"/>
          <w:highlight w:val="none"/>
        </w:rPr>
        <w:t>响应文件的组成</w:t>
      </w:r>
    </w:p>
    <w:p>
      <w:pPr>
        <w:snapToGrid w:val="0"/>
        <w:spacing w:line="406" w:lineRule="exact"/>
        <w:ind w:firstLine="422"/>
        <w:rPr>
          <w:rFonts w:hint="eastAsia" w:ascii="宋体" w:hAnsi="宋体"/>
          <w:b/>
          <w:color w:val="auto"/>
          <w:szCs w:val="21"/>
          <w:highlight w:val="none"/>
        </w:rPr>
      </w:pPr>
      <w:bookmarkStart w:id="77"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06"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78"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78"/>
    <w:p>
      <w:pPr>
        <w:tabs>
          <w:tab w:val="left" w:pos="3870"/>
          <w:tab w:val="left" w:pos="4085"/>
        </w:tabs>
        <w:snapToGrid w:val="0"/>
        <w:spacing w:line="406" w:lineRule="exact"/>
        <w:ind w:firstLine="420"/>
        <w:rPr>
          <w:rFonts w:hint="eastAsia"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供应商具备参加政府采购活动条件的承诺书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06" w:lineRule="exact"/>
        <w:ind w:firstLine="420"/>
        <w:rPr>
          <w:rFonts w:hint="eastAsia" w:hAnsi="宋体"/>
          <w:color w:val="auto"/>
          <w:spacing w:val="-4"/>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spacing w:val="-4"/>
          <w:highlight w:val="none"/>
        </w:rPr>
        <w:t>参加政府采购活动前3年内在经营活动中没有重大违法记录的书面声明</w:t>
      </w:r>
      <w:bookmarkStart w:id="79" w:name="_Hlk108683109"/>
      <w:r>
        <w:rPr>
          <w:rFonts w:hint="eastAsia" w:hAnsi="宋体"/>
          <w:color w:val="auto"/>
          <w:spacing w:val="-4"/>
          <w:highlight w:val="none"/>
        </w:rPr>
        <w:t>(格式见第六章)</w:t>
      </w:r>
      <w:bookmarkEnd w:id="79"/>
    </w:p>
    <w:p>
      <w:pPr>
        <w:snapToGrid w:val="0"/>
        <w:spacing w:line="406" w:lineRule="exact"/>
        <w:ind w:firstLine="422"/>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snapToGrid w:val="0"/>
        <w:spacing w:line="406"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磋商函（格式见第六章）</w:t>
      </w:r>
    </w:p>
    <w:p>
      <w:pPr>
        <w:tabs>
          <w:tab w:val="left" w:pos="3870"/>
          <w:tab w:val="left" w:pos="4085"/>
        </w:tabs>
        <w:snapToGrid w:val="0"/>
        <w:spacing w:line="406"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法定代表人身份证</w:t>
      </w:r>
    </w:p>
    <w:p>
      <w:pPr>
        <w:tabs>
          <w:tab w:val="left" w:pos="3870"/>
          <w:tab w:val="left" w:pos="4085"/>
        </w:tabs>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法定代表人授权委托书和代理人身份证（委托代理时必须提供，格式见第六章）</w:t>
      </w:r>
    </w:p>
    <w:p>
      <w:pPr>
        <w:snapToGrid w:val="0"/>
        <w:spacing w:line="406"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ascii="宋体" w:hAnsi="宋体"/>
          <w:color w:val="auto"/>
          <w:highlight w:val="none"/>
        </w:rPr>
        <w:t>商务响应表(格式见第六章)</w:t>
      </w:r>
    </w:p>
    <w:p>
      <w:pPr>
        <w:snapToGrid w:val="0"/>
        <w:spacing w:line="406" w:lineRule="exact"/>
        <w:ind w:firstLine="422" w:firstLineChars="200"/>
        <w:rPr>
          <w:rFonts w:hint="eastAsia" w:ascii="宋体" w:hAnsi="宋体"/>
          <w:color w:val="auto"/>
          <w:highlight w:val="none"/>
        </w:rPr>
      </w:pPr>
      <w:r>
        <w:rPr>
          <w:rFonts w:hint="eastAsia" w:ascii="宋体" w:hAnsi="宋体"/>
          <w:b/>
          <w:color w:val="auto"/>
          <w:szCs w:val="21"/>
          <w:highlight w:val="none"/>
        </w:rPr>
        <w:t>★</w:t>
      </w:r>
      <w:r>
        <w:rPr>
          <w:rFonts w:hint="eastAsia" w:ascii="宋体" w:hAnsi="宋体"/>
          <w:color w:val="auto"/>
          <w:highlight w:val="none"/>
        </w:rPr>
        <w:t>(5</w:t>
      </w:r>
      <w:r>
        <w:rPr>
          <w:rFonts w:ascii="宋体" w:hAnsi="宋体"/>
          <w:color w:val="auto"/>
          <w:highlight w:val="none"/>
        </w:rPr>
        <w:t>)</w:t>
      </w:r>
      <w:r>
        <w:rPr>
          <w:rFonts w:hint="eastAsia" w:ascii="宋体" w:hAnsi="宋体"/>
          <w:color w:val="auto"/>
          <w:szCs w:val="21"/>
          <w:highlight w:val="none"/>
        </w:rPr>
        <w:t>技术响应表</w:t>
      </w:r>
      <w:bookmarkStart w:id="80" w:name="_Hlk92285954"/>
      <w:r>
        <w:rPr>
          <w:rFonts w:ascii="宋体" w:hAnsi="宋体"/>
          <w:color w:val="auto"/>
          <w:highlight w:val="none"/>
        </w:rPr>
        <w:t>(格式见第六章)</w:t>
      </w:r>
      <w:bookmarkEnd w:id="80"/>
    </w:p>
    <w:p>
      <w:pPr>
        <w:snapToGrid w:val="0"/>
        <w:spacing w:line="406" w:lineRule="exact"/>
        <w:ind w:firstLine="422" w:firstLineChars="200"/>
        <w:rPr>
          <w:rFonts w:hint="eastAsia" w:ascii="宋体" w:hAnsi="宋体"/>
          <w:bCs/>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《项目需求》中要求必须提供的材料</w:t>
      </w:r>
    </w:p>
    <w:p>
      <w:pPr>
        <w:snapToGrid w:val="0"/>
        <w:spacing w:line="406"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06" w:lineRule="exact"/>
        <w:rPr>
          <w:rFonts w:hint="eastAsia" w:ascii="宋体" w:hAnsi="宋体"/>
          <w:bCs/>
          <w:color w:val="auto"/>
          <w:szCs w:val="21"/>
          <w:highlight w:val="none"/>
        </w:rPr>
      </w:pPr>
      <w:bookmarkStart w:id="81" w:name="_Hlk92265738"/>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★报价明细表</w:t>
      </w:r>
      <w:bookmarkEnd w:id="81"/>
      <w:r>
        <w:rPr>
          <w:rFonts w:hint="eastAsia" w:ascii="宋体" w:hAnsi="宋体"/>
          <w:bCs/>
          <w:color w:val="auto"/>
          <w:szCs w:val="21"/>
          <w:highlight w:val="none"/>
        </w:rPr>
        <w:t>(格式见第六章)。</w:t>
      </w:r>
    </w:p>
    <w:bookmarkEnd w:id="77"/>
    <w:p>
      <w:pPr>
        <w:snapToGrid w:val="0"/>
        <w:spacing w:line="406" w:lineRule="exact"/>
        <w:ind w:firstLine="422"/>
        <w:rPr>
          <w:rFonts w:hint="eastAsia" w:ascii="宋体" w:hAnsi="宋体"/>
          <w:color w:val="auto"/>
          <w:szCs w:val="21"/>
          <w:highlight w:val="none"/>
        </w:rPr>
      </w:pPr>
      <w:r>
        <w:rPr>
          <w:rFonts w:hint="eastAsia" w:ascii="宋体" w:hAnsi="宋体"/>
          <w:color w:val="auto"/>
          <w:szCs w:val="21"/>
          <w:highlight w:val="none"/>
        </w:rPr>
        <w:t>注：①标注★号的材料均为必须提供的材料须由供应商加盖公章，授权委托书必须由法定代表人签名，否则视为无效响应文件。</w:t>
      </w:r>
    </w:p>
    <w:p>
      <w:pPr>
        <w:spacing w:line="406" w:lineRule="exact"/>
        <w:ind w:firstLine="210" w:firstLineChars="100"/>
        <w:rPr>
          <w:rFonts w:hint="eastAsia" w:ascii="宋体" w:hAnsi="宋体" w:cs="Courier New"/>
          <w:color w:val="auto"/>
          <w:szCs w:val="21"/>
          <w:highlight w:val="none"/>
        </w:rPr>
      </w:pPr>
      <w:bookmarkStart w:id="82" w:name="_Hlk90906323"/>
      <w:r>
        <w:rPr>
          <w:rFonts w:hint="eastAsia" w:ascii="宋体" w:hAnsi="宋体"/>
          <w:color w:val="auto"/>
          <w:szCs w:val="21"/>
          <w:highlight w:val="none"/>
        </w:rPr>
        <w:t>②</w:t>
      </w:r>
      <w:bookmarkStart w:id="83" w:name="_Hlk111726335"/>
      <w:r>
        <w:rPr>
          <w:rFonts w:hint="eastAsia" w:ascii="宋体" w:hAnsi="宋体" w:cs="Courier New"/>
          <w:color w:val="auto"/>
          <w:szCs w:val="21"/>
          <w:highlight w:val="none"/>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3"/>
    </w:p>
    <w:p>
      <w:pPr>
        <w:spacing w:line="406" w:lineRule="exact"/>
        <w:ind w:firstLine="211" w:firstLineChars="100"/>
        <w:rPr>
          <w:rFonts w:hint="eastAsia" w:ascii="宋体" w:hAnsi="宋体"/>
          <w:b/>
          <w:bCs/>
          <w:color w:val="auto"/>
          <w:szCs w:val="21"/>
          <w:highlight w:val="none"/>
        </w:rPr>
      </w:pPr>
      <w:r>
        <w:rPr>
          <w:rFonts w:hint="eastAsia" w:ascii="宋体" w:hAnsi="宋体"/>
          <w:b/>
          <w:color w:val="auto"/>
          <w:szCs w:val="21"/>
          <w:highlight w:val="none"/>
        </w:rPr>
        <w:t>（三）</w:t>
      </w:r>
      <w:bookmarkStart w:id="84" w:name="_Toc254970678"/>
      <w:bookmarkStart w:id="85" w:name="_Toc353785292"/>
      <w:bookmarkStart w:id="86" w:name="_Toc352700422"/>
      <w:bookmarkStart w:id="87" w:name="_Toc254970537"/>
      <w:r>
        <w:rPr>
          <w:rFonts w:hint="eastAsia" w:ascii="宋体" w:hAnsi="宋体"/>
          <w:b/>
          <w:bCs/>
          <w:color w:val="auto"/>
          <w:szCs w:val="21"/>
          <w:highlight w:val="none"/>
        </w:rPr>
        <w:t>响应文件的编制、签署及加密</w:t>
      </w:r>
    </w:p>
    <w:p>
      <w:pPr>
        <w:spacing w:line="406"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供应商应认真阅读、并充分理解采购文件的全部内容(包括所有的补充、修改内容)，承诺履行其各项条款的规定并按要求编制，响应文件应为电子文件或扫描件(样品除外)。</w:t>
      </w:r>
    </w:p>
    <w:p>
      <w:pPr>
        <w:spacing w:line="406"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供应商应通过广西政府采购云平台客户端编制加密响应文件。</w:t>
      </w:r>
    </w:p>
    <w:p>
      <w:pPr>
        <w:spacing w:line="406"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06" w:lineRule="exact"/>
        <w:rPr>
          <w:rFonts w:hint="eastAsia"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响应文件由供应商在规定位置由法定代表人或授权委托人签名（可为电子签名）、填写供应商名称并加盖公章(简称“盖章”，可为电子公章)，供应商名称应写全称。</w:t>
      </w:r>
    </w:p>
    <w:p>
      <w:pPr>
        <w:snapToGrid w:val="0"/>
        <w:spacing w:line="406" w:lineRule="exact"/>
        <w:ind w:firstLine="210" w:firstLineChars="100"/>
        <w:rPr>
          <w:rFonts w:hint="eastAsia"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82"/>
    <w:p>
      <w:pPr>
        <w:spacing w:line="406" w:lineRule="exact"/>
        <w:ind w:firstLine="211" w:firstLineChars="100"/>
        <w:rPr>
          <w:color w:val="auto"/>
          <w:highlight w:val="none"/>
        </w:rPr>
      </w:pPr>
      <w:r>
        <w:rPr>
          <w:rFonts w:hint="eastAsia"/>
          <w:b/>
          <w:bCs/>
          <w:color w:val="auto"/>
          <w:highlight w:val="none"/>
        </w:rPr>
        <w:t>（四）响应文件的语言及计量</w:t>
      </w:r>
      <w:bookmarkEnd w:id="84"/>
      <w:bookmarkEnd w:id="85"/>
      <w:bookmarkEnd w:id="86"/>
      <w:bookmarkEnd w:id="87"/>
    </w:p>
    <w:p>
      <w:pPr>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响应文件以及供应商与采购人、本中心就有关事宜的所有来往函电，均应以中文汉语书写。除签名、盖章、专用名称等特殊情形外，以中文汉语以外的文字表述的视为无效文件。</w:t>
      </w:r>
    </w:p>
    <w:p>
      <w:pPr>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2.响应</w:t>
      </w:r>
      <w:r>
        <w:rPr>
          <w:rFonts w:hint="eastAsia" w:ascii="宋体" w:hAnsi="宋体"/>
          <w:color w:val="auto"/>
          <w:szCs w:val="21"/>
          <w:highlight w:val="none"/>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06" w:lineRule="exact"/>
        <w:ind w:firstLine="211" w:firstLineChars="100"/>
        <w:rPr>
          <w:rFonts w:hint="eastAsia" w:ascii="宋体" w:hAnsi="宋体" w:eastAsia="宋体"/>
          <w:color w:val="auto"/>
          <w:sz w:val="21"/>
          <w:szCs w:val="21"/>
          <w:highlight w:val="none"/>
        </w:rPr>
      </w:pPr>
      <w:bookmarkStart w:id="88" w:name="_（五）报价"/>
      <w:bookmarkEnd w:id="88"/>
      <w:bookmarkStart w:id="89" w:name="_Toc254970538"/>
      <w:bookmarkStart w:id="90" w:name="_Toc254970679"/>
      <w:bookmarkStart w:id="91" w:name="_Toc352700423"/>
      <w:bookmarkStart w:id="92" w:name="_Toc353785293"/>
      <w:r>
        <w:rPr>
          <w:rFonts w:hint="eastAsia" w:ascii="宋体" w:hAnsi="宋体" w:eastAsia="宋体"/>
          <w:color w:val="auto"/>
          <w:sz w:val="21"/>
          <w:szCs w:val="21"/>
          <w:highlight w:val="none"/>
        </w:rPr>
        <w:t>（五）报价</w:t>
      </w:r>
      <w:bookmarkEnd w:id="89"/>
      <w:bookmarkEnd w:id="90"/>
      <w:bookmarkEnd w:id="91"/>
      <w:bookmarkEnd w:id="92"/>
    </w:p>
    <w:p>
      <w:pPr>
        <w:pStyle w:val="22"/>
        <w:snapToGrid w:val="0"/>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06" w:lineRule="exact"/>
        <w:ind w:firstLine="420"/>
        <w:rPr>
          <w:color w:val="auto"/>
          <w:highlight w:val="none"/>
        </w:rPr>
      </w:pPr>
      <w:r>
        <w:rPr>
          <w:rFonts w:hAnsi="宋体"/>
          <w:color w:val="auto"/>
          <w:highlight w:val="none"/>
        </w:rPr>
        <w:t>2</w:t>
      </w:r>
      <w:r>
        <w:rPr>
          <w:rFonts w:hint="eastAsia" w:hAnsi="宋体"/>
          <w:color w:val="auto"/>
          <w:highlight w:val="none"/>
        </w:rPr>
        <w:t>供应商</w:t>
      </w:r>
      <w:r>
        <w:rPr>
          <w:rFonts w:hint="eastAsia"/>
          <w:color w:val="auto"/>
          <w:highlight w:val="none"/>
        </w:rPr>
        <w:t>必须就《项目需求》货物和服务的内容作完整唯一报价</w:t>
      </w:r>
      <w:r>
        <w:rPr>
          <w:rFonts w:hint="eastAsia" w:hAnsi="宋体"/>
          <w:color w:val="auto"/>
          <w:highlight w:val="none"/>
        </w:rPr>
        <w:t>，有选择的或有条件的报价视为无效响应文件。</w:t>
      </w:r>
    </w:p>
    <w:p>
      <w:pPr>
        <w:tabs>
          <w:tab w:val="left" w:pos="525"/>
        </w:tabs>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供应商的报价必须按采购文件或政府采购云平台规定的格式填写，并在规定时间内提交最后报价。</w:t>
      </w:r>
    </w:p>
    <w:p>
      <w:pPr>
        <w:tabs>
          <w:tab w:val="left" w:pos="525"/>
        </w:tabs>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pPr>
        <w:pStyle w:val="4"/>
        <w:spacing w:before="0" w:after="0" w:line="406" w:lineRule="exact"/>
        <w:ind w:firstLine="211" w:firstLineChars="100"/>
        <w:rPr>
          <w:rFonts w:hint="eastAsia" w:ascii="宋体" w:hAnsi="宋体" w:eastAsia="宋体"/>
          <w:color w:val="auto"/>
          <w:sz w:val="21"/>
          <w:szCs w:val="21"/>
          <w:highlight w:val="none"/>
        </w:rPr>
      </w:pPr>
      <w:bookmarkStart w:id="93" w:name="_（六）磋商保证金"/>
      <w:bookmarkEnd w:id="93"/>
      <w:bookmarkStart w:id="94" w:name="_Toc254970541"/>
      <w:bookmarkStart w:id="95" w:name="_Toc254970682"/>
      <w:bookmarkStart w:id="96" w:name="_Toc353785295"/>
      <w:bookmarkStart w:id="97" w:name="_Toc352700425"/>
      <w:r>
        <w:rPr>
          <w:rFonts w:hint="eastAsia" w:ascii="宋体" w:hAnsi="宋体" w:eastAsia="宋体"/>
          <w:color w:val="auto"/>
          <w:sz w:val="21"/>
          <w:szCs w:val="21"/>
          <w:highlight w:val="none"/>
        </w:rPr>
        <w:t>（六）磋商保证金</w:t>
      </w:r>
      <w:bookmarkEnd w:id="94"/>
      <w:bookmarkEnd w:id="95"/>
      <w:bookmarkEnd w:id="96"/>
      <w:bookmarkEnd w:id="97"/>
    </w:p>
    <w:p>
      <w:pPr>
        <w:snapToGrid w:val="0"/>
        <w:spacing w:line="406" w:lineRule="exact"/>
        <w:ind w:firstLine="420" w:firstLineChars="200"/>
        <w:rPr>
          <w:color w:val="auto"/>
          <w:highlight w:val="none"/>
        </w:rPr>
      </w:pPr>
      <w:bookmarkStart w:id="98" w:name="_Toc254970542"/>
      <w:bookmarkStart w:id="99" w:name="_Toc353785296"/>
      <w:bookmarkStart w:id="100" w:name="_Toc352700426"/>
      <w:bookmarkStart w:id="101" w:name="_Toc254970683"/>
      <w:r>
        <w:rPr>
          <w:rFonts w:hint="eastAsia" w:ascii="宋体" w:hAnsi="宋体"/>
          <w:color w:val="auto"/>
          <w:szCs w:val="21"/>
          <w:highlight w:val="none"/>
        </w:rPr>
        <w:t>本项目免收磋商保证金。</w:t>
      </w:r>
    </w:p>
    <w:bookmarkEnd w:id="98"/>
    <w:bookmarkEnd w:id="99"/>
    <w:bookmarkEnd w:id="100"/>
    <w:bookmarkEnd w:id="101"/>
    <w:p>
      <w:pPr>
        <w:spacing w:line="406" w:lineRule="exact"/>
        <w:ind w:firstLine="211" w:firstLineChars="100"/>
        <w:rPr>
          <w:b/>
          <w:bCs/>
          <w:color w:val="auto"/>
          <w:highlight w:val="none"/>
        </w:rPr>
      </w:pPr>
      <w:r>
        <w:rPr>
          <w:rFonts w:hint="eastAsia"/>
          <w:b/>
          <w:bCs/>
          <w:color w:val="auto"/>
          <w:highlight w:val="none"/>
        </w:rPr>
        <w:t>（七）响应文件的上传、提交、修改、撤回</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102" w:name="_Hlk91772691"/>
      <w:r>
        <w:rPr>
          <w:rFonts w:hint="eastAsia" w:ascii="宋体" w:hAnsi="宋体"/>
          <w:color w:val="auto"/>
          <w:szCs w:val="21"/>
          <w:highlight w:val="none"/>
        </w:rPr>
        <w:t>政府采购云平台</w:t>
      </w:r>
      <w:bookmarkEnd w:id="102"/>
      <w:r>
        <w:rPr>
          <w:rFonts w:hint="eastAsia" w:ascii="宋体" w:hAnsi="宋体"/>
          <w:color w:val="auto"/>
          <w:szCs w:val="21"/>
          <w:highlight w:val="none"/>
        </w:rPr>
        <w:t>将予以拒收。</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pPr>
        <w:pStyle w:val="4"/>
        <w:spacing w:line="406" w:lineRule="exact"/>
        <w:rPr>
          <w:color w:val="auto"/>
          <w:highlight w:val="none"/>
        </w:rPr>
      </w:pPr>
      <w:bookmarkStart w:id="103" w:name="_四、响应文件开启"/>
      <w:bookmarkEnd w:id="103"/>
      <w:r>
        <w:rPr>
          <w:rFonts w:hint="eastAsia"/>
          <w:color w:val="auto"/>
          <w:highlight w:val="none"/>
        </w:rPr>
        <w:t>四、</w:t>
      </w:r>
      <w:bookmarkStart w:id="104" w:name="_Toc353785300"/>
      <w:bookmarkStart w:id="105" w:name="_Toc352700430"/>
      <w:r>
        <w:rPr>
          <w:rFonts w:hint="eastAsia"/>
          <w:color w:val="auto"/>
          <w:highlight w:val="none"/>
        </w:rPr>
        <w:t>响应文件开启</w:t>
      </w:r>
    </w:p>
    <w:bookmarkEnd w:id="104"/>
    <w:bookmarkEnd w:id="105"/>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（一）本中心将在响应文件提交截止时间后在</w:t>
      </w:r>
      <w:bookmarkStart w:id="106" w:name="_Hlk90300735"/>
      <w:r>
        <w:rPr>
          <w:rFonts w:hint="eastAsia"/>
          <w:color w:val="auto"/>
          <w:highlight w:val="none"/>
        </w:rPr>
        <w:t>政采云远程开标大厅</w:t>
      </w:r>
      <w:bookmarkEnd w:id="106"/>
      <w:r>
        <w:rPr>
          <w:rFonts w:hint="eastAsia"/>
          <w:color w:val="auto"/>
          <w:highlight w:val="none"/>
        </w:rPr>
        <w:t>进行响应文件开启，供应商法定代表人或委托代理人须按时登录</w:t>
      </w:r>
      <w:bookmarkStart w:id="107" w:name="_Hlk90300780"/>
      <w:r>
        <w:rPr>
          <w:rFonts w:hint="eastAsia"/>
          <w:color w:val="auto"/>
          <w:highlight w:val="none"/>
        </w:rPr>
        <w:t>政采云远程开标大厅</w:t>
      </w:r>
      <w:bookmarkEnd w:id="107"/>
      <w:r>
        <w:rPr>
          <w:rFonts w:hint="eastAsia"/>
          <w:color w:val="auto"/>
          <w:highlight w:val="none"/>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08" w:name="_Toc353785301"/>
      <w:bookmarkStart w:id="109" w:name="_Toc352700431"/>
    </w:p>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（二）</w:t>
      </w:r>
      <w:bookmarkEnd w:id="108"/>
      <w:bookmarkEnd w:id="109"/>
      <w:r>
        <w:rPr>
          <w:rFonts w:hint="eastAsia"/>
          <w:color w:val="auto"/>
          <w:highlight w:val="none"/>
        </w:rPr>
        <w:t>解密</w:t>
      </w:r>
    </w:p>
    <w:p>
      <w:pPr>
        <w:spacing w:line="406" w:lineRule="exact"/>
        <w:ind w:firstLine="420" w:firstLineChars="200"/>
        <w:rPr>
          <w:color w:val="auto"/>
          <w:highlight w:val="none"/>
        </w:rPr>
      </w:pP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pPr>
        <w:spacing w:line="406" w:lineRule="exact"/>
        <w:ind w:firstLine="211" w:firstLineChars="100"/>
        <w:rPr>
          <w:b/>
          <w:bCs/>
          <w:color w:val="auto"/>
          <w:highlight w:val="none"/>
        </w:rPr>
      </w:pPr>
      <w:r>
        <w:rPr>
          <w:rFonts w:hint="eastAsia"/>
          <w:b/>
          <w:bCs/>
          <w:color w:val="auto"/>
          <w:highlight w:val="none"/>
        </w:rPr>
        <w:t>（三）资格审查</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采购人依法对供应商的资格进行审查，资格性审查时，如发现下列情形之一的，响应文件将被视为无效：</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(2)资格证明文件不全的，或者不符合采购文件标明的资格要求的。</w:t>
      </w:r>
    </w:p>
    <w:p>
      <w:pPr>
        <w:snapToGrid w:val="0"/>
        <w:spacing w:line="406"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06" w:lineRule="exact"/>
        <w:rPr>
          <w:rFonts w:hint="eastAsia" w:ascii="宋体" w:hAnsi="宋体"/>
          <w:color w:val="auto"/>
          <w:szCs w:val="21"/>
          <w:highlight w:val="none"/>
        </w:rPr>
      </w:pPr>
      <w:bookmarkStart w:id="110" w:name="_五、评审与磋商"/>
      <w:bookmarkEnd w:id="110"/>
      <w:bookmarkStart w:id="111" w:name="_Toc254970545"/>
      <w:bookmarkStart w:id="112" w:name="_Toc352700432"/>
      <w:bookmarkStart w:id="113" w:name="_Toc254970686"/>
      <w:bookmarkStart w:id="114" w:name="_Toc353785302"/>
      <w:r>
        <w:rPr>
          <w:rFonts w:hint="eastAsia"/>
          <w:color w:val="auto"/>
          <w:highlight w:val="none"/>
        </w:rPr>
        <w:t>五、</w:t>
      </w:r>
      <w:bookmarkEnd w:id="111"/>
      <w:bookmarkEnd w:id="112"/>
      <w:bookmarkEnd w:id="113"/>
      <w:bookmarkEnd w:id="114"/>
      <w:r>
        <w:rPr>
          <w:rFonts w:hint="eastAsia" w:ascii="宋体" w:hAnsi="宋体"/>
          <w:color w:val="auto"/>
          <w:szCs w:val="21"/>
          <w:highlight w:val="none"/>
        </w:rPr>
        <w:t>评审与磋商</w:t>
      </w:r>
    </w:p>
    <w:p>
      <w:pPr>
        <w:snapToGrid w:val="0"/>
        <w:spacing w:line="406" w:lineRule="exact"/>
        <w:ind w:firstLine="211" w:firstLineChars="100"/>
        <w:rPr>
          <w:rFonts w:hint="eastAsia" w:ascii="宋体" w:hAnsi="宋体"/>
          <w:b/>
          <w:bCs/>
          <w:color w:val="auto"/>
          <w:szCs w:val="21"/>
          <w:highlight w:val="none"/>
        </w:rPr>
      </w:pPr>
      <w:bookmarkStart w:id="115" w:name="_Toc353785303"/>
      <w:bookmarkStart w:id="116" w:name="_Toc352700433"/>
      <w:r>
        <w:rPr>
          <w:rFonts w:hint="eastAsia" w:ascii="宋体" w:hAnsi="宋体"/>
          <w:b/>
          <w:bCs/>
          <w:color w:val="auto"/>
          <w:szCs w:val="21"/>
          <w:highlight w:val="none"/>
        </w:rPr>
        <w:t>（一）评审原则：</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磋商小组必须公平、公正、客观，不带任何倾向性和启发性；不得向外界透露任何与评审有关的内容；任何单位和个人不得干扰、影响评审的正常进行；磋商小组及有关工作人员不得私下接触供应商。</w:t>
      </w:r>
    </w:p>
    <w:p>
      <w:pPr>
        <w:snapToGrid w:val="0"/>
        <w:spacing w:line="406" w:lineRule="exact"/>
        <w:ind w:firstLine="420" w:firstLineChars="200"/>
        <w:rPr>
          <w:rFonts w:hint="eastAsia"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本项目采用不公开方式评审，评审的依据为采购文件和响应文件。</w:t>
      </w:r>
    </w:p>
    <w:p>
      <w:pPr>
        <w:snapToGrid w:val="0"/>
        <w:spacing w:line="406" w:lineRule="exact"/>
        <w:ind w:firstLine="211" w:firstLineChars="100"/>
        <w:rPr>
          <w:rFonts w:hint="eastAsia" w:ascii="宋体" w:hAnsi="宋体"/>
          <w:b/>
          <w:bCs/>
          <w:color w:val="auto"/>
          <w:szCs w:val="21"/>
          <w:highlight w:val="none"/>
        </w:rPr>
      </w:pPr>
      <w:r>
        <w:rPr>
          <w:rFonts w:hint="eastAsia"/>
          <w:b/>
          <w:bCs/>
          <w:color w:val="auto"/>
          <w:highlight w:val="none"/>
        </w:rPr>
        <w:t>（二）成立磋商小组</w:t>
      </w:r>
    </w:p>
    <w:p>
      <w:pPr>
        <w:snapToGrid w:val="0"/>
        <w:spacing w:line="406" w:lineRule="exact"/>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磋商小组</w:t>
      </w:r>
      <w:bookmarkEnd w:id="115"/>
      <w:bookmarkEnd w:id="116"/>
      <w:r>
        <w:rPr>
          <w:rFonts w:hint="eastAsia" w:ascii="宋体" w:hAnsi="宋体" w:cs="Courier New"/>
          <w:bCs/>
          <w:color w:val="auto"/>
          <w:szCs w:val="21"/>
          <w:highlight w:val="none"/>
        </w:rPr>
        <w:t>由采购人代表和评审专家共3人以上单数组成，其中评审专家人数不得少于磋商小组成员总数的2/3。</w:t>
      </w:r>
    </w:p>
    <w:p>
      <w:pPr>
        <w:spacing w:line="406"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（三）实质性审查</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磋商小组成员根据磋商文件规定的评审程序、评审方法和评审标准进行独立评审。未实质性响应磋商文件的响应文件按无效响应处理，磋商小组应当告知提交响应文件的供应商。</w:t>
      </w:r>
    </w:p>
    <w:p>
      <w:pPr>
        <w:snapToGrid w:val="0"/>
        <w:spacing w:line="406"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①响应文件未按响应文件编制要求提供或内容虚假的；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②响应文件无法定代表人或其委托代理人签署、未提供授权委托书，或未按规定盖章的；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③供应商代表未能出具身份证明或与法定代表人委托代理人身份不符的；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④经磋商未实质性响应采购文件采购需求的技术、服务要求的；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⑤经磋商</w:t>
      </w:r>
      <w:r>
        <w:rPr>
          <w:rFonts w:hint="eastAsia" w:ascii="宋体" w:hAnsi="宋体"/>
          <w:color w:val="auto"/>
          <w:spacing w:val="-4"/>
          <w:szCs w:val="21"/>
          <w:highlight w:val="none"/>
        </w:rPr>
        <w:t>不符合采购文件要求的质量标准，或者与采购文件中的技术指标、功能、服务事项发生较大偏离，已不符合采购人需求的；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⑥响应文件有采购人不能接受的附加条件的；</w:t>
      </w:r>
    </w:p>
    <w:p>
      <w:pPr>
        <w:snapToGrid w:val="0"/>
        <w:spacing w:line="406"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⑦响应文件技术方案不明确，存在一个或一个以上备选(替代)响应方案的；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⑧响应文件的实质性内容未使用中文表述、意思表述不明确、前后矛盾或者使用计量单位不符合采购文件要求的。</w:t>
      </w:r>
    </w:p>
    <w:p>
      <w:pPr>
        <w:spacing w:line="406" w:lineRule="exact"/>
        <w:ind w:firstLine="211" w:firstLineChars="100"/>
        <w:rPr>
          <w:b/>
          <w:bCs/>
          <w:color w:val="auto"/>
          <w:highlight w:val="none"/>
        </w:rPr>
      </w:pPr>
      <w:r>
        <w:rPr>
          <w:rFonts w:hint="eastAsia"/>
          <w:b/>
          <w:bCs/>
          <w:color w:val="auto"/>
          <w:highlight w:val="none"/>
        </w:rPr>
        <w:t>（四）磋商</w:t>
      </w:r>
    </w:p>
    <w:p>
      <w:pPr>
        <w:pStyle w:val="22"/>
        <w:spacing w:line="406" w:lineRule="exact"/>
        <w:ind w:firstLine="420" w:firstLineChars="20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磋商小组所有成员应当集中与单一供应商分别进行磋商，并给予所有参加磋商的供应商平等的磋商机会。</w:t>
      </w:r>
    </w:p>
    <w:p>
      <w:pPr>
        <w:pStyle w:val="22"/>
        <w:spacing w:line="406" w:lineRule="exact"/>
        <w:ind w:firstLine="420" w:firstLineChars="200"/>
        <w:rPr>
          <w:rFonts w:hint="eastAsia" w:hAnsi="宋体"/>
          <w:bCs/>
          <w:color w:val="auto"/>
          <w:highlight w:val="none"/>
        </w:rPr>
      </w:pPr>
      <w:r>
        <w:rPr>
          <w:rFonts w:hAnsi="宋体"/>
          <w:bCs/>
          <w:color w:val="auto"/>
          <w:highlight w:val="none"/>
        </w:rPr>
        <w:t>2.</w:t>
      </w:r>
      <w:r>
        <w:rPr>
          <w:rFonts w:hint="eastAsia" w:hAnsi="宋体"/>
          <w:bCs/>
          <w:color w:val="auto"/>
          <w:highlight w:val="none"/>
        </w:rPr>
        <w:t>磋商小组可以根据磋商文件和磋商情况实质性变动采购需求中的技术、服务要求以及合同草案条款，但不得变动磋商文件中的其他内容。实质性变动的内容，须经采购人代表确认。</w:t>
      </w:r>
    </w:p>
    <w:p>
      <w:pPr>
        <w:pStyle w:val="22"/>
        <w:spacing w:line="406" w:lineRule="exact"/>
        <w:ind w:firstLine="420" w:firstLineChars="200"/>
        <w:rPr>
          <w:rFonts w:hint="eastAsia" w:hAnsi="宋体"/>
          <w:bCs/>
          <w:color w:val="auto"/>
          <w:highlight w:val="none"/>
        </w:rPr>
      </w:pPr>
      <w:r>
        <w:rPr>
          <w:rFonts w:hAnsi="宋体"/>
          <w:bCs/>
          <w:color w:val="auto"/>
          <w:highlight w:val="none"/>
        </w:rPr>
        <w:t>3.</w:t>
      </w:r>
      <w:r>
        <w:rPr>
          <w:rFonts w:hint="eastAsia" w:hAnsi="宋体"/>
          <w:bCs/>
          <w:color w:val="auto"/>
          <w:highlight w:val="none"/>
        </w:rPr>
        <w:t>对磋商文件作出的实质性变动是磋商文件的有效组成部分，磋商小组应当及时以书面形式同时通知所有参加磋商的供应商。</w:t>
      </w:r>
    </w:p>
    <w:p>
      <w:pPr>
        <w:pStyle w:val="22"/>
        <w:spacing w:line="406" w:lineRule="exact"/>
        <w:ind w:firstLine="420" w:firstLineChars="200"/>
        <w:rPr>
          <w:rFonts w:hint="eastAsia" w:hAnsi="宋体"/>
          <w:bCs/>
          <w:color w:val="auto"/>
          <w:highlight w:val="none"/>
        </w:rPr>
      </w:pPr>
      <w:r>
        <w:rPr>
          <w:rFonts w:hAnsi="宋体"/>
          <w:bCs/>
          <w:color w:val="auto"/>
          <w:highlight w:val="none"/>
        </w:rPr>
        <w:t>4.</w:t>
      </w:r>
      <w:r>
        <w:rPr>
          <w:rFonts w:hint="eastAsia" w:hAnsi="宋体"/>
          <w:bCs/>
          <w:color w:val="auto"/>
          <w:highlight w:val="none"/>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pPr>
        <w:pStyle w:val="22"/>
        <w:spacing w:line="406" w:lineRule="exact"/>
        <w:ind w:firstLine="420" w:firstLineChars="200"/>
        <w:rPr>
          <w:rFonts w:hint="eastAsia" w:hAnsi="宋体"/>
          <w:bCs/>
          <w:color w:val="auto"/>
          <w:highlight w:val="none"/>
        </w:rPr>
      </w:pPr>
      <w:r>
        <w:rPr>
          <w:rFonts w:hAnsi="宋体"/>
          <w:bCs/>
          <w:color w:val="auto"/>
          <w:highlight w:val="none"/>
        </w:rPr>
        <w:t>5.</w:t>
      </w:r>
      <w:r>
        <w:rPr>
          <w:rFonts w:hint="eastAsia" w:hAnsi="宋体"/>
          <w:bCs/>
          <w:color w:val="auto"/>
          <w:highlight w:val="none"/>
        </w:rPr>
        <w:t>已提交响应文件的供应商，在提交最后报价之前，可以根据磋商情况退出磋商。</w:t>
      </w:r>
    </w:p>
    <w:p>
      <w:pPr>
        <w:spacing w:line="406" w:lineRule="exact"/>
        <w:ind w:firstLine="211" w:firstLineChars="100"/>
        <w:rPr>
          <w:b/>
          <w:bCs/>
          <w:color w:val="auto"/>
          <w:highlight w:val="none"/>
        </w:rPr>
      </w:pPr>
      <w:r>
        <w:rPr>
          <w:rFonts w:hint="eastAsia"/>
          <w:b/>
          <w:bCs/>
          <w:color w:val="auto"/>
          <w:highlight w:val="none"/>
        </w:rPr>
        <w:t>（五）最后报价</w:t>
      </w:r>
    </w:p>
    <w:p>
      <w:pPr>
        <w:spacing w:line="406" w:lineRule="exact"/>
        <w:ind w:firstLine="420" w:firstLineChars="200"/>
        <w:rPr>
          <w:color w:val="auto"/>
          <w:highlight w:val="none"/>
        </w:rPr>
      </w:pPr>
      <w:r>
        <w:rPr>
          <w:color w:val="auto"/>
          <w:highlight w:val="none"/>
        </w:rPr>
        <w:t>1.</w:t>
      </w:r>
      <w:r>
        <w:rPr>
          <w:rFonts w:hint="eastAsia"/>
          <w:color w:val="auto"/>
          <w:highlight w:val="none"/>
        </w:rPr>
        <w:t>磋商文件能够详细列明采购标的的技术、服务要求的，磋商结束后，磋商小组应当要求所有实质性响应的供应商在规定时间内提交最后报价，提交最后报价的供应商不得少于3家。</w:t>
      </w:r>
    </w:p>
    <w:p>
      <w:pPr>
        <w:spacing w:line="406" w:lineRule="exact"/>
        <w:ind w:firstLine="420" w:firstLineChars="200"/>
        <w:rPr>
          <w:color w:val="auto"/>
          <w:highlight w:val="none"/>
        </w:rPr>
      </w:pPr>
      <w:r>
        <w:rPr>
          <w:rFonts w:hint="eastAsia"/>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6" w:lineRule="exact"/>
        <w:ind w:firstLine="420" w:firstLineChars="200"/>
        <w:rPr>
          <w:color w:val="auto"/>
          <w:highlight w:val="none"/>
        </w:rPr>
      </w:pPr>
      <w:bookmarkStart w:id="117" w:name="_Hlk101270484"/>
      <w:r>
        <w:rPr>
          <w:rFonts w:hint="eastAsia"/>
          <w:color w:val="auto"/>
          <w:highlight w:val="none"/>
        </w:rPr>
        <w:t>市场竞争不充分的科研项目，以及需要扶持的科技成果转化项目</w:t>
      </w:r>
      <w:bookmarkEnd w:id="117"/>
      <w:r>
        <w:rPr>
          <w:rFonts w:hint="eastAsia"/>
          <w:color w:val="auto"/>
          <w:highlight w:val="none"/>
        </w:rPr>
        <w:t>提交最后报价的供应商可以为2家。</w:t>
      </w:r>
    </w:p>
    <w:p>
      <w:pPr>
        <w:spacing w:line="406" w:lineRule="exact"/>
        <w:ind w:firstLine="420" w:firstLineChars="200"/>
        <w:rPr>
          <w:color w:val="auto"/>
          <w:highlight w:val="none"/>
        </w:rPr>
      </w:pPr>
      <w:r>
        <w:rPr>
          <w:color w:val="auto"/>
          <w:highlight w:val="none"/>
        </w:rPr>
        <w:t>2.</w:t>
      </w:r>
      <w:r>
        <w:rPr>
          <w:rFonts w:hint="eastAsia"/>
          <w:color w:val="auto"/>
          <w:highlight w:val="none"/>
        </w:rPr>
        <w:t>最后报价应由其法定代表人或授权代表签名或者加盖公章，最后报价即系供应商响应报价。</w:t>
      </w:r>
    </w:p>
    <w:p>
      <w:pPr>
        <w:snapToGrid w:val="0"/>
        <w:spacing w:line="406" w:lineRule="exact"/>
        <w:ind w:firstLine="422" w:firstLineChars="200"/>
        <w:rPr>
          <w:rFonts w:hint="eastAsia" w:ascii="宋体" w:hAnsi="宋体"/>
          <w:color w:val="auto"/>
          <w:szCs w:val="21"/>
          <w:highlight w:val="none"/>
        </w:rPr>
      </w:pPr>
      <w:r>
        <w:rPr>
          <w:rFonts w:hint="eastAsia"/>
          <w:b/>
          <w:bCs/>
          <w:color w:val="auto"/>
          <w:highlight w:val="none"/>
        </w:rPr>
        <w:t>3</w:t>
      </w:r>
      <w:r>
        <w:rPr>
          <w:b/>
          <w:bCs/>
          <w:color w:val="auto"/>
          <w:highlight w:val="none"/>
        </w:rPr>
        <w:t>.</w:t>
      </w:r>
      <w:r>
        <w:rPr>
          <w:rFonts w:hint="eastAsia" w:ascii="宋体" w:hAnsi="宋体" w:cs="Courier New"/>
          <w:b/>
          <w:color w:val="auto"/>
          <w:szCs w:val="21"/>
          <w:highlight w:val="none"/>
        </w:rPr>
        <w:t>在报价评审时，如发现下列情形之一的，响应文件将被视为无效：</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报价未采用人民币或者未按照采购文件标明的币种报价的；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报价明细表中货物品牌、规格、型号、服务事项未明确或与响应文件中相应内容不一致的；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报价具有选择性的；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报价未按采购文件或政府采购云平台规定的格式填写，或未在规定时间内提交最后报价的。</w:t>
      </w:r>
    </w:p>
    <w:p>
      <w:pPr>
        <w:spacing w:line="406" w:lineRule="exact"/>
        <w:ind w:firstLine="211" w:firstLineChars="100"/>
        <w:rPr>
          <w:b/>
          <w:bCs/>
          <w:color w:val="auto"/>
          <w:highlight w:val="none"/>
        </w:rPr>
      </w:pPr>
      <w:r>
        <w:rPr>
          <w:rFonts w:hint="eastAsia"/>
          <w:b/>
          <w:bCs/>
          <w:color w:val="auto"/>
          <w:highlight w:val="none"/>
        </w:rPr>
        <w:t>（六）澄清、说明或者更正的形式</w:t>
      </w:r>
    </w:p>
    <w:p>
      <w:pPr>
        <w:pStyle w:val="22"/>
        <w:spacing w:line="406" w:lineRule="exact"/>
        <w:ind w:firstLine="42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磋商小组在对响应文件的有效性、完整性和响应程度进行审查时，可以要求供应商对响应文件中含义不明确、同类问题表述不一致或者有明显文字和计算错误的内容等作出必要的</w:t>
      </w:r>
      <w:bookmarkStart w:id="118" w:name="_Hlk92462362"/>
      <w:r>
        <w:rPr>
          <w:rFonts w:hint="eastAsia" w:hAnsi="宋体"/>
          <w:bCs/>
          <w:color w:val="auto"/>
          <w:highlight w:val="none"/>
        </w:rPr>
        <w:t>澄清、说明或者更正</w:t>
      </w:r>
      <w:bookmarkEnd w:id="118"/>
      <w:r>
        <w:rPr>
          <w:rFonts w:hint="eastAsia" w:hAnsi="宋体"/>
          <w:bCs/>
          <w:color w:val="auto"/>
          <w:highlight w:val="none"/>
        </w:rPr>
        <w:t>。供应商的澄清、说明或者更正不得超出响应文件的范围或者改变响应文件的实质性内容。</w:t>
      </w:r>
    </w:p>
    <w:p>
      <w:pPr>
        <w:pStyle w:val="22"/>
        <w:spacing w:line="406" w:lineRule="exact"/>
        <w:ind w:firstLine="420"/>
        <w:rPr>
          <w:rFonts w:hint="eastAsia"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06" w:lineRule="exact"/>
        <w:ind w:firstLine="211" w:firstLineChars="100"/>
        <w:rPr>
          <w:b/>
          <w:bCs/>
          <w:color w:val="auto"/>
          <w:highlight w:val="none"/>
        </w:rPr>
      </w:pPr>
      <w:r>
        <w:rPr>
          <w:rFonts w:hint="eastAsia"/>
          <w:b/>
          <w:bCs/>
          <w:color w:val="auto"/>
          <w:highlight w:val="none"/>
        </w:rPr>
        <w:t>（七）综合评分</w:t>
      </w:r>
    </w:p>
    <w:p>
      <w:pPr>
        <w:spacing w:line="406" w:lineRule="exact"/>
        <w:ind w:firstLine="420" w:firstLineChars="200"/>
        <w:rPr>
          <w:rFonts w:ascii="宋体" w:hAnsi="Courier New" w:cs="Courier New"/>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经磋商确定最终采购需求和提交最后报价的供应商后，由磋商小组采用综合评分法对提交最后报价的供应商的响应文件和最后报价进行综合评分。</w:t>
      </w:r>
    </w:p>
    <w:p>
      <w:pPr>
        <w:spacing w:line="406" w:lineRule="exact"/>
        <w:ind w:firstLine="420" w:firstLineChars="200"/>
        <w:rPr>
          <w:color w:val="auto"/>
          <w:highlight w:val="none"/>
        </w:rPr>
      </w:pPr>
      <w:r>
        <w:rPr>
          <w:rFonts w:hint="eastAsia" w:ascii="宋体" w:hAnsi="Courier New" w:cs="Courier New"/>
          <w:color w:val="auto"/>
          <w:szCs w:val="21"/>
          <w:highlight w:val="none"/>
        </w:rPr>
        <w:t>2</w:t>
      </w:r>
      <w:r>
        <w:rPr>
          <w:rFonts w:ascii="宋体" w:hAnsi="Courier New" w:cs="Courier New"/>
          <w:color w:val="auto"/>
          <w:szCs w:val="21"/>
          <w:highlight w:val="none"/>
        </w:rPr>
        <w:t>.</w:t>
      </w:r>
      <w:r>
        <w:rPr>
          <w:rFonts w:hint="eastAsia" w:ascii="宋体" w:hAnsi="Courier New" w:cs="Courier New"/>
          <w:color w:val="auto"/>
          <w:szCs w:val="21"/>
          <w:highlight w:val="none"/>
        </w:rPr>
        <w:t>综合评分法：响应文件满足磋商文件全部实质性要求且按评审因素的量化指标评审得分最高的供应商为成交候选供应商，详见第四章《评定标准及推荐原则》。</w:t>
      </w:r>
    </w:p>
    <w:p>
      <w:pPr>
        <w:pStyle w:val="22"/>
        <w:spacing w:line="406" w:lineRule="exact"/>
        <w:ind w:firstLine="211" w:firstLineChars="100"/>
        <w:rPr>
          <w:rFonts w:hint="eastAsia" w:hAnsi="宋体"/>
          <w:b/>
          <w:color w:val="auto"/>
          <w:highlight w:val="none"/>
        </w:rPr>
      </w:pPr>
      <w:r>
        <w:rPr>
          <w:rFonts w:hint="eastAsia" w:hAnsi="宋体"/>
          <w:b/>
          <w:color w:val="auto"/>
          <w:highlight w:val="none"/>
        </w:rPr>
        <w:t>（八）供应商有下列情形之一的，属于恶意串通：</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属于同一集团、协会、商会等组织成员的供应商按照该组织要求协同参加政府采购活动；</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pPr>
        <w:pStyle w:val="22"/>
        <w:spacing w:line="406" w:lineRule="exact"/>
        <w:ind w:firstLine="211" w:firstLineChars="100"/>
        <w:rPr>
          <w:rFonts w:hint="eastAsia" w:hAnsi="宋体"/>
          <w:b/>
          <w:color w:val="auto"/>
          <w:highlight w:val="none"/>
        </w:rPr>
      </w:pPr>
      <w:r>
        <w:rPr>
          <w:rFonts w:hint="eastAsia" w:hAnsi="宋体"/>
          <w:b/>
          <w:color w:val="auto"/>
          <w:highlight w:val="none"/>
        </w:rPr>
        <w:t>（九）评审报告</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磋商小组应当根据评审记录和评审结果编写评审报告，主要内容包括：</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邀请供应商参加采购活动的具体方式和相关情况；</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响应文件开启日期和地点；</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获取磋商文件的供应商名单和磋商小组成员名单；</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评审情况记录和说明，包括对供应商的资格审查情况、供应商响应文件评审情况、磋商情况、报价情况等；</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提出的成交候选供应商的排序名单及理由。</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pStyle w:val="22"/>
        <w:spacing w:line="406" w:lineRule="exact"/>
        <w:ind w:firstLine="211" w:firstLineChars="100"/>
        <w:rPr>
          <w:rFonts w:hint="eastAsia" w:hAnsi="宋体"/>
          <w:color w:val="auto"/>
          <w:highlight w:val="none"/>
        </w:rPr>
      </w:pPr>
      <w:r>
        <w:rPr>
          <w:rFonts w:hint="eastAsia" w:hAnsi="宋体"/>
          <w:b/>
          <w:bCs/>
          <w:color w:val="auto"/>
          <w:highlight w:val="none"/>
        </w:rPr>
        <w:t>（十）</w:t>
      </w:r>
      <w:r>
        <w:rPr>
          <w:rFonts w:hint="eastAsia" w:hAnsi="宋体"/>
          <w:b/>
          <w:color w:val="auto"/>
          <w:highlight w:val="none"/>
        </w:rPr>
        <w:t>出现下列情形之一的，本中心将终止竞争性磋商采购活动：</w:t>
      </w:r>
    </w:p>
    <w:p>
      <w:pPr>
        <w:pStyle w:val="22"/>
        <w:spacing w:line="406"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因情况变化，不再符合规定的竞争性磋商采购方式适用情形的；</w:t>
      </w:r>
    </w:p>
    <w:p>
      <w:pPr>
        <w:pStyle w:val="22"/>
        <w:spacing w:line="406"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pPr>
        <w:pStyle w:val="22"/>
        <w:spacing w:line="406" w:lineRule="exact"/>
        <w:ind w:firstLine="420" w:firstLineChars="200"/>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除特殊情况外，在采购过程中符合要求的供应商或者报价未超过采购预算的供应商不足3家的。</w:t>
      </w:r>
    </w:p>
    <w:p>
      <w:pPr>
        <w:pStyle w:val="4"/>
        <w:spacing w:line="406" w:lineRule="exact"/>
        <w:rPr>
          <w:color w:val="auto"/>
          <w:highlight w:val="none"/>
        </w:rPr>
      </w:pPr>
      <w:r>
        <w:rPr>
          <w:rFonts w:hint="eastAsia"/>
          <w:color w:val="auto"/>
          <w:highlight w:val="none"/>
        </w:rPr>
        <w:t>六、确定成交供应商</w:t>
      </w:r>
    </w:p>
    <w:p>
      <w:pPr>
        <w:pStyle w:val="22"/>
        <w:spacing w:line="406" w:lineRule="exact"/>
        <w:ind w:firstLine="42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pPr>
        <w:pStyle w:val="22"/>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spacing w:line="406" w:lineRule="exact"/>
        <w:rPr>
          <w:color w:val="auto"/>
          <w:highlight w:val="none"/>
        </w:rPr>
      </w:pPr>
      <w:r>
        <w:rPr>
          <w:rFonts w:hint="eastAsia"/>
          <w:color w:val="auto"/>
          <w:highlight w:val="none"/>
        </w:rPr>
        <w:t>七、结果公告</w:t>
      </w:r>
    </w:p>
    <w:p>
      <w:pPr>
        <w:pStyle w:val="22"/>
        <w:spacing w:line="406" w:lineRule="exact"/>
        <w:ind w:firstLine="420" w:firstLineChars="200"/>
        <w:rPr>
          <w:rFonts w:hint="eastAsia"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pPr>
        <w:pStyle w:val="4"/>
        <w:spacing w:line="406" w:lineRule="exact"/>
        <w:rPr>
          <w:color w:val="auto"/>
          <w:highlight w:val="none"/>
        </w:rPr>
      </w:pPr>
      <w:r>
        <w:rPr>
          <w:rFonts w:hint="eastAsia"/>
          <w:color w:val="auto"/>
          <w:highlight w:val="none"/>
        </w:rPr>
        <w:t>八、签订合同</w:t>
      </w:r>
    </w:p>
    <w:p>
      <w:pPr>
        <w:spacing w:line="406" w:lineRule="exact"/>
        <w:ind w:firstLine="210" w:firstLineChars="100"/>
        <w:rPr>
          <w:rFonts w:hint="eastAsia"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w:t>
      </w:r>
      <w:r>
        <w:rPr>
          <w:rFonts w:ascii="宋体" w:hAnsi="宋体" w:cs="Courier New"/>
          <w:color w:val="auto"/>
          <w:szCs w:val="21"/>
          <w:highlight w:val="none"/>
        </w:rPr>
        <w:t>15</w:t>
      </w:r>
      <w:r>
        <w:rPr>
          <w:rFonts w:hint="eastAsia" w:ascii="宋体" w:hAnsi="宋体" w:cs="Courier New"/>
          <w:color w:val="auto"/>
          <w:szCs w:val="21"/>
          <w:highlight w:val="none"/>
        </w:rPr>
        <w:t>日内，按照磋商文件确定的合同文本以及采购标的、规格型号、采购金额、采购数量、技术和服务要求等事项签订政府采购合同。</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（四）除不可抗力等因素外，成交后无正当理由拒不与采购人签订政府采购合同的，应当承担相应的法律责任。</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hAnsi="宋体"/>
          <w:color w:val="auto"/>
          <w:highlight w:val="none"/>
        </w:rPr>
        <w:t>适用《中华人民共和国民法典》</w:t>
      </w:r>
      <w:r>
        <w:rPr>
          <w:rFonts w:ascii="Arial" w:hAnsi="Arial" w:cs="Arial"/>
          <w:color w:val="auto"/>
          <w:kern w:val="0"/>
          <w:szCs w:val="21"/>
          <w:highlight w:val="none"/>
        </w:rPr>
        <w:t>。</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06" w:lineRule="exact"/>
        <w:rPr>
          <w:color w:val="auto"/>
          <w:highlight w:val="none"/>
        </w:rPr>
      </w:pPr>
      <w:r>
        <w:rPr>
          <w:rFonts w:hint="eastAsia"/>
          <w:color w:val="auto"/>
          <w:highlight w:val="none"/>
        </w:rPr>
        <w:t>九、适用法律</w:t>
      </w:r>
    </w:p>
    <w:p>
      <w:pPr>
        <w:spacing w:line="406" w:lineRule="exact"/>
        <w:ind w:firstLine="420" w:firstLineChars="200"/>
        <w:rPr>
          <w:rFonts w:hint="eastAsia" w:ascii="宋体" w:hAnsi="宋体"/>
          <w:color w:val="auto"/>
          <w:szCs w:val="21"/>
          <w:highlight w:val="none"/>
        </w:rPr>
      </w:pPr>
      <w:bookmarkStart w:id="119" w:name="_Hlk92794186"/>
      <w:r>
        <w:rPr>
          <w:rFonts w:hint="eastAsia" w:ascii="宋体" w:hAnsi="宋体"/>
          <w:color w:val="auto"/>
          <w:szCs w:val="21"/>
          <w:highlight w:val="none"/>
        </w:rPr>
        <w:t>本项目采购活动适用于《中华人民共和国政府采购法》及其实施条例、《政府采购竞争性磋商采购方式管理暂行办法》等规定。</w:t>
      </w:r>
    </w:p>
    <w:bookmarkEnd w:id="119"/>
    <w:p>
      <w:pPr>
        <w:pStyle w:val="4"/>
        <w:spacing w:line="406" w:lineRule="exact"/>
        <w:rPr>
          <w:color w:val="auto"/>
          <w:highlight w:val="none"/>
        </w:rPr>
      </w:pPr>
      <w:bookmarkStart w:id="120" w:name="_十、其他事项"/>
      <w:bookmarkEnd w:id="120"/>
      <w:r>
        <w:rPr>
          <w:rFonts w:hint="eastAsia"/>
          <w:color w:val="auto"/>
          <w:highlight w:val="none"/>
        </w:rPr>
        <w:t>十、其他事项</w:t>
      </w:r>
    </w:p>
    <w:p>
      <w:pPr>
        <w:spacing w:line="406" w:lineRule="exact"/>
        <w:ind w:firstLine="210" w:firstLineChars="100"/>
        <w:rPr>
          <w:rFonts w:hint="eastAsia" w:hAnsi="宋体"/>
          <w:color w:val="auto"/>
          <w:highlight w:val="none"/>
        </w:rPr>
      </w:pPr>
      <w:bookmarkStart w:id="121" w:name="_Hlk94168058"/>
      <w:r>
        <w:rPr>
          <w:rFonts w:hint="eastAsia" w:hAnsi="宋体"/>
          <w:color w:val="auto"/>
          <w:highlight w:val="none"/>
        </w:rPr>
        <w:t>（一）</w:t>
      </w:r>
      <w:bookmarkEnd w:id="121"/>
      <w:r>
        <w:rPr>
          <w:rFonts w:hint="eastAsia" w:hAnsi="宋体"/>
          <w:color w:val="auto"/>
          <w:highlight w:val="none"/>
        </w:rPr>
        <w:t>代理服务费</w:t>
      </w:r>
    </w:p>
    <w:p>
      <w:pPr>
        <w:spacing w:line="406"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本中心按钦州市物价局“钦市价费〔2013﹞4号”文件规定向成交供应商收取代理服务费，成交供应商须向本中心一次付清代理服务费。</w:t>
      </w:r>
    </w:p>
    <w:p>
      <w:pPr>
        <w:spacing w:line="406" w:lineRule="exact"/>
        <w:ind w:firstLine="420" w:firstLineChars="200"/>
        <w:rPr>
          <w:rFonts w:hint="eastAsia" w:hAnsi="宋体"/>
          <w:bCs/>
          <w:color w:val="auto"/>
          <w:highlight w:val="none"/>
        </w:rPr>
      </w:pPr>
      <w:r>
        <w:rPr>
          <w:rFonts w:hint="eastAsia" w:hAnsi="宋体"/>
          <w:color w:val="auto"/>
          <w:highlight w:val="none"/>
        </w:rPr>
        <w:t>2</w:t>
      </w:r>
      <w:r>
        <w:rPr>
          <w:rFonts w:hAnsi="宋体"/>
          <w:color w:val="auto"/>
          <w:highlight w:val="none"/>
        </w:rPr>
        <w:t>.</w:t>
      </w:r>
      <w:r>
        <w:rPr>
          <w:rFonts w:hint="eastAsia" w:hAnsi="宋体"/>
          <w:bCs/>
          <w:color w:val="auto"/>
          <w:highlight w:val="none"/>
        </w:rPr>
        <w:t>代理服务收费标准：</w:t>
      </w:r>
    </w:p>
    <w:p>
      <w:pPr>
        <w:spacing w:line="406" w:lineRule="exact"/>
        <w:ind w:firstLine="420" w:firstLineChars="200"/>
        <w:rPr>
          <w:rFonts w:hint="eastAsia" w:hAnsi="宋体"/>
          <w:bCs/>
          <w:color w:val="auto"/>
          <w:highlight w:val="none"/>
        </w:rPr>
      </w:pPr>
    </w:p>
    <w:tbl>
      <w:tblPr>
        <w:tblStyle w:val="36"/>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highlight w:val="none"/>
              </w:rPr>
              <w:t>采购类型</w:t>
            </w:r>
          </w:p>
          <w:p>
            <w:pPr>
              <w:spacing w:line="330" w:lineRule="exact"/>
              <w:rPr>
                <w:rFonts w:hint="eastAsia" w:hAnsi="宋体"/>
                <w:color w:val="auto"/>
                <w:highlight w:val="none"/>
              </w:rPr>
            </w:pPr>
          </w:p>
          <w:p>
            <w:pPr>
              <w:spacing w:line="330" w:lineRule="exact"/>
              <w:ind w:firstLine="1575" w:firstLineChars="750"/>
              <w:jc w:val="left"/>
              <w:rPr>
                <w:rFonts w:hint="eastAsia" w:hAnsi="宋体"/>
                <w:color w:val="auto"/>
                <w:highlight w:val="none"/>
              </w:rPr>
            </w:pPr>
            <w:r>
              <w:rPr>
                <w:rFonts w:hint="eastAsia" w:hAnsi="宋体"/>
                <w:color w:val="auto"/>
                <w:highlight w:val="none"/>
              </w:rPr>
              <w:t>费率</w:t>
            </w:r>
          </w:p>
          <w:p>
            <w:pPr>
              <w:spacing w:line="330" w:lineRule="exact"/>
              <w:ind w:leftChars="-1" w:hanging="2" w:hangingChars="1"/>
              <w:jc w:val="left"/>
              <w:rPr>
                <w:rFonts w:hint="eastAsia" w:hAnsi="宋体"/>
                <w:color w:val="auto"/>
                <w:highlight w:val="none"/>
              </w:rPr>
            </w:pPr>
          </w:p>
          <w:p>
            <w:pPr>
              <w:spacing w:line="330" w:lineRule="exact"/>
              <w:ind w:leftChars="-1" w:hanging="2" w:hangingChars="1"/>
              <w:jc w:val="left"/>
              <w:rPr>
                <w:rFonts w:hint="eastAsia" w:hAnsi="宋体"/>
                <w:color w:val="auto"/>
                <w:highlight w:val="none"/>
              </w:rPr>
            </w:pPr>
          </w:p>
          <w:p>
            <w:pPr>
              <w:spacing w:line="330" w:lineRule="exact"/>
              <w:jc w:val="left"/>
              <w:rPr>
                <w:rFonts w:hint="eastAsia" w:hAnsi="宋体"/>
                <w:color w:val="auto"/>
                <w:highlight w:val="none"/>
              </w:rPr>
            </w:pPr>
            <w:r>
              <w:rPr>
                <w:rFonts w:hint="eastAsia" w:hAnsi="宋体"/>
                <w:color w:val="auto"/>
                <w:highlight w:val="none"/>
              </w:rPr>
              <w:t>成交金额（万元）</w:t>
            </w:r>
          </w:p>
        </w:tc>
        <w:tc>
          <w:tcPr>
            <w:tcW w:w="5708" w:type="dxa"/>
            <w:gridSpan w:val="3"/>
            <w:vAlign w:val="center"/>
          </w:tcPr>
          <w:p>
            <w:pPr>
              <w:spacing w:line="330" w:lineRule="exact"/>
              <w:jc w:val="center"/>
              <w:rPr>
                <w:rFonts w:hint="eastAsia" w:hAnsi="宋体"/>
                <w:color w:val="auto"/>
                <w:highlight w:val="none"/>
              </w:rPr>
            </w:pPr>
            <w:r>
              <w:rPr>
                <w:rFonts w:hint="eastAsia" w:hAnsi="宋体"/>
                <w:color w:val="auto"/>
                <w:highlight w:val="none"/>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int="eastAsia" w:hAnsi="宋体"/>
                <w:color w:val="auto"/>
                <w:highlight w:val="none"/>
              </w:rPr>
            </w:pP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货物类</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服务类</w:t>
            </w:r>
          </w:p>
        </w:tc>
        <w:tc>
          <w:tcPr>
            <w:tcW w:w="1976" w:type="dxa"/>
            <w:vAlign w:val="center"/>
          </w:tcPr>
          <w:p>
            <w:pPr>
              <w:widowControl/>
              <w:spacing w:line="330" w:lineRule="exact"/>
              <w:jc w:val="center"/>
              <w:rPr>
                <w:rFonts w:hint="eastAsia" w:hAnsi="宋体"/>
                <w:color w:val="auto"/>
                <w:highlight w:val="none"/>
              </w:rPr>
            </w:pPr>
            <w:r>
              <w:rPr>
                <w:rFonts w:hint="eastAsia" w:hAnsi="宋体"/>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100以下</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100-500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0.88%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500-1000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0.36%</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1000-5000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5000-10000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10000-100000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100000以上</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r>
    </w:tbl>
    <w:p>
      <w:pPr>
        <w:pStyle w:val="22"/>
        <w:spacing w:line="430" w:lineRule="exact"/>
        <w:ind w:firstLine="420" w:firstLineChars="200"/>
        <w:rPr>
          <w:rFonts w:hint="eastAsia" w:hAnsi="宋体"/>
          <w:color w:val="auto"/>
          <w:highlight w:val="none"/>
        </w:rPr>
      </w:pPr>
      <w:r>
        <w:rPr>
          <w:rFonts w:hint="eastAsia" w:hAnsi="宋体"/>
          <w:color w:val="auto"/>
          <w:highlight w:val="none"/>
        </w:rPr>
        <w:t>注：代理服务收费按差额定率累进法计算，本项目收费标准按以上标准的60%执行。</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3.缴纳代理服务费银行账户：</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开户名称:钦州市政府采购中心</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开户银行:兴业银行钦州支行</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银行账号:554010100100129709</w:t>
      </w:r>
    </w:p>
    <w:p>
      <w:pPr>
        <w:pStyle w:val="22"/>
        <w:spacing w:line="430" w:lineRule="exact"/>
        <w:ind w:firstLine="210" w:firstLineChars="100"/>
        <w:rPr>
          <w:rFonts w:hint="eastAsia" w:hAnsi="宋体"/>
          <w:color w:val="auto"/>
          <w:spacing w:val="-4"/>
          <w:highlight w:val="none"/>
        </w:rPr>
      </w:pPr>
      <w:r>
        <w:rPr>
          <w:rFonts w:hint="eastAsia" w:hAnsi="宋体"/>
          <w:bCs/>
          <w:color w:val="auto"/>
          <w:highlight w:val="none"/>
        </w:rPr>
        <w:t>（二）解释权：</w:t>
      </w:r>
      <w:r>
        <w:rPr>
          <w:rFonts w:hint="eastAsia" w:hAnsi="宋体"/>
          <w:color w:val="auto"/>
          <w:spacing w:val="-4"/>
          <w:highlight w:val="none"/>
        </w:rPr>
        <w:t>本采购文件解释权属本中心。</w:t>
      </w:r>
    </w:p>
    <w:p>
      <w:pPr>
        <w:pStyle w:val="22"/>
        <w:spacing w:line="430" w:lineRule="exact"/>
        <w:ind w:firstLine="210" w:firstLineChars="100"/>
        <w:rPr>
          <w:rFonts w:hint="eastAsia" w:hAnsi="宋体"/>
          <w:color w:val="auto"/>
          <w:spacing w:val="-4"/>
          <w:highlight w:val="none"/>
        </w:rPr>
      </w:pPr>
      <w:r>
        <w:rPr>
          <w:rFonts w:hint="eastAsia" w:hAnsi="宋体"/>
          <w:bCs/>
          <w:color w:val="auto"/>
          <w:highlight w:val="none"/>
        </w:rPr>
        <w:t>（三）有关事宜</w:t>
      </w:r>
    </w:p>
    <w:p>
      <w:pPr>
        <w:spacing w:line="430" w:lineRule="exact"/>
        <w:ind w:firstLine="420" w:firstLineChars="200"/>
        <w:rPr>
          <w:color w:val="auto"/>
          <w:highlight w:val="none"/>
        </w:rPr>
      </w:pPr>
      <w:r>
        <w:rPr>
          <w:rFonts w:hint="eastAsia"/>
          <w:color w:val="auto"/>
          <w:highlight w:val="none"/>
        </w:rPr>
        <w:t>所有与采购文件有关的函件请按下列通讯地址联系：</w:t>
      </w:r>
    </w:p>
    <w:p>
      <w:pPr>
        <w:widowControl/>
        <w:spacing w:line="430" w:lineRule="exact"/>
        <w:ind w:firstLine="420" w:firstLineChars="200"/>
        <w:jc w:val="left"/>
        <w:rPr>
          <w:color w:val="auto"/>
          <w:highlight w:val="none"/>
        </w:rPr>
      </w:pPr>
      <w:r>
        <w:rPr>
          <w:rFonts w:hint="eastAsia"/>
          <w:color w:val="auto"/>
          <w:highlight w:val="none"/>
        </w:rPr>
        <w:t>钦州市政府采购中心</w:t>
      </w:r>
    </w:p>
    <w:p>
      <w:pPr>
        <w:widowControl/>
        <w:spacing w:line="430" w:lineRule="exact"/>
        <w:ind w:firstLine="420" w:firstLineChars="200"/>
        <w:jc w:val="left"/>
        <w:rPr>
          <w:color w:val="auto"/>
          <w:highlight w:val="none"/>
        </w:rPr>
      </w:pPr>
      <w:r>
        <w:rPr>
          <w:rFonts w:hint="eastAsia"/>
          <w:color w:val="auto"/>
          <w:highlight w:val="none"/>
        </w:rPr>
        <w:t>通讯地址：钦州市金海湾东大街8号</w:t>
      </w:r>
    </w:p>
    <w:p>
      <w:pPr>
        <w:widowControl/>
        <w:spacing w:line="430" w:lineRule="exact"/>
        <w:ind w:firstLine="420" w:firstLineChars="200"/>
        <w:jc w:val="left"/>
        <w:rPr>
          <w:color w:val="auto"/>
          <w:highlight w:val="none"/>
        </w:rPr>
      </w:pPr>
      <w:r>
        <w:rPr>
          <w:rFonts w:hint="eastAsia"/>
          <w:color w:val="auto"/>
          <w:highlight w:val="none"/>
        </w:rPr>
        <w:t>邮政编码：535000</w:t>
      </w:r>
    </w:p>
    <w:p>
      <w:pPr>
        <w:widowControl/>
        <w:spacing w:line="430" w:lineRule="exact"/>
        <w:ind w:firstLine="420" w:firstLineChars="200"/>
        <w:jc w:val="left"/>
        <w:rPr>
          <w:color w:val="auto"/>
          <w:highlight w:val="none"/>
        </w:rPr>
      </w:pPr>
      <w:bookmarkStart w:id="122" w:name="_Hlk108515537"/>
      <w:r>
        <w:rPr>
          <w:rFonts w:hint="eastAsia" w:hAnsi="宋体"/>
          <w:color w:val="auto"/>
          <w:highlight w:val="none"/>
        </w:rPr>
        <w:t>钦州市政府采购中心联系方式</w:t>
      </w:r>
      <w:r>
        <w:rPr>
          <w:rFonts w:hint="eastAsia"/>
          <w:color w:val="auto"/>
          <w:highlight w:val="none"/>
        </w:rPr>
        <w:t>：</w:t>
      </w:r>
    </w:p>
    <w:p>
      <w:pPr>
        <w:widowControl/>
        <w:spacing w:line="430" w:lineRule="exact"/>
        <w:ind w:firstLine="420" w:firstLineChars="200"/>
        <w:jc w:val="left"/>
        <w:rPr>
          <w:color w:val="auto"/>
          <w:highlight w:val="none"/>
        </w:rPr>
      </w:pPr>
      <w:r>
        <w:rPr>
          <w:rFonts w:hint="eastAsia"/>
          <w:color w:val="auto"/>
          <w:highlight w:val="none"/>
        </w:rPr>
        <w:t>(1)采购部(采购文件)</w:t>
      </w:r>
    </w:p>
    <w:p>
      <w:pPr>
        <w:widowControl/>
        <w:spacing w:line="430" w:lineRule="exact"/>
        <w:ind w:firstLine="420" w:firstLineChars="20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30" w:lineRule="exact"/>
        <w:ind w:firstLine="420" w:firstLineChars="200"/>
        <w:jc w:val="left"/>
        <w:rPr>
          <w:color w:val="auto"/>
          <w:highlight w:val="none"/>
        </w:rPr>
      </w:pPr>
      <w:r>
        <w:rPr>
          <w:rFonts w:hint="eastAsia"/>
          <w:color w:val="auto"/>
          <w:highlight w:val="none"/>
        </w:rPr>
        <w:t>(2)综合二部(评审、磋商、成交及合同管理)</w:t>
      </w:r>
    </w:p>
    <w:p>
      <w:pPr>
        <w:widowControl/>
        <w:spacing w:line="430" w:lineRule="exact"/>
        <w:ind w:firstLine="420" w:firstLineChars="20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30" w:lineRule="exact"/>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邮箱：qzzfcgzx@126.com</w:t>
      </w:r>
    </w:p>
    <w:p>
      <w:pPr>
        <w:widowControl/>
        <w:spacing w:line="430" w:lineRule="exact"/>
        <w:ind w:firstLine="420" w:firstLineChars="20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bookmarkEnd w:id="122"/>
    <w:p>
      <w:pPr>
        <w:widowControl/>
        <w:jc w:val="left"/>
        <w:rPr>
          <w:color w:val="auto"/>
          <w:highlight w:val="none"/>
        </w:rPr>
      </w:pPr>
      <w:r>
        <w:rPr>
          <w:color w:val="auto"/>
          <w:highlight w:val="none"/>
        </w:rPr>
        <w:br w:type="page"/>
      </w:r>
    </w:p>
    <w:p>
      <w:pPr>
        <w:widowControl/>
        <w:jc w:val="left"/>
        <w:rPr>
          <w:color w:val="auto"/>
          <w:highlight w:val="none"/>
        </w:rPr>
      </w:pPr>
    </w:p>
    <w:p>
      <w:pPr>
        <w:spacing w:line="320" w:lineRule="exact"/>
        <w:rPr>
          <w:color w:val="auto"/>
          <w:highlight w:val="none"/>
        </w:rPr>
      </w:pPr>
    </w:p>
    <w:p>
      <w:pPr>
        <w:widowControl/>
        <w:spacing w:line="320" w:lineRule="exact"/>
        <w:jc w:val="lef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pStyle w:val="3"/>
        <w:spacing w:line="400" w:lineRule="exact"/>
        <w:rPr>
          <w:rFonts w:hint="eastAsia" w:ascii="方正小标宋_GBK" w:hAnsi="宋体" w:eastAsia="方正小标宋_GBK"/>
          <w:color w:val="auto"/>
          <w:highlight w:val="none"/>
        </w:rPr>
      </w:pPr>
      <w:bookmarkStart w:id="123" w:name="_第四章__评定标准及推荐原则"/>
      <w:bookmarkEnd w:id="123"/>
      <w:bookmarkStart w:id="124" w:name="_Toc92355026"/>
      <w:r>
        <w:rPr>
          <w:rFonts w:hint="eastAsia" w:ascii="方正小标宋_GBK" w:hAnsi="宋体" w:eastAsia="方正小标宋_GBK"/>
          <w:color w:val="auto"/>
          <w:highlight w:val="none"/>
        </w:rPr>
        <w:t>第四章  评定标准及推荐原则</w:t>
      </w:r>
      <w:bookmarkEnd w:id="124"/>
    </w:p>
    <w:p>
      <w:pPr>
        <w:pStyle w:val="22"/>
        <w:spacing w:line="280" w:lineRule="exact"/>
        <w:jc w:val="center"/>
        <w:rPr>
          <w:rFonts w:hint="eastAsia" w:hAnsi="宋体"/>
          <w:b/>
          <w:bCs/>
          <w:color w:val="auto"/>
          <w:sz w:val="30"/>
          <w:szCs w:val="30"/>
          <w:highlight w:val="none"/>
        </w:rPr>
      </w:pPr>
      <w:r>
        <w:rPr>
          <w:rFonts w:hAnsi="宋体"/>
          <w:b/>
          <w:bCs/>
          <w:color w:val="auto"/>
          <w:highlight w:val="none"/>
        </w:rPr>
        <w:br w:type="page"/>
      </w:r>
    </w:p>
    <w:p>
      <w:pPr>
        <w:rPr>
          <w:color w:val="auto"/>
          <w:highlight w:val="none"/>
        </w:rPr>
      </w:pPr>
    </w:p>
    <w:p>
      <w:pPr>
        <w:pStyle w:val="22"/>
        <w:spacing w:line="500" w:lineRule="exact"/>
        <w:jc w:val="center"/>
        <w:rPr>
          <w:rFonts w:hint="eastAsia" w:hAnsi="宋体"/>
          <w:b/>
          <w:bCs/>
          <w:color w:val="auto"/>
          <w:sz w:val="44"/>
          <w:szCs w:val="44"/>
          <w:highlight w:val="none"/>
        </w:rPr>
      </w:pPr>
      <w:bookmarkStart w:id="125" w:name="_Hlk92463826"/>
      <w:r>
        <w:rPr>
          <w:rFonts w:hint="eastAsia" w:hAnsi="宋体"/>
          <w:b/>
          <w:bCs/>
          <w:color w:val="auto"/>
          <w:sz w:val="44"/>
          <w:szCs w:val="44"/>
          <w:highlight w:val="none"/>
        </w:rPr>
        <w:t>评定标准及推荐原则</w:t>
      </w:r>
    </w:p>
    <w:bookmarkEnd w:id="125"/>
    <w:p>
      <w:pPr>
        <w:rPr>
          <w:color w:val="auto"/>
          <w:highlight w:val="none"/>
        </w:rPr>
      </w:pPr>
    </w:p>
    <w:p>
      <w:pPr>
        <w:pStyle w:val="22"/>
        <w:spacing w:line="460" w:lineRule="exact"/>
        <w:rPr>
          <w:rFonts w:hint="eastAsia" w:hAnsi="宋体"/>
          <w:b/>
          <w:bCs/>
          <w:color w:val="auto"/>
          <w:highlight w:val="none"/>
        </w:rPr>
      </w:pPr>
      <w:r>
        <w:rPr>
          <w:rFonts w:hint="eastAsia" w:hAnsi="宋体"/>
          <w:b/>
          <w:bCs/>
          <w:color w:val="auto"/>
          <w:highlight w:val="none"/>
        </w:rPr>
        <w:t>一、评审原则</w:t>
      </w:r>
    </w:p>
    <w:p>
      <w:pPr>
        <w:pStyle w:val="22"/>
        <w:spacing w:line="460" w:lineRule="exact"/>
        <w:ind w:firstLine="210" w:firstLineChars="100"/>
        <w:rPr>
          <w:rFonts w:hint="eastAsia" w:hAnsi="宋体"/>
          <w:bCs/>
          <w:color w:val="auto"/>
          <w:highlight w:val="none"/>
        </w:rPr>
      </w:pPr>
      <w:r>
        <w:rPr>
          <w:rFonts w:hint="eastAsia" w:hAnsi="宋体"/>
          <w:bCs/>
          <w:color w:val="auto"/>
          <w:highlight w:val="none"/>
        </w:rPr>
        <w:t>(一)</w:t>
      </w:r>
      <w:r>
        <w:rPr>
          <w:rFonts w:hint="eastAsia" w:hAnsi="宋体"/>
          <w:color w:val="auto"/>
          <w:highlight w:val="none"/>
        </w:rPr>
        <w:t>评审依据：以竞争性磋商采购文件和响应文件为评定依据。</w:t>
      </w:r>
    </w:p>
    <w:p>
      <w:pPr>
        <w:pStyle w:val="22"/>
        <w:spacing w:line="460" w:lineRule="exact"/>
        <w:ind w:firstLine="210" w:firstLineChars="100"/>
        <w:rPr>
          <w:rFonts w:hint="eastAsia" w:hAnsi="宋体"/>
          <w:bCs/>
          <w:color w:val="auto"/>
          <w:highlight w:val="none"/>
        </w:rPr>
      </w:pPr>
      <w:r>
        <w:rPr>
          <w:rFonts w:hint="eastAsia" w:hAnsi="宋体"/>
          <w:bCs/>
          <w:color w:val="auto"/>
          <w:highlight w:val="none"/>
        </w:rPr>
        <w:t>(二)磋商小组：</w:t>
      </w:r>
      <w:bookmarkStart w:id="126" w:name="_Hlk89353643"/>
      <w:r>
        <w:rPr>
          <w:rFonts w:hint="eastAsia" w:hAnsi="宋体"/>
          <w:bCs/>
          <w:color w:val="auto"/>
          <w:highlight w:val="none"/>
        </w:rPr>
        <w:t>由采购人代表和评审专家共3人以上单数组成，其中评审专家人数不得少于磋商小组成员总数的2/3。</w:t>
      </w:r>
      <w:bookmarkEnd w:id="126"/>
    </w:p>
    <w:p>
      <w:pPr>
        <w:pStyle w:val="22"/>
        <w:spacing w:line="460" w:lineRule="exact"/>
        <w:ind w:firstLine="210" w:firstLineChars="100"/>
        <w:jc w:val="left"/>
        <w:rPr>
          <w:rFonts w:hint="eastAsia" w:hAnsi="宋体"/>
          <w:color w:val="auto"/>
          <w:highlight w:val="none"/>
        </w:rPr>
      </w:pPr>
      <w:r>
        <w:rPr>
          <w:rFonts w:hint="eastAsia" w:hAnsi="宋体"/>
          <w:bCs/>
          <w:color w:val="auto"/>
          <w:highlight w:val="none"/>
        </w:rPr>
        <w:t>(三</w:t>
      </w:r>
      <w:r>
        <w:rPr>
          <w:rFonts w:hAnsi="宋体"/>
          <w:bCs/>
          <w:color w:val="auto"/>
          <w:highlight w:val="none"/>
        </w:rPr>
        <w:t>)</w:t>
      </w:r>
      <w:r>
        <w:rPr>
          <w:rFonts w:hint="eastAsia" w:hAnsi="宋体"/>
          <w:color w:val="auto"/>
          <w:highlight w:val="none"/>
        </w:rPr>
        <w:t>评分方式：磋商小组各成员独立对每个有效响应文件进行评价、打分，汇总每个供应商每项评分因素的得分。</w:t>
      </w:r>
    </w:p>
    <w:p>
      <w:pPr>
        <w:pStyle w:val="22"/>
        <w:spacing w:line="460" w:lineRule="exact"/>
        <w:rPr>
          <w:rFonts w:hint="eastAsia" w:hAnsi="宋体"/>
          <w:b/>
          <w:bCs/>
          <w:color w:val="auto"/>
          <w:highlight w:val="none"/>
        </w:rPr>
      </w:pPr>
      <w:r>
        <w:rPr>
          <w:rFonts w:hint="eastAsia" w:hAnsi="宋体"/>
          <w:b/>
          <w:bCs/>
          <w:color w:val="auto"/>
          <w:highlight w:val="none"/>
        </w:rPr>
        <w:t>二、评分细则</w:t>
      </w:r>
    </w:p>
    <w:p>
      <w:pPr>
        <w:spacing w:line="460" w:lineRule="exact"/>
        <w:ind w:firstLine="211" w:firstLineChars="100"/>
        <w:rPr>
          <w:b/>
          <w:bCs/>
          <w:color w:val="auto"/>
          <w:highlight w:val="none"/>
        </w:rPr>
      </w:pPr>
      <w:r>
        <w:rPr>
          <w:rFonts w:hint="eastAsia"/>
          <w:b/>
          <w:bCs/>
          <w:color w:val="auto"/>
          <w:highlight w:val="none"/>
        </w:rPr>
        <w:t>（一）磋商报价得分（</w:t>
      </w:r>
      <w:r>
        <w:rPr>
          <w:rFonts w:hint="eastAsia"/>
          <w:b/>
          <w:bCs/>
          <w:color w:val="auto"/>
          <w:highlight w:val="none"/>
          <w:lang w:val="en-US" w:eastAsia="zh-CN"/>
        </w:rPr>
        <w:t>1</w:t>
      </w:r>
      <w:r>
        <w:rPr>
          <w:rFonts w:hint="eastAsia"/>
          <w:b/>
          <w:bCs/>
          <w:color w:val="auto"/>
          <w:highlight w:val="none"/>
        </w:rPr>
        <w:t>0分）</w:t>
      </w:r>
    </w:p>
    <w:p>
      <w:pPr>
        <w:spacing w:line="460" w:lineRule="exact"/>
        <w:ind w:firstLine="420"/>
        <w:jc w:val="left"/>
        <w:rPr>
          <w:rFonts w:hint="eastAsia" w:ascii="宋体" w:hAnsi="宋体" w:cs="Courier New"/>
          <w:color w:val="auto"/>
          <w:szCs w:val="21"/>
          <w:highlight w:val="none"/>
        </w:rPr>
      </w:pPr>
      <w:r>
        <w:rPr>
          <w:rFonts w:ascii="宋体" w:hAnsi="宋体" w:cs="Courier New"/>
          <w:color w:val="auto"/>
          <w:szCs w:val="21"/>
          <w:highlight w:val="none"/>
        </w:rPr>
        <w:t>满足磋商文件要求且最后报价最低的供应商的价格为磋商基准价，其价格分为满分。其他供应商的价格分统一按照下列公式计算：</w:t>
      </w:r>
    </w:p>
    <w:p>
      <w:pPr>
        <w:spacing w:line="460" w:lineRule="exact"/>
        <w:ind w:firstLine="420"/>
        <w:jc w:val="left"/>
        <w:rPr>
          <w:rFonts w:hint="eastAsia" w:ascii="宋体" w:hAnsi="宋体" w:cs="Courier New"/>
          <w:color w:val="auto"/>
          <w:szCs w:val="21"/>
          <w:highlight w:val="none"/>
        </w:rPr>
      </w:pPr>
      <w:r>
        <w:rPr>
          <w:rFonts w:ascii="宋体" w:hAnsi="宋体" w:cs="Courier New"/>
          <w:color w:val="auto"/>
          <w:szCs w:val="21"/>
          <w:highlight w:val="none"/>
        </w:rPr>
        <w:t>磋商报价得分=（磋商基准价/最后</w:t>
      </w:r>
      <w:r>
        <w:rPr>
          <w:rFonts w:hint="eastAsia" w:ascii="宋体" w:hAnsi="宋体" w:cs="Courier New"/>
          <w:color w:val="auto"/>
          <w:szCs w:val="21"/>
          <w:highlight w:val="none"/>
        </w:rPr>
        <w:t>磋商</w:t>
      </w:r>
      <w:r>
        <w:rPr>
          <w:rFonts w:ascii="宋体" w:hAnsi="宋体" w:cs="Courier New"/>
          <w:color w:val="auto"/>
          <w:szCs w:val="21"/>
          <w:highlight w:val="none"/>
        </w:rPr>
        <w:t>报价）×</w:t>
      </w:r>
      <w:r>
        <w:rPr>
          <w:rFonts w:hint="eastAsia" w:ascii="宋体" w:hAnsi="宋体" w:cs="Courier New"/>
          <w:color w:val="auto"/>
          <w:szCs w:val="21"/>
          <w:highlight w:val="none"/>
          <w:lang w:val="en-US" w:eastAsia="zh-CN"/>
        </w:rPr>
        <w:t>1</w:t>
      </w:r>
      <w:r>
        <w:rPr>
          <w:rFonts w:ascii="宋体" w:hAnsi="宋体" w:cs="Courier New"/>
          <w:color w:val="auto"/>
          <w:szCs w:val="21"/>
          <w:highlight w:val="none"/>
        </w:rPr>
        <w:t>0</w:t>
      </w:r>
      <w:r>
        <w:rPr>
          <w:rFonts w:hint="eastAsia" w:ascii="宋体" w:hAnsi="宋体" w:cs="Courier New"/>
          <w:color w:val="auto"/>
          <w:szCs w:val="21"/>
          <w:highlight w:val="none"/>
        </w:rPr>
        <w:t>分</w:t>
      </w:r>
    </w:p>
    <w:p>
      <w:pPr>
        <w:widowControl/>
        <w:spacing w:line="500" w:lineRule="exact"/>
        <w:ind w:firstLine="420" w:firstLineChars="0"/>
        <w:jc w:val="left"/>
        <w:rPr>
          <w:rFonts w:hint="eastAsia" w:ascii="宋体" w:hAnsi="宋体" w:cs="Courier New"/>
          <w:color w:val="auto"/>
          <w:szCs w:val="21"/>
          <w:highlight w:val="none"/>
        </w:rPr>
      </w:pPr>
      <w:r>
        <w:rPr>
          <w:rFonts w:hint="eastAsia" w:ascii="宋体" w:hAnsi="宋体" w:cs="Courier New"/>
          <w:color w:val="auto"/>
          <w:szCs w:val="21"/>
          <w:highlight w:val="none"/>
        </w:rPr>
        <w:t>注：</w:t>
      </w:r>
    </w:p>
    <w:p>
      <w:pPr>
        <w:widowControl/>
        <w:spacing w:line="500" w:lineRule="exact"/>
        <w:ind w:firstLine="0" w:firstLineChars="0"/>
        <w:jc w:val="left"/>
        <w:rPr>
          <w:rFonts w:ascii="宋体" w:hAnsi="宋体" w:cs="Courier New"/>
          <w:color w:val="auto"/>
          <w:szCs w:val="21"/>
          <w:highlight w:val="none"/>
        </w:rPr>
      </w:pPr>
      <w:r>
        <w:rPr>
          <w:rFonts w:ascii="宋体" w:hAnsi="宋体" w:cs="Courier New"/>
          <w:color w:val="auto"/>
          <w:szCs w:val="21"/>
          <w:highlight w:val="none"/>
        </w:rPr>
        <w:tab/>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提供的</w:t>
      </w:r>
      <w:r>
        <w:rPr>
          <w:rFonts w:hint="eastAsia" w:ascii="宋体" w:hAnsi="宋体" w:cs="Courier New"/>
          <w:color w:val="auto"/>
          <w:szCs w:val="21"/>
          <w:highlight w:val="none"/>
          <w:lang w:val="en-US" w:eastAsia="zh-CN"/>
        </w:rPr>
        <w:t>服务</w:t>
      </w:r>
      <w:r>
        <w:rPr>
          <w:rFonts w:hint="eastAsia" w:ascii="宋体" w:hAnsi="宋体" w:cs="Courier New"/>
          <w:color w:val="auto"/>
          <w:szCs w:val="21"/>
          <w:highlight w:val="none"/>
        </w:rPr>
        <w:t>符合《政府采购促进中小企业发展管理办法》（财库﹝2020﹞46号）规定，并在</w:t>
      </w:r>
      <w:r>
        <w:rPr>
          <w:rFonts w:hint="eastAsia" w:ascii="宋体" w:hAnsi="宋体" w:cs="Courier New"/>
          <w:color w:val="auto"/>
          <w:szCs w:val="21"/>
          <w:highlight w:val="none"/>
          <w:lang w:val="en-US" w:eastAsia="zh-CN"/>
        </w:rPr>
        <w:t>响应</w:t>
      </w:r>
      <w:r>
        <w:rPr>
          <w:rFonts w:hint="eastAsia" w:ascii="宋体" w:hAnsi="宋体" w:cs="Courier New"/>
          <w:color w:val="auto"/>
          <w:szCs w:val="21"/>
          <w:highlight w:val="none"/>
        </w:rPr>
        <w:t>文件中提供《中小企业声明函》（格式见第六章，</w:t>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须对声明的真实性负责）。评审中将对小微型企业报价给予</w:t>
      </w:r>
      <w:r>
        <w:rPr>
          <w:rFonts w:ascii="宋体" w:hAnsi="宋体" w:cs="Courier New"/>
          <w:color w:val="auto"/>
          <w:szCs w:val="21"/>
          <w:highlight w:val="none"/>
        </w:rPr>
        <w:t>2</w:t>
      </w:r>
      <w:r>
        <w:rPr>
          <w:rFonts w:hint="eastAsia" w:ascii="宋体" w:hAnsi="宋体" w:cs="Courier New"/>
          <w:color w:val="auto"/>
          <w:szCs w:val="21"/>
          <w:highlight w:val="none"/>
        </w:rPr>
        <w:t>0%的扣除，扣除后的价格为评标价。</w:t>
      </w:r>
    </w:p>
    <w:p>
      <w:pPr>
        <w:widowControl/>
        <w:spacing w:line="500" w:lineRule="exact"/>
        <w:ind w:firstLine="0" w:firstLineChars="0"/>
        <w:jc w:val="left"/>
        <w:rPr>
          <w:rFonts w:hint="eastAsia" w:ascii="宋体" w:hAnsi="宋体" w:cs="Courier New"/>
          <w:color w:val="auto"/>
          <w:szCs w:val="21"/>
          <w:highlight w:val="none"/>
        </w:rPr>
      </w:pPr>
      <w:r>
        <w:rPr>
          <w:rFonts w:ascii="宋体" w:hAnsi="宋体" w:cs="Courier New"/>
          <w:color w:val="auto"/>
          <w:szCs w:val="21"/>
          <w:highlight w:val="none"/>
        </w:rPr>
        <w:tab/>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0" w:firstLineChars="0"/>
        <w:jc w:val="left"/>
        <w:rPr>
          <w:rFonts w:ascii="宋体" w:hAnsi="宋体" w:cs="Courier New"/>
          <w:color w:val="auto"/>
          <w:szCs w:val="21"/>
          <w:highlight w:val="none"/>
        </w:rPr>
      </w:pPr>
      <w:r>
        <w:rPr>
          <w:rFonts w:ascii="宋体" w:hAnsi="宋体" w:cs="Courier New"/>
          <w:color w:val="auto"/>
          <w:szCs w:val="21"/>
          <w:highlight w:val="none"/>
        </w:rPr>
        <w:tab/>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color w:val="auto"/>
          <w:highlight w:val="none"/>
        </w:rPr>
      </w:pPr>
      <w:bookmarkStart w:id="127" w:name="_Hlk93484329"/>
      <w:r>
        <w:rPr>
          <w:rFonts w:hint="eastAsia" w:ascii="Calibri" w:hAnsi="宋体" w:cs="Courier New"/>
          <w:color w:val="auto"/>
          <w:highlight w:val="none"/>
          <w:lang w:eastAsia="zh-CN"/>
        </w:rPr>
        <w:t>供应商</w:t>
      </w:r>
      <w:r>
        <w:rPr>
          <w:rFonts w:hint="eastAsia" w:hAnsi="宋体" w:cs="Courier New"/>
          <w:color w:val="auto"/>
          <w:highlight w:val="none"/>
        </w:rPr>
        <w:t>获得政策性价格扣除的，评标价=</w:t>
      </w:r>
      <w:r>
        <w:rPr>
          <w:rFonts w:hint="eastAsia" w:hAnsi="宋体" w:cs="Courier New"/>
          <w:color w:val="auto"/>
          <w:highlight w:val="none"/>
          <w:lang w:val="en-US" w:eastAsia="zh-CN"/>
        </w:rPr>
        <w:t>供应商最后磋商</w:t>
      </w:r>
      <w:r>
        <w:rPr>
          <w:rFonts w:hint="eastAsia" w:hAnsi="宋体" w:cs="Courier New"/>
          <w:color w:val="auto"/>
          <w:highlight w:val="none"/>
        </w:rPr>
        <w:t>报价×（1-</w:t>
      </w:r>
      <w:r>
        <w:rPr>
          <w:rFonts w:hAnsi="宋体" w:cs="Courier New"/>
          <w:color w:val="auto"/>
          <w:highlight w:val="none"/>
        </w:rPr>
        <w:t>2</w:t>
      </w:r>
      <w:r>
        <w:rPr>
          <w:rFonts w:hint="eastAsia" w:hAnsi="宋体" w:cs="Courier New"/>
          <w:color w:val="auto"/>
          <w:highlight w:val="none"/>
        </w:rPr>
        <w:t>0%），否则评标价=</w:t>
      </w:r>
      <w:r>
        <w:rPr>
          <w:rFonts w:hint="eastAsia" w:hAnsi="宋体" w:cs="Courier New"/>
          <w:color w:val="auto"/>
          <w:highlight w:val="none"/>
          <w:lang w:val="en-US" w:eastAsia="zh-CN"/>
        </w:rPr>
        <w:t>供应商最后磋商</w:t>
      </w:r>
      <w:r>
        <w:rPr>
          <w:rFonts w:hint="eastAsia" w:hAnsi="宋体" w:cs="Courier New"/>
          <w:color w:val="auto"/>
          <w:highlight w:val="none"/>
        </w:rPr>
        <w:t>报价。满足招标文件全部实质性要求的</w:t>
      </w:r>
      <w:r>
        <w:rPr>
          <w:rFonts w:hint="eastAsia" w:hAnsi="宋体" w:cs="Courier New"/>
          <w:color w:val="auto"/>
          <w:highlight w:val="none"/>
          <w:lang w:eastAsia="zh-CN"/>
        </w:rPr>
        <w:t>供应商</w:t>
      </w:r>
      <w:r>
        <w:rPr>
          <w:rFonts w:hint="eastAsia" w:hAnsi="宋体" w:cs="Courier New"/>
          <w:color w:val="auto"/>
          <w:highlight w:val="none"/>
        </w:rPr>
        <w:t>最低评标价为</w:t>
      </w:r>
      <w:r>
        <w:rPr>
          <w:rFonts w:hint="eastAsia" w:hAnsi="宋体" w:cs="Courier New"/>
          <w:color w:val="auto"/>
          <w:highlight w:val="none"/>
          <w:lang w:val="en-US" w:eastAsia="zh-CN"/>
        </w:rPr>
        <w:t>磋商</w:t>
      </w:r>
      <w:r>
        <w:rPr>
          <w:rFonts w:hint="eastAsia" w:hAnsi="宋体" w:cs="Courier New"/>
          <w:color w:val="auto"/>
          <w:highlight w:val="none"/>
        </w:rPr>
        <w:t>基准价。</w:t>
      </w:r>
      <w:r>
        <w:rPr>
          <w:rFonts w:hint="eastAsia" w:ascii="Calibri" w:hAnsi="宋体" w:cs="Courier New"/>
          <w:color w:val="auto"/>
          <w:highlight w:val="none"/>
        </w:rPr>
        <w:t>评标价仅作评标时使用，</w:t>
      </w:r>
      <w:r>
        <w:rPr>
          <w:rFonts w:hint="eastAsia" w:ascii="Calibri" w:hAnsi="宋体" w:cs="Courier New"/>
          <w:color w:val="auto"/>
          <w:highlight w:val="none"/>
          <w:lang w:val="en-US" w:eastAsia="zh-CN"/>
        </w:rPr>
        <w:t>成交</w:t>
      </w:r>
      <w:r>
        <w:rPr>
          <w:rFonts w:hint="eastAsia" w:ascii="Calibri" w:hAnsi="宋体" w:cs="Courier New"/>
          <w:color w:val="auto"/>
          <w:highlight w:val="none"/>
        </w:rPr>
        <w:t>金额＝</w:t>
      </w:r>
      <w:r>
        <w:rPr>
          <w:rFonts w:hint="eastAsia" w:ascii="Calibri" w:hAnsi="宋体" w:cs="Courier New"/>
          <w:color w:val="auto"/>
          <w:highlight w:val="none"/>
          <w:lang w:val="en-US" w:eastAsia="zh-CN"/>
        </w:rPr>
        <w:t>磋商</w:t>
      </w:r>
      <w:r>
        <w:rPr>
          <w:rFonts w:hint="eastAsia" w:ascii="Calibri" w:hAnsi="宋体" w:cs="Courier New"/>
          <w:color w:val="auto"/>
          <w:highlight w:val="none"/>
        </w:rPr>
        <w:t>报价</w:t>
      </w:r>
      <w:r>
        <w:rPr>
          <w:rFonts w:hint="eastAsia" w:hAnsi="宋体" w:cs="Courier New"/>
          <w:color w:val="auto"/>
          <w:highlight w:val="none"/>
        </w:rPr>
        <w:t>。</w:t>
      </w:r>
      <w:bookmarkEnd w:id="127"/>
    </w:p>
    <w:p>
      <w:pPr>
        <w:widowControl/>
        <w:spacing w:line="440" w:lineRule="exact"/>
        <w:ind w:firstLine="282" w:firstLineChars="134"/>
        <w:rPr>
          <w:rFonts w:ascii="宋体" w:hAnsi="宋体" w:cs="宋体"/>
          <w:b/>
          <w:bCs/>
          <w:color w:val="auto"/>
          <w:spacing w:val="-12"/>
          <w:kern w:val="0"/>
          <w:szCs w:val="21"/>
          <w:highlight w:val="none"/>
        </w:rPr>
      </w:pPr>
      <w:r>
        <w:rPr>
          <w:rFonts w:hint="eastAsia" w:ascii="宋体" w:hAnsi="宋体" w:cs="宋体"/>
          <w:b/>
          <w:bCs/>
          <w:color w:val="auto"/>
          <w:kern w:val="0"/>
          <w:szCs w:val="21"/>
          <w:highlight w:val="none"/>
        </w:rPr>
        <w:t>（二）技术商务资信分</w:t>
      </w:r>
      <w:r>
        <w:rPr>
          <w:rFonts w:hint="eastAsia" w:ascii="宋体" w:hAnsi="宋体" w:cs="宋体"/>
          <w:b/>
          <w:bCs/>
          <w:color w:val="auto"/>
          <w:spacing w:val="-12"/>
          <w:kern w:val="0"/>
          <w:szCs w:val="21"/>
          <w:highlight w:val="none"/>
        </w:rPr>
        <w:t>（</w:t>
      </w:r>
      <w:r>
        <w:rPr>
          <w:rFonts w:ascii="宋体" w:hAnsi="宋体" w:cs="宋体"/>
          <w:b/>
          <w:bCs/>
          <w:color w:val="auto"/>
          <w:spacing w:val="-12"/>
          <w:kern w:val="0"/>
          <w:szCs w:val="21"/>
          <w:highlight w:val="none"/>
        </w:rPr>
        <w:t>90</w:t>
      </w:r>
      <w:r>
        <w:rPr>
          <w:rFonts w:hint="eastAsia" w:ascii="宋体" w:hAnsi="宋体" w:cs="宋体"/>
          <w:b/>
          <w:bCs/>
          <w:color w:val="auto"/>
          <w:spacing w:val="-12"/>
          <w:kern w:val="0"/>
          <w:szCs w:val="21"/>
          <w:highlight w:val="none"/>
        </w:rPr>
        <w:t>分）</w:t>
      </w:r>
    </w:p>
    <w:p>
      <w:pPr>
        <w:spacing w:line="440" w:lineRule="exact"/>
        <w:ind w:firstLine="284" w:firstLineChars="0"/>
        <w:rPr>
          <w:rFonts w:ascii="宋体" w:hAnsi="宋体" w:cs="宋体"/>
          <w:b/>
          <w:bCs/>
          <w:color w:val="auto"/>
          <w:highlight w:val="none"/>
        </w:rPr>
      </w:pPr>
      <w:r>
        <w:rPr>
          <w:rFonts w:hint="eastAsia" w:ascii="宋体" w:hAnsi="宋体" w:cs="宋体"/>
          <w:b/>
          <w:bCs/>
          <w:color w:val="auto"/>
          <w:highlight w:val="none"/>
        </w:rPr>
        <w:t>1</w:t>
      </w:r>
      <w:r>
        <w:rPr>
          <w:rFonts w:ascii="宋体" w:hAnsi="宋体" w:cs="宋体"/>
          <w:b/>
          <w:bCs/>
          <w:color w:val="auto"/>
          <w:highlight w:val="none"/>
        </w:rPr>
        <w:t>.</w:t>
      </w:r>
      <w:r>
        <w:rPr>
          <w:rFonts w:hint="eastAsia" w:ascii="宋体" w:hAnsi="宋体" w:cs="宋体"/>
          <w:b/>
          <w:bCs/>
          <w:color w:val="auto"/>
          <w:highlight w:val="none"/>
        </w:rPr>
        <w:t>技术分(</w:t>
      </w:r>
      <w:r>
        <w:rPr>
          <w:rFonts w:hint="eastAsia" w:ascii="宋体" w:hAnsi="宋体" w:cs="宋体"/>
          <w:b/>
          <w:bCs/>
          <w:color w:val="auto"/>
          <w:highlight w:val="none"/>
          <w:lang w:val="en-US" w:eastAsia="zh-CN"/>
        </w:rPr>
        <w:t>67</w:t>
      </w:r>
      <w:r>
        <w:rPr>
          <w:rFonts w:hint="eastAsia" w:ascii="宋体" w:hAnsi="宋体" w:cs="宋体"/>
          <w:b/>
          <w:bCs/>
          <w:color w:val="auto"/>
          <w:highlight w:val="none"/>
        </w:rPr>
        <w:t>分)</w:t>
      </w:r>
    </w:p>
    <w:p>
      <w:pPr>
        <w:spacing w:line="440" w:lineRule="exact"/>
        <w:ind w:firstLine="284" w:firstLineChars="0"/>
        <w:rPr>
          <w:rFonts w:hint="default" w:eastAsia="宋体"/>
          <w:color w:val="auto"/>
          <w:highlight w:val="none"/>
          <w:lang w:val="en-US" w:eastAsia="zh-CN"/>
        </w:rPr>
      </w:pPr>
      <w:bookmarkStart w:id="128" w:name="_Hlk124258602"/>
      <w:r>
        <w:rPr>
          <w:rFonts w:ascii="宋体" w:hAnsi="宋体" w:cs="宋体"/>
          <w:b/>
          <w:bCs/>
          <w:color w:val="auto"/>
          <w:highlight w:val="none"/>
        </w:rPr>
        <w:t>1.1</w:t>
      </w:r>
      <w:r>
        <w:rPr>
          <w:rFonts w:hint="eastAsia" w:ascii="宋体" w:hAnsi="宋体" w:cs="宋体"/>
          <w:b/>
          <w:bCs/>
          <w:color w:val="auto"/>
          <w:highlight w:val="none"/>
        </w:rPr>
        <w:t>技术</w:t>
      </w:r>
      <w:r>
        <w:rPr>
          <w:rFonts w:hint="eastAsia" w:ascii="宋体" w:hAnsi="宋体" w:cs="宋体"/>
          <w:b/>
          <w:bCs/>
          <w:color w:val="auto"/>
          <w:highlight w:val="none"/>
          <w:lang w:val="en-US" w:eastAsia="zh-CN"/>
        </w:rPr>
        <w:t>方案分</w:t>
      </w:r>
      <w:r>
        <w:rPr>
          <w:rFonts w:hint="eastAsia" w:ascii="宋体" w:hAnsi="宋体" w:cs="宋体"/>
          <w:b/>
          <w:bCs/>
          <w:color w:val="auto"/>
          <w:highlight w:val="none"/>
        </w:rPr>
        <w:t>(</w:t>
      </w:r>
      <w:r>
        <w:rPr>
          <w:rFonts w:hint="eastAsia" w:ascii="宋体" w:hAnsi="宋体" w:cs="宋体"/>
          <w:b/>
          <w:bCs/>
          <w:color w:val="auto"/>
          <w:highlight w:val="none"/>
          <w:lang w:val="en-US" w:eastAsia="zh-CN"/>
        </w:rPr>
        <w:t>21</w:t>
      </w:r>
      <w:r>
        <w:rPr>
          <w:rFonts w:hint="eastAsia" w:ascii="宋体" w:hAnsi="宋体" w:cs="宋体"/>
          <w:b/>
          <w:bCs/>
          <w:color w:val="auto"/>
          <w:highlight w:val="none"/>
        </w:rPr>
        <w:t>分)</w:t>
      </w:r>
    </w:p>
    <w:p>
      <w:pPr>
        <w:widowControl/>
        <w:spacing w:line="450" w:lineRule="exact"/>
        <w:ind w:firstLine="420"/>
        <w:rPr>
          <w:rFonts w:hint="eastAsia" w:ascii="宋体" w:hAnsi="宋体" w:cs="宋体"/>
          <w:bCs/>
          <w:color w:val="auto"/>
          <w:kern w:val="0"/>
          <w:szCs w:val="21"/>
          <w:highlight w:val="none"/>
        </w:rPr>
      </w:pPr>
      <w:r>
        <w:rPr>
          <w:rFonts w:ascii="宋体" w:hAnsi="宋体"/>
          <w:color w:val="auto"/>
          <w:highlight w:val="none"/>
        </w:rPr>
        <w:t>1.1</w:t>
      </w:r>
      <w:r>
        <w:rPr>
          <w:rFonts w:hint="eastAsia" w:ascii="宋体" w:hAnsi="宋体"/>
          <w:color w:val="auto"/>
          <w:highlight w:val="none"/>
          <w:lang w:val="en-US" w:eastAsia="zh-CN"/>
        </w:rPr>
        <w:t>.1</w:t>
      </w:r>
      <w:r>
        <w:rPr>
          <w:rFonts w:hint="eastAsia" w:ascii="宋体" w:hAnsi="宋体" w:cs="宋体"/>
          <w:bCs/>
          <w:color w:val="auto"/>
          <w:kern w:val="0"/>
          <w:szCs w:val="21"/>
          <w:highlight w:val="none"/>
        </w:rPr>
        <w:t>供应商的技术方案满足采购需求的</w:t>
      </w:r>
      <w:r>
        <w:rPr>
          <w:rFonts w:hint="eastAsia" w:ascii="宋体" w:hAnsi="宋体" w:cs="宋体"/>
          <w:bCs/>
          <w:color w:val="auto"/>
          <w:kern w:val="0"/>
          <w:szCs w:val="21"/>
          <w:highlight w:val="none"/>
          <w:lang w:eastAsia="zh-CN"/>
        </w:rPr>
        <w:t>得</w:t>
      </w:r>
      <w:r>
        <w:rPr>
          <w:rFonts w:hint="eastAsia" w:ascii="宋体" w:hAnsi="宋体" w:cs="宋体"/>
          <w:bCs/>
          <w:color w:val="auto"/>
          <w:kern w:val="0"/>
          <w:szCs w:val="21"/>
          <w:highlight w:val="none"/>
        </w:rPr>
        <w:t>3分</w:t>
      </w:r>
      <w:r>
        <w:rPr>
          <w:rFonts w:hint="eastAsia" w:ascii="宋体" w:hAnsi="宋体" w:cs="宋体"/>
          <w:bCs/>
          <w:color w:val="auto"/>
          <w:kern w:val="0"/>
          <w:szCs w:val="21"/>
          <w:highlight w:val="none"/>
          <w:lang w:eastAsia="zh-CN"/>
        </w:rPr>
        <w:t>；</w:t>
      </w:r>
      <w:r>
        <w:rPr>
          <w:rFonts w:hint="eastAsia"/>
          <w:bCs/>
          <w:color w:val="auto"/>
          <w:highlight w:val="none"/>
        </w:rPr>
        <w:t>网络架构</w:t>
      </w:r>
      <w:r>
        <w:rPr>
          <w:rFonts w:hint="eastAsia"/>
          <w:bCs/>
          <w:color w:val="auto"/>
          <w:highlight w:val="none"/>
          <w:lang w:eastAsia="zh-CN"/>
        </w:rPr>
        <w:t>设计合理且</w:t>
      </w:r>
      <w:r>
        <w:rPr>
          <w:rFonts w:hint="eastAsia" w:ascii="宋体" w:hAnsi="宋体" w:cs="宋体"/>
          <w:bCs/>
          <w:color w:val="auto"/>
          <w:kern w:val="0"/>
          <w:szCs w:val="21"/>
          <w:highlight w:val="none"/>
        </w:rPr>
        <w:t>提供本项目网络架构</w:t>
      </w:r>
      <w:r>
        <w:rPr>
          <w:rFonts w:hint="eastAsia" w:ascii="宋体" w:hAnsi="宋体" w:cs="宋体"/>
          <w:bCs/>
          <w:color w:val="auto"/>
          <w:kern w:val="0"/>
          <w:szCs w:val="21"/>
          <w:highlight w:val="none"/>
          <w:lang w:eastAsia="zh-CN"/>
        </w:rPr>
        <w:t>优秀</w:t>
      </w:r>
      <w:r>
        <w:rPr>
          <w:rFonts w:hint="eastAsia" w:ascii="宋体" w:hAnsi="宋体" w:cs="宋体"/>
          <w:bCs/>
          <w:color w:val="auto"/>
          <w:kern w:val="0"/>
          <w:szCs w:val="21"/>
          <w:highlight w:val="none"/>
        </w:rPr>
        <w:t>拓扑图</w:t>
      </w:r>
      <w:r>
        <w:rPr>
          <w:rFonts w:hint="eastAsia" w:ascii="宋体" w:hAnsi="宋体" w:cs="宋体"/>
          <w:bCs/>
          <w:color w:val="auto"/>
          <w:kern w:val="0"/>
          <w:szCs w:val="21"/>
          <w:highlight w:val="none"/>
          <w:lang w:eastAsia="zh-CN"/>
        </w:rPr>
        <w:t>的</w:t>
      </w:r>
      <w:r>
        <w:rPr>
          <w:rFonts w:hint="eastAsia" w:ascii="宋体" w:hAnsi="宋体" w:cs="宋体"/>
          <w:bCs/>
          <w:color w:val="auto"/>
          <w:kern w:val="0"/>
          <w:szCs w:val="21"/>
          <w:highlight w:val="none"/>
        </w:rPr>
        <w:t>得3分。</w:t>
      </w:r>
    </w:p>
    <w:p>
      <w:pPr>
        <w:widowControl/>
        <w:spacing w:line="450" w:lineRule="exact"/>
        <w:ind w:firstLine="420"/>
        <w:rPr>
          <w:rFonts w:hint="eastAsia"/>
          <w:color w:val="auto"/>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有</w:t>
      </w:r>
      <w:r>
        <w:rPr>
          <w:rFonts w:hint="eastAsia" w:ascii="宋体" w:hAnsi="宋体" w:cs="宋体"/>
          <w:bCs/>
          <w:color w:val="auto"/>
          <w:kern w:val="0"/>
          <w:szCs w:val="21"/>
          <w:highlight w:val="none"/>
        </w:rPr>
        <w:t>服务实施进度安排</w:t>
      </w:r>
      <w:r>
        <w:rPr>
          <w:rFonts w:hint="eastAsia" w:ascii="宋体" w:hAnsi="宋体" w:cs="宋体"/>
          <w:bCs/>
          <w:color w:val="auto"/>
          <w:kern w:val="0"/>
          <w:szCs w:val="21"/>
          <w:highlight w:val="none"/>
          <w:lang w:eastAsia="zh-CN"/>
        </w:rPr>
        <w:t>的</w:t>
      </w:r>
      <w:r>
        <w:rPr>
          <w:rFonts w:hint="eastAsia" w:ascii="宋体" w:hAnsi="宋体" w:cs="宋体"/>
          <w:bCs/>
          <w:color w:val="auto"/>
          <w:kern w:val="0"/>
          <w:szCs w:val="21"/>
          <w:highlight w:val="none"/>
          <w:lang w:val="en-US" w:eastAsia="zh-CN"/>
        </w:rPr>
        <w:t>得3分；</w:t>
      </w:r>
      <w:r>
        <w:rPr>
          <w:rFonts w:hint="eastAsia" w:ascii="宋体" w:hAnsi="宋体" w:cs="宋体"/>
          <w:bCs/>
          <w:color w:val="auto"/>
          <w:kern w:val="0"/>
          <w:szCs w:val="21"/>
          <w:highlight w:val="none"/>
        </w:rPr>
        <w:t>人员安排职责分工明确的得</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r>
        <w:rPr>
          <w:rFonts w:hint="eastAsia" w:ascii="宋体" w:hAnsi="宋体" w:cs="宋体"/>
          <w:bCs/>
          <w:color w:val="auto"/>
          <w:kern w:val="0"/>
          <w:szCs w:val="21"/>
          <w:highlight w:val="none"/>
          <w:lang w:eastAsia="zh-CN"/>
        </w:rPr>
        <w:t>。</w:t>
      </w:r>
    </w:p>
    <w:p>
      <w:pPr>
        <w:spacing w:line="440" w:lineRule="exact"/>
        <w:ind w:firstLine="284" w:firstLineChars="0"/>
        <w:rPr>
          <w:rFonts w:hint="eastAsia"/>
          <w:color w:val="auto"/>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eastAsia="zh-CN"/>
        </w:rPr>
        <w:t>有</w:t>
      </w:r>
      <w:r>
        <w:rPr>
          <w:rFonts w:hint="eastAsia" w:ascii="宋体" w:hAnsi="宋体" w:cs="宋体"/>
          <w:bCs/>
          <w:color w:val="auto"/>
          <w:kern w:val="0"/>
          <w:szCs w:val="21"/>
          <w:highlight w:val="none"/>
        </w:rPr>
        <w:t>质量保证措施</w:t>
      </w:r>
      <w:r>
        <w:rPr>
          <w:rFonts w:hint="eastAsia" w:ascii="宋体" w:hAnsi="宋体" w:cs="宋体"/>
          <w:bCs/>
          <w:color w:val="auto"/>
          <w:kern w:val="0"/>
          <w:szCs w:val="21"/>
          <w:highlight w:val="none"/>
          <w:lang w:eastAsia="zh-CN"/>
        </w:rPr>
        <w:t>且</w:t>
      </w:r>
      <w:r>
        <w:rPr>
          <w:rFonts w:hint="eastAsia" w:ascii="宋体" w:hAnsi="宋体" w:cs="宋体"/>
          <w:bCs/>
          <w:color w:val="auto"/>
          <w:kern w:val="0"/>
          <w:szCs w:val="21"/>
          <w:highlight w:val="none"/>
        </w:rPr>
        <w:t>描述规范</w:t>
      </w:r>
      <w:r>
        <w:rPr>
          <w:rFonts w:hint="eastAsia" w:ascii="宋体" w:hAnsi="宋体" w:cs="宋体"/>
          <w:bCs/>
          <w:color w:val="auto"/>
          <w:kern w:val="0"/>
          <w:szCs w:val="21"/>
          <w:highlight w:val="none"/>
          <w:lang w:eastAsia="zh-CN"/>
        </w:rPr>
        <w:t>的得</w:t>
      </w:r>
      <w:r>
        <w:rPr>
          <w:rFonts w:hint="eastAsia" w:ascii="宋体" w:hAnsi="宋体" w:cs="宋体"/>
          <w:bCs/>
          <w:color w:val="auto"/>
          <w:kern w:val="0"/>
          <w:szCs w:val="21"/>
          <w:highlight w:val="none"/>
          <w:lang w:val="en-US" w:eastAsia="zh-CN"/>
        </w:rPr>
        <w:t>2分；有</w:t>
      </w:r>
      <w:r>
        <w:rPr>
          <w:rFonts w:hint="eastAsia" w:ascii="宋体" w:hAnsi="宋体" w:cs="宋体"/>
          <w:bCs/>
          <w:color w:val="auto"/>
          <w:kern w:val="0"/>
          <w:szCs w:val="21"/>
          <w:highlight w:val="none"/>
        </w:rPr>
        <w:t>采购需求完工测试标准</w:t>
      </w:r>
      <w:r>
        <w:rPr>
          <w:rFonts w:hint="eastAsia" w:ascii="宋体" w:hAnsi="宋体" w:cs="宋体"/>
          <w:bCs/>
          <w:color w:val="auto"/>
          <w:kern w:val="0"/>
          <w:szCs w:val="21"/>
          <w:highlight w:val="none"/>
          <w:lang w:eastAsia="zh-CN"/>
        </w:rPr>
        <w:t>的得</w:t>
      </w:r>
      <w:r>
        <w:rPr>
          <w:rFonts w:hint="eastAsia" w:ascii="宋体" w:hAnsi="宋体" w:cs="宋体"/>
          <w:bCs/>
          <w:color w:val="auto"/>
          <w:kern w:val="0"/>
          <w:szCs w:val="21"/>
          <w:highlight w:val="none"/>
          <w:lang w:val="en-US" w:eastAsia="zh-CN"/>
        </w:rPr>
        <w:t>2分；有</w:t>
      </w:r>
      <w:r>
        <w:rPr>
          <w:rFonts w:hint="eastAsia" w:ascii="宋体" w:hAnsi="宋体" w:cs="宋体"/>
          <w:bCs/>
          <w:color w:val="auto"/>
          <w:kern w:val="0"/>
          <w:szCs w:val="21"/>
          <w:highlight w:val="none"/>
        </w:rPr>
        <w:t>安装调试验收方案的得</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分</w:t>
      </w:r>
      <w:r>
        <w:rPr>
          <w:rFonts w:hint="eastAsia" w:ascii="宋体" w:hAnsi="宋体" w:cs="宋体"/>
          <w:bCs/>
          <w:color w:val="auto"/>
          <w:kern w:val="0"/>
          <w:szCs w:val="21"/>
          <w:highlight w:val="none"/>
          <w:lang w:eastAsia="zh-CN"/>
        </w:rPr>
        <w:t>。</w:t>
      </w:r>
    </w:p>
    <w:p>
      <w:pPr>
        <w:spacing w:line="440" w:lineRule="exact"/>
        <w:ind w:firstLine="284" w:firstLineChars="0"/>
        <w:jc w:val="left"/>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1.4</w:t>
      </w:r>
      <w:r>
        <w:rPr>
          <w:rFonts w:hint="eastAsia" w:ascii="宋体" w:hAnsi="宋体"/>
          <w:color w:val="auto"/>
          <w:highlight w:val="none"/>
        </w:rPr>
        <w:t>供应商提供的网络具备</w:t>
      </w:r>
      <w:r>
        <w:rPr>
          <w:rFonts w:hint="eastAsia"/>
          <w:color w:val="auto"/>
          <w:highlight w:val="none"/>
        </w:rPr>
        <w:t>7×24小时网络监控功能，并提供网管系统界面截图的得</w:t>
      </w:r>
      <w:r>
        <w:rPr>
          <w:rFonts w:hint="eastAsia" w:ascii="Times New Roman" w:eastAsia="宋体"/>
          <w:color w:val="auto"/>
          <w:highlight w:val="none"/>
          <w:lang w:val="en-US" w:eastAsia="zh-CN"/>
        </w:rPr>
        <w:t>3</w:t>
      </w:r>
      <w:r>
        <w:rPr>
          <w:rFonts w:hint="eastAsia"/>
          <w:color w:val="auto"/>
          <w:highlight w:val="none"/>
        </w:rPr>
        <w:t>分。</w:t>
      </w:r>
    </w:p>
    <w:p>
      <w:pPr>
        <w:spacing w:line="440" w:lineRule="exact"/>
        <w:ind w:firstLine="284" w:firstLineChars="0"/>
        <w:jc w:val="left"/>
        <w:rPr>
          <w:rFonts w:hint="default" w:ascii="宋体" w:hAnsi="宋体" w:eastAsia="宋体"/>
          <w:color w:val="auto"/>
          <w:highlight w:val="none"/>
          <w:lang w:val="en-US" w:eastAsia="zh-CN"/>
        </w:rPr>
      </w:pPr>
      <w:r>
        <w:rPr>
          <w:rFonts w:hint="eastAsia" w:ascii="宋体" w:cs="Courier New"/>
          <w:b/>
          <w:color w:val="auto"/>
          <w:szCs w:val="21"/>
          <w:highlight w:val="none"/>
        </w:rPr>
        <w:t>1</w:t>
      </w:r>
      <w:r>
        <w:rPr>
          <w:rFonts w:ascii="宋体" w:cs="Courier New"/>
          <w:b/>
          <w:color w:val="auto"/>
          <w:szCs w:val="21"/>
          <w:highlight w:val="none"/>
        </w:rPr>
        <w:t>.2</w:t>
      </w:r>
      <w:bookmarkStart w:id="129" w:name="_Hlk150872328"/>
      <w:r>
        <w:rPr>
          <w:rFonts w:hint="eastAsia" w:ascii="宋体" w:cs="Courier New"/>
          <w:b/>
          <w:color w:val="auto"/>
          <w:szCs w:val="21"/>
          <w:highlight w:val="none"/>
        </w:rPr>
        <w:t>项目实施</w:t>
      </w:r>
      <w:r>
        <w:rPr>
          <w:rFonts w:ascii="宋体" w:cs="Courier New"/>
          <w:b/>
          <w:color w:val="auto"/>
          <w:szCs w:val="21"/>
          <w:highlight w:val="none"/>
        </w:rPr>
        <w:t>方案</w:t>
      </w:r>
      <w:bookmarkEnd w:id="129"/>
      <w:r>
        <w:rPr>
          <w:rFonts w:ascii="宋体" w:cs="Courier New"/>
          <w:b/>
          <w:color w:val="auto"/>
          <w:szCs w:val="21"/>
          <w:highlight w:val="none"/>
        </w:rPr>
        <w:t>分（</w:t>
      </w:r>
      <w:r>
        <w:rPr>
          <w:rFonts w:hint="eastAsia" w:ascii="宋体" w:cs="Courier New"/>
          <w:b/>
          <w:color w:val="auto"/>
          <w:szCs w:val="21"/>
          <w:highlight w:val="none"/>
          <w:lang w:val="en-US" w:eastAsia="zh-CN"/>
        </w:rPr>
        <w:t>21</w:t>
      </w:r>
      <w:r>
        <w:rPr>
          <w:rFonts w:ascii="宋体" w:cs="Courier New"/>
          <w:b/>
          <w:color w:val="auto"/>
          <w:szCs w:val="21"/>
          <w:highlight w:val="none"/>
        </w:rPr>
        <w:t>分）</w:t>
      </w:r>
    </w:p>
    <w:p>
      <w:pPr>
        <w:spacing w:line="440" w:lineRule="exact"/>
        <w:ind w:firstLine="284" w:firstLineChars="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由磋商小组各成员对供应商提供的</w:t>
      </w:r>
      <w:r>
        <w:rPr>
          <w:rFonts w:hint="eastAsia" w:ascii="宋体" w:hAnsi="宋体" w:cs="宋体"/>
          <w:bCs/>
          <w:color w:val="auto"/>
          <w:kern w:val="0"/>
          <w:szCs w:val="21"/>
          <w:highlight w:val="none"/>
          <w:lang w:val="en-US" w:eastAsia="zh-CN"/>
        </w:rPr>
        <w:t>项目实施</w:t>
      </w:r>
      <w:r>
        <w:rPr>
          <w:rFonts w:hint="eastAsia" w:ascii="宋体" w:hAnsi="宋体" w:cs="宋体"/>
          <w:bCs/>
          <w:color w:val="auto"/>
          <w:kern w:val="0"/>
          <w:szCs w:val="21"/>
          <w:highlight w:val="none"/>
        </w:rPr>
        <w:t>方案按以下规则进行评分：</w:t>
      </w:r>
    </w:p>
    <w:p>
      <w:pPr>
        <w:spacing w:line="440" w:lineRule="exact"/>
        <w:ind w:firstLine="284" w:firstLineChars="0"/>
        <w:jc w:val="left"/>
        <w:rPr>
          <w:rFonts w:ascii="宋体" w:hAnsi="宋体"/>
          <w:color w:val="auto"/>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.2.1</w:t>
      </w:r>
      <w:r>
        <w:rPr>
          <w:rFonts w:hint="eastAsia" w:ascii="宋体" w:cs="Courier New"/>
          <w:color w:val="auto"/>
          <w:szCs w:val="21"/>
          <w:highlight w:val="none"/>
        </w:rPr>
        <w:t>投标人提供为本项目组织的</w:t>
      </w:r>
      <w:r>
        <w:rPr>
          <w:rFonts w:hint="eastAsia" w:ascii="宋体" w:cs="Courier New"/>
          <w:bCs/>
          <w:color w:val="auto"/>
          <w:szCs w:val="21"/>
          <w:highlight w:val="none"/>
        </w:rPr>
        <w:t>项目实施管理机构的</w:t>
      </w:r>
      <w:r>
        <w:rPr>
          <w:rFonts w:hint="eastAsia" w:ascii="宋体" w:cs="Courier New"/>
          <w:bCs/>
          <w:color w:val="auto"/>
          <w:szCs w:val="21"/>
          <w:highlight w:val="none"/>
          <w:lang w:val="en-US" w:eastAsia="zh-CN"/>
        </w:rPr>
        <w:t>得3</w:t>
      </w:r>
      <w:r>
        <w:rPr>
          <w:rFonts w:hint="eastAsia" w:ascii="宋体" w:cs="Courier New"/>
          <w:bCs/>
          <w:color w:val="auto"/>
          <w:szCs w:val="21"/>
          <w:highlight w:val="none"/>
        </w:rPr>
        <w:t>分；项目实施管理机构具有明确的架构设置，有明确的管理人员，利于项目实施</w:t>
      </w:r>
      <w:r>
        <w:rPr>
          <w:rFonts w:hint="eastAsia" w:ascii="宋体" w:cs="Courier New"/>
          <w:color w:val="auto"/>
          <w:szCs w:val="21"/>
          <w:highlight w:val="none"/>
        </w:rPr>
        <w:t>的得</w:t>
      </w:r>
      <w:r>
        <w:rPr>
          <w:rFonts w:hint="eastAsia" w:ascii="宋体" w:cs="Courier New"/>
          <w:color w:val="auto"/>
          <w:szCs w:val="21"/>
          <w:highlight w:val="none"/>
          <w:lang w:val="en-US" w:eastAsia="zh-CN"/>
        </w:rPr>
        <w:t>3</w:t>
      </w:r>
      <w:r>
        <w:rPr>
          <w:rFonts w:hint="eastAsia" w:ascii="宋体" w:cs="Courier New"/>
          <w:color w:val="auto"/>
          <w:szCs w:val="21"/>
          <w:highlight w:val="none"/>
        </w:rPr>
        <w:t>分。</w:t>
      </w:r>
    </w:p>
    <w:p>
      <w:pPr>
        <w:spacing w:line="440" w:lineRule="exact"/>
        <w:ind w:firstLine="284" w:firstLineChars="0"/>
        <w:jc w:val="left"/>
        <w:rPr>
          <w:rFonts w:ascii="宋体" w:hAnsi="宋体"/>
          <w:color w:val="auto"/>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投标人的技术方案具有明确的实施日程、</w:t>
      </w:r>
      <w:r>
        <w:rPr>
          <w:rFonts w:hint="eastAsia"/>
          <w:color w:val="auto"/>
          <w:highlight w:val="none"/>
        </w:rPr>
        <w:t>进度安排、人员安排职责分工，满足项目需求的得3分。</w:t>
      </w:r>
    </w:p>
    <w:p>
      <w:pPr>
        <w:spacing w:line="440" w:lineRule="exact"/>
        <w:ind w:firstLine="284" w:firstLineChars="0"/>
        <w:jc w:val="left"/>
        <w:rPr>
          <w:rFonts w:ascii="宋体" w:hAnsi="宋体" w:cs="宋体"/>
          <w:bCs/>
          <w:color w:val="auto"/>
          <w:kern w:val="0"/>
          <w:szCs w:val="21"/>
          <w:highlight w:val="none"/>
        </w:rPr>
      </w:pPr>
      <w:r>
        <w:rPr>
          <w:rFonts w:hint="eastAsia" w:ascii="宋体" w:cs="Courier New"/>
          <w:color w:val="auto"/>
          <w:szCs w:val="21"/>
          <w:highlight w:val="none"/>
        </w:rPr>
        <w:t>1</w:t>
      </w:r>
      <w:r>
        <w:rPr>
          <w:rFonts w:ascii="宋体" w:cs="Courier New"/>
          <w:color w:val="auto"/>
          <w:szCs w:val="21"/>
          <w:highlight w:val="none"/>
        </w:rPr>
        <w:t>.2.</w:t>
      </w:r>
      <w:r>
        <w:rPr>
          <w:rFonts w:hint="eastAsia" w:ascii="宋体" w:cs="Courier New"/>
          <w:color w:val="auto"/>
          <w:szCs w:val="21"/>
          <w:highlight w:val="none"/>
          <w:lang w:val="en-US" w:eastAsia="zh-CN"/>
        </w:rPr>
        <w:t>3</w:t>
      </w:r>
      <w:r>
        <w:rPr>
          <w:rFonts w:hint="eastAsia" w:ascii="宋体" w:hAnsi="宋体" w:cs="Arial"/>
          <w:bCs/>
          <w:color w:val="auto"/>
          <w:szCs w:val="21"/>
          <w:highlight w:val="none"/>
        </w:rPr>
        <w:t>投标人提供符合项目需求的服务</w:t>
      </w:r>
      <w:r>
        <w:rPr>
          <w:rFonts w:hint="eastAsia" w:ascii="宋体" w:hAnsi="宋体" w:cs="宋体"/>
          <w:color w:val="auto"/>
          <w:szCs w:val="21"/>
          <w:highlight w:val="none"/>
        </w:rPr>
        <w:t>质量保证方案、措施及承诺的得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440" w:lineRule="exact"/>
        <w:ind w:firstLine="284" w:firstLineChars="0"/>
        <w:jc w:val="left"/>
        <w:rPr>
          <w:rFonts w:ascii="宋体" w:hAnsi="宋体" w:cs="宋体"/>
          <w:bCs/>
          <w:color w:val="auto"/>
          <w:kern w:val="0"/>
          <w:szCs w:val="21"/>
          <w:highlight w:val="none"/>
        </w:rPr>
      </w:pPr>
      <w:r>
        <w:rPr>
          <w:rFonts w:hint="eastAsia" w:ascii="宋体" w:cs="Courier New"/>
          <w:color w:val="auto"/>
          <w:szCs w:val="21"/>
          <w:highlight w:val="none"/>
        </w:rPr>
        <w:t>1</w:t>
      </w:r>
      <w:r>
        <w:rPr>
          <w:rFonts w:ascii="宋体" w:cs="Courier New"/>
          <w:color w:val="auto"/>
          <w:szCs w:val="21"/>
          <w:highlight w:val="none"/>
        </w:rPr>
        <w:t>.2.</w:t>
      </w:r>
      <w:r>
        <w:rPr>
          <w:rFonts w:hint="eastAsia" w:ascii="宋体" w:cs="Courier New"/>
          <w:color w:val="auto"/>
          <w:szCs w:val="21"/>
          <w:highlight w:val="none"/>
          <w:lang w:val="en-US" w:eastAsia="zh-CN"/>
        </w:rPr>
        <w:t>4</w:t>
      </w:r>
      <w:r>
        <w:rPr>
          <w:rFonts w:hint="eastAsia" w:ascii="宋体" w:cs="Courier New"/>
          <w:color w:val="auto"/>
          <w:szCs w:val="21"/>
          <w:highlight w:val="none"/>
        </w:rPr>
        <w:t>投标人为采购人</w:t>
      </w:r>
      <w:r>
        <w:rPr>
          <w:rFonts w:hint="eastAsia" w:ascii="宋体" w:cs="Courier New"/>
          <w:bCs/>
          <w:color w:val="auto"/>
          <w:szCs w:val="21"/>
          <w:highlight w:val="none"/>
        </w:rPr>
        <w:t>提供明确的培训计划有明确的培训</w:t>
      </w:r>
      <w:r>
        <w:rPr>
          <w:rFonts w:ascii="宋体" w:cs="Courier New"/>
          <w:bCs/>
          <w:color w:val="auto"/>
          <w:szCs w:val="21"/>
          <w:highlight w:val="none"/>
        </w:rPr>
        <w:t>时间</w:t>
      </w:r>
      <w:r>
        <w:rPr>
          <w:rFonts w:hint="eastAsia" w:ascii="宋体" w:cs="Courier New"/>
          <w:bCs/>
          <w:color w:val="auto"/>
          <w:szCs w:val="21"/>
          <w:highlight w:val="none"/>
        </w:rPr>
        <w:t>表、培训内容的得</w:t>
      </w:r>
      <w:r>
        <w:rPr>
          <w:rFonts w:hint="eastAsia" w:ascii="宋体" w:cs="Courier New"/>
          <w:bCs/>
          <w:color w:val="auto"/>
          <w:szCs w:val="21"/>
          <w:highlight w:val="none"/>
          <w:lang w:val="en-US" w:eastAsia="zh-CN"/>
        </w:rPr>
        <w:t>3</w:t>
      </w:r>
      <w:r>
        <w:rPr>
          <w:rFonts w:hint="eastAsia" w:ascii="宋体" w:cs="Courier New"/>
          <w:bCs/>
          <w:color w:val="auto"/>
          <w:szCs w:val="21"/>
          <w:highlight w:val="none"/>
        </w:rPr>
        <w:t>分。</w:t>
      </w:r>
    </w:p>
    <w:p>
      <w:pPr>
        <w:spacing w:line="440" w:lineRule="exact"/>
        <w:ind w:firstLine="284" w:firstLineChars="0"/>
        <w:jc w:val="left"/>
        <w:rPr>
          <w:rFonts w:ascii="宋体" w:hAnsi="宋体" w:cs="宋体"/>
          <w:bCs/>
          <w:color w:val="auto"/>
          <w:kern w:val="0"/>
          <w:szCs w:val="21"/>
          <w:highlight w:val="none"/>
        </w:rPr>
      </w:pPr>
      <w:r>
        <w:rPr>
          <w:rFonts w:hint="eastAsia" w:ascii="宋体" w:hAnsi="宋体" w:cs="Arial"/>
          <w:bCs/>
          <w:color w:val="auto"/>
          <w:szCs w:val="21"/>
          <w:highlight w:val="none"/>
        </w:rPr>
        <w:t>1</w:t>
      </w:r>
      <w:r>
        <w:rPr>
          <w:rFonts w:ascii="宋体" w:hAnsi="宋体" w:cs="Arial"/>
          <w:bCs/>
          <w:color w:val="auto"/>
          <w:szCs w:val="21"/>
          <w:highlight w:val="none"/>
        </w:rPr>
        <w:t>.2.</w:t>
      </w:r>
      <w:r>
        <w:rPr>
          <w:rFonts w:hint="eastAsia" w:ascii="宋体" w:hAnsi="宋体" w:cs="Arial"/>
          <w:bCs/>
          <w:color w:val="auto"/>
          <w:szCs w:val="21"/>
          <w:highlight w:val="none"/>
          <w:lang w:val="en-US" w:eastAsia="zh-CN"/>
        </w:rPr>
        <w:t>5</w:t>
      </w:r>
      <w:r>
        <w:rPr>
          <w:rFonts w:hint="eastAsia" w:ascii="宋体" w:hAnsi="宋体"/>
          <w:color w:val="auto"/>
          <w:szCs w:val="21"/>
          <w:highlight w:val="none"/>
        </w:rPr>
        <w:t>投标人</w:t>
      </w:r>
      <w:r>
        <w:rPr>
          <w:rFonts w:hint="eastAsia" w:ascii="宋体" w:hAnsi="宋体" w:cs="宋体"/>
          <w:color w:val="auto"/>
          <w:szCs w:val="21"/>
          <w:highlight w:val="none"/>
        </w:rPr>
        <w:t>具有符合本项目情形的突发事件应急预案和处理措施的得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440" w:lineRule="exact"/>
        <w:ind w:firstLine="284" w:firstLineChars="0"/>
        <w:jc w:val="left"/>
        <w:rPr>
          <w:rFonts w:ascii="宋体" w:hAnsi="宋体" w:cs="宋体"/>
          <w:bCs/>
          <w:color w:val="auto"/>
          <w:kern w:val="0"/>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lang w:val="en-US" w:eastAsia="zh-CN"/>
        </w:rPr>
        <w:t>6</w:t>
      </w:r>
      <w:r>
        <w:rPr>
          <w:rFonts w:hint="eastAsia" w:ascii="宋体" w:hAnsi="宋体" w:cs="Arial"/>
          <w:bCs/>
          <w:color w:val="auto"/>
          <w:szCs w:val="21"/>
          <w:highlight w:val="none"/>
        </w:rPr>
        <w:t>投标人提供满足本项目的</w:t>
      </w:r>
      <w:r>
        <w:rPr>
          <w:rFonts w:hint="eastAsia" w:ascii="宋体" w:hAnsi="宋体"/>
          <w:color w:val="auto"/>
          <w:szCs w:val="21"/>
          <w:highlight w:val="none"/>
        </w:rPr>
        <w:t>验收方案，包含验收依据、相关的技术标准，验收的组织形式、程序、注意事项及验收内容的</w:t>
      </w:r>
      <w:r>
        <w:rPr>
          <w:rFonts w:hint="eastAsia" w:ascii="宋体" w:hAnsi="宋体" w:cs="宋体"/>
          <w:bCs/>
          <w:color w:val="auto"/>
          <w:kern w:val="0"/>
          <w:szCs w:val="21"/>
          <w:highlight w:val="none"/>
        </w:rPr>
        <w:t>得</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p>
      <w:pPr>
        <w:spacing w:line="440" w:lineRule="exact"/>
        <w:ind w:firstLine="284" w:firstLineChars="0"/>
        <w:rPr>
          <w:rFonts w:hint="eastAsia" w:ascii="宋体" w:hAnsi="宋体" w:cs="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运营维护保障分(</w:t>
      </w:r>
      <w:r>
        <w:rPr>
          <w:rFonts w:ascii="宋体" w:hAnsi="宋体" w:cs="宋体"/>
          <w:b/>
          <w:bCs/>
          <w:color w:val="auto"/>
          <w:highlight w:val="none"/>
        </w:rPr>
        <w:t>2</w:t>
      </w:r>
      <w:r>
        <w:rPr>
          <w:rFonts w:hint="eastAsia" w:ascii="宋体" w:hAnsi="宋体" w:cs="宋体"/>
          <w:b/>
          <w:bCs/>
          <w:color w:val="auto"/>
          <w:highlight w:val="none"/>
          <w:lang w:val="en-US" w:eastAsia="zh-CN"/>
        </w:rPr>
        <w:t>5</w:t>
      </w:r>
      <w:r>
        <w:rPr>
          <w:rFonts w:hint="eastAsia" w:ascii="宋体" w:hAnsi="宋体" w:cs="宋体"/>
          <w:b/>
          <w:bCs/>
          <w:color w:val="auto"/>
          <w:highlight w:val="none"/>
        </w:rPr>
        <w:t>分)</w:t>
      </w:r>
    </w:p>
    <w:p>
      <w:pPr>
        <w:spacing w:line="440" w:lineRule="exact"/>
        <w:ind w:firstLine="284" w:firstLineChars="0"/>
        <w:rPr>
          <w:rFonts w:hint="eastAsia" w:ascii="宋体" w:hAnsi="宋体" w:cs="Arial"/>
          <w:bCs/>
          <w:color w:val="auto"/>
          <w:szCs w:val="21"/>
          <w:highlight w:val="none"/>
        </w:rPr>
      </w:pPr>
      <w:r>
        <w:rPr>
          <w:rFonts w:hint="eastAsia" w:ascii="宋体" w:hAnsi="宋体" w:cs="Arial"/>
          <w:bCs/>
          <w:color w:val="auto"/>
          <w:szCs w:val="21"/>
          <w:highlight w:val="none"/>
        </w:rPr>
        <w:t>由</w:t>
      </w:r>
      <w:r>
        <w:rPr>
          <w:rFonts w:hint="eastAsia" w:ascii="宋体" w:hAnsi="宋体" w:cs="Arial"/>
          <w:bCs/>
          <w:color w:val="auto"/>
          <w:szCs w:val="21"/>
          <w:highlight w:val="none"/>
          <w:lang w:val="en-US" w:eastAsia="zh-CN"/>
        </w:rPr>
        <w:t>磋商小组</w:t>
      </w:r>
      <w:r>
        <w:rPr>
          <w:rFonts w:hint="eastAsia" w:ascii="宋体" w:hAnsi="宋体" w:cs="Arial"/>
          <w:bCs/>
          <w:color w:val="auto"/>
          <w:szCs w:val="21"/>
          <w:highlight w:val="none"/>
        </w:rPr>
        <w:t>各成员会对</w:t>
      </w:r>
      <w:r>
        <w:rPr>
          <w:rFonts w:hint="eastAsia" w:ascii="宋体" w:hAnsi="宋体" w:cs="Arial"/>
          <w:bCs/>
          <w:color w:val="auto"/>
          <w:szCs w:val="21"/>
          <w:highlight w:val="none"/>
          <w:lang w:val="en-US" w:eastAsia="zh-CN"/>
        </w:rPr>
        <w:t>供应商</w:t>
      </w:r>
      <w:r>
        <w:rPr>
          <w:rFonts w:hint="eastAsia" w:ascii="宋体" w:hAnsi="宋体" w:cs="Arial"/>
          <w:bCs/>
          <w:color w:val="auto"/>
          <w:szCs w:val="21"/>
          <w:highlight w:val="none"/>
        </w:rPr>
        <w:t>提供的运营维护保障服务方案按以下规则进行评分：</w:t>
      </w:r>
    </w:p>
    <w:p>
      <w:pPr>
        <w:spacing w:line="440" w:lineRule="exact"/>
        <w:ind w:firstLine="284" w:firstLineChars="0"/>
        <w:rPr>
          <w:rFonts w:ascii="宋体" w:hAnsi="宋体" w:cs="Arial"/>
          <w:bCs/>
          <w:color w:val="auto"/>
          <w:szCs w:val="21"/>
          <w:highlight w:val="none"/>
        </w:rPr>
      </w:pPr>
      <w:r>
        <w:rPr>
          <w:rFonts w:hint="eastAsia" w:ascii="宋体" w:hAnsi="宋体" w:cs="Arial"/>
          <w:bCs/>
          <w:color w:val="auto"/>
          <w:szCs w:val="21"/>
          <w:highlight w:val="none"/>
        </w:rPr>
        <w:t>1.</w:t>
      </w:r>
      <w:r>
        <w:rPr>
          <w:rFonts w:ascii="宋体" w:hAnsi="宋体" w:cs="Arial"/>
          <w:bCs/>
          <w:color w:val="auto"/>
          <w:szCs w:val="21"/>
          <w:highlight w:val="none"/>
        </w:rPr>
        <w:t>3</w:t>
      </w:r>
      <w:r>
        <w:rPr>
          <w:rFonts w:hint="eastAsia" w:ascii="宋体" w:hAnsi="宋体" w:cs="Arial"/>
          <w:bCs/>
          <w:color w:val="auto"/>
          <w:szCs w:val="21"/>
          <w:highlight w:val="none"/>
        </w:rPr>
        <w:t>.1投标人提供明确的服务响应体系（包含但不限于维修人员、应急设备等）和服务响应时间、方式，满足本项目服务要求的得3分。</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Arial"/>
          <w:bCs/>
          <w:color w:val="auto"/>
          <w:szCs w:val="21"/>
          <w:highlight w:val="none"/>
        </w:rPr>
        <w:t>1.</w:t>
      </w:r>
      <w:r>
        <w:rPr>
          <w:rFonts w:ascii="宋体" w:hAnsi="宋体" w:cs="Arial"/>
          <w:bCs/>
          <w:color w:val="auto"/>
          <w:szCs w:val="21"/>
          <w:highlight w:val="none"/>
        </w:rPr>
        <w:t>3.</w:t>
      </w:r>
      <w:r>
        <w:rPr>
          <w:rFonts w:hint="eastAsia" w:ascii="宋体" w:hAnsi="宋体" w:cs="Arial"/>
          <w:bCs/>
          <w:color w:val="auto"/>
          <w:szCs w:val="21"/>
          <w:highlight w:val="none"/>
        </w:rPr>
        <w:t>2投标人为本项目投入服务人员</w:t>
      </w:r>
      <w:r>
        <w:rPr>
          <w:rFonts w:hint="eastAsia" w:ascii="宋体" w:hAnsi="宋体" w:cs="Arial"/>
          <w:bCs/>
          <w:color w:val="auto"/>
          <w:szCs w:val="21"/>
          <w:highlight w:val="none"/>
          <w:lang w:val="en-US" w:eastAsia="zh-CN"/>
        </w:rPr>
        <w:t>及运行维护服务车辆在</w:t>
      </w:r>
      <w:r>
        <w:rPr>
          <w:rFonts w:hint="eastAsia" w:ascii="宋体" w:hAnsi="宋体" w:cs="Arial"/>
          <w:bCs/>
          <w:color w:val="auto"/>
          <w:szCs w:val="21"/>
          <w:highlight w:val="none"/>
        </w:rPr>
        <w:t>满足项目需求基础上，每增加</w:t>
      </w:r>
      <w:r>
        <w:rPr>
          <w:rFonts w:hint="eastAsia" w:ascii="宋体" w:hAnsi="宋体" w:cs="Arial"/>
          <w:bCs/>
          <w:color w:val="auto"/>
          <w:szCs w:val="21"/>
          <w:highlight w:val="none"/>
          <w:lang w:val="en-US" w:eastAsia="zh-CN"/>
        </w:rPr>
        <w:t>2人及一辆车</w:t>
      </w:r>
      <w:r>
        <w:rPr>
          <w:rFonts w:hint="eastAsia" w:ascii="宋体" w:hAnsi="宋体" w:cs="Arial"/>
          <w:bCs/>
          <w:color w:val="auto"/>
          <w:szCs w:val="21"/>
          <w:highlight w:val="none"/>
        </w:rPr>
        <w:t>得</w:t>
      </w:r>
      <w:r>
        <w:rPr>
          <w:rFonts w:hint="eastAsia" w:ascii="宋体" w:hAnsi="宋体" w:cs="Arial"/>
          <w:bCs/>
          <w:color w:val="auto"/>
          <w:szCs w:val="21"/>
          <w:highlight w:val="none"/>
          <w:lang w:val="en-US" w:eastAsia="zh-CN"/>
        </w:rPr>
        <w:t>2</w:t>
      </w:r>
      <w:r>
        <w:rPr>
          <w:rFonts w:hint="eastAsia" w:ascii="宋体" w:hAnsi="宋体" w:cs="Arial"/>
          <w:bCs/>
          <w:color w:val="auto"/>
          <w:szCs w:val="21"/>
          <w:highlight w:val="none"/>
        </w:rPr>
        <w:t>分，满分</w:t>
      </w:r>
      <w:r>
        <w:rPr>
          <w:rFonts w:hint="eastAsia" w:ascii="宋体" w:hAnsi="宋体" w:cs="Arial"/>
          <w:bCs/>
          <w:color w:val="auto"/>
          <w:szCs w:val="21"/>
          <w:highlight w:val="none"/>
          <w:lang w:val="en-US" w:eastAsia="zh-CN"/>
        </w:rPr>
        <w:t>6</w:t>
      </w:r>
      <w:r>
        <w:rPr>
          <w:rFonts w:hint="eastAsia" w:ascii="宋体" w:hAnsi="宋体" w:cs="Arial"/>
          <w:bCs/>
          <w:color w:val="auto"/>
          <w:szCs w:val="21"/>
          <w:highlight w:val="none"/>
        </w:rPr>
        <w:t>分。（须提供服务人员清单</w:t>
      </w:r>
      <w:r>
        <w:rPr>
          <w:rFonts w:hint="eastAsia" w:ascii="宋体" w:hAnsi="宋体" w:cs="Arial"/>
          <w:bCs/>
          <w:color w:val="auto"/>
          <w:szCs w:val="21"/>
          <w:highlight w:val="none"/>
          <w:lang w:eastAsia="zh-CN"/>
        </w:rPr>
        <w:t>、</w:t>
      </w:r>
      <w:r>
        <w:rPr>
          <w:rFonts w:hint="eastAsia" w:ascii="宋体" w:hAnsi="宋体" w:cs="Arial"/>
          <w:bCs/>
          <w:color w:val="auto"/>
          <w:szCs w:val="21"/>
          <w:highlight w:val="none"/>
        </w:rPr>
        <w:t>提供车辆行驶证扫描件或相关证明）</w:t>
      </w:r>
    </w:p>
    <w:p>
      <w:pPr>
        <w:spacing w:line="440" w:lineRule="exact"/>
        <w:ind w:firstLine="284" w:firstLineChars="0"/>
        <w:rPr>
          <w:rFonts w:hint="eastAsia" w:ascii="宋体" w:hAnsi="宋体" w:cs="Arial"/>
          <w:bCs/>
          <w:color w:val="auto"/>
          <w:szCs w:val="21"/>
          <w:highlight w:val="none"/>
        </w:rPr>
      </w:pPr>
      <w:r>
        <w:rPr>
          <w:rFonts w:hint="eastAsia" w:ascii="宋体" w:hAnsi="宋体" w:cs="Arial"/>
          <w:bCs/>
          <w:color w:val="auto"/>
          <w:szCs w:val="21"/>
          <w:highlight w:val="none"/>
        </w:rPr>
        <w:t>1.</w:t>
      </w:r>
      <w:r>
        <w:rPr>
          <w:rFonts w:ascii="宋体" w:hAnsi="宋体" w:cs="Arial"/>
          <w:bCs/>
          <w:color w:val="auto"/>
          <w:szCs w:val="21"/>
          <w:highlight w:val="none"/>
        </w:rPr>
        <w:t>3.3</w:t>
      </w:r>
      <w:r>
        <w:rPr>
          <w:rFonts w:hint="eastAsia" w:ascii="宋体" w:hAnsi="宋体" w:cs="Arial"/>
          <w:bCs/>
          <w:color w:val="auto"/>
          <w:szCs w:val="21"/>
          <w:highlight w:val="none"/>
        </w:rPr>
        <w:t>投标人拟投入本项目运维人员中包含中级及以上的职称或职业资格技术人员的，每人得1分，满分</w:t>
      </w:r>
      <w:r>
        <w:rPr>
          <w:rFonts w:hint="eastAsia" w:ascii="宋体" w:hAnsi="宋体" w:cs="Arial"/>
          <w:bCs/>
          <w:color w:val="auto"/>
          <w:szCs w:val="21"/>
          <w:highlight w:val="none"/>
          <w:lang w:val="en-US" w:eastAsia="zh-CN"/>
        </w:rPr>
        <w:t>6</w:t>
      </w:r>
      <w:r>
        <w:rPr>
          <w:rFonts w:hint="eastAsia" w:ascii="宋体" w:hAnsi="宋体" w:cs="Arial"/>
          <w:bCs/>
          <w:color w:val="auto"/>
          <w:szCs w:val="21"/>
          <w:highlight w:val="none"/>
        </w:rPr>
        <w:t>分；拟投入运维人员中包含信息系统、网络规划、信息安全、项目管理、售后服务、通信工程等与本项目相关专业的高级及以上的职称或职业资格或具</w:t>
      </w:r>
      <w:r>
        <w:rPr>
          <w:rFonts w:hint="eastAsia" w:ascii="宋体" w:hAnsi="宋体" w:cs="Arial"/>
          <w:bCs/>
          <w:strike w:val="0"/>
          <w:dstrike w:val="0"/>
          <w:color w:val="auto"/>
          <w:szCs w:val="21"/>
          <w:highlight w:val="none"/>
        </w:rPr>
        <w:t>有国家认证认可监督管理委员会</w:t>
      </w:r>
      <w:r>
        <w:rPr>
          <w:rFonts w:hint="eastAsia" w:ascii="宋体" w:hAnsi="宋体" w:cs="Arial"/>
          <w:bCs/>
          <w:color w:val="auto"/>
          <w:szCs w:val="21"/>
          <w:highlight w:val="none"/>
        </w:rPr>
        <w:t>颁发专业能力认证技术人员的，每类专业得1分，满分6分；本项满分</w:t>
      </w:r>
      <w:r>
        <w:rPr>
          <w:rFonts w:hint="eastAsia" w:ascii="宋体" w:hAnsi="宋体" w:cs="Arial"/>
          <w:bCs/>
          <w:color w:val="auto"/>
          <w:szCs w:val="21"/>
          <w:highlight w:val="none"/>
          <w:lang w:val="en-US" w:eastAsia="zh-CN"/>
        </w:rPr>
        <w:t>12</w:t>
      </w:r>
      <w:r>
        <w:rPr>
          <w:rFonts w:hint="eastAsia" w:ascii="宋体" w:hAnsi="宋体" w:cs="Arial"/>
          <w:bCs/>
          <w:color w:val="auto"/>
          <w:szCs w:val="21"/>
          <w:highlight w:val="none"/>
        </w:rPr>
        <w:t>分。（须提供有效的证书证明材料加盖投标人公章）</w:t>
      </w:r>
    </w:p>
    <w:p>
      <w:pPr>
        <w:spacing w:line="440" w:lineRule="exact"/>
        <w:ind w:firstLine="284" w:firstLineChars="0"/>
        <w:rPr>
          <w:rFonts w:ascii="宋体" w:hAnsi="宋体" w:cs="Arial"/>
          <w:bCs/>
          <w:color w:val="auto"/>
          <w:szCs w:val="21"/>
          <w:highlight w:val="none"/>
        </w:rPr>
      </w:pPr>
      <w:r>
        <w:rPr>
          <w:rFonts w:hint="eastAsia" w:ascii="宋体" w:hAnsi="宋体" w:cs="Arial"/>
          <w:bCs/>
          <w:color w:val="auto"/>
          <w:szCs w:val="21"/>
          <w:highlight w:val="none"/>
        </w:rPr>
        <w:t>1.</w:t>
      </w:r>
      <w:r>
        <w:rPr>
          <w:rFonts w:ascii="宋体" w:hAnsi="宋体" w:cs="Arial"/>
          <w:bCs/>
          <w:color w:val="auto"/>
          <w:szCs w:val="21"/>
          <w:highlight w:val="none"/>
        </w:rPr>
        <w:t>3.</w:t>
      </w:r>
      <w:r>
        <w:rPr>
          <w:rFonts w:hint="eastAsia" w:ascii="宋体" w:hAnsi="宋体" w:cs="Arial"/>
          <w:bCs/>
          <w:color w:val="auto"/>
          <w:szCs w:val="21"/>
          <w:highlight w:val="none"/>
        </w:rPr>
        <w:t>4供应商为本项目投入高空维护作业车1辆、高空作业车驾驶人员1人及高空作业人员1人的得2分；供应商为本项目投入高空维护作业车2辆、高空作业车驾驶人员2人及高空作业人员2人及以上的得4分。（本项满分</w:t>
      </w:r>
      <w:r>
        <w:rPr>
          <w:rFonts w:ascii="宋体" w:hAnsi="宋体" w:cs="Arial"/>
          <w:bCs/>
          <w:color w:val="auto"/>
          <w:szCs w:val="21"/>
          <w:highlight w:val="none"/>
        </w:rPr>
        <w:t>4</w:t>
      </w:r>
      <w:r>
        <w:rPr>
          <w:rFonts w:hint="eastAsia" w:ascii="宋体" w:hAnsi="宋体" w:cs="Arial"/>
          <w:bCs/>
          <w:color w:val="auto"/>
          <w:szCs w:val="21"/>
          <w:highlight w:val="none"/>
        </w:rPr>
        <w:t>分，须提供高空作业车辆行驶证、高空作业车驾驶人员资质证明复印件及高空作业人员高空作业资质证明扫描件）</w:t>
      </w:r>
    </w:p>
    <w:p>
      <w:pPr>
        <w:spacing w:line="440" w:lineRule="exact"/>
        <w:ind w:firstLine="284"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highlight w:val="none"/>
        </w:rPr>
        <w:t>商务资信分(</w:t>
      </w:r>
      <w:r>
        <w:rPr>
          <w:rFonts w:hint="eastAsia" w:ascii="宋体" w:hAnsi="宋体" w:cs="宋体"/>
          <w:b/>
          <w:bCs/>
          <w:color w:val="auto"/>
          <w:highlight w:val="none"/>
          <w:lang w:val="en-US" w:eastAsia="zh-CN"/>
        </w:rPr>
        <w:t>23</w:t>
      </w:r>
      <w:r>
        <w:rPr>
          <w:rFonts w:hint="eastAsia" w:ascii="宋体" w:hAnsi="宋体" w:cs="宋体"/>
          <w:b/>
          <w:bCs/>
          <w:color w:val="auto"/>
          <w:highlight w:val="none"/>
        </w:rPr>
        <w:t>分)</w:t>
      </w:r>
    </w:p>
    <w:p>
      <w:pPr>
        <w:spacing w:line="440" w:lineRule="exact"/>
        <w:ind w:firstLine="284" w:firstLineChars="0"/>
        <w:rPr>
          <w:rFonts w:hint="eastAsia" w:ascii="宋体" w:hAnsi="宋体" w:cs="宋体"/>
          <w:color w:val="auto"/>
          <w:highlight w:val="none"/>
        </w:rPr>
      </w:pPr>
      <w:bookmarkStart w:id="130" w:name="_Hlk150872387"/>
      <w:r>
        <w:rPr>
          <w:rFonts w:ascii="宋体" w:hAnsi="宋体" w:cs="宋体"/>
          <w:color w:val="auto"/>
          <w:highlight w:val="none"/>
        </w:rPr>
        <w:t>2.1</w:t>
      </w:r>
      <w:r>
        <w:rPr>
          <w:rFonts w:hint="eastAsia" w:ascii="宋体" w:hAnsi="宋体" w:cs="宋体"/>
          <w:color w:val="auto"/>
          <w:highlight w:val="none"/>
        </w:rPr>
        <w:t>投标人具备ISO9001</w:t>
      </w:r>
      <w:r>
        <w:rPr>
          <w:rFonts w:hint="eastAsia" w:ascii="宋体" w:hAnsi="宋体" w:cs="宋体"/>
          <w:color w:val="auto"/>
          <w:highlight w:val="none"/>
          <w:lang w:eastAsia="zh-CN"/>
        </w:rPr>
        <w:t>（</w:t>
      </w:r>
      <w:r>
        <w:rPr>
          <w:rFonts w:hint="eastAsia" w:ascii="宋体" w:hAnsi="宋体" w:cs="宋体"/>
          <w:color w:val="auto"/>
          <w:highlight w:val="none"/>
        </w:rPr>
        <w:t>质量管理体系</w:t>
      </w:r>
      <w:r>
        <w:rPr>
          <w:rFonts w:hint="eastAsia" w:ascii="宋体" w:hAnsi="宋体" w:cs="宋体"/>
          <w:color w:val="auto"/>
          <w:highlight w:val="none"/>
          <w:lang w:eastAsia="zh-CN"/>
        </w:rPr>
        <w:t>）</w:t>
      </w:r>
      <w:r>
        <w:rPr>
          <w:rFonts w:hint="eastAsia" w:ascii="宋体" w:hAnsi="宋体" w:cs="宋体"/>
          <w:color w:val="auto"/>
          <w:highlight w:val="none"/>
        </w:rPr>
        <w:t>、ISO27001（信息安全体系）、ISO20000（信息技术服务管理体系）、</w:t>
      </w:r>
      <w:r>
        <w:rPr>
          <w:rFonts w:hint="eastAsia" w:ascii="宋体" w:hAnsi="宋体" w:cs="宋体"/>
          <w:color w:val="auto"/>
          <w:highlight w:val="none"/>
          <w:lang w:val="en-US" w:eastAsia="zh-CN"/>
        </w:rPr>
        <w:t>GB/T 31950-2015（诚信管理体系）、</w:t>
      </w:r>
      <w:r>
        <w:rPr>
          <w:rFonts w:hint="eastAsia" w:ascii="宋体" w:hAnsi="宋体" w:eastAsia="宋体" w:cs="宋体"/>
          <w:b w:val="0"/>
          <w:bCs w:val="0"/>
          <w:color w:val="auto"/>
          <w:sz w:val="21"/>
          <w:szCs w:val="21"/>
          <w:highlight w:val="none"/>
          <w:lang w:val="en-US" w:eastAsia="zh-CN"/>
        </w:rPr>
        <w:t>ISO27032网络空间安全体系认证</w:t>
      </w:r>
      <w:r>
        <w:rPr>
          <w:rFonts w:hint="eastAsia" w:ascii="宋体" w:hAnsi="宋体" w:cs="宋体"/>
          <w:color w:val="auto"/>
          <w:highlight w:val="none"/>
          <w:lang w:eastAsia="zh-CN"/>
        </w:rPr>
        <w:t>以上</w:t>
      </w:r>
      <w:r>
        <w:rPr>
          <w:rFonts w:hint="eastAsia" w:ascii="宋体" w:cs="Courier New"/>
          <w:bCs/>
          <w:color w:val="auto"/>
          <w:szCs w:val="21"/>
          <w:highlight w:val="none"/>
        </w:rPr>
        <w:t>认证范围须与本项目服务相关</w:t>
      </w:r>
      <w:r>
        <w:rPr>
          <w:rFonts w:hint="eastAsia" w:ascii="宋体" w:hAnsi="宋体" w:cs="宋体"/>
          <w:color w:val="auto"/>
          <w:highlight w:val="none"/>
        </w:rPr>
        <w:t>，</w:t>
      </w:r>
      <w:r>
        <w:rPr>
          <w:rFonts w:hint="eastAsia" w:ascii="宋体" w:hAnsi="宋体" w:cs="宋体"/>
          <w:color w:val="auto"/>
          <w:highlight w:val="none"/>
          <w:lang w:eastAsia="zh-CN"/>
        </w:rPr>
        <w:t>以</w:t>
      </w:r>
      <w:r>
        <w:rPr>
          <w:rFonts w:hint="eastAsia" w:ascii="宋体" w:hAnsi="宋体" w:eastAsia="宋体" w:cs="宋体"/>
          <w:b w:val="0"/>
          <w:bCs w:val="0"/>
          <w:color w:val="auto"/>
          <w:sz w:val="21"/>
          <w:szCs w:val="21"/>
          <w:highlight w:val="none"/>
          <w:lang w:val="en-US" w:eastAsia="zh-CN"/>
        </w:rPr>
        <w:t>提供有效的证书扫描件（或有效的电子证书）</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"http://cx.cnca.cn/CertECloud/index/index/page" </w:instrText>
      </w:r>
      <w:r>
        <w:rPr>
          <w:rFonts w:hint="eastAsia" w:ascii="宋体" w:hAnsi="宋体" w:eastAsia="宋体" w:cs="宋体"/>
          <w:b w:val="0"/>
          <w:bCs w:val="0"/>
          <w:color w:val="auto"/>
          <w:sz w:val="21"/>
          <w:szCs w:val="21"/>
          <w:highlight w:val="none"/>
          <w:lang w:val="en-US" w:eastAsia="zh-CN"/>
        </w:rPr>
        <w:fldChar w:fldCharType="separate"/>
      </w:r>
      <w:r>
        <w:rPr>
          <w:rStyle w:val="41"/>
          <w:rFonts w:hint="eastAsia" w:ascii="宋体" w:hAnsi="宋体" w:eastAsia="宋体" w:cs="宋体"/>
          <w:b w:val="0"/>
          <w:bCs w:val="0"/>
          <w:sz w:val="21"/>
          <w:szCs w:val="21"/>
          <w:highlight w:val="none"/>
          <w:lang w:val="en-US" w:eastAsia="zh-CN"/>
        </w:rPr>
        <w:t>全国认证认可信息公共服务平台</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网站截图查询记录并加盖公章为准，每提供一份证书得1分，满分5分，未按以上要求提供不予记分。</w:t>
      </w:r>
    </w:p>
    <w:p>
      <w:pPr>
        <w:spacing w:line="440" w:lineRule="exact"/>
        <w:ind w:firstLine="284" w:firstLineChars="0"/>
        <w:rPr>
          <w:rFonts w:ascii="宋体" w:cs="Courier New"/>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cs="Courier New"/>
          <w:color w:val="auto"/>
          <w:szCs w:val="21"/>
          <w:highlight w:val="none"/>
        </w:rPr>
        <w:t>投标人具备项目实施过程中对涉及的</w:t>
      </w:r>
      <w:r>
        <w:rPr>
          <w:rFonts w:hint="eastAsia" w:ascii="宋体" w:hAnsi="宋体" w:cs="宋体"/>
          <w:color w:val="auto"/>
          <w:szCs w:val="21"/>
          <w:highlight w:val="none"/>
        </w:rPr>
        <w:t>防火墙</w:t>
      </w:r>
      <w:r>
        <w:rPr>
          <w:rFonts w:hint="eastAsia" w:ascii="宋体" w:cs="Courier New"/>
          <w:color w:val="auto"/>
          <w:szCs w:val="21"/>
          <w:highlight w:val="none"/>
        </w:rPr>
        <w:t>、线路传输等设备及通信网络性能的检测能力的，每项得</w:t>
      </w:r>
      <w:r>
        <w:rPr>
          <w:rFonts w:hint="eastAsia" w:ascii="宋体" w:cs="Courier New"/>
          <w:color w:val="auto"/>
          <w:szCs w:val="21"/>
          <w:highlight w:val="none"/>
          <w:lang w:val="en-US" w:eastAsia="zh-CN"/>
        </w:rPr>
        <w:t>2</w:t>
      </w:r>
      <w:r>
        <w:rPr>
          <w:rFonts w:hint="eastAsia" w:ascii="宋体" w:cs="Courier New"/>
          <w:color w:val="auto"/>
          <w:szCs w:val="21"/>
          <w:highlight w:val="none"/>
        </w:rPr>
        <w:t>分，满分</w:t>
      </w:r>
      <w:r>
        <w:rPr>
          <w:rFonts w:hint="eastAsia" w:ascii="宋体" w:cs="Courier New"/>
          <w:color w:val="auto"/>
          <w:szCs w:val="21"/>
          <w:highlight w:val="none"/>
          <w:lang w:val="en-US" w:eastAsia="zh-CN"/>
        </w:rPr>
        <w:t>6</w:t>
      </w:r>
      <w:r>
        <w:rPr>
          <w:rFonts w:hint="eastAsia" w:ascii="宋体" w:cs="Courier New"/>
          <w:color w:val="auto"/>
          <w:szCs w:val="21"/>
          <w:highlight w:val="none"/>
        </w:rPr>
        <w:t>分。</w:t>
      </w:r>
      <w:r>
        <w:rPr>
          <w:rFonts w:ascii="宋体" w:cs="Courier New"/>
          <w:color w:val="auto"/>
          <w:szCs w:val="21"/>
          <w:highlight w:val="none"/>
        </w:rPr>
        <w:t>(</w:t>
      </w:r>
      <w:r>
        <w:rPr>
          <w:rFonts w:hint="eastAsia" w:ascii="宋体" w:cs="Courier New"/>
          <w:color w:val="auto"/>
          <w:szCs w:val="21"/>
          <w:highlight w:val="none"/>
        </w:rPr>
        <w:t>须提供2</w:t>
      </w:r>
      <w:r>
        <w:rPr>
          <w:rFonts w:ascii="宋体" w:cs="Courier New"/>
          <w:color w:val="auto"/>
          <w:szCs w:val="21"/>
          <w:highlight w:val="none"/>
        </w:rPr>
        <w:t>0</w:t>
      </w:r>
      <w:r>
        <w:rPr>
          <w:rFonts w:hint="eastAsia" w:ascii="宋体" w:cs="Courier New"/>
          <w:color w:val="auto"/>
          <w:szCs w:val="21"/>
          <w:highlight w:val="none"/>
          <w:lang w:val="en-US" w:eastAsia="zh-CN"/>
        </w:rPr>
        <w:t>21</w:t>
      </w:r>
      <w:r>
        <w:rPr>
          <w:rFonts w:hint="eastAsia" w:ascii="宋体" w:cs="Courier New"/>
          <w:color w:val="auto"/>
          <w:szCs w:val="21"/>
          <w:highlight w:val="none"/>
        </w:rPr>
        <w:t>年以来由国家认可的检测机构出具的证书或检测机构官网截图或检验设备校验/校准证书</w:t>
      </w:r>
      <w:r>
        <w:rPr>
          <w:rFonts w:ascii="宋体" w:cs="Courier New"/>
          <w:color w:val="auto"/>
          <w:szCs w:val="21"/>
          <w:highlight w:val="none"/>
        </w:rPr>
        <w:t>)</w:t>
      </w:r>
    </w:p>
    <w:p>
      <w:pPr>
        <w:spacing w:line="440" w:lineRule="exact"/>
        <w:ind w:firstLine="284" w:firstLineChars="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投标人自20</w:t>
      </w:r>
      <w:r>
        <w:rPr>
          <w:rFonts w:hint="eastAsia" w:ascii="宋体" w:hAnsi="宋体"/>
          <w:color w:val="auto"/>
          <w:szCs w:val="21"/>
          <w:highlight w:val="none"/>
          <w:lang w:val="en-US" w:eastAsia="zh-CN"/>
        </w:rPr>
        <w:t>21</w:t>
      </w:r>
      <w:r>
        <w:rPr>
          <w:rFonts w:hint="eastAsia" w:ascii="宋体" w:hAnsi="宋体"/>
          <w:color w:val="auto"/>
          <w:szCs w:val="21"/>
          <w:highlight w:val="none"/>
        </w:rPr>
        <w:t>年以来具有同类业务的，每项得</w:t>
      </w:r>
      <w:r>
        <w:rPr>
          <w:rFonts w:hint="eastAsia" w:ascii="宋体" w:hAnsi="宋体"/>
          <w:color w:val="auto"/>
          <w:szCs w:val="21"/>
          <w:highlight w:val="none"/>
          <w:lang w:val="en-US" w:eastAsia="zh-CN"/>
        </w:rPr>
        <w:t>2</w:t>
      </w:r>
      <w:r>
        <w:rPr>
          <w:rFonts w:hint="eastAsia" w:ascii="宋体" w:hAnsi="宋体"/>
          <w:color w:val="auto"/>
          <w:szCs w:val="21"/>
          <w:highlight w:val="none"/>
        </w:rPr>
        <w:t>分，满分</w:t>
      </w:r>
      <w:r>
        <w:rPr>
          <w:rFonts w:hint="eastAsia" w:ascii="宋体" w:hAnsi="宋体"/>
          <w:color w:val="auto"/>
          <w:szCs w:val="21"/>
          <w:highlight w:val="none"/>
          <w:lang w:val="en-US" w:eastAsia="zh-CN"/>
        </w:rPr>
        <w:t>8</w:t>
      </w:r>
      <w:r>
        <w:rPr>
          <w:rFonts w:hint="eastAsia" w:ascii="宋体" w:hAnsi="宋体"/>
          <w:color w:val="auto"/>
          <w:szCs w:val="21"/>
          <w:highlight w:val="none"/>
        </w:rPr>
        <w:t>分。(须提供包括合同名称、标的、金额、期限、签字盖章内容的关键页)</w:t>
      </w:r>
    </w:p>
    <w:p>
      <w:pPr>
        <w:spacing w:line="440" w:lineRule="exact"/>
        <w:ind w:firstLine="284" w:firstLineChars="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投标人自20</w:t>
      </w:r>
      <w:r>
        <w:rPr>
          <w:rFonts w:hint="eastAsia" w:ascii="宋体" w:hAnsi="宋体"/>
          <w:color w:val="auto"/>
          <w:szCs w:val="21"/>
          <w:highlight w:val="none"/>
          <w:lang w:val="en-US" w:eastAsia="zh-CN"/>
        </w:rPr>
        <w:t>21</w:t>
      </w:r>
      <w:r>
        <w:rPr>
          <w:rFonts w:hint="eastAsia" w:ascii="宋体" w:hAnsi="宋体"/>
          <w:color w:val="auto"/>
          <w:szCs w:val="21"/>
          <w:highlight w:val="none"/>
        </w:rPr>
        <w:t>年以来获得</w:t>
      </w:r>
      <w:r>
        <w:rPr>
          <w:rFonts w:hint="eastAsia" w:ascii="宋体" w:hAnsi="宋体"/>
          <w:color w:val="auto"/>
          <w:szCs w:val="21"/>
          <w:highlight w:val="none"/>
          <w:lang w:eastAsia="zh-CN"/>
        </w:rPr>
        <w:t>市</w:t>
      </w:r>
      <w:r>
        <w:rPr>
          <w:rFonts w:hint="eastAsia" w:ascii="宋体" w:hAnsi="宋体"/>
          <w:color w:val="auto"/>
          <w:szCs w:val="21"/>
          <w:highlight w:val="none"/>
        </w:rPr>
        <w:t>级及以上行政部门颁发的荣誉或奖项的，每项得</w:t>
      </w:r>
      <w:r>
        <w:rPr>
          <w:rFonts w:hint="eastAsia" w:ascii="宋体" w:hAnsi="宋体"/>
          <w:color w:val="auto"/>
          <w:szCs w:val="21"/>
          <w:highlight w:val="none"/>
          <w:lang w:val="en-US" w:eastAsia="zh-CN"/>
        </w:rPr>
        <w:t>2</w:t>
      </w:r>
      <w:r>
        <w:rPr>
          <w:rFonts w:hint="eastAsia" w:ascii="宋体" w:hAnsi="宋体"/>
          <w:color w:val="auto"/>
          <w:szCs w:val="21"/>
          <w:highlight w:val="none"/>
        </w:rPr>
        <w:t>分，满分</w:t>
      </w:r>
      <w:r>
        <w:rPr>
          <w:rFonts w:hint="eastAsia" w:ascii="宋体" w:hAnsi="宋体"/>
          <w:color w:val="auto"/>
          <w:szCs w:val="21"/>
          <w:highlight w:val="none"/>
          <w:lang w:val="en-US" w:eastAsia="zh-CN"/>
        </w:rPr>
        <w:t>4</w:t>
      </w:r>
      <w:r>
        <w:rPr>
          <w:rFonts w:hint="eastAsia" w:ascii="宋体" w:hAnsi="宋体"/>
          <w:color w:val="auto"/>
          <w:szCs w:val="21"/>
          <w:highlight w:val="none"/>
        </w:rPr>
        <w:t>分。(须提供相关证明材料)</w:t>
      </w:r>
    </w:p>
    <w:p>
      <w:pPr>
        <w:spacing w:line="440" w:lineRule="exact"/>
        <w:ind w:firstLine="0" w:firstLineChars="0"/>
        <w:rPr>
          <w:rFonts w:hint="eastAsia" w:ascii="宋体" w:hAnsi="Courier New" w:cs="Courier New"/>
          <w:color w:val="auto"/>
          <w:szCs w:val="21"/>
          <w:highlight w:val="none"/>
        </w:rPr>
      </w:pPr>
      <w:r>
        <w:rPr>
          <w:rFonts w:hint="eastAsia" w:ascii="宋体" w:hAnsi="宋体"/>
          <w:b/>
          <w:color w:val="auto"/>
          <w:kern w:val="0"/>
          <w:szCs w:val="21"/>
          <w:highlight w:val="none"/>
        </w:rPr>
        <w:t>注：</w:t>
      </w:r>
      <w:r>
        <w:rPr>
          <w:rFonts w:hint="eastAsia" w:ascii="宋体" w:hAnsi="宋体"/>
          <w:color w:val="auto"/>
          <w:kern w:val="0"/>
          <w:szCs w:val="21"/>
          <w:highlight w:val="none"/>
        </w:rPr>
        <w:t>若供应商为分支机构，使用上级公司（直接管理关系或为法人单位）相关资质（人员资质、证书等）的，须提供上级公司相关授权或许可证明文件。</w:t>
      </w:r>
    </w:p>
    <w:bookmarkEnd w:id="128"/>
    <w:bookmarkEnd w:id="130"/>
    <w:p>
      <w:pPr>
        <w:spacing w:line="460" w:lineRule="exact"/>
        <w:rPr>
          <w:color w:val="auto"/>
          <w:highlight w:val="none"/>
        </w:rPr>
      </w:pPr>
      <w:r>
        <w:rPr>
          <w:rFonts w:hint="eastAsia"/>
          <w:color w:val="auto"/>
          <w:highlight w:val="none"/>
        </w:rPr>
        <w:t>三、总得分=磋商报价得分+商务技术分</w:t>
      </w:r>
    </w:p>
    <w:p>
      <w:pPr>
        <w:pStyle w:val="22"/>
        <w:spacing w:line="460" w:lineRule="exact"/>
        <w:rPr>
          <w:rFonts w:hint="eastAsia" w:hAnsi="宋体"/>
          <w:color w:val="auto"/>
          <w:highlight w:val="none"/>
        </w:rPr>
      </w:pPr>
      <w:r>
        <w:rPr>
          <w:rFonts w:hint="eastAsia"/>
          <w:color w:val="auto"/>
          <w:highlight w:val="none"/>
        </w:rPr>
        <w:t>四</w:t>
      </w:r>
      <w:r>
        <w:rPr>
          <w:rFonts w:hint="eastAsia" w:hAnsi="宋体"/>
          <w:color w:val="auto"/>
          <w:highlight w:val="none"/>
        </w:rPr>
        <w:t>、成交供应商的推荐</w:t>
      </w:r>
    </w:p>
    <w:p>
      <w:pPr>
        <w:pStyle w:val="22"/>
        <w:spacing w:line="460" w:lineRule="exact"/>
        <w:ind w:firstLine="420"/>
        <w:rPr>
          <w:rFonts w:hint="eastAsia" w:ascii="仿宋_GB2312" w:hAnsi="宋体" w:eastAsia="仿宋_GB2312"/>
          <w:color w:val="auto"/>
          <w:sz w:val="28"/>
          <w:szCs w:val="28"/>
          <w:highlight w:val="none"/>
        </w:rPr>
      </w:pPr>
      <w:r>
        <w:rPr>
          <w:rFonts w:hint="eastAsia"/>
          <w:color w:val="auto"/>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pPr>
        <w:widowControl/>
        <w:jc w:val="left"/>
        <w:rPr>
          <w:rFonts w:cs="Courier New"/>
          <w:b/>
          <w:bCs/>
          <w:color w:val="auto"/>
          <w:sz w:val="32"/>
          <w:szCs w:val="32"/>
          <w:highlight w:val="none"/>
        </w:rPr>
      </w:pPr>
      <w:r>
        <w:rPr>
          <w:rFonts w:cs="Courier New"/>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eastAsia="方正小标宋_GBK"/>
          <w:color w:val="auto"/>
          <w:highlight w:val="none"/>
        </w:rPr>
      </w:pPr>
      <w:bookmarkStart w:id="131" w:name="_Toc92355027"/>
      <w:r>
        <w:rPr>
          <w:rFonts w:hint="eastAsia" w:ascii="方正小标宋_GBK" w:eastAsia="方正小标宋_GBK"/>
          <w:color w:val="auto"/>
          <w:highlight w:val="none"/>
        </w:rPr>
        <w:t>第五章  合同文本</w:t>
      </w:r>
      <w:bookmarkEnd w:id="131"/>
    </w:p>
    <w:p>
      <w:pPr>
        <w:pStyle w:val="22"/>
        <w:jc w:val="center"/>
        <w:rPr>
          <w:rFonts w:hint="eastAsia" w:ascii="Times New Roman" w:hAnsi="宋体"/>
          <w:b/>
          <w:bCs/>
          <w:color w:val="auto"/>
          <w:sz w:val="28"/>
          <w:szCs w:val="28"/>
          <w:highlight w:val="none"/>
        </w:rPr>
      </w:pPr>
      <w:r>
        <w:rPr>
          <w:rFonts w:hint="eastAsia" w:ascii="Times New Roman" w:hAnsi="宋体"/>
          <w:b/>
          <w:bCs/>
          <w:color w:val="auto"/>
          <w:sz w:val="28"/>
          <w:szCs w:val="28"/>
          <w:highlight w:val="none"/>
        </w:rPr>
        <w:t>（参考格式）</w:t>
      </w:r>
    </w:p>
    <w:p>
      <w:pPr>
        <w:pStyle w:val="22"/>
        <w:spacing w:line="500" w:lineRule="exact"/>
        <w:jc w:val="center"/>
        <w:rPr>
          <w:rFonts w:hint="eastAsia" w:hAnsi="宋体"/>
          <w:b/>
          <w:bCs/>
          <w:color w:val="auto"/>
          <w:sz w:val="28"/>
          <w:highlight w:val="none"/>
        </w:rPr>
      </w:pPr>
      <w:r>
        <w:rPr>
          <w:rFonts w:hAnsi="宋体"/>
          <w:b/>
          <w:bCs/>
          <w:color w:val="auto"/>
          <w:sz w:val="28"/>
          <w:highlight w:val="none"/>
        </w:rPr>
        <w:br w:type="page"/>
      </w:r>
    </w:p>
    <w:p>
      <w:pPr>
        <w:pStyle w:val="22"/>
        <w:spacing w:line="500" w:lineRule="exact"/>
        <w:jc w:val="center"/>
        <w:rPr>
          <w:rFonts w:ascii="方正小标宋_GBK" w:hAnsi="宋体" w:eastAsia="方正小标宋_GBK"/>
          <w:color w:val="auto"/>
          <w:sz w:val="48"/>
          <w:szCs w:val="48"/>
        </w:rPr>
      </w:pPr>
      <w:r>
        <w:rPr>
          <w:rFonts w:hint="eastAsia" w:ascii="方正小标宋_GBK" w:hAnsi="宋体" w:eastAsia="方正小标宋_GBK"/>
          <w:color w:val="auto"/>
          <w:sz w:val="48"/>
          <w:szCs w:val="48"/>
        </w:rPr>
        <w:t>钦州市政府采购合同</w:t>
      </w:r>
    </w:p>
    <w:p>
      <w:pPr>
        <w:snapToGrid w:val="0"/>
        <w:rPr>
          <w:rFonts w:ascii="宋体" w:hAnsi="宋体"/>
          <w:color w:val="auto"/>
          <w:szCs w:val="21"/>
        </w:rPr>
      </w:pPr>
    </w:p>
    <w:p>
      <w:pPr>
        <w:snapToGrid w:val="0"/>
        <w:spacing w:line="440" w:lineRule="exact"/>
        <w:ind w:right="-61" w:firstLine="420"/>
        <w:rPr>
          <w:rFonts w:ascii="宋体" w:hAnsi="宋体"/>
          <w:bCs/>
          <w:color w:val="auto"/>
          <w:szCs w:val="21"/>
          <w:u w:val="single"/>
        </w:rPr>
      </w:pP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合同编号：</w:t>
      </w:r>
      <w:r>
        <w:rPr>
          <w:rFonts w:hint="eastAsia" w:ascii="宋体" w:hAnsi="宋体"/>
          <w:bCs/>
          <w:color w:val="auto"/>
          <w:szCs w:val="21"/>
          <w:u w:val="single"/>
        </w:rPr>
        <w:t xml:space="preserve"> </w:t>
      </w:r>
      <w:r>
        <w:rPr>
          <w:rFonts w:ascii="宋体" w:hAnsi="宋体"/>
          <w:bCs/>
          <w:color w:val="auto"/>
          <w:szCs w:val="21"/>
          <w:u w:val="single"/>
        </w:rPr>
        <w:t xml:space="preserve">                  </w:t>
      </w:r>
    </w:p>
    <w:p>
      <w:pPr>
        <w:snapToGrid w:val="0"/>
        <w:spacing w:line="320" w:lineRule="atLeast"/>
        <w:rPr>
          <w:rFonts w:ascii="宋体" w:hAnsi="宋体"/>
          <w:color w:val="auto"/>
          <w:szCs w:val="21"/>
        </w:rPr>
      </w:pPr>
    </w:p>
    <w:p>
      <w:pPr>
        <w:snapToGrid w:val="0"/>
        <w:spacing w:line="400" w:lineRule="exact"/>
        <w:ind w:firstLine="420"/>
        <w:rPr>
          <w:rFonts w:ascii="宋体" w:hAnsi="宋体"/>
          <w:color w:val="auto"/>
          <w:szCs w:val="21"/>
          <w:u w:val="single"/>
        </w:rPr>
      </w:pPr>
      <w:r>
        <w:rPr>
          <w:rFonts w:hint="eastAsia" w:ascii="宋体" w:hAnsi="宋体"/>
          <w:color w:val="auto"/>
          <w:szCs w:val="21"/>
        </w:rPr>
        <w:t>采购单位（甲方）</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采购计划号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napToGrid w:val="0"/>
        <w:spacing w:line="400" w:lineRule="exact"/>
        <w:ind w:firstLine="420"/>
        <w:rPr>
          <w:rFonts w:ascii="宋体" w:hAnsi="宋体"/>
          <w:color w:val="auto"/>
          <w:szCs w:val="21"/>
          <w:u w:val="single"/>
        </w:rPr>
      </w:pPr>
      <w:r>
        <w:rPr>
          <w:rFonts w:hint="eastAsia" w:ascii="宋体" w:hAnsi="宋体"/>
          <w:color w:val="auto"/>
          <w:szCs w:val="21"/>
        </w:rPr>
        <w:t>供</w:t>
      </w:r>
      <w:r>
        <w:rPr>
          <w:rFonts w:ascii="宋体" w:hAnsi="宋体"/>
          <w:color w:val="auto"/>
          <w:szCs w:val="21"/>
        </w:rPr>
        <w:t xml:space="preserve"> </w:t>
      </w:r>
      <w:r>
        <w:rPr>
          <w:rFonts w:hint="eastAsia" w:ascii="宋体" w:hAnsi="宋体"/>
          <w:color w:val="auto"/>
          <w:szCs w:val="21"/>
        </w:rPr>
        <w:t>应 商（乙方）</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项目名称编号</w:t>
      </w:r>
      <w:r>
        <w:rPr>
          <w:rFonts w:hint="eastAsia" w:ascii="宋体" w:hAnsi="宋体"/>
          <w:color w:val="auto"/>
          <w:szCs w:val="21"/>
          <w:u w:val="single"/>
        </w:rPr>
        <w:t xml:space="preserve">                     </w:t>
      </w:r>
    </w:p>
    <w:p>
      <w:pPr>
        <w:snapToGrid w:val="0"/>
        <w:spacing w:line="400" w:lineRule="exact"/>
        <w:rPr>
          <w:rFonts w:ascii="宋体" w:hAnsi="宋体"/>
          <w:color w:val="auto"/>
          <w:szCs w:val="21"/>
        </w:rPr>
      </w:pPr>
    </w:p>
    <w:p>
      <w:pPr>
        <w:snapToGrid w:val="0"/>
        <w:spacing w:line="440" w:lineRule="exact"/>
        <w:ind w:firstLine="420"/>
        <w:rPr>
          <w:rFonts w:ascii="宋体" w:hAnsi="宋体"/>
          <w:color w:val="auto"/>
          <w:szCs w:val="21"/>
        </w:rPr>
      </w:pPr>
      <w:r>
        <w:rPr>
          <w:rFonts w:hint="eastAsia" w:ascii="宋体" w:hAnsi="宋体"/>
          <w:color w:val="auto"/>
          <w:szCs w:val="21"/>
        </w:rPr>
        <w:t>根据《中华人民共和国政府采购法》《中华人民共和国民法典合同编》等法律、法规规定，按照招标/采购文件的要求和乙方投标/响应文件承诺，甲乙双方签订本合同。</w:t>
      </w:r>
    </w:p>
    <w:p>
      <w:pPr>
        <w:snapToGrid w:val="0"/>
        <w:spacing w:line="440" w:lineRule="exact"/>
        <w:rPr>
          <w:rFonts w:ascii="宋体" w:hAnsi="宋体"/>
          <w:b/>
          <w:color w:val="auto"/>
          <w:szCs w:val="21"/>
        </w:rPr>
      </w:pPr>
      <w:r>
        <w:rPr>
          <w:rFonts w:hint="eastAsia" w:ascii="宋体" w:hAnsi="宋体"/>
          <w:b/>
          <w:color w:val="auto"/>
          <w:szCs w:val="21"/>
        </w:rPr>
        <w:t>第一条　合同标的</w:t>
      </w:r>
    </w:p>
    <w:p>
      <w:pPr>
        <w:snapToGrid w:val="0"/>
        <w:spacing w:line="440" w:lineRule="exact"/>
        <w:ind w:firstLine="420"/>
        <w:rPr>
          <w:rFonts w:ascii="宋体" w:hAnsi="宋体"/>
          <w:color w:val="auto"/>
          <w:szCs w:val="21"/>
        </w:rPr>
      </w:pPr>
      <w:r>
        <w:rPr>
          <w:rFonts w:hint="eastAsia" w:ascii="宋体" w:hAnsi="宋体"/>
          <w:color w:val="auto"/>
          <w:szCs w:val="21"/>
        </w:rPr>
        <w:t>1.标的</w:t>
      </w:r>
    </w:p>
    <w:tbl>
      <w:tblPr>
        <w:tblStyle w:val="36"/>
        <w:tblW w:w="9356" w:type="dxa"/>
        <w:tblInd w:w="137" w:type="dxa"/>
        <w:tblLayout w:type="fixed"/>
        <w:tblCellMar>
          <w:top w:w="0" w:type="dxa"/>
          <w:left w:w="108" w:type="dxa"/>
          <w:bottom w:w="0" w:type="dxa"/>
          <w:right w:w="108" w:type="dxa"/>
        </w:tblCellMar>
      </w:tblPr>
      <w:tblGrid>
        <w:gridCol w:w="709"/>
        <w:gridCol w:w="1134"/>
        <w:gridCol w:w="1276"/>
        <w:gridCol w:w="1134"/>
        <w:gridCol w:w="1701"/>
        <w:gridCol w:w="708"/>
        <w:gridCol w:w="1134"/>
        <w:gridCol w:w="1560"/>
      </w:tblGrid>
      <w:tr>
        <w:tblPrEx>
          <w:tblCellMar>
            <w:top w:w="0" w:type="dxa"/>
            <w:left w:w="108" w:type="dxa"/>
            <w:bottom w:w="0" w:type="dxa"/>
            <w:right w:w="108" w:type="dxa"/>
          </w:tblCellMar>
        </w:tblPrEx>
        <w:trPr>
          <w:trHeight w:val="6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宋体" w:hAnsi="宋体"/>
                <w:color w:val="auto"/>
                <w:kern w:val="0"/>
                <w:szCs w:val="21"/>
              </w:rPr>
            </w:pPr>
            <w:r>
              <w:rPr>
                <w:rFonts w:hint="eastAsia" w:ascii="宋体" w:hAnsi="宋体"/>
                <w:color w:val="auto"/>
                <w:kern w:val="0"/>
                <w:szCs w:val="21"/>
              </w:rPr>
              <w:t>序号</w:t>
            </w:r>
          </w:p>
        </w:tc>
        <w:tc>
          <w:tcPr>
            <w:tcW w:w="1134"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rFonts w:ascii="宋体" w:hAnsi="宋体"/>
                <w:color w:val="auto"/>
                <w:kern w:val="0"/>
                <w:szCs w:val="21"/>
              </w:rPr>
            </w:pPr>
            <w:r>
              <w:rPr>
                <w:rFonts w:hint="eastAsia" w:ascii="宋体" w:hAnsi="宋体"/>
                <w:color w:val="auto"/>
                <w:kern w:val="0"/>
                <w:szCs w:val="21"/>
              </w:rPr>
              <w:t>标的名称</w:t>
            </w:r>
          </w:p>
        </w:tc>
        <w:tc>
          <w:tcPr>
            <w:tcW w:w="1276" w:type="dxa"/>
            <w:tcBorders>
              <w:top w:val="single" w:color="000000" w:sz="4" w:space="0"/>
              <w:left w:val="nil"/>
              <w:bottom w:val="single" w:color="000000" w:sz="4" w:space="0"/>
              <w:right w:val="single" w:color="auto" w:sz="4" w:space="0"/>
            </w:tcBorders>
            <w:vAlign w:val="center"/>
          </w:tcPr>
          <w:p>
            <w:pPr>
              <w:widowControl/>
              <w:spacing w:line="320" w:lineRule="atLeast"/>
              <w:jc w:val="center"/>
              <w:rPr>
                <w:rFonts w:ascii="宋体" w:hAnsi="宋体"/>
                <w:color w:val="auto"/>
                <w:kern w:val="0"/>
                <w:szCs w:val="21"/>
              </w:rPr>
            </w:pPr>
            <w:r>
              <w:rPr>
                <w:rFonts w:hint="eastAsia" w:ascii="宋体" w:hAnsi="宋体"/>
                <w:color w:val="auto"/>
                <w:kern w:val="0"/>
                <w:szCs w:val="21"/>
              </w:rPr>
              <w:t>品牌、型号规格</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320" w:lineRule="atLeast"/>
              <w:jc w:val="center"/>
              <w:rPr>
                <w:rFonts w:ascii="宋体" w:hAnsi="宋体"/>
                <w:color w:val="auto"/>
                <w:kern w:val="0"/>
                <w:szCs w:val="21"/>
              </w:rPr>
            </w:pPr>
            <w:r>
              <w:rPr>
                <w:rFonts w:hint="eastAsia" w:ascii="宋体" w:hAnsi="宋体"/>
                <w:color w:val="auto"/>
                <w:kern w:val="0"/>
                <w:szCs w:val="21"/>
              </w:rPr>
              <w:t>生产厂家</w:t>
            </w:r>
          </w:p>
        </w:tc>
        <w:tc>
          <w:tcPr>
            <w:tcW w:w="1701"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rFonts w:ascii="宋体" w:hAnsi="宋体"/>
                <w:color w:val="auto"/>
                <w:kern w:val="0"/>
                <w:szCs w:val="21"/>
              </w:rPr>
            </w:pPr>
            <w:r>
              <w:rPr>
                <w:rFonts w:hint="eastAsia" w:ascii="宋体" w:hAnsi="宋体"/>
                <w:color w:val="auto"/>
                <w:szCs w:val="21"/>
              </w:rPr>
              <w:t>技术参数及性能(配置</w:t>
            </w:r>
            <w:r>
              <w:rPr>
                <w:rFonts w:ascii="宋体" w:hAnsi="宋体"/>
                <w:color w:val="auto"/>
                <w:szCs w:val="21"/>
              </w:rPr>
              <w:t>)</w:t>
            </w:r>
          </w:p>
        </w:tc>
        <w:tc>
          <w:tcPr>
            <w:tcW w:w="708"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rFonts w:ascii="宋体" w:hAnsi="宋体"/>
                <w:color w:val="auto"/>
                <w:kern w:val="0"/>
                <w:szCs w:val="21"/>
              </w:rPr>
            </w:pPr>
            <w:r>
              <w:rPr>
                <w:rFonts w:hint="eastAsia" w:ascii="宋体" w:hAnsi="宋体"/>
                <w:color w:val="auto"/>
                <w:kern w:val="0"/>
                <w:szCs w:val="21"/>
              </w:rPr>
              <w:t>数量</w:t>
            </w:r>
          </w:p>
          <w:p>
            <w:pPr>
              <w:widowControl/>
              <w:spacing w:line="320" w:lineRule="atLeast"/>
              <w:jc w:val="center"/>
              <w:rPr>
                <w:rFonts w:ascii="宋体" w:hAnsi="宋体"/>
                <w:color w:val="auto"/>
                <w:kern w:val="0"/>
                <w:szCs w:val="21"/>
              </w:rPr>
            </w:pPr>
            <w:r>
              <w:rPr>
                <w:rFonts w:hint="eastAsia" w:ascii="宋体" w:hAnsi="宋体"/>
                <w:color w:val="auto"/>
                <w:kern w:val="0"/>
                <w:szCs w:val="21"/>
              </w:rPr>
              <w:fldChar w:fldCharType="begin"/>
            </w:r>
            <w:r>
              <w:rPr>
                <w:rFonts w:hint="eastAsia" w:ascii="宋体" w:hAnsi="宋体"/>
                <w:color w:val="auto"/>
                <w:kern w:val="0"/>
                <w:szCs w:val="21"/>
              </w:rPr>
              <w:instrText xml:space="preserve"> = 1 \* GB3 </w:instrText>
            </w:r>
            <w:r>
              <w:rPr>
                <w:rFonts w:hint="eastAsia" w:ascii="宋体" w:hAnsi="宋体"/>
                <w:color w:val="auto"/>
                <w:kern w:val="0"/>
                <w:szCs w:val="21"/>
              </w:rPr>
              <w:fldChar w:fldCharType="separate"/>
            </w:r>
            <w:r>
              <w:rPr>
                <w:rFonts w:hint="eastAsia" w:ascii="宋体" w:hAnsi="宋体"/>
                <w:color w:val="auto"/>
                <w:kern w:val="0"/>
                <w:szCs w:val="21"/>
              </w:rPr>
              <w:t>①</w:t>
            </w:r>
            <w:r>
              <w:rPr>
                <w:rFonts w:hint="eastAsia" w:ascii="宋体" w:hAnsi="宋体"/>
                <w:color w:val="auto"/>
                <w:kern w:val="0"/>
                <w:szCs w:val="21"/>
              </w:rPr>
              <w:fldChar w:fldCharType="end"/>
            </w:r>
          </w:p>
        </w:tc>
        <w:tc>
          <w:tcPr>
            <w:tcW w:w="1134"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rFonts w:ascii="宋体" w:hAnsi="宋体"/>
                <w:color w:val="auto"/>
                <w:kern w:val="0"/>
                <w:szCs w:val="21"/>
              </w:rPr>
            </w:pPr>
            <w:r>
              <w:rPr>
                <w:rFonts w:hint="eastAsia" w:ascii="宋体" w:hAnsi="宋体"/>
                <w:color w:val="auto"/>
                <w:kern w:val="0"/>
                <w:szCs w:val="21"/>
              </w:rPr>
              <w:t>单价(元</w:t>
            </w:r>
            <w:r>
              <w:rPr>
                <w:rFonts w:ascii="宋体" w:hAnsi="宋体"/>
                <w:color w:val="auto"/>
                <w:kern w:val="0"/>
                <w:szCs w:val="21"/>
              </w:rPr>
              <w:t>)</w:t>
            </w:r>
            <w:r>
              <w:rPr>
                <w:rFonts w:hint="eastAsia" w:ascii="宋体" w:hAnsi="宋体"/>
                <w:color w:val="auto"/>
                <w:kern w:val="0"/>
                <w:szCs w:val="21"/>
              </w:rPr>
              <w:fldChar w:fldCharType="begin"/>
            </w:r>
            <w:r>
              <w:rPr>
                <w:rFonts w:hint="eastAsia" w:ascii="宋体" w:hAnsi="宋体"/>
                <w:color w:val="auto"/>
                <w:kern w:val="0"/>
                <w:szCs w:val="21"/>
              </w:rPr>
              <w:instrText xml:space="preserve"> = 2 \* GB3 </w:instrText>
            </w:r>
            <w:r>
              <w:rPr>
                <w:rFonts w:hint="eastAsia" w:ascii="宋体" w:hAnsi="宋体"/>
                <w:color w:val="auto"/>
                <w:kern w:val="0"/>
                <w:szCs w:val="21"/>
              </w:rPr>
              <w:fldChar w:fldCharType="separate"/>
            </w:r>
            <w:r>
              <w:rPr>
                <w:rFonts w:hint="eastAsia" w:ascii="宋体" w:hAnsi="宋体"/>
                <w:color w:val="auto"/>
                <w:kern w:val="0"/>
                <w:szCs w:val="21"/>
              </w:rPr>
              <w:t>②</w:t>
            </w:r>
            <w:r>
              <w:rPr>
                <w:rFonts w:hint="eastAsia" w:ascii="宋体" w:hAnsi="宋体"/>
                <w:color w:val="auto"/>
                <w:kern w:val="0"/>
                <w:szCs w:val="21"/>
              </w:rPr>
              <w:fldChar w:fldCharType="end"/>
            </w:r>
          </w:p>
        </w:tc>
        <w:tc>
          <w:tcPr>
            <w:tcW w:w="1560" w:type="dxa"/>
            <w:tcBorders>
              <w:top w:val="single" w:color="000000" w:sz="4" w:space="0"/>
              <w:left w:val="nil"/>
              <w:bottom w:val="single" w:color="000000" w:sz="4" w:space="0"/>
              <w:right w:val="single" w:color="000000" w:sz="4" w:space="0"/>
            </w:tcBorders>
            <w:vAlign w:val="center"/>
          </w:tcPr>
          <w:p>
            <w:pPr>
              <w:widowControl/>
              <w:spacing w:line="320" w:lineRule="atLeast"/>
              <w:jc w:val="center"/>
              <w:rPr>
                <w:rFonts w:ascii="宋体" w:hAnsi="宋体"/>
                <w:color w:val="auto"/>
                <w:kern w:val="0"/>
                <w:szCs w:val="21"/>
              </w:rPr>
            </w:pPr>
            <w:r>
              <w:rPr>
                <w:rFonts w:hint="eastAsia" w:ascii="宋体" w:hAnsi="宋体"/>
                <w:color w:val="auto"/>
                <w:kern w:val="0"/>
                <w:szCs w:val="21"/>
              </w:rPr>
              <w:t>单项合价(元</w:t>
            </w:r>
            <w:r>
              <w:rPr>
                <w:rFonts w:ascii="宋体" w:hAnsi="宋体"/>
                <w:color w:val="auto"/>
                <w:kern w:val="0"/>
                <w:szCs w:val="21"/>
              </w:rPr>
              <w:t>)</w:t>
            </w:r>
          </w:p>
          <w:p>
            <w:pPr>
              <w:widowControl/>
              <w:spacing w:line="320" w:lineRule="atLeast"/>
              <w:jc w:val="center"/>
              <w:rPr>
                <w:rFonts w:ascii="宋体" w:hAnsi="宋体"/>
                <w:color w:val="auto"/>
                <w:kern w:val="0"/>
                <w:szCs w:val="21"/>
              </w:rPr>
            </w:pPr>
            <w:r>
              <w:rPr>
                <w:rFonts w:hint="eastAsia" w:ascii="宋体" w:hAnsi="宋体"/>
                <w:color w:val="auto"/>
                <w:szCs w:val="21"/>
              </w:rPr>
              <w:t>③=</w:t>
            </w:r>
            <w:r>
              <w:rPr>
                <w:rFonts w:hint="eastAsia" w:ascii="宋体" w:hAnsi="宋体"/>
                <w:color w:val="auto"/>
                <w:kern w:val="0"/>
                <w:szCs w:val="21"/>
              </w:rPr>
              <w:fldChar w:fldCharType="begin"/>
            </w:r>
            <w:r>
              <w:rPr>
                <w:rFonts w:hint="eastAsia" w:ascii="宋体" w:hAnsi="宋体"/>
                <w:color w:val="auto"/>
                <w:kern w:val="0"/>
                <w:szCs w:val="21"/>
              </w:rPr>
              <w:instrText xml:space="preserve"> = 1 \* GB3 </w:instrText>
            </w:r>
            <w:r>
              <w:rPr>
                <w:rFonts w:hint="eastAsia" w:ascii="宋体" w:hAnsi="宋体"/>
                <w:color w:val="auto"/>
                <w:kern w:val="0"/>
                <w:szCs w:val="21"/>
              </w:rPr>
              <w:fldChar w:fldCharType="separate"/>
            </w:r>
            <w:r>
              <w:rPr>
                <w:rFonts w:hint="eastAsia" w:ascii="宋体" w:hAnsi="宋体"/>
                <w:color w:val="auto"/>
                <w:kern w:val="0"/>
                <w:szCs w:val="21"/>
              </w:rPr>
              <w:t>①</w:t>
            </w:r>
            <w:r>
              <w:rPr>
                <w:rFonts w:hint="eastAsia" w:ascii="宋体" w:hAnsi="宋体"/>
                <w:color w:val="auto"/>
                <w:kern w:val="0"/>
                <w:szCs w:val="21"/>
              </w:rPr>
              <w:fldChar w:fldCharType="end"/>
            </w:r>
            <w:r>
              <w:rPr>
                <w:rFonts w:hint="eastAsia" w:ascii="宋体" w:hAnsi="宋体"/>
                <w:color w:val="auto"/>
                <w:kern w:val="0"/>
                <w:szCs w:val="21"/>
              </w:rPr>
              <w:t>×</w:t>
            </w:r>
            <w:r>
              <w:rPr>
                <w:rFonts w:hint="eastAsia" w:ascii="宋体" w:hAnsi="宋体"/>
                <w:color w:val="auto"/>
                <w:kern w:val="0"/>
                <w:szCs w:val="21"/>
              </w:rPr>
              <w:fldChar w:fldCharType="begin"/>
            </w:r>
            <w:r>
              <w:rPr>
                <w:rFonts w:hint="eastAsia" w:ascii="宋体" w:hAnsi="宋体"/>
                <w:color w:val="auto"/>
                <w:kern w:val="0"/>
                <w:szCs w:val="21"/>
              </w:rPr>
              <w:instrText xml:space="preserve"> = 2 \* GB3 </w:instrText>
            </w:r>
            <w:r>
              <w:rPr>
                <w:rFonts w:hint="eastAsia" w:ascii="宋体" w:hAnsi="宋体"/>
                <w:color w:val="auto"/>
                <w:kern w:val="0"/>
                <w:szCs w:val="21"/>
              </w:rPr>
              <w:fldChar w:fldCharType="separate"/>
            </w:r>
            <w:r>
              <w:rPr>
                <w:rFonts w:hint="eastAsia" w:ascii="宋体" w:hAnsi="宋体"/>
                <w:color w:val="auto"/>
                <w:kern w:val="0"/>
                <w:szCs w:val="21"/>
              </w:rPr>
              <w:t>②</w:t>
            </w:r>
            <w:r>
              <w:rPr>
                <w:rFonts w:hint="eastAsia" w:ascii="宋体" w:hAnsi="宋体"/>
                <w:color w:val="auto"/>
                <w:kern w:val="0"/>
                <w:szCs w:val="21"/>
              </w:rPr>
              <w:fldChar w:fldCharType="end"/>
            </w:r>
          </w:p>
        </w:tc>
      </w:tr>
      <w:tr>
        <w:tblPrEx>
          <w:tblCellMar>
            <w:top w:w="0" w:type="dxa"/>
            <w:left w:w="108" w:type="dxa"/>
            <w:bottom w:w="0" w:type="dxa"/>
            <w:right w:w="108"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r>
              <w:rPr>
                <w:rFonts w:hint="eastAsia" w:ascii="宋体" w:hAnsi="宋体"/>
                <w:color w:val="auto"/>
                <w:kern w:val="0"/>
                <w:szCs w:val="21"/>
              </w:rPr>
              <w:t>1</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auto"/>
                <w:kern w:val="0"/>
                <w:szCs w:val="21"/>
              </w:rPr>
            </w:pPr>
          </w:p>
        </w:tc>
        <w:tc>
          <w:tcPr>
            <w:tcW w:w="1276" w:type="dxa"/>
            <w:tcBorders>
              <w:top w:val="single" w:color="000000" w:sz="4" w:space="0"/>
              <w:left w:val="nil"/>
              <w:bottom w:val="single" w:color="000000" w:sz="4" w:space="0"/>
              <w:right w:val="single" w:color="auto" w:sz="4" w:space="0"/>
            </w:tcBorders>
            <w:vAlign w:val="center"/>
          </w:tcPr>
          <w:p>
            <w:pPr>
              <w:jc w:val="center"/>
              <w:rPr>
                <w:rFonts w:ascii="宋体" w:hAnsi="宋体"/>
                <w:b/>
                <w:color w:val="auto"/>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b/>
                <w:color w:val="auto"/>
                <w:szCs w:val="21"/>
              </w:rPr>
            </w:pPr>
          </w:p>
        </w:tc>
        <w:tc>
          <w:tcPr>
            <w:tcW w:w="1701" w:type="dxa"/>
            <w:tcBorders>
              <w:top w:val="single" w:color="000000" w:sz="4" w:space="0"/>
              <w:left w:val="nil"/>
              <w:bottom w:val="single" w:color="000000" w:sz="4" w:space="0"/>
              <w:right w:val="single" w:color="000000" w:sz="4" w:space="0"/>
            </w:tcBorders>
            <w:vAlign w:val="center"/>
          </w:tcPr>
          <w:p>
            <w:pPr>
              <w:jc w:val="center"/>
              <w:rPr>
                <w:rFonts w:ascii="宋体" w:hAnsi="宋体"/>
                <w:b/>
                <w:color w:val="auto"/>
                <w:szCs w:val="21"/>
              </w:rPr>
            </w:pPr>
          </w:p>
        </w:tc>
        <w:tc>
          <w:tcPr>
            <w:tcW w:w="708" w:type="dxa"/>
            <w:tcBorders>
              <w:top w:val="single" w:color="000000" w:sz="4" w:space="0"/>
              <w:left w:val="nil"/>
              <w:bottom w:val="single" w:color="000000" w:sz="4" w:space="0"/>
              <w:right w:val="single" w:color="000000" w:sz="4" w:space="0"/>
            </w:tcBorders>
            <w:vAlign w:val="center"/>
          </w:tcPr>
          <w:p>
            <w:pPr>
              <w:jc w:val="center"/>
              <w:rPr>
                <w:rFonts w:ascii="宋体" w:hAnsi="宋体"/>
                <w:b/>
                <w:bCs/>
                <w:color w:val="auto"/>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auto"/>
                <w:kern w:val="0"/>
                <w:szCs w:val="21"/>
              </w:rPr>
            </w:pP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auto"/>
                <w:kern w:val="0"/>
                <w:szCs w:val="21"/>
              </w:rPr>
            </w:pPr>
          </w:p>
        </w:tc>
      </w:tr>
      <w:tr>
        <w:tblPrEx>
          <w:tblCellMar>
            <w:top w:w="0" w:type="dxa"/>
            <w:left w:w="108" w:type="dxa"/>
            <w:bottom w:w="0" w:type="dxa"/>
            <w:right w:w="108"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r>
              <w:rPr>
                <w:rFonts w:hint="eastAsia" w:ascii="宋体" w:hAnsi="宋体"/>
                <w:color w:val="auto"/>
                <w:kern w:val="0"/>
                <w:szCs w:val="21"/>
              </w:rPr>
              <w:t>2</w:t>
            </w:r>
          </w:p>
        </w:tc>
        <w:tc>
          <w:tcPr>
            <w:tcW w:w="11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276" w:type="dxa"/>
            <w:tcBorders>
              <w:top w:val="single" w:color="000000" w:sz="4" w:space="0"/>
              <w:left w:val="nil"/>
              <w:bottom w:val="single" w:color="000000" w:sz="4" w:space="0"/>
              <w:right w:val="single" w:color="auto" w:sz="4" w:space="0"/>
            </w:tcBorders>
            <w:vAlign w:val="center"/>
          </w:tcPr>
          <w:p>
            <w:pPr>
              <w:widowControl/>
              <w:spacing w:line="400" w:lineRule="atLeast"/>
              <w:jc w:val="center"/>
              <w:rPr>
                <w:rFonts w:ascii="宋体" w:hAnsi="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560"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r>
      <w:tr>
        <w:tblPrEx>
          <w:tblCellMar>
            <w:top w:w="0" w:type="dxa"/>
            <w:left w:w="108" w:type="dxa"/>
            <w:bottom w:w="0" w:type="dxa"/>
            <w:right w:w="108"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276" w:type="dxa"/>
            <w:tcBorders>
              <w:top w:val="single" w:color="000000" w:sz="4" w:space="0"/>
              <w:left w:val="nil"/>
              <w:bottom w:val="single" w:color="000000" w:sz="4" w:space="0"/>
              <w:right w:val="single" w:color="auto" w:sz="4" w:space="0"/>
            </w:tcBorders>
            <w:vAlign w:val="center"/>
          </w:tcPr>
          <w:p>
            <w:pPr>
              <w:widowControl/>
              <w:spacing w:line="400" w:lineRule="atLeast"/>
              <w:jc w:val="center"/>
              <w:rPr>
                <w:rFonts w:ascii="宋体" w:hAnsi="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560"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r>
      <w:tr>
        <w:tblPrEx>
          <w:tblCellMar>
            <w:top w:w="0" w:type="dxa"/>
            <w:left w:w="108" w:type="dxa"/>
            <w:bottom w:w="0" w:type="dxa"/>
            <w:right w:w="108"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r>
              <w:rPr>
                <w:rFonts w:hint="eastAsia" w:ascii="宋体" w:hAnsi="宋体"/>
                <w:color w:val="auto"/>
                <w:kern w:val="0"/>
                <w:szCs w:val="21"/>
              </w:rPr>
              <w:t>…</w:t>
            </w:r>
          </w:p>
        </w:tc>
        <w:tc>
          <w:tcPr>
            <w:tcW w:w="11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276" w:type="dxa"/>
            <w:tcBorders>
              <w:top w:val="single" w:color="000000" w:sz="4" w:space="0"/>
              <w:left w:val="nil"/>
              <w:bottom w:val="single" w:color="000000" w:sz="4" w:space="0"/>
              <w:right w:val="single" w:color="auto" w:sz="4" w:space="0"/>
            </w:tcBorders>
            <w:vAlign w:val="center"/>
          </w:tcPr>
          <w:p>
            <w:pPr>
              <w:widowControl/>
              <w:spacing w:line="400" w:lineRule="atLeast"/>
              <w:jc w:val="center"/>
              <w:rPr>
                <w:rFonts w:ascii="宋体" w:hAnsi="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c>
          <w:tcPr>
            <w:tcW w:w="1560"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rPr>
            </w:pPr>
          </w:p>
        </w:tc>
      </w:tr>
    </w:tbl>
    <w:p>
      <w:pPr>
        <w:snapToGrid w:val="0"/>
        <w:spacing w:line="440" w:lineRule="exact"/>
        <w:ind w:right="420" w:firstLine="420"/>
        <w:rPr>
          <w:rFonts w:ascii="宋体" w:hAnsi="宋体"/>
          <w:color w:val="auto"/>
          <w:szCs w:val="21"/>
        </w:rPr>
      </w:pPr>
      <w:r>
        <w:rPr>
          <w:rFonts w:hint="eastAsia" w:ascii="宋体" w:hAnsi="宋体"/>
          <w:color w:val="auto"/>
          <w:szCs w:val="21"/>
        </w:rPr>
        <w:t>2.合同合计金额</w:t>
      </w:r>
      <w:r>
        <w:rPr>
          <w:rFonts w:hint="eastAsia" w:ascii="宋体" w:hAnsi="宋体"/>
          <w:bCs/>
          <w:color w:val="auto"/>
          <w:szCs w:val="21"/>
        </w:rPr>
        <w:t>包括本项目设备、线路租赁、服务事项、设备附件、备品备件、专用工具、设备安装辅材、施工辅材、包装、运输、装卸、保险等各种费用以及安装、调试、税金、售后服务、技术培训费、更新升级、软件费及其他所有成本费用。</w:t>
      </w:r>
    </w:p>
    <w:p>
      <w:pPr>
        <w:snapToGrid w:val="0"/>
        <w:spacing w:line="440" w:lineRule="exact"/>
        <w:rPr>
          <w:rFonts w:ascii="宋体" w:hAnsi="宋体"/>
          <w:color w:val="auto"/>
          <w:szCs w:val="21"/>
        </w:rPr>
      </w:pPr>
      <w:r>
        <w:rPr>
          <w:rFonts w:hint="eastAsia" w:ascii="宋体" w:hAnsi="宋体"/>
          <w:b/>
          <w:color w:val="auto"/>
          <w:szCs w:val="21"/>
        </w:rPr>
        <w:t>第二条　质量保证</w:t>
      </w:r>
    </w:p>
    <w:p>
      <w:pPr>
        <w:snapToGrid w:val="0"/>
        <w:spacing w:line="440" w:lineRule="exact"/>
        <w:ind w:firstLine="420"/>
        <w:rPr>
          <w:rFonts w:ascii="宋体" w:hAnsi="宋体"/>
          <w:color w:val="auto"/>
          <w:szCs w:val="21"/>
        </w:rPr>
      </w:pPr>
      <w:r>
        <w:rPr>
          <w:rFonts w:hint="eastAsia" w:ascii="宋体" w:hAnsi="宋体"/>
          <w:color w:val="auto"/>
          <w:szCs w:val="21"/>
        </w:rPr>
        <w:t>1.乙方应按招标/采购文件要求的货物性能、技术要求、质量标准向甲方提供未经使用的全新产品。</w:t>
      </w:r>
    </w:p>
    <w:p>
      <w:pPr>
        <w:snapToGrid w:val="0"/>
        <w:spacing w:line="440" w:lineRule="exact"/>
        <w:ind w:firstLine="420"/>
        <w:rPr>
          <w:rFonts w:ascii="宋体" w:hAnsi="宋体"/>
          <w:color w:val="auto"/>
          <w:szCs w:val="21"/>
        </w:rPr>
      </w:pPr>
      <w:r>
        <w:rPr>
          <w:rFonts w:hint="eastAsia" w:ascii="宋体" w:hAnsi="宋体"/>
          <w:color w:val="auto"/>
          <w:szCs w:val="21"/>
        </w:rPr>
        <w:t>2.乙方所提供的货物型号、技术规格、技术参数、服务等质量必须与投标/响应文件承诺相一致。</w:t>
      </w:r>
    </w:p>
    <w:p>
      <w:pPr>
        <w:snapToGrid w:val="0"/>
        <w:spacing w:line="440" w:lineRule="exact"/>
        <w:ind w:firstLine="420"/>
        <w:rPr>
          <w:rFonts w:ascii="宋体" w:hAnsi="宋体"/>
          <w:color w:val="auto"/>
          <w:szCs w:val="21"/>
          <w:u w:val="single"/>
        </w:rPr>
      </w:pPr>
      <w:r>
        <w:rPr>
          <w:rFonts w:hint="eastAsia" w:ascii="宋体" w:hAnsi="宋体"/>
          <w:color w:val="auto"/>
          <w:szCs w:val="21"/>
        </w:rPr>
        <w:t>3.乙方所提供的货物在正常安装、使用和保养条件下，其使用寿命期内各项指标均应达到质量要求。</w:t>
      </w:r>
    </w:p>
    <w:p>
      <w:pPr>
        <w:snapToGrid w:val="0"/>
        <w:spacing w:line="440" w:lineRule="exact"/>
        <w:rPr>
          <w:rFonts w:ascii="宋体" w:hAnsi="宋体"/>
          <w:color w:val="auto"/>
          <w:szCs w:val="21"/>
        </w:rPr>
      </w:pPr>
      <w:r>
        <w:rPr>
          <w:rFonts w:hint="eastAsia" w:ascii="宋体" w:hAnsi="宋体"/>
          <w:b/>
          <w:color w:val="auto"/>
          <w:szCs w:val="21"/>
        </w:rPr>
        <w:t>第三条　权力保证</w:t>
      </w:r>
    </w:p>
    <w:p>
      <w:pPr>
        <w:snapToGrid w:val="0"/>
        <w:spacing w:line="440" w:lineRule="exact"/>
        <w:ind w:firstLine="420"/>
        <w:rPr>
          <w:rFonts w:ascii="宋体" w:hAnsi="宋体"/>
          <w:color w:val="auto"/>
          <w:szCs w:val="21"/>
        </w:rPr>
      </w:pPr>
      <w:r>
        <w:rPr>
          <w:rFonts w:hint="eastAsia" w:ascii="宋体" w:hAnsi="宋体"/>
          <w:color w:val="auto"/>
          <w:szCs w:val="21"/>
        </w:rPr>
        <w:t>1.乙方应保证所提供货物在使用时不会侵犯任何第三方的专利权、商标权、工业设计权或其他权利。</w:t>
      </w:r>
    </w:p>
    <w:p>
      <w:pPr>
        <w:snapToGrid w:val="0"/>
        <w:spacing w:line="440" w:lineRule="exact"/>
        <w:ind w:firstLine="420"/>
        <w:rPr>
          <w:rFonts w:ascii="宋体" w:hAnsi="宋体"/>
          <w:color w:val="auto"/>
          <w:szCs w:val="21"/>
        </w:rPr>
      </w:pPr>
      <w:r>
        <w:rPr>
          <w:rFonts w:hint="eastAsia" w:ascii="宋体" w:hAnsi="宋体"/>
          <w:color w:val="auto"/>
          <w:szCs w:val="21"/>
        </w:rPr>
        <w:t>2.乙方应按招标/采购文件规定的时间向甲方提供使用货物的有关技术资料。</w:t>
      </w:r>
    </w:p>
    <w:p>
      <w:pPr>
        <w:snapToGrid w:val="0"/>
        <w:spacing w:line="440" w:lineRule="exact"/>
        <w:ind w:firstLine="420"/>
        <w:rPr>
          <w:rFonts w:ascii="宋体" w:hAnsi="宋体"/>
          <w:color w:val="auto"/>
          <w:szCs w:val="21"/>
        </w:rPr>
      </w:pPr>
      <w:r>
        <w:rPr>
          <w:rFonts w:hint="eastAsia" w:ascii="宋体" w:hAnsi="宋体"/>
          <w:color w:val="auto"/>
          <w:szCs w:val="21"/>
        </w:rPr>
        <w:t>3.乙方保证所交付的货物的所有权完全属于乙方且无任何抵押、质押、查封等产权瑕疵。</w:t>
      </w:r>
    </w:p>
    <w:p>
      <w:pPr>
        <w:snapToGrid w:val="0"/>
        <w:spacing w:before="120" w:after="120" w:line="360" w:lineRule="exact"/>
        <w:ind w:firstLine="42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未取得甲方同意，乙方不得将本合同或相关条文、规格、计划、图纸、样品等资料提供给与履行本合同无关的任何人。如需向履行本合同有关人员提供的，应限于履行合同的必需范围并注意保密。</w:t>
      </w:r>
    </w:p>
    <w:p>
      <w:pPr>
        <w:snapToGrid w:val="0"/>
        <w:spacing w:line="440" w:lineRule="exact"/>
        <w:rPr>
          <w:rFonts w:ascii="宋体" w:hAnsi="宋体"/>
          <w:b/>
          <w:color w:val="auto"/>
          <w:szCs w:val="21"/>
        </w:rPr>
      </w:pPr>
      <w:r>
        <w:rPr>
          <w:rFonts w:hint="eastAsia" w:ascii="宋体" w:hAnsi="宋体"/>
          <w:b/>
          <w:color w:val="auto"/>
          <w:szCs w:val="21"/>
        </w:rPr>
        <w:t>第四条　包装和运输</w:t>
      </w:r>
    </w:p>
    <w:p>
      <w:pPr>
        <w:spacing w:line="440" w:lineRule="exact"/>
        <w:ind w:firstLine="420"/>
        <w:rPr>
          <w:rFonts w:ascii="宋体" w:hAnsi="宋体"/>
          <w:color w:val="auto"/>
        </w:rPr>
      </w:pPr>
      <w:r>
        <w:rPr>
          <w:rFonts w:hint="eastAsia" w:ascii="宋体" w:hAnsi="宋体"/>
          <w:color w:val="auto"/>
        </w:rPr>
        <w:t>1.乙方应在货物发运前对其进行满足运输距离、防潮、防震、防锈和防破损装卸等要求包装，以保证货物安全运达甲方指定地点。</w:t>
      </w:r>
    </w:p>
    <w:p>
      <w:pPr>
        <w:spacing w:line="440" w:lineRule="exact"/>
        <w:ind w:firstLine="420"/>
        <w:rPr>
          <w:rFonts w:ascii="宋体" w:hAnsi="宋体"/>
          <w:color w:val="auto"/>
        </w:rPr>
      </w:pPr>
      <w:r>
        <w:rPr>
          <w:rFonts w:hint="eastAsia" w:ascii="宋体" w:hAnsi="宋体"/>
          <w:color w:val="auto"/>
        </w:rPr>
        <w:t>2.使用说明书、质量检验证明书、随配附件和工具以及清单一并附于货物内。</w:t>
      </w:r>
    </w:p>
    <w:p>
      <w:pPr>
        <w:spacing w:line="440" w:lineRule="exact"/>
        <w:ind w:firstLine="420"/>
        <w:rPr>
          <w:rFonts w:ascii="宋体" w:hAnsi="宋体"/>
          <w:color w:val="auto"/>
        </w:rPr>
      </w:pPr>
      <w:r>
        <w:rPr>
          <w:rFonts w:hint="eastAsia" w:ascii="宋体" w:hAnsi="宋体"/>
          <w:color w:val="auto"/>
        </w:rPr>
        <w:t>3.乙方在货物发运手续办理完毕后二十四小时内或货到甲方四十八小时前通知甲方，以准备接货。</w:t>
      </w:r>
    </w:p>
    <w:p>
      <w:pPr>
        <w:spacing w:line="440" w:lineRule="exact"/>
        <w:ind w:firstLine="420"/>
        <w:rPr>
          <w:rFonts w:ascii="宋体" w:hAnsi="宋体"/>
          <w:color w:val="auto"/>
        </w:rPr>
      </w:pPr>
      <w:r>
        <w:rPr>
          <w:rFonts w:hint="eastAsia" w:ascii="宋体" w:hAnsi="宋体"/>
          <w:color w:val="auto"/>
        </w:rPr>
        <w:t>4.货物在交付甲方前发生的风险均由乙方负责。</w:t>
      </w:r>
    </w:p>
    <w:p>
      <w:pPr>
        <w:spacing w:line="440" w:lineRule="exact"/>
        <w:ind w:firstLine="420"/>
        <w:rPr>
          <w:rFonts w:ascii="宋体" w:hAnsi="宋体"/>
          <w:color w:val="auto"/>
        </w:rPr>
      </w:pPr>
      <w:r>
        <w:rPr>
          <w:rFonts w:hint="eastAsia" w:ascii="宋体" w:hAnsi="宋体"/>
          <w:color w:val="auto"/>
        </w:rPr>
        <w:t>5.货物在规定的交付期限内由乙方送达甲方指定的地点视为交付，乙方同时须通知甲方货物已送达。</w:t>
      </w:r>
    </w:p>
    <w:p>
      <w:pPr>
        <w:spacing w:line="440" w:lineRule="exact"/>
        <w:ind w:firstLine="420"/>
        <w:rPr>
          <w:rFonts w:ascii="宋体" w:hAnsi="宋体"/>
          <w:color w:val="auto"/>
        </w:rPr>
      </w:pPr>
      <w:r>
        <w:rPr>
          <w:rFonts w:hint="eastAsia" w:ascii="宋体" w:hAnsi="宋体"/>
          <w:color w:val="auto"/>
        </w:rPr>
        <w:t>6.乙方负责将货物安全运送到甲方指定地点，不另收任何费用。</w:t>
      </w:r>
    </w:p>
    <w:p>
      <w:pPr>
        <w:snapToGrid w:val="0"/>
        <w:spacing w:line="440" w:lineRule="exact"/>
        <w:rPr>
          <w:rFonts w:ascii="宋体" w:hAnsi="宋体"/>
          <w:color w:val="auto"/>
          <w:szCs w:val="21"/>
        </w:rPr>
      </w:pPr>
      <w:r>
        <w:rPr>
          <w:rFonts w:hint="eastAsia" w:ascii="宋体" w:hAnsi="宋体"/>
          <w:b/>
          <w:color w:val="auto"/>
          <w:szCs w:val="21"/>
        </w:rPr>
        <w:t>第五条　交付、调试和验收</w:t>
      </w:r>
    </w:p>
    <w:p>
      <w:pPr>
        <w:snapToGrid w:val="0"/>
        <w:spacing w:line="440" w:lineRule="exact"/>
        <w:ind w:firstLine="420"/>
        <w:rPr>
          <w:rFonts w:ascii="宋体" w:hAnsi="宋体"/>
          <w:color w:val="auto"/>
          <w:szCs w:val="21"/>
        </w:rPr>
      </w:pPr>
      <w:r>
        <w:rPr>
          <w:rFonts w:hint="eastAsia" w:ascii="宋体" w:hAnsi="宋体"/>
          <w:color w:val="auto"/>
          <w:szCs w:val="21"/>
        </w:rPr>
        <w:t>1.</w:t>
      </w:r>
      <w:r>
        <w:rPr>
          <w:rFonts w:hint="eastAsia" w:ascii="宋体" w:hAnsi="宋体"/>
          <w:color w:val="auto"/>
        </w:rPr>
        <w:t>交付使用时间：自签订合同之日起</w:t>
      </w:r>
      <w:r>
        <w:rPr>
          <w:rFonts w:hint="eastAsia" w:ascii="宋体" w:hAnsi="宋体"/>
          <w:color w:val="auto"/>
          <w:u w:val="single"/>
        </w:rPr>
        <w:t xml:space="preserve">      </w:t>
      </w:r>
      <w:r>
        <w:rPr>
          <w:rFonts w:hint="eastAsia" w:ascii="宋体" w:hAnsi="宋体"/>
          <w:color w:val="auto"/>
        </w:rPr>
        <w:t>日内，服务时间</w:t>
      </w:r>
      <w:r>
        <w:rPr>
          <w:rFonts w:hint="eastAsia" w:ascii="宋体" w:hAnsi="宋体"/>
          <w:color w:val="auto"/>
          <w:u w:val="single"/>
        </w:rPr>
        <w:t xml:space="preserve">         </w:t>
      </w:r>
      <w:r>
        <w:rPr>
          <w:rFonts w:hint="eastAsia" w:ascii="宋体" w:hAnsi="宋体"/>
          <w:color w:val="auto"/>
        </w:rPr>
        <w:t>年；交货地点：</w:t>
      </w:r>
      <w:r>
        <w:rPr>
          <w:rFonts w:hint="eastAsia" w:ascii="宋体" w:hAnsi="宋体"/>
          <w:color w:val="auto"/>
          <w:u w:val="single"/>
        </w:rPr>
        <w:t xml:space="preserve">          </w:t>
      </w:r>
      <w:r>
        <w:rPr>
          <w:rFonts w:hint="eastAsia" w:ascii="宋体" w:hAnsi="宋体"/>
          <w:color w:val="auto"/>
          <w:szCs w:val="21"/>
        </w:rPr>
        <w:t>。</w:t>
      </w:r>
    </w:p>
    <w:p>
      <w:pPr>
        <w:snapToGrid w:val="0"/>
        <w:spacing w:line="440" w:lineRule="exact"/>
        <w:ind w:firstLine="420"/>
        <w:rPr>
          <w:rFonts w:ascii="宋体" w:hAnsi="宋体"/>
          <w:color w:val="auto"/>
          <w:szCs w:val="21"/>
        </w:rPr>
      </w:pPr>
      <w:r>
        <w:rPr>
          <w:rFonts w:hint="eastAsia" w:ascii="宋体" w:hAnsi="宋体"/>
          <w:color w:val="auto"/>
          <w:szCs w:val="21"/>
        </w:rPr>
        <w:t>2.乙方提供不符投标/响应文件承诺和本合同规定的货物，甲方有权拒绝接受。</w:t>
      </w:r>
    </w:p>
    <w:p>
      <w:pPr>
        <w:snapToGrid w:val="0"/>
        <w:spacing w:line="440" w:lineRule="exact"/>
        <w:ind w:firstLine="420"/>
        <w:rPr>
          <w:rFonts w:ascii="宋体" w:hAnsi="宋体"/>
          <w:color w:val="auto"/>
          <w:szCs w:val="21"/>
        </w:rPr>
      </w:pPr>
      <w:r>
        <w:rPr>
          <w:rFonts w:hint="eastAsia" w:ascii="宋体" w:hAnsi="宋体"/>
          <w:color w:val="auto"/>
          <w:szCs w:val="21"/>
        </w:rPr>
        <w:t>3.乙方应将所提供货物的装箱清单、用户手册、原厂保修卡、随机资料、工具和备品、备件等交付给甲方，如有缺失应及时补齐，否则视为逾期交货。</w:t>
      </w:r>
    </w:p>
    <w:p>
      <w:pPr>
        <w:pStyle w:val="22"/>
        <w:spacing w:line="440" w:lineRule="exact"/>
        <w:ind w:firstLine="420"/>
        <w:rPr>
          <w:rFonts w:hAnsi="宋体"/>
          <w:color w:val="auto"/>
        </w:rPr>
      </w:pPr>
      <w:r>
        <w:rPr>
          <w:rFonts w:hint="eastAsia" w:hAnsi="宋体"/>
          <w:color w:val="auto"/>
        </w:rPr>
        <w:t>4.乙方交货前应对产品全面检查和对验收文件进行整理列出清单，作为甲方收货验收和使用的技术条件依据，检验的结果应随货物交甲方。</w:t>
      </w:r>
    </w:p>
    <w:p>
      <w:pPr>
        <w:pStyle w:val="22"/>
        <w:spacing w:line="440" w:lineRule="exact"/>
        <w:ind w:firstLine="420"/>
        <w:rPr>
          <w:rFonts w:hAnsi="宋体"/>
          <w:color w:val="auto"/>
        </w:rPr>
      </w:pPr>
      <w:r>
        <w:rPr>
          <w:rFonts w:hint="eastAsia" w:hAnsi="宋体"/>
          <w:color w:val="auto"/>
        </w:rPr>
        <w:t>5.乙方将货物运达约定的交货地点后，甲方应在</w:t>
      </w:r>
      <w:r>
        <w:rPr>
          <w:rFonts w:hint="eastAsia" w:hAnsi="宋体"/>
          <w:color w:val="auto"/>
          <w:u w:val="single"/>
        </w:rPr>
        <w:t xml:space="preserve">   </w:t>
      </w:r>
      <w:r>
        <w:rPr>
          <w:rFonts w:hint="eastAsia" w:hAnsi="宋体"/>
          <w:color w:val="auto"/>
        </w:rPr>
        <w:t>个工作日内对乙方提交的货物依据招标</w:t>
      </w:r>
      <w:r>
        <w:rPr>
          <w:rFonts w:hAnsi="宋体"/>
          <w:color w:val="auto"/>
        </w:rPr>
        <w:t>/</w:t>
      </w:r>
      <w:r>
        <w:rPr>
          <w:rFonts w:hint="eastAsia" w:hAnsi="宋体"/>
          <w:color w:val="auto"/>
        </w:rPr>
        <w:t>采购文件的要求、投标/响应文件的承诺和国家标准或行业标准进行现场检验。对外观、说明书符合要求的，给予签收；对不符合要求或有质量问题的货物不予签收，可立即要求退换，乙方不得拒绝和延误。</w:t>
      </w:r>
    </w:p>
    <w:p>
      <w:pPr>
        <w:pStyle w:val="22"/>
        <w:spacing w:line="440" w:lineRule="exact"/>
        <w:ind w:firstLine="420"/>
        <w:rPr>
          <w:rFonts w:hAnsi="宋体"/>
          <w:color w:val="auto"/>
        </w:rPr>
      </w:pPr>
      <w:r>
        <w:rPr>
          <w:rFonts w:hint="eastAsia" w:hAnsi="宋体"/>
          <w:color w:val="auto"/>
        </w:rPr>
        <w:t>6.甲方对乙方提供的货物在使用前进行调试时，乙方需负责安装并培训甲方的使用操作人员，并协助甲方调试，直到符合技术要求，甲方才做最终验收。对于技术复杂的货物，甲方可请国家认可的专业检测机构参与验收，并由其出具质量检测报告，相关费用由甲方承担。</w:t>
      </w:r>
    </w:p>
    <w:p>
      <w:pPr>
        <w:pStyle w:val="22"/>
        <w:spacing w:line="440" w:lineRule="exact"/>
        <w:ind w:firstLine="420"/>
        <w:rPr>
          <w:rFonts w:hAnsi="宋体"/>
          <w:color w:val="auto"/>
        </w:rPr>
      </w:pPr>
      <w:r>
        <w:rPr>
          <w:rFonts w:hint="eastAsia" w:hAnsi="宋体"/>
          <w:color w:val="auto"/>
        </w:rPr>
        <w:t>7.甲方对乙方所交货物依照投标/响应文件上的技术规格承诺和国家（设备制造国）有关标准进行现场验收，性能达到技术要求的，给予签收。验收不合格的不予签收，后果由乙方负责。</w:t>
      </w:r>
    </w:p>
    <w:p>
      <w:pPr>
        <w:pStyle w:val="22"/>
        <w:spacing w:line="440" w:lineRule="exact"/>
        <w:ind w:firstLine="420"/>
        <w:rPr>
          <w:rFonts w:hAnsi="宋体"/>
          <w:color w:val="auto"/>
        </w:rPr>
      </w:pPr>
      <w:r>
        <w:rPr>
          <w:rFonts w:hint="eastAsia" w:hAnsi="宋体"/>
          <w:color w:val="auto"/>
        </w:rPr>
        <w:t>8.甲方应在货到指定地点安装调试完毕之日起</w:t>
      </w:r>
      <w:r>
        <w:rPr>
          <w:rFonts w:hint="eastAsia" w:hAnsi="宋体"/>
          <w:color w:val="auto"/>
          <w:u w:val="single"/>
        </w:rPr>
        <w:t xml:space="preserve">    </w:t>
      </w:r>
      <w:r>
        <w:rPr>
          <w:rFonts w:hint="eastAsia" w:hAnsi="宋体"/>
          <w:color w:val="auto"/>
        </w:rPr>
        <w:t>个工作日内验收完毕，验收时乙方必须在现场，并作出验收结果报告并由甲方加盖公章，甲乙双方各执一份。</w:t>
      </w:r>
    </w:p>
    <w:p>
      <w:pPr>
        <w:snapToGrid w:val="0"/>
        <w:spacing w:line="440" w:lineRule="exact"/>
        <w:rPr>
          <w:rFonts w:ascii="宋体" w:hAnsi="宋体"/>
          <w:b/>
          <w:color w:val="auto"/>
          <w:szCs w:val="21"/>
        </w:rPr>
      </w:pPr>
      <w:r>
        <w:rPr>
          <w:rFonts w:hint="eastAsia" w:ascii="宋体" w:hAnsi="宋体"/>
          <w:b/>
          <w:color w:val="auto"/>
          <w:szCs w:val="21"/>
        </w:rPr>
        <w:t>第六条　安装和培训</w:t>
      </w:r>
    </w:p>
    <w:p>
      <w:pPr>
        <w:snapToGrid w:val="0"/>
        <w:spacing w:line="440" w:lineRule="exact"/>
        <w:ind w:firstLine="420"/>
        <w:rPr>
          <w:rFonts w:ascii="宋体" w:hAnsi="宋体"/>
          <w:color w:val="auto"/>
          <w:szCs w:val="21"/>
        </w:rPr>
      </w:pPr>
      <w:r>
        <w:rPr>
          <w:rFonts w:hint="eastAsia" w:ascii="宋体" w:hAnsi="宋体"/>
          <w:color w:val="auto"/>
          <w:szCs w:val="21"/>
        </w:rPr>
        <w:t>1.甲方应提供必要安装条件（如场地、电源、水源等）。</w:t>
      </w:r>
    </w:p>
    <w:p>
      <w:pPr>
        <w:snapToGrid w:val="0"/>
        <w:spacing w:line="440" w:lineRule="exact"/>
        <w:ind w:firstLine="420"/>
        <w:rPr>
          <w:rFonts w:ascii="宋体" w:hAnsi="宋体"/>
          <w:color w:val="auto"/>
          <w:szCs w:val="21"/>
          <w:u w:val="single"/>
        </w:rPr>
      </w:pPr>
      <w:r>
        <w:rPr>
          <w:rFonts w:hint="eastAsia" w:ascii="宋体" w:hAnsi="宋体"/>
          <w:color w:val="auto"/>
          <w:szCs w:val="21"/>
        </w:rPr>
        <w:t>2.乙方负责甲方有关人员的培训。培训时间、地点：</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rPr>
          <w:rFonts w:ascii="宋体" w:hAnsi="宋体"/>
          <w:color w:val="auto"/>
          <w:szCs w:val="21"/>
        </w:rPr>
      </w:pPr>
      <w:r>
        <w:rPr>
          <w:rFonts w:hint="eastAsia" w:ascii="宋体" w:hAnsi="宋体"/>
          <w:b/>
          <w:color w:val="auto"/>
          <w:szCs w:val="21"/>
        </w:rPr>
        <w:t>第七条　付款方式</w:t>
      </w:r>
    </w:p>
    <w:p>
      <w:pPr>
        <w:snapToGrid w:val="0"/>
        <w:spacing w:line="440" w:lineRule="exact"/>
        <w:ind w:firstLine="420"/>
        <w:rPr>
          <w:rFonts w:ascii="宋体" w:hAnsi="宋体"/>
          <w:color w:val="auto"/>
          <w:szCs w:val="21"/>
        </w:rPr>
      </w:pPr>
      <w:r>
        <w:rPr>
          <w:rFonts w:hint="eastAsia" w:ascii="宋体" w:hAnsi="宋体"/>
          <w:bCs/>
          <w:color w:val="auto"/>
        </w:rPr>
        <w:t>1.</w:t>
      </w:r>
      <w:r>
        <w:rPr>
          <w:rFonts w:hint="eastAsia" w:ascii="宋体" w:hAnsi="宋体"/>
          <w:color w:val="auto"/>
          <w:szCs w:val="21"/>
        </w:rPr>
        <w:t>资金性质：财政性资金。</w:t>
      </w:r>
    </w:p>
    <w:p>
      <w:pPr>
        <w:snapToGrid w:val="0"/>
        <w:spacing w:line="440" w:lineRule="exact"/>
        <w:ind w:firstLine="420"/>
        <w:rPr>
          <w:color w:val="auto"/>
        </w:rPr>
      </w:pPr>
      <w:bookmarkStart w:id="132" w:name="_Toc354474063"/>
      <w:bookmarkStart w:id="133" w:name="_Toc383674404"/>
      <w:bookmarkStart w:id="134" w:name="_Toc354473010"/>
      <w:bookmarkStart w:id="135" w:name="_Toc354474012"/>
      <w:bookmarkStart w:id="136" w:name="_Toc355766963"/>
      <w:bookmarkStart w:id="137" w:name="_Toc356222451"/>
      <w:bookmarkStart w:id="138" w:name="_Toc418690610"/>
      <w:r>
        <w:rPr>
          <w:rFonts w:hint="eastAsia" w:ascii="宋体" w:hAnsi="宋体"/>
          <w:color w:val="auto"/>
          <w:szCs w:val="21"/>
        </w:rPr>
        <w:t>2.付款方式：</w:t>
      </w:r>
      <w:bookmarkEnd w:id="132"/>
      <w:bookmarkEnd w:id="133"/>
      <w:bookmarkEnd w:id="134"/>
      <w:bookmarkEnd w:id="135"/>
      <w:bookmarkEnd w:id="136"/>
      <w:bookmarkEnd w:id="137"/>
      <w:bookmarkEnd w:id="138"/>
      <w:r>
        <w:rPr>
          <w:rFonts w:hint="eastAsia"/>
          <w:color w:val="auto"/>
          <w:u w:val="single"/>
        </w:rPr>
        <w:t xml:space="preserve">                                                                         </w:t>
      </w:r>
      <w:r>
        <w:rPr>
          <w:rFonts w:hint="eastAsia"/>
          <w:color w:val="auto"/>
        </w:rPr>
        <w:t>。</w:t>
      </w:r>
    </w:p>
    <w:p>
      <w:pPr>
        <w:snapToGrid w:val="0"/>
        <w:spacing w:line="440" w:lineRule="exact"/>
        <w:rPr>
          <w:rFonts w:ascii="宋体" w:hAnsi="宋体"/>
          <w:b/>
          <w:color w:val="auto"/>
          <w:szCs w:val="21"/>
        </w:rPr>
      </w:pPr>
      <w:r>
        <w:rPr>
          <w:rFonts w:hint="eastAsia" w:ascii="宋体" w:hAnsi="宋体"/>
          <w:b/>
          <w:color w:val="auto"/>
          <w:szCs w:val="21"/>
        </w:rPr>
        <w:t>第八条  税费本合同执行中相关的一切税费均由乙方负担。</w:t>
      </w:r>
    </w:p>
    <w:p>
      <w:pPr>
        <w:snapToGrid w:val="0"/>
        <w:spacing w:line="440" w:lineRule="exact"/>
        <w:rPr>
          <w:rFonts w:ascii="宋体" w:hAnsi="宋体"/>
          <w:b/>
          <w:color w:val="auto"/>
          <w:szCs w:val="21"/>
        </w:rPr>
      </w:pPr>
      <w:r>
        <w:rPr>
          <w:rFonts w:hint="eastAsia" w:ascii="宋体" w:hAnsi="宋体"/>
          <w:b/>
          <w:color w:val="auto"/>
          <w:szCs w:val="21"/>
        </w:rPr>
        <w:t>第九条  售后服务及保修期</w:t>
      </w:r>
    </w:p>
    <w:p>
      <w:pPr>
        <w:snapToGrid w:val="0"/>
        <w:spacing w:line="440" w:lineRule="exact"/>
        <w:ind w:firstLine="420"/>
        <w:rPr>
          <w:rFonts w:ascii="宋体" w:hAnsi="宋体"/>
          <w:color w:val="auto"/>
          <w:szCs w:val="21"/>
        </w:rPr>
      </w:pPr>
      <w:r>
        <w:rPr>
          <w:rFonts w:hint="eastAsia" w:ascii="宋体" w:hAnsi="宋体"/>
          <w:color w:val="auto"/>
          <w:szCs w:val="21"/>
        </w:rPr>
        <w:t>1.乙方应按照国家有关法律法规和“三包”规定以及本合同所附的《服务承诺》，为甲方提供售后服务。</w:t>
      </w:r>
    </w:p>
    <w:p>
      <w:pPr>
        <w:snapToGrid w:val="0"/>
        <w:spacing w:line="440" w:lineRule="exact"/>
        <w:ind w:firstLine="420"/>
        <w:rPr>
          <w:rFonts w:ascii="宋体" w:hAnsi="宋体"/>
          <w:color w:val="auto"/>
          <w:szCs w:val="21"/>
          <w:u w:val="single"/>
        </w:rPr>
      </w:pPr>
      <w:r>
        <w:rPr>
          <w:rFonts w:hint="eastAsia" w:ascii="宋体" w:hAnsi="宋体"/>
          <w:color w:val="auto"/>
          <w:szCs w:val="21"/>
        </w:rPr>
        <w:t>2.货物保修期：</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ind w:firstLine="420"/>
        <w:rPr>
          <w:rFonts w:ascii="宋体" w:hAnsi="宋体"/>
          <w:color w:val="auto"/>
          <w:szCs w:val="21"/>
        </w:rPr>
      </w:pPr>
      <w:r>
        <w:rPr>
          <w:rFonts w:hint="eastAsia" w:ascii="宋体" w:hAnsi="宋体"/>
          <w:color w:val="auto"/>
          <w:szCs w:val="21"/>
        </w:rPr>
        <w:t>3.</w:t>
      </w:r>
      <w:r>
        <w:rPr>
          <w:rFonts w:hint="eastAsia" w:ascii="宋体" w:hAnsi="宋体"/>
          <w:color w:val="auto"/>
        </w:rPr>
        <w:t>乙方提供的货物质量保证期按验收合格之日起计。在保证期内因货物本身的质量问题发生故障，乙方应负责免费修理和更换零部件。对达不到技术要求者，根据实际情况，经双方协商，可按以下办法处理</w:t>
      </w:r>
      <w:r>
        <w:rPr>
          <w:rFonts w:hint="eastAsia" w:ascii="宋体" w:hAnsi="宋体"/>
          <w:color w:val="auto"/>
          <w:szCs w:val="21"/>
        </w:rPr>
        <w:t>：</w:t>
      </w:r>
    </w:p>
    <w:p>
      <w:pPr>
        <w:snapToGrid w:val="0"/>
        <w:spacing w:line="440" w:lineRule="exact"/>
        <w:ind w:firstLine="420"/>
        <w:rPr>
          <w:rFonts w:ascii="宋体" w:hAnsi="宋体"/>
          <w:color w:val="auto"/>
        </w:rPr>
      </w:pPr>
      <w:r>
        <w:rPr>
          <w:rFonts w:hint="eastAsia" w:ascii="宋体" w:hAnsi="宋体"/>
          <w:color w:val="auto"/>
        </w:rPr>
        <w:t>⑴更换：由乙方承担所发生的全部费用。</w:t>
      </w:r>
    </w:p>
    <w:p>
      <w:pPr>
        <w:snapToGrid w:val="0"/>
        <w:spacing w:line="440" w:lineRule="exact"/>
        <w:ind w:firstLine="420"/>
        <w:rPr>
          <w:rFonts w:ascii="宋体" w:hAnsi="宋体"/>
          <w:color w:val="auto"/>
        </w:rPr>
      </w:pPr>
      <w:r>
        <w:rPr>
          <w:rFonts w:hint="eastAsia" w:ascii="宋体" w:hAnsi="宋体"/>
          <w:color w:val="auto"/>
        </w:rPr>
        <w:t>⑵贬值处理：由甲乙双方合议定价。</w:t>
      </w:r>
    </w:p>
    <w:p>
      <w:pPr>
        <w:snapToGrid w:val="0"/>
        <w:spacing w:line="440" w:lineRule="exact"/>
        <w:ind w:firstLine="420"/>
        <w:rPr>
          <w:rFonts w:ascii="宋体" w:hAnsi="宋体"/>
          <w:color w:val="auto"/>
        </w:rPr>
      </w:pPr>
      <w:r>
        <w:rPr>
          <w:rFonts w:hint="eastAsia" w:ascii="宋体" w:hAnsi="宋体"/>
          <w:color w:val="auto"/>
        </w:rPr>
        <w:t>⑶退货处理：乙方应退还甲方支付的合同款，同时应承担该货物的直接费用（运输、保险、检验、货款利息及银行手续费等）。</w:t>
      </w:r>
    </w:p>
    <w:p>
      <w:pPr>
        <w:snapToGrid w:val="0"/>
        <w:spacing w:line="440" w:lineRule="exact"/>
        <w:ind w:firstLine="420"/>
        <w:rPr>
          <w:rFonts w:ascii="宋体" w:hAnsi="宋体"/>
          <w:color w:val="auto"/>
        </w:rPr>
      </w:pPr>
      <w:r>
        <w:rPr>
          <w:rFonts w:hint="eastAsia" w:ascii="宋体" w:hAnsi="宋体"/>
          <w:color w:val="auto"/>
        </w:rPr>
        <w:t>4.如在使用过程中发生质量问题，乙方在接到甲方通知后在</w:t>
      </w:r>
      <w:r>
        <w:rPr>
          <w:rFonts w:hint="eastAsia" w:ascii="宋体" w:hAnsi="宋体"/>
          <w:color w:val="auto"/>
          <w:u w:val="single"/>
        </w:rPr>
        <w:t xml:space="preserve">    </w:t>
      </w:r>
      <w:r>
        <w:rPr>
          <w:rFonts w:hint="eastAsia" w:ascii="宋体" w:hAnsi="宋体"/>
          <w:color w:val="auto"/>
        </w:rPr>
        <w:t>小时内到达甲方现场。</w:t>
      </w:r>
    </w:p>
    <w:p>
      <w:pPr>
        <w:snapToGrid w:val="0"/>
        <w:spacing w:line="440" w:lineRule="exact"/>
        <w:ind w:firstLine="420"/>
        <w:rPr>
          <w:rFonts w:ascii="宋体" w:hAnsi="宋体"/>
          <w:color w:val="auto"/>
        </w:rPr>
      </w:pPr>
      <w:r>
        <w:rPr>
          <w:rFonts w:hint="eastAsia" w:ascii="宋体" w:hAnsi="宋体"/>
          <w:color w:val="auto"/>
        </w:rPr>
        <w:t>5.在质保期内，乙方应对货物出现的质量及安全问题负责处理解决并承担一切费用。</w:t>
      </w:r>
    </w:p>
    <w:p>
      <w:pPr>
        <w:snapToGrid w:val="0"/>
        <w:spacing w:line="440" w:lineRule="exact"/>
        <w:ind w:firstLine="420"/>
        <w:rPr>
          <w:rFonts w:ascii="宋体" w:hAnsi="宋体"/>
          <w:color w:val="auto"/>
        </w:rPr>
      </w:pPr>
      <w:r>
        <w:rPr>
          <w:rFonts w:hint="eastAsia" w:ascii="宋体" w:hAnsi="宋体"/>
          <w:color w:val="auto"/>
        </w:rPr>
        <w:t>6.货物因人为因素出现的故障不在免费保修范围内。超过保修期的机器设备，终生维修，维修时只收部件成本费。在保修期内，乙方必须每年进行不少于一次现场巡检并向甲方提供书面巡检报告；在接到报修电话后</w:t>
      </w:r>
      <w:r>
        <w:rPr>
          <w:rFonts w:ascii="宋体" w:hAnsi="宋体"/>
          <w:color w:val="auto"/>
        </w:rPr>
        <w:t>2</w:t>
      </w:r>
      <w:r>
        <w:rPr>
          <w:rFonts w:hint="eastAsia" w:ascii="宋体" w:hAnsi="宋体"/>
          <w:color w:val="auto"/>
        </w:rPr>
        <w:t>个小时内派出技术工程师上门服务，24小时内维修好，并承担一切费用。若24小时内无法维修好的设备，乙方必须免费提供不低于故障设备规格型号档次的备用设备，直到故障设备修复，乙方对所有设备实行终身维护，保修期外发生维修只收材料成本费。</w:t>
      </w:r>
    </w:p>
    <w:p>
      <w:pPr>
        <w:snapToGrid w:val="0"/>
        <w:spacing w:line="440" w:lineRule="exact"/>
        <w:ind w:firstLine="420"/>
        <w:rPr>
          <w:rFonts w:ascii="宋体" w:hAnsi="宋体"/>
          <w:color w:val="auto"/>
          <w:szCs w:val="21"/>
          <w:u w:val="single"/>
        </w:rPr>
      </w:pPr>
      <w:r>
        <w:rPr>
          <w:rFonts w:hint="eastAsia" w:ascii="宋体" w:hAnsi="宋体"/>
          <w:color w:val="auto"/>
        </w:rPr>
        <w:t>7.乙方提供的服务承诺和售后服务及保修期责任等其它具体约定事项。（见合同附件）</w:t>
      </w:r>
    </w:p>
    <w:p>
      <w:pPr>
        <w:snapToGrid w:val="0"/>
        <w:spacing w:line="440" w:lineRule="exact"/>
        <w:rPr>
          <w:rFonts w:ascii="宋体" w:hAnsi="宋体"/>
          <w:b/>
          <w:color w:val="auto"/>
          <w:szCs w:val="21"/>
        </w:rPr>
      </w:pPr>
      <w:r>
        <w:rPr>
          <w:rFonts w:hint="eastAsia" w:ascii="宋体" w:hAnsi="宋体"/>
          <w:b/>
          <w:color w:val="auto"/>
          <w:szCs w:val="21"/>
        </w:rPr>
        <w:t>第十条 违约责任</w:t>
      </w:r>
    </w:p>
    <w:p>
      <w:pPr>
        <w:pStyle w:val="22"/>
        <w:spacing w:before="120" w:after="120" w:line="440" w:lineRule="exact"/>
        <w:ind w:firstLine="411" w:firstLineChars="196"/>
        <w:rPr>
          <w:rFonts w:hAnsi="宋体"/>
          <w:color w:val="auto"/>
        </w:rPr>
      </w:pPr>
      <w:r>
        <w:rPr>
          <w:rFonts w:hint="eastAsia" w:hAnsi="宋体"/>
          <w:color w:val="auto"/>
        </w:rPr>
        <w:t>1.乙方所提供的货物规格、技术标准、材料等质量不合格的，应及时更换，更换不及时的按逾期交货处罚；因质量问题甲方不同意接收的或特殊情况甲方同意接收的，乙方应向甲方支付本合同总价款</w:t>
      </w:r>
      <w:r>
        <w:rPr>
          <w:rFonts w:hAnsi="宋体"/>
          <w:color w:val="auto"/>
          <w:u w:val="single"/>
        </w:rPr>
        <w:t xml:space="preserve">  </w:t>
      </w:r>
      <w:r>
        <w:rPr>
          <w:rFonts w:hint="eastAsia" w:hAnsi="宋体"/>
          <w:color w:val="auto"/>
        </w:rPr>
        <w:t>%违约金并赔偿甲方经济损失。</w:t>
      </w:r>
    </w:p>
    <w:p>
      <w:pPr>
        <w:pStyle w:val="22"/>
        <w:spacing w:before="120" w:after="120" w:line="440" w:lineRule="exact"/>
        <w:ind w:firstLine="411" w:firstLineChars="196"/>
        <w:rPr>
          <w:rFonts w:hAnsi="宋体"/>
          <w:bCs/>
          <w:color w:val="auto"/>
        </w:rPr>
      </w:pPr>
      <w:r>
        <w:rPr>
          <w:rFonts w:hint="eastAsia" w:hAnsi="宋体"/>
          <w:color w:val="auto"/>
        </w:rPr>
        <w:t>2.</w:t>
      </w:r>
      <w:r>
        <w:rPr>
          <w:rFonts w:hint="eastAsia" w:hAnsi="宋体"/>
          <w:bCs/>
          <w:color w:val="auto"/>
        </w:rPr>
        <w:t>乙方提供的产品与服务与投标/响应文件中的承诺不符的，甲方有权解除合同。</w:t>
      </w:r>
    </w:p>
    <w:p>
      <w:pPr>
        <w:pStyle w:val="22"/>
        <w:spacing w:before="120" w:after="120" w:line="440" w:lineRule="exact"/>
        <w:ind w:firstLine="411" w:firstLineChars="196"/>
        <w:rPr>
          <w:rFonts w:hAnsi="宋体"/>
          <w:color w:val="auto"/>
        </w:rPr>
      </w:pPr>
      <w:r>
        <w:rPr>
          <w:rFonts w:hint="eastAsia" w:hAnsi="宋体"/>
          <w:color w:val="auto"/>
        </w:rPr>
        <w:t>3.乙方提供的货物如侵犯了第三方合法权益而引发的任何纠纷或诉讼，均由乙方负责交涉并承担全部责任。</w:t>
      </w:r>
    </w:p>
    <w:p>
      <w:pPr>
        <w:pStyle w:val="22"/>
        <w:spacing w:before="120" w:after="120" w:line="440" w:lineRule="exact"/>
        <w:ind w:firstLine="411" w:firstLineChars="196"/>
        <w:rPr>
          <w:rFonts w:hAnsi="宋体"/>
          <w:color w:val="auto"/>
        </w:rPr>
      </w:pPr>
      <w:r>
        <w:rPr>
          <w:rFonts w:hint="eastAsia" w:hAnsi="宋体"/>
          <w:color w:val="auto"/>
        </w:rPr>
        <w:t>4.因包装、运输引起的货物损坏，按质量不合格处罚。</w:t>
      </w:r>
    </w:p>
    <w:p>
      <w:pPr>
        <w:pStyle w:val="22"/>
        <w:spacing w:before="120" w:after="120" w:line="440" w:lineRule="exact"/>
        <w:ind w:firstLine="411" w:firstLineChars="196"/>
        <w:rPr>
          <w:rFonts w:hAnsi="宋体"/>
          <w:color w:val="auto"/>
        </w:rPr>
      </w:pPr>
      <w:r>
        <w:rPr>
          <w:rFonts w:hint="eastAsia" w:hAnsi="宋体"/>
          <w:color w:val="auto"/>
        </w:rPr>
        <w:t>5.甲方无故延期接收货物的，每天向乙方偿付延期货款额3‰违约金，但滞纳金累计不得超过延期货款额的5%。乙方逾期交货的，每天向甲方偿付违约货款的3‰违约金。超过</w:t>
      </w:r>
      <w:r>
        <w:rPr>
          <w:rFonts w:hint="eastAsia" w:hAnsi="宋体"/>
          <w:color w:val="auto"/>
          <w:u w:val="single"/>
        </w:rPr>
        <w:t>10</w:t>
      </w:r>
      <w:r>
        <w:rPr>
          <w:rFonts w:hint="eastAsia" w:hAnsi="宋体"/>
          <w:color w:val="auto"/>
        </w:rPr>
        <w:t>天对方有权解除合同。</w:t>
      </w:r>
    </w:p>
    <w:p>
      <w:pPr>
        <w:pStyle w:val="22"/>
        <w:spacing w:before="120" w:after="120" w:line="440" w:lineRule="exact"/>
        <w:ind w:firstLine="411" w:firstLineChars="196"/>
        <w:rPr>
          <w:rFonts w:hAnsi="宋体"/>
          <w:color w:val="auto"/>
        </w:rPr>
      </w:pPr>
      <w:r>
        <w:rPr>
          <w:rFonts w:hint="eastAsia" w:hAnsi="宋体"/>
          <w:color w:val="auto"/>
        </w:rPr>
        <w:t>6.乙方未按本合同和投标/响应文件中规定的服务承诺提供售后服务的，乙方应按本合同总价款</w:t>
      </w:r>
      <w:r>
        <w:rPr>
          <w:rFonts w:hAnsi="宋体"/>
          <w:color w:val="auto"/>
          <w:u w:val="single"/>
        </w:rPr>
        <w:t xml:space="preserve">  </w:t>
      </w:r>
      <w:r>
        <w:rPr>
          <w:rFonts w:hint="eastAsia" w:hAnsi="宋体"/>
          <w:color w:val="auto"/>
        </w:rPr>
        <w:t>%向甲方支付违约金。</w:t>
      </w:r>
    </w:p>
    <w:p>
      <w:pPr>
        <w:pStyle w:val="22"/>
        <w:spacing w:before="120" w:after="120" w:line="440" w:lineRule="exact"/>
        <w:ind w:firstLine="411" w:firstLineChars="196"/>
        <w:rPr>
          <w:rFonts w:hAnsi="宋体"/>
          <w:color w:val="auto"/>
        </w:rPr>
      </w:pPr>
      <w:r>
        <w:rPr>
          <w:rFonts w:hAnsi="宋体"/>
          <w:color w:val="auto"/>
        </w:rPr>
        <w:t>7</w:t>
      </w:r>
      <w:r>
        <w:rPr>
          <w:rFonts w:hint="eastAsia" w:hAnsi="宋体"/>
          <w:color w:val="auto"/>
        </w:rPr>
        <w:t>.其它违约行为按本合同总价款5%收取违约金并赔偿经济损失。</w:t>
      </w:r>
    </w:p>
    <w:p>
      <w:pPr>
        <w:pStyle w:val="22"/>
        <w:snapToGrid w:val="0"/>
        <w:spacing w:before="120" w:after="120" w:line="440" w:lineRule="exact"/>
        <w:rPr>
          <w:rFonts w:hAnsi="宋体"/>
          <w:b/>
          <w:color w:val="auto"/>
        </w:rPr>
      </w:pPr>
      <w:r>
        <w:rPr>
          <w:rFonts w:hint="eastAsia" w:hAnsi="宋体"/>
          <w:b/>
          <w:color w:val="auto"/>
        </w:rPr>
        <w:t>第十一条  不可抗力事件处理</w:t>
      </w:r>
    </w:p>
    <w:p>
      <w:pPr>
        <w:pStyle w:val="22"/>
        <w:snapToGrid w:val="0"/>
        <w:spacing w:before="120" w:after="120" w:line="440" w:lineRule="exact"/>
        <w:ind w:firstLine="420"/>
        <w:rPr>
          <w:rFonts w:hAnsi="宋体"/>
          <w:color w:val="auto"/>
        </w:rPr>
      </w:pPr>
      <w:r>
        <w:rPr>
          <w:rFonts w:hint="eastAsia" w:hAnsi="宋体"/>
          <w:color w:val="auto"/>
        </w:rPr>
        <w:t>1.在合同有效期内，任何一方因不可抗力事件导致不能履行合同，则合同履行期可延长，其延长期与不可抗力影响期相同。</w:t>
      </w:r>
    </w:p>
    <w:p>
      <w:pPr>
        <w:pStyle w:val="22"/>
        <w:snapToGrid w:val="0"/>
        <w:spacing w:before="120" w:after="120" w:line="440" w:lineRule="exact"/>
        <w:ind w:firstLine="420"/>
        <w:rPr>
          <w:rFonts w:hAnsi="宋体"/>
          <w:color w:val="auto"/>
        </w:rPr>
      </w:pPr>
      <w:r>
        <w:rPr>
          <w:rFonts w:hint="eastAsia" w:hAnsi="宋体"/>
          <w:color w:val="auto"/>
        </w:rPr>
        <w:t>2.不可抗力事件发生后，应立即通知对方，并寄送有关权威机构出具的证明。</w:t>
      </w:r>
    </w:p>
    <w:p>
      <w:pPr>
        <w:pStyle w:val="22"/>
        <w:snapToGrid w:val="0"/>
        <w:spacing w:before="120" w:after="120" w:line="440" w:lineRule="exact"/>
        <w:ind w:firstLine="420"/>
        <w:rPr>
          <w:rFonts w:hAnsi="宋体"/>
          <w:color w:val="auto"/>
        </w:rPr>
      </w:pPr>
      <w:r>
        <w:rPr>
          <w:rFonts w:hint="eastAsia" w:hAnsi="宋体"/>
          <w:color w:val="auto"/>
        </w:rPr>
        <w:t>3.不可抗力事件延续一百二十天以上，双方应通过友好协商，确定是否继续履行合同。</w:t>
      </w:r>
    </w:p>
    <w:p>
      <w:pPr>
        <w:snapToGrid w:val="0"/>
        <w:spacing w:line="440" w:lineRule="exact"/>
        <w:rPr>
          <w:rFonts w:ascii="宋体" w:hAnsi="宋体"/>
          <w:color w:val="auto"/>
          <w:szCs w:val="21"/>
        </w:rPr>
      </w:pPr>
      <w:r>
        <w:rPr>
          <w:rFonts w:hint="eastAsia" w:ascii="宋体" w:hAnsi="宋体"/>
          <w:b/>
          <w:color w:val="auto"/>
          <w:szCs w:val="21"/>
        </w:rPr>
        <w:t>第十</w:t>
      </w:r>
      <w:r>
        <w:rPr>
          <w:rFonts w:hint="eastAsia" w:hAnsi="宋体"/>
          <w:b/>
          <w:color w:val="auto"/>
        </w:rPr>
        <w:t>二</w:t>
      </w:r>
      <w:r>
        <w:rPr>
          <w:rFonts w:hint="eastAsia" w:ascii="宋体" w:hAnsi="宋体"/>
          <w:b/>
          <w:color w:val="auto"/>
          <w:szCs w:val="21"/>
        </w:rPr>
        <w:t>条  合同争议解决</w:t>
      </w:r>
    </w:p>
    <w:p>
      <w:pPr>
        <w:snapToGrid w:val="0"/>
        <w:spacing w:line="440" w:lineRule="exact"/>
        <w:ind w:firstLine="420"/>
        <w:rPr>
          <w:rFonts w:ascii="宋体" w:hAnsi="宋体"/>
          <w:color w:val="auto"/>
          <w:szCs w:val="21"/>
        </w:rPr>
      </w:pP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line="440" w:lineRule="exact"/>
        <w:ind w:firstLine="420"/>
        <w:rPr>
          <w:rFonts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2.因履行本合同引起的或与本合同有关的争议，甲乙双方应首先通过友好协商解决，如果协商不能解决，可向仲裁委员会申请仲裁或向人民法院提起诉讼。</w:t>
      </w:r>
    </w:p>
    <w:p>
      <w:pPr>
        <w:snapToGrid w:val="0"/>
        <w:spacing w:line="440" w:lineRule="exact"/>
        <w:ind w:firstLine="420"/>
        <w:rPr>
          <w:rFonts w:ascii="宋体" w:hAnsi="宋体"/>
          <w:color w:val="auto"/>
          <w:szCs w:val="21"/>
        </w:rPr>
      </w:pPr>
      <w:r>
        <w:rPr>
          <w:rFonts w:hint="eastAsia" w:ascii="宋体" w:hAnsi="宋体"/>
          <w:color w:val="auto"/>
          <w:szCs w:val="21"/>
        </w:rPr>
        <w:t>3.诉讼期间，本合同继续履行。</w:t>
      </w:r>
    </w:p>
    <w:p>
      <w:pPr>
        <w:snapToGrid w:val="0"/>
        <w:spacing w:line="440" w:lineRule="exact"/>
        <w:rPr>
          <w:rFonts w:hAnsi="宋体"/>
          <w:b/>
          <w:color w:val="auto"/>
        </w:rPr>
      </w:pPr>
      <w:r>
        <w:rPr>
          <w:rFonts w:hint="eastAsia" w:hAnsi="宋体"/>
          <w:b/>
          <w:color w:val="auto"/>
        </w:rPr>
        <w:t>第十</w:t>
      </w:r>
      <w:r>
        <w:rPr>
          <w:rFonts w:hint="eastAsia" w:ascii="宋体" w:hAnsi="宋体"/>
          <w:b/>
          <w:color w:val="auto"/>
          <w:szCs w:val="21"/>
        </w:rPr>
        <w:t>三</w:t>
      </w:r>
      <w:r>
        <w:rPr>
          <w:rFonts w:hint="eastAsia" w:hAnsi="宋体"/>
          <w:b/>
          <w:color w:val="auto"/>
        </w:rPr>
        <w:t>条  合同生效及其它</w:t>
      </w:r>
    </w:p>
    <w:p>
      <w:pPr>
        <w:snapToGrid w:val="0"/>
        <w:spacing w:line="440" w:lineRule="exact"/>
        <w:ind w:firstLine="420"/>
        <w:rPr>
          <w:rFonts w:hAnsi="宋体"/>
          <w:color w:val="auto"/>
        </w:rPr>
      </w:pPr>
      <w:r>
        <w:rPr>
          <w:rFonts w:hint="eastAsia" w:hAnsi="宋体"/>
          <w:color w:val="auto"/>
        </w:rPr>
        <w:t>1.合同经双方法定代表人(负责人)或授权代表签名并加盖公章后生效。</w:t>
      </w:r>
    </w:p>
    <w:p>
      <w:pPr>
        <w:snapToGrid w:val="0"/>
        <w:spacing w:line="440" w:lineRule="exact"/>
        <w:ind w:firstLine="420"/>
        <w:rPr>
          <w:rFonts w:ascii="宋体" w:hAnsi="宋体"/>
          <w:color w:val="auto"/>
          <w:szCs w:val="21"/>
        </w:rPr>
      </w:pPr>
      <w:r>
        <w:rPr>
          <w:rFonts w:hint="eastAsia" w:hAnsi="宋体"/>
          <w:color w:val="auto"/>
        </w:rPr>
        <w:t>2.本合同未尽事宜，遵照《中华人民共和国民法典合同编》有关条文执行。</w:t>
      </w:r>
    </w:p>
    <w:p>
      <w:pPr>
        <w:snapToGrid w:val="0"/>
        <w:spacing w:line="440" w:lineRule="exact"/>
        <w:rPr>
          <w:rFonts w:ascii="宋体" w:hAnsi="宋体"/>
          <w:b/>
          <w:color w:val="auto"/>
          <w:szCs w:val="21"/>
        </w:rPr>
      </w:pPr>
      <w:r>
        <w:rPr>
          <w:rFonts w:hint="eastAsia" w:ascii="宋体" w:hAnsi="宋体"/>
          <w:b/>
          <w:color w:val="auto"/>
          <w:szCs w:val="21"/>
        </w:rPr>
        <w:t>第十</w:t>
      </w:r>
      <w:r>
        <w:rPr>
          <w:rFonts w:hint="eastAsia" w:hAnsi="宋体"/>
          <w:b/>
          <w:color w:val="auto"/>
        </w:rPr>
        <w:t>四</w:t>
      </w:r>
      <w:r>
        <w:rPr>
          <w:rFonts w:hint="eastAsia" w:ascii="宋体" w:hAnsi="宋体"/>
          <w:b/>
          <w:color w:val="auto"/>
          <w:szCs w:val="21"/>
        </w:rPr>
        <w:t>条　合同的变更、终止与转让</w:t>
      </w:r>
    </w:p>
    <w:p>
      <w:pPr>
        <w:snapToGrid w:val="0"/>
        <w:spacing w:line="440" w:lineRule="exact"/>
        <w:ind w:firstLine="420"/>
        <w:rPr>
          <w:rFonts w:ascii="宋体" w:hAnsi="宋体"/>
          <w:color w:val="auto"/>
          <w:szCs w:val="21"/>
        </w:rPr>
      </w:pPr>
      <w:r>
        <w:rPr>
          <w:rFonts w:hint="eastAsia" w:ascii="宋体" w:hAnsi="宋体"/>
          <w:color w:val="auto"/>
          <w:szCs w:val="21"/>
        </w:rPr>
        <w:t>1.除《中华人民共和国政府采购法》第五十条规定的情形外，本合同一经签订，甲乙双方不得擅自变更、中止或终止。</w:t>
      </w:r>
    </w:p>
    <w:p>
      <w:pPr>
        <w:pStyle w:val="22"/>
        <w:snapToGrid w:val="0"/>
        <w:spacing w:before="120" w:after="120" w:line="440" w:lineRule="exact"/>
        <w:ind w:firstLine="411" w:firstLineChars="196"/>
        <w:rPr>
          <w:rFonts w:hAnsi="宋体"/>
          <w:b/>
          <w:color w:val="auto"/>
        </w:rPr>
      </w:pPr>
      <w:r>
        <w:rPr>
          <w:rFonts w:hint="eastAsia" w:hAnsi="宋体"/>
          <w:color w:val="auto"/>
        </w:rPr>
        <w:t>2.乙方不得擅自转让（无进口资格的供应商委托进口货物除外）其应履行的合同义务。</w:t>
      </w:r>
    </w:p>
    <w:p>
      <w:pPr>
        <w:snapToGrid w:val="0"/>
        <w:spacing w:line="440" w:lineRule="exact"/>
        <w:rPr>
          <w:rFonts w:ascii="宋体" w:hAnsi="宋体"/>
          <w:b/>
          <w:color w:val="auto"/>
          <w:szCs w:val="21"/>
        </w:rPr>
      </w:pPr>
      <w:r>
        <w:rPr>
          <w:rFonts w:hint="eastAsia" w:ascii="宋体" w:hAnsi="宋体"/>
          <w:b/>
          <w:color w:val="auto"/>
          <w:szCs w:val="21"/>
        </w:rPr>
        <w:t>第十</w:t>
      </w:r>
      <w:r>
        <w:rPr>
          <w:rFonts w:hint="eastAsia" w:hAnsi="宋体"/>
          <w:b/>
          <w:color w:val="auto"/>
        </w:rPr>
        <w:t>五</w:t>
      </w:r>
      <w:r>
        <w:rPr>
          <w:rFonts w:hint="eastAsia" w:ascii="宋体" w:hAnsi="宋体"/>
          <w:b/>
          <w:color w:val="auto"/>
          <w:szCs w:val="21"/>
        </w:rPr>
        <w:t>条　签订本合同依据</w:t>
      </w:r>
    </w:p>
    <w:p>
      <w:pPr>
        <w:snapToGrid w:val="0"/>
        <w:spacing w:line="440" w:lineRule="exact"/>
        <w:ind w:firstLine="420"/>
        <w:rPr>
          <w:rFonts w:ascii="宋体" w:hAnsi="宋体"/>
          <w:color w:val="auto"/>
          <w:szCs w:val="21"/>
        </w:rPr>
      </w:pPr>
      <w:r>
        <w:rPr>
          <w:rFonts w:hint="eastAsia" w:ascii="宋体" w:hAnsi="宋体"/>
          <w:color w:val="auto"/>
          <w:szCs w:val="21"/>
        </w:rPr>
        <w:t>1.招标/采购文件；</w:t>
      </w:r>
    </w:p>
    <w:p>
      <w:pPr>
        <w:snapToGrid w:val="0"/>
        <w:spacing w:line="440" w:lineRule="exact"/>
        <w:ind w:firstLine="420"/>
        <w:rPr>
          <w:rFonts w:ascii="宋体" w:hAnsi="宋体"/>
          <w:color w:val="auto"/>
          <w:szCs w:val="21"/>
        </w:rPr>
      </w:pPr>
      <w:r>
        <w:rPr>
          <w:rFonts w:hint="eastAsia" w:ascii="宋体" w:hAnsi="宋体"/>
          <w:color w:val="auto"/>
          <w:szCs w:val="21"/>
        </w:rPr>
        <w:t>2.中标/成交人投标/响应文件；</w:t>
      </w:r>
    </w:p>
    <w:p>
      <w:pPr>
        <w:snapToGrid w:val="0"/>
        <w:spacing w:line="440" w:lineRule="exact"/>
        <w:ind w:firstLine="420"/>
        <w:rPr>
          <w:rFonts w:ascii="宋体" w:hAnsi="宋体"/>
          <w:color w:val="auto"/>
          <w:szCs w:val="21"/>
        </w:rPr>
      </w:pPr>
      <w:r>
        <w:rPr>
          <w:rFonts w:hint="eastAsia" w:ascii="宋体" w:hAnsi="宋体"/>
          <w:color w:val="auto"/>
          <w:szCs w:val="21"/>
        </w:rPr>
        <w:t>3.中标/成交通知书。</w:t>
      </w:r>
    </w:p>
    <w:p>
      <w:pPr>
        <w:snapToGrid w:val="0"/>
        <w:spacing w:line="440" w:lineRule="exact"/>
        <w:rPr>
          <w:rFonts w:ascii="宋体" w:hAnsi="宋体"/>
          <w:color w:val="auto"/>
          <w:szCs w:val="21"/>
        </w:rPr>
      </w:pPr>
      <w:r>
        <w:rPr>
          <w:rFonts w:hint="eastAsia" w:ascii="宋体" w:hAnsi="宋体"/>
          <w:b/>
          <w:color w:val="auto"/>
          <w:szCs w:val="21"/>
        </w:rPr>
        <w:t>第十</w:t>
      </w:r>
      <w:r>
        <w:rPr>
          <w:rFonts w:hint="eastAsia" w:hAnsi="宋体"/>
          <w:b/>
          <w:color w:val="auto"/>
        </w:rPr>
        <w:t>六</w:t>
      </w:r>
      <w:r>
        <w:rPr>
          <w:rFonts w:hint="eastAsia" w:ascii="宋体" w:hAnsi="宋体"/>
          <w:b/>
          <w:color w:val="auto"/>
          <w:szCs w:val="21"/>
        </w:rPr>
        <w:t>条　</w:t>
      </w:r>
      <w:r>
        <w:rPr>
          <w:rFonts w:hint="eastAsia" w:ascii="宋体" w:hAnsi="宋体"/>
          <w:color w:val="auto"/>
          <w:szCs w:val="21"/>
        </w:rPr>
        <w:t>本合同一式叁份，具有同等法律效力，甲乙双方各一份、钦州市政府采购中心各一份（可根据需要另增加）。</w:t>
      </w:r>
    </w:p>
    <w:p>
      <w:pPr>
        <w:rPr>
          <w:color w:val="auto"/>
        </w:rPr>
      </w:pPr>
      <w:r>
        <w:rPr>
          <w:color w:val="auto"/>
        </w:rPr>
        <w:br w:type="page"/>
      </w:r>
    </w:p>
    <w:p>
      <w:pPr>
        <w:rPr>
          <w:color w:val="auto"/>
        </w:rPr>
      </w:pPr>
    </w:p>
    <w:tbl>
      <w:tblPr>
        <w:tblStyle w:val="36"/>
        <w:tblpPr w:leftFromText="180" w:rightFromText="180" w:vertAnchor="page" w:horzAnchor="margin" w:tblpY="16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szCs w:val="21"/>
              </w:rPr>
            </w:pPr>
            <w:r>
              <w:rPr>
                <w:rFonts w:hint="eastAsia" w:ascii="宋体" w:hAnsi="宋体"/>
                <w:color w:val="auto"/>
                <w:szCs w:val="21"/>
              </w:rPr>
              <w:t>甲方（盖章）</w:t>
            </w:r>
          </w:p>
          <w:p>
            <w:pPr>
              <w:snapToGrid w:val="0"/>
              <w:spacing w:line="320" w:lineRule="exact"/>
              <w:jc w:val="right"/>
              <w:rPr>
                <w:rFonts w:ascii="宋体" w:hAnsi="宋体"/>
                <w:color w:val="auto"/>
                <w:szCs w:val="21"/>
              </w:rPr>
            </w:pPr>
          </w:p>
          <w:p>
            <w:pPr>
              <w:snapToGrid w:val="0"/>
              <w:spacing w:line="320" w:lineRule="exact"/>
              <w:jc w:val="right"/>
              <w:rPr>
                <w:rFonts w:ascii="宋体" w:hAnsi="宋体"/>
                <w:color w:val="auto"/>
                <w:szCs w:val="21"/>
              </w:rPr>
            </w:pPr>
            <w:r>
              <w:rPr>
                <w:rFonts w:hint="eastAsia" w:ascii="宋体" w:hAnsi="宋体"/>
                <w:color w:val="auto"/>
                <w:szCs w:val="21"/>
              </w:rPr>
              <w:t>年   月   日</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35" w:firstLineChars="17"/>
              <w:rPr>
                <w:rFonts w:ascii="宋体" w:hAnsi="宋体"/>
                <w:color w:val="auto"/>
                <w:szCs w:val="21"/>
              </w:rPr>
            </w:pPr>
            <w:r>
              <w:rPr>
                <w:rFonts w:hint="eastAsia" w:ascii="宋体" w:hAnsi="宋体"/>
                <w:color w:val="auto"/>
                <w:szCs w:val="21"/>
              </w:rPr>
              <w:t>乙方（盖章）</w:t>
            </w:r>
          </w:p>
          <w:p>
            <w:pPr>
              <w:snapToGrid w:val="0"/>
              <w:spacing w:line="320" w:lineRule="exact"/>
              <w:ind w:firstLine="35" w:firstLineChars="17"/>
              <w:jc w:val="right"/>
              <w:rPr>
                <w:rFonts w:ascii="宋体" w:hAnsi="宋体"/>
                <w:color w:val="auto"/>
                <w:szCs w:val="21"/>
              </w:rPr>
            </w:pPr>
            <w:r>
              <w:rPr>
                <w:rFonts w:hint="eastAsia" w:ascii="宋体" w:hAnsi="宋体"/>
                <w:color w:val="auto"/>
                <w:szCs w:val="21"/>
              </w:rPr>
              <w:t xml:space="preserve"> </w:t>
            </w:r>
          </w:p>
          <w:p>
            <w:pPr>
              <w:snapToGrid w:val="0"/>
              <w:spacing w:line="320" w:lineRule="exact"/>
              <w:ind w:firstLine="35" w:firstLineChars="17"/>
              <w:jc w:val="right"/>
              <w:rPr>
                <w:rFonts w:ascii="宋体" w:hAnsi="宋体"/>
                <w:color w:val="auto"/>
                <w:szCs w:val="21"/>
              </w:rPr>
            </w:pPr>
            <w:r>
              <w:rPr>
                <w:rFonts w:hint="eastAsia" w:ascii="宋体" w:hAnsi="宋体"/>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rPr>
            </w:pPr>
            <w:r>
              <w:rPr>
                <w:rFonts w:hint="eastAsia" w:ascii="宋体" w:hAnsi="宋体"/>
                <w:color w:val="auto"/>
                <w:szCs w:val="21"/>
              </w:rPr>
              <w:t>单位地址：</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35" w:firstLineChars="17"/>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rPr>
            </w:pPr>
            <w:r>
              <w:rPr>
                <w:rFonts w:hint="eastAsia" w:ascii="宋体" w:hAnsi="宋体"/>
                <w:color w:val="auto"/>
                <w:szCs w:val="21"/>
              </w:rPr>
              <w:t>法定代表人(负责人)：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35" w:firstLineChars="17"/>
              <w:rPr>
                <w:rFonts w:ascii="宋体" w:hAnsi="宋体"/>
                <w:color w:val="auto"/>
                <w:szCs w:val="21"/>
              </w:rPr>
            </w:pPr>
            <w:r>
              <w:rPr>
                <w:rFonts w:hint="eastAsia" w:ascii="宋体" w:hAnsi="宋体"/>
                <w:color w:val="auto"/>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rPr>
            </w:pPr>
            <w:r>
              <w:rPr>
                <w:rFonts w:hint="eastAsia" w:ascii="宋体" w:hAnsi="宋体"/>
                <w:color w:val="auto"/>
                <w:szCs w:val="21"/>
              </w:rPr>
              <w:t>委托代理人：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35" w:firstLineChars="17"/>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rPr>
            </w:pPr>
            <w:r>
              <w:rPr>
                <w:rFonts w:hint="eastAsia" w:ascii="宋体" w:hAnsi="宋体"/>
                <w:color w:val="auto"/>
                <w:szCs w:val="21"/>
              </w:rPr>
              <w:t>电话：</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35" w:firstLineChars="17"/>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rPr>
            </w:pPr>
            <w:r>
              <w:rPr>
                <w:rFonts w:hint="eastAsia" w:ascii="宋体" w:hAnsi="宋体"/>
                <w:color w:val="auto"/>
                <w:szCs w:val="21"/>
              </w:rPr>
              <w:t>电子邮箱：</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35" w:firstLineChars="17"/>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rPr>
            </w:pPr>
            <w:r>
              <w:rPr>
                <w:rFonts w:hint="eastAsia" w:ascii="宋体" w:hAnsi="宋体"/>
                <w:color w:val="auto"/>
                <w:szCs w:val="21"/>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35" w:firstLineChars="17"/>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rPr>
            </w:pPr>
            <w:r>
              <w:rPr>
                <w:rFonts w:hint="eastAsia" w:ascii="宋体" w:hAnsi="宋体"/>
                <w:color w:val="auto"/>
                <w:szCs w:val="21"/>
              </w:rPr>
              <w:t>账号：</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35" w:firstLineChars="17"/>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rPr>
            </w:pPr>
            <w:r>
              <w:rPr>
                <w:rFonts w:hint="eastAsia" w:ascii="宋体" w:hAnsi="宋体"/>
                <w:color w:val="auto"/>
                <w:szCs w:val="21"/>
              </w:rPr>
              <w:t>邮政编码：</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35" w:firstLineChars="17"/>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464" w:type="dxa"/>
            <w:gridSpan w:val="2"/>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rPr>
            </w:pPr>
            <w:r>
              <w:rPr>
                <w:rFonts w:hint="eastAsia" w:ascii="宋体" w:hAnsi="宋体"/>
                <w:color w:val="auto"/>
                <w:szCs w:val="21"/>
              </w:rPr>
              <w:t>经办人：</w:t>
            </w:r>
          </w:p>
        </w:tc>
      </w:tr>
    </w:tbl>
    <w:p>
      <w:pPr>
        <w:widowControl/>
        <w:jc w:val="left"/>
        <w:rPr>
          <w:rFonts w:ascii="宋体" w:hAnsi="宋体"/>
          <w:color w:val="auto"/>
          <w:kern w:val="0"/>
          <w:szCs w:val="21"/>
        </w:rPr>
      </w:pPr>
    </w:p>
    <w:p>
      <w:pPr>
        <w:widowControl/>
        <w:jc w:val="left"/>
        <w:rPr>
          <w:rFonts w:ascii="宋体" w:hAnsi="宋体"/>
          <w:color w:val="auto"/>
          <w:kern w:val="0"/>
          <w:szCs w:val="21"/>
        </w:rPr>
      </w:pPr>
      <w:r>
        <w:rPr>
          <w:rFonts w:ascii="宋体" w:hAnsi="宋体"/>
          <w:color w:val="auto"/>
          <w:kern w:val="0"/>
          <w:szCs w:val="21"/>
        </w:rPr>
        <w:br w:type="page"/>
      </w:r>
    </w:p>
    <w:p>
      <w:pPr>
        <w:widowControl/>
        <w:spacing w:line="360" w:lineRule="auto"/>
        <w:ind w:firstLine="562"/>
        <w:jc w:val="center"/>
        <w:rPr>
          <w:rFonts w:ascii="宋体" w:hAnsi="宋体"/>
          <w:b/>
          <w:bCs/>
          <w:color w:val="auto"/>
          <w:kern w:val="0"/>
          <w:sz w:val="28"/>
          <w:szCs w:val="28"/>
        </w:rPr>
      </w:pPr>
      <w:r>
        <w:rPr>
          <w:rFonts w:hint="eastAsia" w:ascii="宋体" w:hAnsi="宋体"/>
          <w:b/>
          <w:bCs/>
          <w:color w:val="auto"/>
          <w:kern w:val="0"/>
          <w:sz w:val="28"/>
          <w:szCs w:val="28"/>
        </w:rPr>
        <w:t>合 同 附 件</w:t>
      </w:r>
    </w:p>
    <w:tbl>
      <w:tblPr>
        <w:tblStyle w:val="36"/>
        <w:tblW w:w="0" w:type="auto"/>
        <w:jc w:val="center"/>
        <w:tblLayout w:type="fixed"/>
        <w:tblCellMar>
          <w:top w:w="0" w:type="dxa"/>
          <w:left w:w="108" w:type="dxa"/>
          <w:bottom w:w="0" w:type="dxa"/>
          <w:right w:w="108" w:type="dxa"/>
        </w:tblCellMar>
      </w:tblPr>
      <w:tblGrid>
        <w:gridCol w:w="4640"/>
        <w:gridCol w:w="4720"/>
      </w:tblGrid>
      <w:tr>
        <w:tblPrEx>
          <w:tblCellMar>
            <w:top w:w="0" w:type="dxa"/>
            <w:left w:w="108" w:type="dxa"/>
            <w:bottom w:w="0" w:type="dxa"/>
            <w:right w:w="108" w:type="dxa"/>
          </w:tblCellMar>
        </w:tblPrEx>
        <w:trPr>
          <w:trHeight w:val="1701" w:hRule="atLeast"/>
          <w:jc w:val="center"/>
        </w:trPr>
        <w:tc>
          <w:tcPr>
            <w:tcW w:w="9360" w:type="dxa"/>
            <w:gridSpan w:val="2"/>
            <w:tcBorders>
              <w:top w:val="single" w:color="000000" w:sz="4" w:space="0"/>
              <w:left w:val="single" w:color="000000" w:sz="4" w:space="0"/>
              <w:bottom w:val="nil"/>
              <w:right w:val="single" w:color="000000" w:sz="4" w:space="0"/>
            </w:tcBorders>
          </w:tcPr>
          <w:p>
            <w:pPr>
              <w:widowControl/>
              <w:rPr>
                <w:rFonts w:ascii="宋体" w:hAnsi="宋体"/>
                <w:color w:val="auto"/>
                <w:kern w:val="0"/>
                <w:szCs w:val="21"/>
              </w:rPr>
            </w:pPr>
            <w:r>
              <w:rPr>
                <w:rFonts w:hint="eastAsia" w:ascii="宋体" w:hAnsi="宋体"/>
                <w:color w:val="auto"/>
                <w:kern w:val="0"/>
                <w:szCs w:val="21"/>
              </w:rPr>
              <w:t>1.供应商承诺具体事项：</w:t>
            </w:r>
          </w:p>
        </w:tc>
      </w:tr>
      <w:tr>
        <w:tblPrEx>
          <w:tblCellMar>
            <w:top w:w="0" w:type="dxa"/>
            <w:left w:w="108" w:type="dxa"/>
            <w:bottom w:w="0" w:type="dxa"/>
            <w:right w:w="108" w:type="dxa"/>
          </w:tblCellMar>
        </w:tblPrEx>
        <w:trPr>
          <w:trHeight w:val="1701" w:hRule="atLeast"/>
          <w:jc w:val="center"/>
        </w:trPr>
        <w:tc>
          <w:tcPr>
            <w:tcW w:w="9360" w:type="dxa"/>
            <w:gridSpan w:val="2"/>
            <w:tcBorders>
              <w:top w:val="single" w:color="000000" w:sz="4" w:space="0"/>
              <w:left w:val="single" w:color="000000" w:sz="4" w:space="0"/>
              <w:bottom w:val="nil"/>
              <w:right w:val="single" w:color="000000" w:sz="4" w:space="0"/>
            </w:tcBorders>
          </w:tcPr>
          <w:p>
            <w:pPr>
              <w:widowControl/>
              <w:rPr>
                <w:rFonts w:ascii="宋体" w:hAnsi="宋体"/>
                <w:color w:val="auto"/>
                <w:kern w:val="0"/>
                <w:szCs w:val="21"/>
              </w:rPr>
            </w:pPr>
            <w:r>
              <w:rPr>
                <w:rFonts w:hint="eastAsia" w:ascii="宋体" w:hAnsi="宋体"/>
                <w:color w:val="auto"/>
                <w:kern w:val="0"/>
                <w:szCs w:val="21"/>
              </w:rPr>
              <w:t>2.售后服务具体事项：</w:t>
            </w:r>
          </w:p>
        </w:tc>
      </w:tr>
      <w:tr>
        <w:tblPrEx>
          <w:tblCellMar>
            <w:top w:w="0" w:type="dxa"/>
            <w:left w:w="108" w:type="dxa"/>
            <w:bottom w:w="0" w:type="dxa"/>
            <w:right w:w="108" w:type="dxa"/>
          </w:tblCellMar>
        </w:tblPrEx>
        <w:trPr>
          <w:trHeight w:val="1701" w:hRule="atLeast"/>
          <w:jc w:val="center"/>
        </w:trPr>
        <w:tc>
          <w:tcPr>
            <w:tcW w:w="9360" w:type="dxa"/>
            <w:gridSpan w:val="2"/>
            <w:tcBorders>
              <w:top w:val="single" w:color="000000" w:sz="4" w:space="0"/>
              <w:left w:val="single" w:color="000000" w:sz="4" w:space="0"/>
              <w:bottom w:val="nil"/>
              <w:right w:val="single" w:color="000000" w:sz="4" w:space="0"/>
            </w:tcBorders>
          </w:tcPr>
          <w:p>
            <w:pPr>
              <w:widowControl/>
              <w:rPr>
                <w:rFonts w:ascii="宋体" w:hAnsi="宋体"/>
                <w:color w:val="auto"/>
                <w:kern w:val="0"/>
                <w:szCs w:val="21"/>
              </w:rPr>
            </w:pPr>
            <w:r>
              <w:rPr>
                <w:rFonts w:hint="eastAsia" w:ascii="宋体" w:hAnsi="宋体"/>
                <w:color w:val="auto"/>
                <w:kern w:val="0"/>
                <w:szCs w:val="21"/>
              </w:rPr>
              <w:t>3.保修期责任：</w:t>
            </w:r>
          </w:p>
        </w:tc>
      </w:tr>
      <w:tr>
        <w:tblPrEx>
          <w:tblCellMar>
            <w:top w:w="0" w:type="dxa"/>
            <w:left w:w="108" w:type="dxa"/>
            <w:bottom w:w="0" w:type="dxa"/>
            <w:right w:w="108" w:type="dxa"/>
          </w:tblCellMar>
        </w:tblPrEx>
        <w:trPr>
          <w:trHeight w:val="1701" w:hRule="atLeast"/>
          <w:jc w:val="center"/>
        </w:trPr>
        <w:tc>
          <w:tcPr>
            <w:tcW w:w="9360" w:type="dxa"/>
            <w:gridSpan w:val="2"/>
            <w:tcBorders>
              <w:top w:val="single" w:color="000000" w:sz="4" w:space="0"/>
              <w:left w:val="single" w:color="000000" w:sz="4" w:space="0"/>
              <w:bottom w:val="nil"/>
              <w:right w:val="single" w:color="000000" w:sz="4" w:space="0"/>
            </w:tcBorders>
          </w:tcPr>
          <w:p>
            <w:pPr>
              <w:widowControl/>
              <w:rPr>
                <w:rFonts w:ascii="宋体" w:hAnsi="宋体"/>
                <w:color w:val="auto"/>
                <w:kern w:val="0"/>
                <w:szCs w:val="21"/>
              </w:rPr>
            </w:pPr>
            <w:r>
              <w:rPr>
                <w:rFonts w:hint="eastAsia" w:ascii="宋体" w:hAnsi="宋体"/>
                <w:color w:val="auto"/>
                <w:kern w:val="0"/>
                <w:szCs w:val="21"/>
              </w:rPr>
              <w:t>4.其他具体事项：</w:t>
            </w:r>
          </w:p>
        </w:tc>
      </w:tr>
      <w:tr>
        <w:tblPrEx>
          <w:tblCellMar>
            <w:top w:w="0" w:type="dxa"/>
            <w:left w:w="108" w:type="dxa"/>
            <w:bottom w:w="0" w:type="dxa"/>
            <w:right w:w="108" w:type="dxa"/>
          </w:tblCellMar>
        </w:tblPrEx>
        <w:trPr>
          <w:trHeight w:val="2224" w:hRule="atLeast"/>
          <w:jc w:val="center"/>
        </w:trPr>
        <w:tc>
          <w:tcPr>
            <w:tcW w:w="4640" w:type="dxa"/>
            <w:tcBorders>
              <w:top w:val="single" w:color="000000" w:sz="4" w:space="0"/>
              <w:left w:val="single" w:color="000000" w:sz="4" w:space="0"/>
              <w:bottom w:val="single" w:color="000000" w:sz="4" w:space="0"/>
              <w:right w:val="single" w:color="000000" w:sz="4" w:space="0"/>
            </w:tcBorders>
          </w:tcPr>
          <w:p>
            <w:pPr>
              <w:widowControl/>
              <w:rPr>
                <w:rFonts w:ascii="宋体" w:hAnsi="宋体"/>
                <w:color w:val="auto"/>
                <w:kern w:val="0"/>
                <w:szCs w:val="21"/>
              </w:rPr>
            </w:pPr>
            <w:r>
              <w:rPr>
                <w:rFonts w:hint="eastAsia" w:ascii="宋体" w:hAnsi="宋体"/>
                <w:color w:val="auto"/>
                <w:kern w:val="0"/>
                <w:szCs w:val="21"/>
              </w:rPr>
              <w:t>甲方（章）</w:t>
            </w:r>
          </w:p>
          <w:p>
            <w:pPr>
              <w:widowControl/>
              <w:rPr>
                <w:rFonts w:ascii="宋体" w:hAnsi="宋体"/>
                <w:color w:val="auto"/>
                <w:kern w:val="0"/>
                <w:szCs w:val="21"/>
              </w:rPr>
            </w:pPr>
          </w:p>
          <w:p>
            <w:pPr>
              <w:widowControl/>
              <w:rPr>
                <w:rFonts w:ascii="宋体" w:hAnsi="宋体"/>
                <w:color w:val="auto"/>
                <w:kern w:val="0"/>
                <w:szCs w:val="21"/>
              </w:rPr>
            </w:pPr>
          </w:p>
          <w:p>
            <w:pPr>
              <w:widowControl/>
              <w:rPr>
                <w:rFonts w:ascii="宋体" w:hAnsi="宋体"/>
                <w:color w:val="auto"/>
                <w:kern w:val="0"/>
                <w:szCs w:val="21"/>
              </w:rPr>
            </w:pPr>
          </w:p>
          <w:p>
            <w:pPr>
              <w:widowControl/>
              <w:ind w:left="1800"/>
              <w:rPr>
                <w:rFonts w:ascii="宋体" w:hAnsi="宋体"/>
                <w:color w:val="auto"/>
                <w:kern w:val="0"/>
                <w:szCs w:val="21"/>
              </w:rPr>
            </w:pP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年   月   日</w:t>
            </w:r>
          </w:p>
        </w:tc>
        <w:tc>
          <w:tcPr>
            <w:tcW w:w="4720" w:type="dxa"/>
            <w:tcBorders>
              <w:top w:val="single" w:color="000000" w:sz="4" w:space="0"/>
              <w:left w:val="nil"/>
              <w:bottom w:val="single" w:color="000000" w:sz="4" w:space="0"/>
              <w:right w:val="single" w:color="000000" w:sz="4" w:space="0"/>
            </w:tcBorders>
          </w:tcPr>
          <w:p>
            <w:pPr>
              <w:widowControl/>
              <w:ind w:firstLine="27" w:firstLineChars="13"/>
              <w:rPr>
                <w:rFonts w:ascii="宋体" w:hAnsi="宋体"/>
                <w:color w:val="auto"/>
                <w:kern w:val="0"/>
                <w:szCs w:val="21"/>
              </w:rPr>
            </w:pPr>
            <w:r>
              <w:rPr>
                <w:rFonts w:hint="eastAsia" w:ascii="宋体" w:hAnsi="宋体"/>
                <w:color w:val="auto"/>
                <w:kern w:val="0"/>
                <w:szCs w:val="21"/>
              </w:rPr>
              <w:t>乙方（章）</w:t>
            </w:r>
          </w:p>
          <w:p>
            <w:pPr>
              <w:widowControl/>
              <w:ind w:firstLine="27" w:firstLineChars="13"/>
              <w:rPr>
                <w:rFonts w:ascii="宋体" w:hAnsi="宋体"/>
                <w:color w:val="auto"/>
                <w:kern w:val="0"/>
                <w:szCs w:val="21"/>
              </w:rPr>
            </w:pPr>
          </w:p>
          <w:p>
            <w:pPr>
              <w:widowControl/>
              <w:ind w:firstLine="27" w:firstLineChars="13"/>
              <w:rPr>
                <w:rFonts w:ascii="宋体" w:hAnsi="宋体"/>
                <w:color w:val="auto"/>
                <w:kern w:val="0"/>
                <w:szCs w:val="21"/>
              </w:rPr>
            </w:pPr>
          </w:p>
          <w:p>
            <w:pPr>
              <w:widowControl/>
              <w:ind w:firstLine="27" w:firstLineChars="13"/>
              <w:rPr>
                <w:rFonts w:ascii="宋体" w:hAnsi="宋体"/>
                <w:color w:val="auto"/>
                <w:kern w:val="0"/>
                <w:szCs w:val="21"/>
              </w:rPr>
            </w:pPr>
          </w:p>
          <w:p>
            <w:pPr>
              <w:widowControl/>
              <w:ind w:left="1800" w:firstLine="27" w:firstLineChars="13"/>
              <w:rPr>
                <w:rFonts w:ascii="宋体" w:hAnsi="宋体"/>
                <w:color w:val="auto"/>
                <w:kern w:val="0"/>
                <w:szCs w:val="21"/>
              </w:rPr>
            </w:pP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 xml:space="preserve"> 年   月   日</w:t>
            </w:r>
          </w:p>
        </w:tc>
      </w:tr>
    </w:tbl>
    <w:p>
      <w:pPr>
        <w:widowControl/>
        <w:ind w:firstLine="210" w:firstLineChars="100"/>
        <w:rPr>
          <w:rFonts w:ascii="宋体" w:hAnsi="宋体"/>
          <w:color w:val="auto"/>
          <w:kern w:val="0"/>
          <w:szCs w:val="21"/>
        </w:rPr>
      </w:pPr>
      <w:r>
        <w:rPr>
          <w:rFonts w:hint="eastAsia" w:ascii="宋体" w:hAnsi="宋体"/>
          <w:color w:val="auto"/>
          <w:kern w:val="0"/>
          <w:szCs w:val="21"/>
        </w:rPr>
        <w:t>注：售后服务事项填不下时可另加附页</w:t>
      </w:r>
    </w:p>
    <w:p>
      <w:pPr>
        <w:widowControl/>
        <w:jc w:val="left"/>
        <w:rPr>
          <w:rFonts w:hint="eastAsia" w:ascii="宋体" w:hAnsi="宋体"/>
          <w:bCs/>
          <w:color w:val="auto"/>
          <w:szCs w:val="21"/>
          <w:highlight w:val="none"/>
        </w:rPr>
      </w:pPr>
      <w:r>
        <w:rPr>
          <w:color w:val="auto"/>
        </w:rPr>
        <w:br w:type="page"/>
      </w:r>
    </w:p>
    <w:p>
      <w:pPr>
        <w:widowControl/>
        <w:jc w:val="left"/>
        <w:rPr>
          <w:rFonts w:hint="eastAsia" w:ascii="宋体" w:hAnsi="宋体"/>
          <w:bCs/>
          <w:color w:val="auto"/>
          <w:szCs w:val="21"/>
          <w:highlight w:val="none"/>
        </w:rPr>
      </w:pPr>
    </w:p>
    <w:p>
      <w:pPr>
        <w:widowControl/>
        <w:jc w:val="left"/>
        <w:rPr>
          <w:rFonts w:hint="eastAsia" w:ascii="宋体" w:hAnsi="宋体"/>
          <w:bCs/>
          <w:color w:val="auto"/>
          <w:szCs w:val="21"/>
          <w:highlight w:val="none"/>
        </w:rPr>
      </w:pPr>
    </w:p>
    <w:p>
      <w:pPr>
        <w:rPr>
          <w:color w:val="auto"/>
          <w:highlight w:val="none"/>
        </w:rPr>
      </w:pPr>
    </w:p>
    <w:p>
      <w:pPr>
        <w:pStyle w:val="22"/>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方正小标宋_GBK" w:eastAsia="方正小标宋_GBK"/>
          <w:color w:val="auto"/>
          <w:highlight w:val="none"/>
        </w:rPr>
      </w:pPr>
      <w:bookmarkStart w:id="139" w:name="_Toc92355028"/>
      <w:bookmarkStart w:id="140" w:name="_Toc397585460"/>
      <w:r>
        <w:rPr>
          <w:rFonts w:hint="eastAsia" w:ascii="方正小标宋_GBK" w:hAnsi="方正小标宋_GBK" w:eastAsia="方正小标宋_GBK"/>
          <w:color w:val="auto"/>
          <w:highlight w:val="none"/>
        </w:rPr>
        <w:t>第六章  响应文件格式</w:t>
      </w:r>
      <w:bookmarkEnd w:id="139"/>
      <w:bookmarkEnd w:id="140"/>
    </w:p>
    <w:p>
      <w:pPr>
        <w:jc w:val="left"/>
        <w:rPr>
          <w:rFonts w:hint="eastAsia" w:hAnsi="宋体"/>
          <w:color w:val="auto"/>
          <w:sz w:val="36"/>
          <w:szCs w:val="36"/>
          <w:highlight w:val="none"/>
        </w:rPr>
      </w:pPr>
      <w:r>
        <w:rPr>
          <w:b/>
          <w:color w:val="auto"/>
          <w:sz w:val="30"/>
          <w:szCs w:val="30"/>
          <w:highlight w:val="none"/>
        </w:rPr>
        <w:br w:type="page"/>
      </w:r>
      <w:r>
        <w:rPr>
          <w:rFonts w:hint="eastAsia" w:ascii="仿宋_GB2312"/>
          <w:b/>
          <w:bCs/>
          <w:color w:val="auto"/>
          <w:sz w:val="36"/>
          <w:szCs w:val="36"/>
          <w:highlight w:val="none"/>
        </w:rPr>
        <w:t>一、供应商资格文件</w:t>
      </w:r>
    </w:p>
    <w:p>
      <w:pPr>
        <w:tabs>
          <w:tab w:val="left" w:pos="3402"/>
        </w:tabs>
        <w:rPr>
          <w:rFonts w:hint="eastAsia" w:ascii="仿宋_GB2312" w:hAnsi="仿宋" w:eastAsia="仿宋_GB2312"/>
          <w:b/>
          <w:color w:val="auto"/>
          <w:spacing w:val="10"/>
          <w:szCs w:val="21"/>
          <w:highlight w:val="none"/>
        </w:rPr>
      </w:pPr>
      <w:bookmarkStart w:id="141" w:name="_Hlk108530892"/>
    </w:p>
    <w:p>
      <w:pPr>
        <w:tabs>
          <w:tab w:val="left" w:pos="3402"/>
        </w:tabs>
        <w:ind w:firstLine="602"/>
        <w:jc w:val="center"/>
        <w:rPr>
          <w:rFonts w:hint="eastAsia" w:ascii="仿宋_GB2312" w:hAnsi="Adobe 仿宋 Std R" w:eastAsia="仿宋_GB2312"/>
          <w:b/>
          <w:color w:val="auto"/>
          <w:spacing w:val="10"/>
          <w:sz w:val="32"/>
          <w:szCs w:val="32"/>
          <w:highlight w:val="none"/>
        </w:rPr>
      </w:pPr>
      <w:bookmarkStart w:id="142" w:name="_Hlk147761258"/>
      <w:r>
        <w:rPr>
          <w:rFonts w:hint="eastAsia" w:ascii="仿宋_GB2312" w:hAnsi="Adobe 仿宋 Std R" w:eastAsia="仿宋_GB2312"/>
          <w:b/>
          <w:color w:val="auto"/>
          <w:spacing w:val="10"/>
          <w:sz w:val="32"/>
          <w:szCs w:val="32"/>
          <w:highlight w:val="none"/>
        </w:rPr>
        <w:t>供应商具备参加政府采购活动条件的承诺书</w:t>
      </w:r>
      <w:bookmarkEnd w:id="142"/>
      <w:r>
        <w:rPr>
          <w:rFonts w:hint="eastAsia" w:ascii="仿宋_GB2312" w:hAnsi="Adobe 仿宋 Std R" w:eastAsia="仿宋_GB2312" w:cs="黑体"/>
          <w:bCs/>
          <w:color w:val="auto"/>
          <w:sz w:val="24"/>
          <w:highlight w:val="none"/>
        </w:rPr>
        <w:t>(格式)</w:t>
      </w:r>
    </w:p>
    <w:p>
      <w:pPr>
        <w:tabs>
          <w:tab w:val="left" w:pos="3402"/>
        </w:tabs>
        <w:jc w:val="left"/>
        <w:rPr>
          <w:rFonts w:hint="eastAsia" w:ascii="仿宋_GB2312" w:hAnsi="仿宋" w:eastAsia="仿宋_GB2312"/>
          <w:b/>
          <w:color w:val="auto"/>
          <w:spacing w:val="10"/>
          <w:szCs w:val="21"/>
          <w:highlight w:val="none"/>
        </w:rPr>
      </w:pPr>
    </w:p>
    <w:p>
      <w:pPr>
        <w:spacing w:line="520" w:lineRule="exact"/>
        <w:rPr>
          <w:rFonts w:hint="eastAsia"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rPr>
          <w:rFonts w:hint="eastAsia"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供应商名称)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特此承诺。</w:t>
      </w:r>
    </w:p>
    <w:p>
      <w:pPr>
        <w:rPr>
          <w:color w:val="auto"/>
          <w:highlight w:val="none"/>
        </w:rPr>
      </w:pPr>
    </w:p>
    <w:p>
      <w:pPr>
        <w:rPr>
          <w:color w:val="auto"/>
          <w:highlight w:val="none"/>
        </w:rPr>
      </w:pPr>
    </w:p>
    <w:p>
      <w:pPr>
        <w:rPr>
          <w:color w:val="auto"/>
          <w:highlight w:val="none"/>
        </w:rPr>
      </w:pPr>
    </w:p>
    <w:p>
      <w:pPr>
        <w:spacing w:line="400" w:lineRule="exact"/>
        <w:ind w:right="1050" w:rightChars="500" w:firstLine="5103" w:firstLineChars="243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1050" w:rightChars="500"/>
        <w:jc w:val="righ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rPr>
          <w:color w:val="auto"/>
          <w:highlight w:val="none"/>
        </w:rPr>
      </w:pPr>
    </w:p>
    <w:p>
      <w:pPr>
        <w:pStyle w:val="5"/>
        <w:rPr>
          <w:color w:val="auto"/>
          <w:highlight w:val="none"/>
        </w:rPr>
      </w:pPr>
    </w:p>
    <w:p>
      <w:pPr>
        <w:tabs>
          <w:tab w:val="left" w:pos="3402"/>
        </w:tabs>
        <w:spacing w:line="460" w:lineRule="exact"/>
        <w:jc w:val="center"/>
        <w:rPr>
          <w:rFonts w:hint="eastAsia" w:ascii="仿宋_GB2312" w:hAnsi="仿宋" w:eastAsia="仿宋_GB2312"/>
          <w:b/>
          <w:color w:val="auto"/>
          <w:spacing w:val="10"/>
          <w:sz w:val="32"/>
          <w:szCs w:val="32"/>
          <w:highlight w:val="none"/>
        </w:rPr>
      </w:pPr>
      <w:r>
        <w:rPr>
          <w:rFonts w:hint="eastAsia" w:ascii="仿宋_GB2312" w:hAnsi="仿宋" w:eastAsia="仿宋_GB2312"/>
          <w:b/>
          <w:color w:val="auto"/>
          <w:spacing w:val="10"/>
          <w:sz w:val="32"/>
          <w:szCs w:val="32"/>
          <w:highlight w:val="none"/>
        </w:rPr>
        <w:t>无重大违法记录的书面声明</w:t>
      </w:r>
      <w:bookmarkStart w:id="143" w:name="_Hlk108528701"/>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bookmarkEnd w:id="143"/>
    </w:p>
    <w:p>
      <w:pPr>
        <w:spacing w:line="400" w:lineRule="exact"/>
        <w:rPr>
          <w:rFonts w:hint="eastAsia" w:ascii="宋体" w:hAnsi="宋体"/>
          <w:b/>
          <w:color w:val="auto"/>
          <w:highlight w:val="none"/>
        </w:rPr>
      </w:pPr>
    </w:p>
    <w:p>
      <w:pPr>
        <w:spacing w:line="520" w:lineRule="exact"/>
        <w:rPr>
          <w:rFonts w:hint="eastAsia" w:ascii="宋体" w:hAnsi="宋体"/>
          <w:bCs/>
          <w:color w:val="auto"/>
          <w:highlight w:val="none"/>
        </w:rPr>
      </w:pPr>
      <w:r>
        <w:rPr>
          <w:rFonts w:hint="eastAsia" w:ascii="宋体" w:hAnsi="宋体"/>
          <w:bCs/>
          <w:color w:val="auto"/>
          <w:highlight w:val="none"/>
        </w:rPr>
        <w:t>钦州市政府采购中心：</w:t>
      </w:r>
    </w:p>
    <w:p>
      <w:pPr>
        <w:spacing w:line="52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根据《中华人民共和国政府采购法实施条例》第十七条第一款第(四)项的规定，现郑重声明：</w:t>
      </w:r>
    </w:p>
    <w:p>
      <w:pPr>
        <w:spacing w:line="52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供应商名称)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52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spacing w:line="520" w:lineRule="exact"/>
        <w:ind w:firstLine="420"/>
        <w:rPr>
          <w:rFonts w:hint="eastAsia" w:ascii="宋体" w:hAnsi="宋体"/>
          <w:bCs/>
          <w:color w:val="auto"/>
          <w:highlight w:val="none"/>
        </w:rPr>
      </w:pPr>
      <w:r>
        <w:rPr>
          <w:rFonts w:hint="eastAsia" w:ascii="宋体" w:hAnsi="宋体"/>
          <w:bCs/>
          <w:color w:val="auto"/>
          <w:highlight w:val="none"/>
        </w:rPr>
        <w:t>特此声明。</w:t>
      </w:r>
    </w:p>
    <w:p>
      <w:pPr>
        <w:rPr>
          <w:color w:val="auto"/>
          <w:highlight w:val="none"/>
        </w:rPr>
      </w:pPr>
    </w:p>
    <w:p>
      <w:pPr>
        <w:rPr>
          <w:color w:val="auto"/>
          <w:highlight w:val="none"/>
        </w:rPr>
      </w:pPr>
    </w:p>
    <w:p>
      <w:pPr>
        <w:rPr>
          <w:color w:val="auto"/>
          <w:highlight w:val="none"/>
        </w:rPr>
      </w:pPr>
    </w:p>
    <w:p>
      <w:pPr>
        <w:spacing w:line="400" w:lineRule="exact"/>
        <w:ind w:right="1050" w:rightChars="500" w:firstLine="5810" w:firstLineChars="2767"/>
        <w:jc w:val="left"/>
        <w:rPr>
          <w:rFonts w:hint="eastAsia" w:ascii="宋体" w:hAnsi="宋体"/>
          <w:bCs/>
          <w:color w:val="auto"/>
          <w:highlight w:val="none"/>
        </w:rPr>
      </w:pPr>
      <w:bookmarkStart w:id="144" w:name="_Hlk112311442"/>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735" w:rightChars="350" w:firstLine="5810" w:firstLineChars="2767"/>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44"/>
      <w:r>
        <w:rPr>
          <w:color w:val="auto"/>
          <w:highlight w:val="none"/>
        </w:rPr>
        <w:br w:type="page"/>
      </w:r>
    </w:p>
    <w:p>
      <w:pPr>
        <w:rPr>
          <w:color w:val="auto"/>
          <w:highlight w:val="none"/>
        </w:rPr>
      </w:pPr>
    </w:p>
    <w:p>
      <w:pPr>
        <w:spacing w:line="440" w:lineRule="exact"/>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中小企业声明函</w:t>
      </w:r>
    </w:p>
    <w:p>
      <w:pPr>
        <w:spacing w:line="440" w:lineRule="exact"/>
        <w:jc w:val="left"/>
        <w:rPr>
          <w:rFonts w:hint="eastAsia" w:hAnsi="宋体"/>
          <w:bCs/>
          <w:color w:val="auto"/>
          <w:szCs w:val="21"/>
          <w:highlight w:val="none"/>
        </w:rPr>
      </w:pP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本公司郑重声明，根据《政府采购促进中小企业发展管理办法》</w:t>
      </w:r>
      <w:bookmarkStart w:id="145" w:name="_Hlk60836554"/>
      <w:r>
        <w:rPr>
          <w:rFonts w:hint="eastAsia" w:ascii="宋体" w:hAnsi="宋体"/>
          <w:bCs/>
          <w:color w:val="auto"/>
          <w:szCs w:val="21"/>
          <w:highlight w:val="none"/>
        </w:rPr>
        <w:t>（财库﹝2020﹞46号）</w:t>
      </w:r>
      <w:bookmarkEnd w:id="145"/>
      <w:r>
        <w:rPr>
          <w:rFonts w:hint="eastAsia" w:ascii="宋体" w:hAnsi="宋体"/>
          <w:bCs/>
          <w:color w:val="auto"/>
          <w:szCs w:val="21"/>
          <w:highlight w:val="none"/>
        </w:rPr>
        <w:t>的规定，本公司参加（</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）采购活动，</w:t>
      </w:r>
      <w:bookmarkStart w:id="146" w:name="_Hlk108682836"/>
      <w:r>
        <w:rPr>
          <w:rFonts w:hint="eastAsia" w:ascii="宋体" w:hAnsi="宋体"/>
          <w:bCs/>
          <w:color w:val="auto"/>
          <w:szCs w:val="21"/>
          <w:highlight w:val="none"/>
        </w:rPr>
        <w:t>服务全部由符合政策要求的中小企业承接</w:t>
      </w:r>
      <w:bookmarkEnd w:id="146"/>
      <w:r>
        <w:rPr>
          <w:rFonts w:hint="eastAsia" w:ascii="宋体" w:hAnsi="宋体"/>
          <w:bCs/>
          <w:color w:val="auto"/>
          <w:szCs w:val="21"/>
          <w:highlight w:val="none"/>
        </w:rPr>
        <w:t>。相关企业的具体情况如下：</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1.</w:t>
      </w:r>
      <w:bookmarkStart w:id="147"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147"/>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500" w:lineRule="exact"/>
        <w:ind w:right="451" w:rightChars="215" w:firstLine="3570" w:firstLineChars="1700"/>
        <w:jc w:val="center"/>
        <w:rPr>
          <w:rFonts w:hint="eastAsia" w:ascii="宋体" w:hAnsi="宋体"/>
          <w:bCs/>
          <w:color w:val="auto"/>
          <w:szCs w:val="21"/>
          <w:highlight w:val="none"/>
        </w:rPr>
      </w:pPr>
      <w:r>
        <w:rPr>
          <w:rFonts w:hint="eastAsia" w:ascii="宋体" w:hAnsi="宋体"/>
          <w:bCs/>
          <w:color w:val="auto"/>
          <w:szCs w:val="21"/>
          <w:highlight w:val="none"/>
        </w:rPr>
        <w:t>企业名称（盖章）：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spacing w:line="500" w:lineRule="exact"/>
        <w:ind w:right="309" w:rightChars="147" w:firstLine="5460" w:firstLineChars="2600"/>
        <w:rPr>
          <w:rFonts w:hint="eastAsia"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20" w:lineRule="exact"/>
        <w:jc w:val="left"/>
        <w:rPr>
          <w:rFonts w:hint="eastAsia" w:hAnsi="宋体"/>
          <w:bCs/>
          <w:color w:val="auto"/>
          <w:sz w:val="18"/>
          <w:szCs w:val="18"/>
          <w:highlight w:val="none"/>
        </w:rPr>
      </w:pPr>
      <w:bookmarkStart w:id="148" w:name="_Hlk82091879"/>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),从)</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),人)</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),员)</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),收)</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),资)</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),产)</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),总)</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),额)</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),填)</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),报)</w:instrText>
      </w:r>
      <w:r>
        <w:rPr>
          <w:rFonts w:hAnsi="宋体"/>
          <w:bCs/>
          <w:color w:val="auto"/>
          <w:sz w:val="18"/>
          <w:szCs w:val="18"/>
          <w:highlight w:val="none"/>
        </w:rPr>
        <w:fldChar w:fldCharType="end"/>
      </w:r>
      <w:bookmarkEnd w:id="148"/>
      <w:r>
        <w:rPr>
          <w:rFonts w:hint="eastAsia" w:hAnsi="宋体"/>
          <w:bCs/>
          <w:color w:val="auto"/>
          <w:sz w:val="18"/>
          <w:szCs w:val="18"/>
          <w:highlight w:val="none"/>
        </w:rPr>
        <w:t>上一年度数据，无上一年度数据的新成立企业可不填报。</w:t>
      </w:r>
      <w:bookmarkEnd w:id="141"/>
    </w:p>
    <w:p>
      <w:pPr>
        <w:pStyle w:val="5"/>
        <w:rPr>
          <w:color w:val="auto"/>
          <w:highlight w:val="none"/>
        </w:rPr>
      </w:pPr>
      <w:r>
        <w:rPr>
          <w:color w:val="auto"/>
          <w:highlight w:val="none"/>
        </w:rPr>
        <w:br w:type="page"/>
      </w:r>
    </w:p>
    <w:tbl>
      <w:tblPr>
        <w:tblStyle w:val="36"/>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spacing w:line="440" w:lineRule="exact"/>
              <w:jc w:val="center"/>
              <w:rPr>
                <w:rFonts w:ascii="Helvetica" w:hAnsi="Helvetica" w:cs="Helvetica"/>
                <w:b/>
                <w:bCs/>
                <w:color w:val="auto"/>
                <w:kern w:val="0"/>
                <w:szCs w:val="21"/>
                <w:highlight w:val="none"/>
              </w:rPr>
            </w:pPr>
            <w:bookmarkStart w:id="149" w:name="_Hlk147826091"/>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bookmarkStart w:id="150" w:name="_Hlk143699200"/>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jc w:val="left"/>
        <w:rPr>
          <w:rFonts w:ascii="Helvetica" w:hAnsi="Helvetica" w:cs="Helvetica"/>
          <w:color w:val="auto"/>
          <w:kern w:val="0"/>
          <w:szCs w:val="21"/>
          <w:highlight w:val="none"/>
        </w:rPr>
      </w:pPr>
    </w:p>
    <w:bookmarkEnd w:id="150"/>
    <w:p>
      <w:pPr>
        <w:widowControl/>
        <w:shd w:val="clear" w:color="auto" w:fill="FFFFFF"/>
        <w:spacing w:line="360" w:lineRule="atLeast"/>
        <w:jc w:val="left"/>
        <w:rPr>
          <w:rFonts w:ascii="Helvetica" w:hAnsi="Helvetica" w:cs="Helvetica"/>
          <w:color w:val="auto"/>
          <w:kern w:val="0"/>
          <w:sz w:val="18"/>
          <w:szCs w:val="18"/>
          <w:highlight w:val="none"/>
        </w:rPr>
      </w:pPr>
      <w:r>
        <w:rPr>
          <w:color w:val="auto"/>
          <w:highlight w:val="none"/>
        </w:rPr>
        <w:br w:type="page"/>
      </w:r>
      <w:r>
        <w:rPr>
          <w:rFonts w:ascii="Helvetica" w:hAnsi="Helvetica" w:cs="Helvetica"/>
          <w:color w:val="auto"/>
          <w:kern w:val="0"/>
          <w:sz w:val="18"/>
          <w:szCs w:val="18"/>
          <w:highlight w:val="none"/>
        </w:rPr>
        <w:t>说明：</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，采用资产总计代替。</w:t>
      </w:r>
    </w:p>
    <w:bookmarkEnd w:id="149"/>
    <w:p>
      <w:pPr>
        <w:widowControl/>
        <w:jc w:val="left"/>
        <w:rPr>
          <w:b/>
          <w:bCs/>
          <w:color w:val="auto"/>
          <w:sz w:val="32"/>
          <w:szCs w:val="32"/>
          <w:highlight w:val="none"/>
        </w:rPr>
      </w:pPr>
      <w:r>
        <w:rPr>
          <w:color w:val="auto"/>
          <w:highlight w:val="none"/>
        </w:rPr>
        <w:br w:type="page"/>
      </w:r>
    </w:p>
    <w:p>
      <w:pPr>
        <w:spacing w:line="320" w:lineRule="exact"/>
        <w:jc w:val="left"/>
        <w:rPr>
          <w:rFonts w:hint="eastAsia" w:hAnsi="宋体"/>
          <w:bCs/>
          <w:color w:val="auto"/>
          <w:sz w:val="18"/>
          <w:szCs w:val="18"/>
          <w:highlight w:val="none"/>
        </w:rPr>
      </w:pPr>
    </w:p>
    <w:p>
      <w:pPr>
        <w:pStyle w:val="22"/>
        <w:spacing w:line="440" w:lineRule="exact"/>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残疾人福利性单位声明函</w:t>
      </w:r>
    </w:p>
    <w:p>
      <w:pPr>
        <w:rPr>
          <w:color w:val="auto"/>
          <w:highlight w:val="none"/>
        </w:rPr>
      </w:pP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本单位郑重声明，根据</w:t>
      </w:r>
      <w:bookmarkStart w:id="151" w:name="_Hlk82091361"/>
      <w:r>
        <w:rPr>
          <w:rFonts w:hint="eastAsia" w:ascii="宋体" w:hAnsi="宋体" w:cs="Courier New"/>
          <w:color w:val="auto"/>
          <w:kern w:val="0"/>
          <w:szCs w:val="21"/>
          <w:highlight w:val="none"/>
        </w:rPr>
        <w:t>《</w:t>
      </w:r>
      <w:r>
        <w:rPr>
          <w:color w:val="auto"/>
          <w:highlight w:val="none"/>
        </w:rPr>
        <w:fldChar w:fldCharType="begin"/>
      </w:r>
      <w:r>
        <w:rPr>
          <w:color w:val="auto"/>
          <w:highlight w:val="none"/>
        </w:rPr>
        <w:instrText xml:space="preserve"> HYPERLINK "http://www.mof.gov.cn/gp/xxgkml/gks/201709/t20170901_2689542.htm" </w:instrText>
      </w:r>
      <w:r>
        <w:rPr>
          <w:color w:val="auto"/>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hint="eastAsia" w:ascii="宋体" w:hAnsi="Courier New" w:cs="Courier New"/>
          <w:color w:val="auto"/>
          <w:kern w:val="0"/>
          <w:szCs w:val="21"/>
          <w:highlight w:val="none"/>
        </w:rPr>
        <w:fldChar w:fldCharType="end"/>
      </w:r>
      <w:bookmarkEnd w:id="151"/>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rPr>
          <w:color w:val="auto"/>
          <w:highlight w:val="none"/>
        </w:rPr>
      </w:pPr>
    </w:p>
    <w:p>
      <w:pPr>
        <w:rPr>
          <w:color w:val="auto"/>
          <w:highlight w:val="none"/>
        </w:rPr>
      </w:pPr>
    </w:p>
    <w:p>
      <w:pPr>
        <w:rPr>
          <w:color w:val="auto"/>
          <w:highlight w:val="none"/>
        </w:rPr>
      </w:pPr>
    </w:p>
    <w:p>
      <w:pPr>
        <w:spacing w:line="500" w:lineRule="exact"/>
        <w:ind w:firstLine="5250" w:firstLineChars="25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500" w:lineRule="exact"/>
        <w:ind w:firstLine="5250" w:firstLineChars="2500"/>
        <w:rPr>
          <w:rFonts w:hint="eastAsia"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widowControl/>
        <w:jc w:val="left"/>
        <w:rPr>
          <w:rFonts w:ascii="宋体" w:hAnsi="Courier New" w:cs="Courier New"/>
          <w:color w:val="auto"/>
          <w:sz w:val="18"/>
          <w:szCs w:val="18"/>
          <w:highlight w:val="none"/>
        </w:rPr>
      </w:pPr>
      <w:r>
        <w:rPr>
          <w:rFonts w:ascii="黑体" w:hAnsi="黑体" w:eastAsia="黑体" w:cs="黑体"/>
          <w:b/>
          <w:color w:val="auto"/>
          <w:sz w:val="32"/>
          <w:szCs w:val="32"/>
          <w:highlight w:val="none"/>
        </w:rPr>
        <w:br w:type="page"/>
      </w:r>
      <w:r>
        <w:rPr>
          <w:rFonts w:hint="eastAsia" w:ascii="仿宋" w:hAnsi="仿宋" w:eastAsia="仿宋"/>
          <w:b/>
          <w:color w:val="auto"/>
          <w:sz w:val="36"/>
          <w:szCs w:val="36"/>
          <w:highlight w:val="none"/>
        </w:rPr>
        <w:t>二、商务技术文件</w:t>
      </w:r>
    </w:p>
    <w:p>
      <w:pPr>
        <w:widowControl/>
        <w:jc w:val="center"/>
        <w:rPr>
          <w:rFonts w:hint="eastAsia" w:ascii="仿宋" w:hAnsi="仿宋" w:eastAsia="仿宋" w:cs="黑体"/>
          <w:b/>
          <w:color w:val="auto"/>
          <w:sz w:val="32"/>
          <w:szCs w:val="32"/>
          <w:highlight w:val="none"/>
        </w:rPr>
      </w:pPr>
      <w:bookmarkStart w:id="152" w:name="_Hlk92702324"/>
      <w:r>
        <w:rPr>
          <w:rFonts w:hint="eastAsia" w:ascii="仿宋" w:hAnsi="仿宋" w:eastAsia="仿宋" w:cs="黑体"/>
          <w:b/>
          <w:color w:val="auto"/>
          <w:sz w:val="32"/>
          <w:szCs w:val="32"/>
          <w:highlight w:val="none"/>
        </w:rPr>
        <w:t>磋 商 函</w:t>
      </w:r>
      <w:bookmarkEnd w:id="152"/>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360" w:lineRule="exact"/>
        <w:jc w:val="center"/>
        <w:rPr>
          <w:rFonts w:hint="eastAsia" w:ascii="宋体" w:hAnsi="宋体"/>
          <w:b/>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致：钦州市政府采购中心：</w:t>
      </w:r>
    </w:p>
    <w:p>
      <w:pPr>
        <w:pStyle w:val="22"/>
        <w:spacing w:line="480" w:lineRule="exact"/>
        <w:ind w:firstLine="420"/>
        <w:rPr>
          <w:rFonts w:hint="eastAsia"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项目竞争性磋商采购文件，我方</w:t>
      </w:r>
      <w:r>
        <w:rPr>
          <w:rFonts w:hint="eastAsia" w:hAnsi="宋体"/>
          <w:color w:val="auto"/>
          <w:highlight w:val="none"/>
          <w:u w:val="single"/>
        </w:rPr>
        <w:t xml:space="preserve"> （供应商名称） </w:t>
      </w:r>
      <w:r>
        <w:rPr>
          <w:rFonts w:hint="eastAsia" w:hAnsi="宋体"/>
          <w:color w:val="auto"/>
          <w:highlight w:val="none"/>
        </w:rPr>
        <w:t>经正式授权代表</w:t>
      </w:r>
      <w:r>
        <w:rPr>
          <w:rFonts w:hint="eastAsia" w:hAnsi="宋体"/>
          <w:color w:val="auto"/>
          <w:highlight w:val="none"/>
          <w:u w:val="single"/>
        </w:rPr>
        <w:t xml:space="preserve">   （被授权人）</w:t>
      </w:r>
      <w:r>
        <w:rPr>
          <w:rFonts w:hint="eastAsia" w:hAnsi="宋体"/>
          <w:color w:val="auto"/>
          <w:highlight w:val="none"/>
        </w:rPr>
        <w:t>提交响应文件。</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据此函，我公司承诺：</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我方在磋商之前已经与贵方进行了充分的沟通，完全理解并接受采购文件的各项规定和要求，对采购文件的合理性、合法性不再有异议。</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.我方根据采购文件的规定，承担完成合同的责任和义务。</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.同意向贵方提供贵方可能要求的与本项目采购有关的人员、数据和资料。</w:t>
      </w:r>
    </w:p>
    <w:p>
      <w:pPr>
        <w:spacing w:line="400" w:lineRule="exact"/>
        <w:ind w:firstLine="424" w:firstLineChars="202"/>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我方向贵方提交的所有响应文件、资料都是准确的和真实的。</w:t>
      </w:r>
    </w:p>
    <w:p>
      <w:pPr>
        <w:spacing w:line="400" w:lineRule="exact"/>
        <w:rPr>
          <w:rFonts w:hint="eastAsia" w:ascii="宋体" w:hAnsi="宋体"/>
          <w:color w:val="auto"/>
          <w:szCs w:val="21"/>
          <w:highlight w:val="none"/>
        </w:rPr>
      </w:pPr>
    </w:p>
    <w:p>
      <w:pPr>
        <w:spacing w:line="400" w:lineRule="exact"/>
        <w:ind w:firstLine="426"/>
        <w:rPr>
          <w:rFonts w:hint="eastAsia" w:ascii="宋体" w:hAnsi="宋体"/>
          <w:color w:val="auto"/>
          <w:szCs w:val="21"/>
          <w:highlight w:val="none"/>
        </w:rPr>
      </w:pPr>
      <w:r>
        <w:rPr>
          <w:rFonts w:hint="eastAsia" w:ascii="宋体" w:hAnsi="宋体"/>
          <w:color w:val="auto"/>
          <w:szCs w:val="21"/>
          <w:highlight w:val="none"/>
        </w:rPr>
        <w:t>与我公司有关的正式通讯方式：</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widowControl/>
        <w:jc w:val="left"/>
        <w:rPr>
          <w:color w:val="auto"/>
          <w:highlight w:val="none"/>
        </w:rPr>
      </w:pPr>
      <w:r>
        <w:rPr>
          <w:color w:val="auto"/>
          <w:highlight w:val="none"/>
        </w:rPr>
        <w:br w:type="page"/>
      </w:r>
    </w:p>
    <w:p>
      <w:pPr>
        <w:rPr>
          <w:color w:val="auto"/>
          <w:highlight w:val="none"/>
        </w:rPr>
      </w:pPr>
    </w:p>
    <w:p>
      <w:pPr>
        <w:jc w:val="center"/>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授权委托书</w:t>
      </w:r>
      <w:bookmarkStart w:id="153" w:name="_Hlk92703623"/>
      <w:r>
        <w:rPr>
          <w:rFonts w:hint="eastAsia" w:ascii="仿宋" w:hAnsi="仿宋" w:eastAsia="仿宋"/>
          <w:color w:val="auto"/>
          <w:sz w:val="24"/>
          <w:highlight w:val="none"/>
        </w:rPr>
        <w:t>(格式</w:t>
      </w:r>
      <w:r>
        <w:rPr>
          <w:rFonts w:ascii="仿宋" w:hAnsi="仿宋" w:eastAsia="仿宋"/>
          <w:color w:val="auto"/>
          <w:sz w:val="24"/>
          <w:highlight w:val="none"/>
        </w:rPr>
        <w:t>)</w:t>
      </w:r>
      <w:bookmarkEnd w:id="153"/>
    </w:p>
    <w:p>
      <w:pPr>
        <w:snapToGrid w:val="0"/>
        <w:spacing w:before="156" w:beforeLines="50" w:after="50" w:line="50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的磋商活动，并代表我方全权办理针对上述项目的磋商、签约等具体事务和签署相关文件。</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rPr>
          <w:rFonts w:hint="eastAsia" w:ascii="宋体" w:hAnsi="宋体"/>
          <w:color w:val="auto"/>
          <w:szCs w:val="21"/>
          <w:highlight w:val="none"/>
        </w:rPr>
      </w:pPr>
    </w:p>
    <w:p>
      <w:pPr>
        <w:snapToGrid w:val="0"/>
        <w:spacing w:before="156" w:beforeLines="50" w:after="50"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firstLineChars="20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jc w:val="left"/>
        <w:rPr>
          <w:rFonts w:ascii="宋体" w:hAnsi="Courier New" w:cs="Courier New"/>
          <w:b/>
          <w:bCs/>
          <w:color w:val="auto"/>
          <w:szCs w:val="21"/>
          <w:highlight w:val="none"/>
        </w:rPr>
      </w:pPr>
      <w:r>
        <w:rPr>
          <w:b/>
          <w:bCs/>
          <w:color w:val="auto"/>
          <w:highlight w:val="none"/>
        </w:rPr>
        <w:br w:type="page"/>
      </w:r>
    </w:p>
    <w:p>
      <w:pPr>
        <w:rPr>
          <w:color w:val="auto"/>
          <w:highlight w:val="none"/>
        </w:rPr>
      </w:pPr>
    </w:p>
    <w:p>
      <w:pPr>
        <w:rPr>
          <w:color w:val="auto"/>
          <w:highlight w:val="none"/>
        </w:rPr>
      </w:pPr>
    </w:p>
    <w:p>
      <w:pPr>
        <w:snapToGrid w:val="0"/>
        <w:spacing w:before="156" w:beforeLines="50" w:after="50" w:line="360" w:lineRule="exact"/>
        <w:jc w:val="center"/>
        <w:rPr>
          <w:rFonts w:ascii="仿宋_GB2312" w:eastAsia="仿宋_GB2312"/>
          <w:b/>
          <w:color w:val="auto"/>
          <w:sz w:val="28"/>
          <w:szCs w:val="28"/>
          <w:highlight w:val="none"/>
        </w:rPr>
      </w:pPr>
      <w:bookmarkStart w:id="154" w:name="_Hlk92702799"/>
      <w:r>
        <w:rPr>
          <w:rFonts w:hint="eastAsia" w:ascii="仿宋_GB2312" w:hAnsi="宋体" w:eastAsia="仿宋_GB2312"/>
          <w:b/>
          <w:color w:val="auto"/>
          <w:sz w:val="28"/>
          <w:szCs w:val="28"/>
          <w:highlight w:val="none"/>
        </w:rPr>
        <w:t>商务响应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采购文件要求</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服务期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105"/>
              <w:jc w:val="center"/>
              <w:rPr>
                <w:rFonts w:hint="eastAsia"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bl>
    <w:p>
      <w:pPr>
        <w:tabs>
          <w:tab w:val="left" w:pos="3870"/>
          <w:tab w:val="left" w:pos="4085"/>
        </w:tabs>
        <w:snapToGrid w:val="0"/>
        <w:spacing w:line="360" w:lineRule="exact"/>
        <w:rPr>
          <w:rFonts w:hint="eastAsia" w:ascii="宋体" w:hAnsi="宋体"/>
          <w:b/>
          <w:color w:val="auto"/>
          <w:szCs w:val="21"/>
          <w:highlight w:val="none"/>
        </w:rPr>
      </w:pPr>
    </w:p>
    <w:p>
      <w:pPr>
        <w:rPr>
          <w:color w:val="auto"/>
          <w:highlight w:val="none"/>
        </w:rPr>
      </w:pPr>
    </w:p>
    <w:p>
      <w:pPr>
        <w:tabs>
          <w:tab w:val="left" w:pos="3870"/>
          <w:tab w:val="left" w:pos="4085"/>
        </w:tabs>
        <w:snapToGrid w:val="0"/>
        <w:spacing w:line="360" w:lineRule="exact"/>
        <w:rPr>
          <w:rFonts w:hint="eastAsia" w:ascii="宋体" w:hAnsi="宋体"/>
          <w:b/>
          <w:color w:val="auto"/>
          <w:szCs w:val="21"/>
          <w:highlight w:val="none"/>
        </w:rPr>
      </w:pPr>
    </w:p>
    <w:p>
      <w:pPr>
        <w:spacing w:line="400" w:lineRule="exact"/>
        <w:ind w:left="6092" w:leftChars="2766" w:right="592" w:rightChars="282" w:hanging="283" w:hangingChars="135"/>
        <w:jc w:val="left"/>
        <w:rPr>
          <w:rFonts w:hint="eastAsia"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bookmarkEnd w:id="154"/>
      <w:bookmarkStart w:id="155" w:name="_Hlk112311546"/>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bookmarkEnd w:id="155"/>
    <w:p>
      <w:pPr>
        <w:rPr>
          <w:color w:val="auto"/>
          <w:highlight w:val="none"/>
        </w:rPr>
      </w:pPr>
    </w:p>
    <w:p>
      <w:pPr>
        <w:rPr>
          <w:color w:val="auto"/>
          <w:highlight w:val="none"/>
        </w:rPr>
      </w:pPr>
    </w:p>
    <w:p>
      <w:pPr>
        <w:autoSpaceDE w:val="0"/>
        <w:autoSpaceDN w:val="0"/>
        <w:adjustRightInd w:val="0"/>
        <w:jc w:val="center"/>
        <w:rPr>
          <w:rFonts w:hint="eastAsia" w:ascii="宋体" w:hAnsi="宋体"/>
          <w:b/>
          <w:color w:val="auto"/>
          <w:sz w:val="28"/>
          <w:szCs w:val="28"/>
          <w:highlight w:val="none"/>
        </w:rPr>
      </w:pPr>
      <w:r>
        <w:rPr>
          <w:rFonts w:hint="eastAsia" w:ascii="宋体" w:hAnsi="宋体"/>
          <w:b/>
          <w:color w:val="auto"/>
          <w:sz w:val="28"/>
          <w:szCs w:val="28"/>
          <w:highlight w:val="none"/>
        </w:rPr>
        <w:t>人员配置表</w:t>
      </w:r>
      <w:r>
        <w:rPr>
          <w:rFonts w:hint="eastAsia" w:ascii="仿宋" w:hAnsi="仿宋" w:eastAsia="仿宋"/>
          <w:color w:val="auto"/>
          <w:sz w:val="24"/>
          <w:highlight w:val="none"/>
        </w:rPr>
        <w:t>(格式</w:t>
      </w:r>
      <w:r>
        <w:rPr>
          <w:rFonts w:ascii="仿宋" w:hAnsi="仿宋" w:eastAsia="仿宋"/>
          <w:color w:val="auto"/>
          <w:sz w:val="24"/>
          <w:highlight w:val="none"/>
        </w:rPr>
        <w:t>)</w:t>
      </w:r>
    </w:p>
    <w:p>
      <w:pPr>
        <w:autoSpaceDE w:val="0"/>
        <w:autoSpaceDN w:val="0"/>
        <w:adjustRightInd w:val="0"/>
        <w:rPr>
          <w:rFonts w:hint="eastAsia" w:ascii="宋体" w:hAnsi="宋体"/>
          <w:color w:val="auto"/>
          <w:highlight w:val="none"/>
          <w:lang w:val="zh-CN"/>
        </w:rPr>
      </w:pPr>
    </w:p>
    <w:tbl>
      <w:tblPr>
        <w:tblStyle w:val="36"/>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04"/>
        <w:gridCol w:w="1630"/>
        <w:gridCol w:w="977"/>
        <w:gridCol w:w="1956"/>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序号</w:t>
            </w:r>
          </w:p>
        </w:tc>
        <w:tc>
          <w:tcPr>
            <w:tcW w:w="1304"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姓名</w:t>
            </w:r>
          </w:p>
        </w:tc>
        <w:tc>
          <w:tcPr>
            <w:tcW w:w="1630" w:type="dxa"/>
            <w:vAlign w:val="center"/>
          </w:tcPr>
          <w:p>
            <w:pPr>
              <w:autoSpaceDE w:val="0"/>
              <w:autoSpaceDN w:val="0"/>
              <w:adjustRightInd w:val="0"/>
              <w:jc w:val="center"/>
              <w:rPr>
                <w:rFonts w:hint="eastAsia" w:ascii="宋体" w:hAnsi="宋体"/>
                <w:color w:val="auto"/>
                <w:highlight w:val="none"/>
              </w:rPr>
            </w:pPr>
            <w:r>
              <w:rPr>
                <w:rFonts w:hint="eastAsia" w:ascii="宋体" w:hAnsi="宋体"/>
                <w:color w:val="auto"/>
                <w:highlight w:val="none"/>
              </w:rPr>
              <w:t>身份证号</w:t>
            </w:r>
          </w:p>
        </w:tc>
        <w:tc>
          <w:tcPr>
            <w:tcW w:w="977"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岗位</w:t>
            </w:r>
          </w:p>
        </w:tc>
        <w:tc>
          <w:tcPr>
            <w:tcW w:w="195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执业资格/职称</w:t>
            </w:r>
          </w:p>
        </w:tc>
        <w:tc>
          <w:tcPr>
            <w:tcW w:w="164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1</w:t>
            </w:r>
          </w:p>
        </w:tc>
        <w:tc>
          <w:tcPr>
            <w:tcW w:w="1304" w:type="dxa"/>
            <w:vAlign w:val="center"/>
          </w:tcPr>
          <w:p>
            <w:pPr>
              <w:autoSpaceDE w:val="0"/>
              <w:autoSpaceDN w:val="0"/>
              <w:adjustRightInd w:val="0"/>
              <w:rPr>
                <w:rFonts w:hint="eastAsia" w:ascii="宋体" w:hAnsi="宋体"/>
                <w:color w:val="auto"/>
                <w:highlight w:val="none"/>
                <w:lang w:val="zh-CN"/>
              </w:rPr>
            </w:pPr>
          </w:p>
        </w:tc>
        <w:tc>
          <w:tcPr>
            <w:tcW w:w="1630" w:type="dxa"/>
          </w:tcPr>
          <w:p>
            <w:pPr>
              <w:autoSpaceDE w:val="0"/>
              <w:autoSpaceDN w:val="0"/>
              <w:adjustRightInd w:val="0"/>
              <w:rPr>
                <w:rFonts w:hint="eastAsia" w:ascii="宋体" w:hAnsi="宋体"/>
                <w:color w:val="auto"/>
                <w:highlight w:val="none"/>
                <w:lang w:val="zh-CN"/>
              </w:rPr>
            </w:pPr>
          </w:p>
        </w:tc>
        <w:tc>
          <w:tcPr>
            <w:tcW w:w="977" w:type="dxa"/>
          </w:tcPr>
          <w:p>
            <w:pPr>
              <w:autoSpaceDE w:val="0"/>
              <w:autoSpaceDN w:val="0"/>
              <w:adjustRightInd w:val="0"/>
              <w:rPr>
                <w:rFonts w:hint="eastAsia" w:ascii="宋体" w:hAnsi="宋体"/>
                <w:color w:val="auto"/>
                <w:highlight w:val="none"/>
                <w:lang w:val="zh-CN"/>
              </w:rPr>
            </w:pPr>
          </w:p>
        </w:tc>
        <w:tc>
          <w:tcPr>
            <w:tcW w:w="1956" w:type="dxa"/>
          </w:tcPr>
          <w:p>
            <w:pPr>
              <w:autoSpaceDE w:val="0"/>
              <w:autoSpaceDN w:val="0"/>
              <w:adjustRightInd w:val="0"/>
              <w:rPr>
                <w:rFonts w:hint="eastAsia" w:ascii="宋体" w:hAnsi="宋体"/>
                <w:color w:val="auto"/>
                <w:highlight w:val="none"/>
                <w:lang w:val="zh-CN"/>
              </w:rPr>
            </w:pPr>
          </w:p>
        </w:tc>
        <w:tc>
          <w:tcPr>
            <w:tcW w:w="1641"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2</w:t>
            </w:r>
          </w:p>
        </w:tc>
        <w:tc>
          <w:tcPr>
            <w:tcW w:w="1304" w:type="dxa"/>
            <w:vAlign w:val="center"/>
          </w:tcPr>
          <w:p>
            <w:pPr>
              <w:autoSpaceDE w:val="0"/>
              <w:autoSpaceDN w:val="0"/>
              <w:adjustRightInd w:val="0"/>
              <w:rPr>
                <w:rFonts w:hint="eastAsia" w:ascii="宋体" w:hAnsi="宋体"/>
                <w:color w:val="auto"/>
                <w:highlight w:val="none"/>
                <w:lang w:val="zh-CN"/>
              </w:rPr>
            </w:pPr>
          </w:p>
        </w:tc>
        <w:tc>
          <w:tcPr>
            <w:tcW w:w="1630" w:type="dxa"/>
          </w:tcPr>
          <w:p>
            <w:pPr>
              <w:autoSpaceDE w:val="0"/>
              <w:autoSpaceDN w:val="0"/>
              <w:adjustRightInd w:val="0"/>
              <w:rPr>
                <w:rFonts w:hint="eastAsia" w:ascii="宋体" w:hAnsi="宋体"/>
                <w:color w:val="auto"/>
                <w:highlight w:val="none"/>
                <w:lang w:val="zh-CN"/>
              </w:rPr>
            </w:pPr>
          </w:p>
        </w:tc>
        <w:tc>
          <w:tcPr>
            <w:tcW w:w="977" w:type="dxa"/>
          </w:tcPr>
          <w:p>
            <w:pPr>
              <w:autoSpaceDE w:val="0"/>
              <w:autoSpaceDN w:val="0"/>
              <w:adjustRightInd w:val="0"/>
              <w:rPr>
                <w:rFonts w:hint="eastAsia" w:ascii="宋体" w:hAnsi="宋体"/>
                <w:color w:val="auto"/>
                <w:highlight w:val="none"/>
                <w:lang w:val="zh-CN"/>
              </w:rPr>
            </w:pPr>
          </w:p>
        </w:tc>
        <w:tc>
          <w:tcPr>
            <w:tcW w:w="1956" w:type="dxa"/>
          </w:tcPr>
          <w:p>
            <w:pPr>
              <w:autoSpaceDE w:val="0"/>
              <w:autoSpaceDN w:val="0"/>
              <w:adjustRightInd w:val="0"/>
              <w:rPr>
                <w:rFonts w:hint="eastAsia" w:ascii="宋体" w:hAnsi="宋体"/>
                <w:color w:val="auto"/>
                <w:highlight w:val="none"/>
                <w:lang w:val="zh-CN"/>
              </w:rPr>
            </w:pPr>
          </w:p>
        </w:tc>
        <w:tc>
          <w:tcPr>
            <w:tcW w:w="1641"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3</w:t>
            </w:r>
          </w:p>
        </w:tc>
        <w:tc>
          <w:tcPr>
            <w:tcW w:w="1304" w:type="dxa"/>
            <w:vAlign w:val="center"/>
          </w:tcPr>
          <w:p>
            <w:pPr>
              <w:autoSpaceDE w:val="0"/>
              <w:autoSpaceDN w:val="0"/>
              <w:adjustRightInd w:val="0"/>
              <w:rPr>
                <w:rFonts w:hint="eastAsia" w:ascii="宋体" w:hAnsi="宋体"/>
                <w:color w:val="auto"/>
                <w:highlight w:val="none"/>
                <w:lang w:val="zh-CN"/>
              </w:rPr>
            </w:pPr>
          </w:p>
        </w:tc>
        <w:tc>
          <w:tcPr>
            <w:tcW w:w="1630" w:type="dxa"/>
          </w:tcPr>
          <w:p>
            <w:pPr>
              <w:autoSpaceDE w:val="0"/>
              <w:autoSpaceDN w:val="0"/>
              <w:adjustRightInd w:val="0"/>
              <w:rPr>
                <w:rFonts w:hint="eastAsia" w:ascii="宋体" w:hAnsi="宋体"/>
                <w:color w:val="auto"/>
                <w:highlight w:val="none"/>
                <w:lang w:val="zh-CN"/>
              </w:rPr>
            </w:pPr>
          </w:p>
        </w:tc>
        <w:tc>
          <w:tcPr>
            <w:tcW w:w="977" w:type="dxa"/>
          </w:tcPr>
          <w:p>
            <w:pPr>
              <w:autoSpaceDE w:val="0"/>
              <w:autoSpaceDN w:val="0"/>
              <w:adjustRightInd w:val="0"/>
              <w:rPr>
                <w:rFonts w:hint="eastAsia" w:ascii="宋体" w:hAnsi="宋体"/>
                <w:color w:val="auto"/>
                <w:highlight w:val="none"/>
                <w:lang w:val="zh-CN"/>
              </w:rPr>
            </w:pPr>
          </w:p>
        </w:tc>
        <w:tc>
          <w:tcPr>
            <w:tcW w:w="1956" w:type="dxa"/>
          </w:tcPr>
          <w:p>
            <w:pPr>
              <w:autoSpaceDE w:val="0"/>
              <w:autoSpaceDN w:val="0"/>
              <w:adjustRightInd w:val="0"/>
              <w:rPr>
                <w:rFonts w:hint="eastAsia" w:ascii="宋体" w:hAnsi="宋体"/>
                <w:color w:val="auto"/>
                <w:highlight w:val="none"/>
                <w:lang w:val="zh-CN"/>
              </w:rPr>
            </w:pPr>
          </w:p>
        </w:tc>
        <w:tc>
          <w:tcPr>
            <w:tcW w:w="1641"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w:t>
            </w:r>
          </w:p>
        </w:tc>
        <w:tc>
          <w:tcPr>
            <w:tcW w:w="1304" w:type="dxa"/>
          </w:tcPr>
          <w:p>
            <w:pPr>
              <w:autoSpaceDE w:val="0"/>
              <w:autoSpaceDN w:val="0"/>
              <w:adjustRightInd w:val="0"/>
              <w:rPr>
                <w:rFonts w:hint="eastAsia" w:ascii="宋体" w:hAnsi="宋体"/>
                <w:color w:val="auto"/>
                <w:highlight w:val="none"/>
                <w:lang w:val="zh-CN"/>
              </w:rPr>
            </w:pPr>
          </w:p>
        </w:tc>
        <w:tc>
          <w:tcPr>
            <w:tcW w:w="1630" w:type="dxa"/>
          </w:tcPr>
          <w:p>
            <w:pPr>
              <w:autoSpaceDE w:val="0"/>
              <w:autoSpaceDN w:val="0"/>
              <w:adjustRightInd w:val="0"/>
              <w:rPr>
                <w:rFonts w:hint="eastAsia" w:ascii="宋体" w:hAnsi="宋体"/>
                <w:color w:val="auto"/>
                <w:highlight w:val="none"/>
                <w:lang w:val="zh-CN"/>
              </w:rPr>
            </w:pPr>
          </w:p>
        </w:tc>
        <w:tc>
          <w:tcPr>
            <w:tcW w:w="977" w:type="dxa"/>
          </w:tcPr>
          <w:p>
            <w:pPr>
              <w:autoSpaceDE w:val="0"/>
              <w:autoSpaceDN w:val="0"/>
              <w:adjustRightInd w:val="0"/>
              <w:rPr>
                <w:rFonts w:hint="eastAsia" w:ascii="宋体" w:hAnsi="宋体"/>
                <w:color w:val="auto"/>
                <w:highlight w:val="none"/>
                <w:lang w:val="zh-CN"/>
              </w:rPr>
            </w:pPr>
          </w:p>
        </w:tc>
        <w:tc>
          <w:tcPr>
            <w:tcW w:w="1956" w:type="dxa"/>
          </w:tcPr>
          <w:p>
            <w:pPr>
              <w:autoSpaceDE w:val="0"/>
              <w:autoSpaceDN w:val="0"/>
              <w:adjustRightInd w:val="0"/>
              <w:rPr>
                <w:rFonts w:hint="eastAsia" w:ascii="宋体" w:hAnsi="宋体"/>
                <w:color w:val="auto"/>
                <w:highlight w:val="none"/>
                <w:lang w:val="zh-CN"/>
              </w:rPr>
            </w:pPr>
          </w:p>
        </w:tc>
        <w:tc>
          <w:tcPr>
            <w:tcW w:w="1641" w:type="dxa"/>
          </w:tcPr>
          <w:p>
            <w:pPr>
              <w:autoSpaceDE w:val="0"/>
              <w:autoSpaceDN w:val="0"/>
              <w:adjustRightInd w:val="0"/>
              <w:rPr>
                <w:rFonts w:hint="eastAsia" w:ascii="宋体" w:hAnsi="宋体"/>
                <w:color w:val="auto"/>
                <w:highlight w:val="none"/>
                <w:lang w:val="zh-CN"/>
              </w:rPr>
            </w:pPr>
          </w:p>
        </w:tc>
      </w:tr>
    </w:tbl>
    <w:p>
      <w:pPr>
        <w:snapToGrid w:val="0"/>
        <w:spacing w:before="50" w:after="50" w:line="400" w:lineRule="exact"/>
        <w:ind w:right="-817" w:rightChars="-389"/>
        <w:rPr>
          <w:rFonts w:hint="eastAsia" w:ascii="宋体" w:hAnsi="宋体"/>
          <w:bCs/>
          <w:color w:val="auto"/>
          <w:highlight w:val="none"/>
        </w:rPr>
      </w:pPr>
      <w:r>
        <w:rPr>
          <w:rFonts w:hint="eastAsia" w:ascii="宋体" w:hAnsi="宋体"/>
          <w:bCs/>
          <w:color w:val="auto"/>
          <w:highlight w:val="none"/>
          <w:lang w:val="zh-CN"/>
        </w:rPr>
        <w:t>注:应</w:t>
      </w:r>
      <w:r>
        <w:rPr>
          <w:rFonts w:hint="eastAsia" w:ascii="宋体" w:hAnsi="宋体"/>
          <w:bCs/>
          <w:color w:val="auto"/>
          <w:highlight w:val="none"/>
        </w:rPr>
        <w:t>提供所配置人员姓名、身份证、岗位、职称等证明材料。</w:t>
      </w:r>
    </w:p>
    <w:p>
      <w:pPr>
        <w:rPr>
          <w:color w:val="auto"/>
          <w:highlight w:val="none"/>
        </w:rPr>
      </w:pPr>
    </w:p>
    <w:p>
      <w:pPr>
        <w:snapToGrid w:val="0"/>
        <w:spacing w:before="50" w:after="50" w:line="320" w:lineRule="exact"/>
        <w:ind w:left="-2" w:leftChars="-1" w:right="-817" w:rightChars="-389" w:firstLine="2"/>
        <w:rPr>
          <w:rFonts w:hint="eastAsia" w:ascii="宋体" w:hAnsi="宋体"/>
          <w:color w:val="auto"/>
          <w:szCs w:val="21"/>
          <w:highlight w:val="none"/>
        </w:rPr>
      </w:pPr>
    </w:p>
    <w:p>
      <w:pPr>
        <w:rPr>
          <w:color w:val="auto"/>
          <w:highlight w:val="none"/>
        </w:rPr>
      </w:pPr>
    </w:p>
    <w:p>
      <w:pPr>
        <w:spacing w:line="400" w:lineRule="exact"/>
        <w:ind w:left="6090" w:leftChars="2900" w:right="592" w:rightChars="282" w:firstLine="2" w:firstLineChars="1"/>
        <w:jc w:val="left"/>
        <w:rPr>
          <w:rFonts w:hint="eastAsia"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pStyle w:val="99"/>
        <w:rPr>
          <w:rFonts w:hint="eastAsia" w:ascii="宋体" w:hAnsi="宋体" w:cs="宋体"/>
          <w:color w:val="auto"/>
          <w:sz w:val="21"/>
          <w:szCs w:val="21"/>
          <w:highlight w:val="none"/>
        </w:rPr>
      </w:pPr>
    </w:p>
    <w:p>
      <w:pPr>
        <w:pStyle w:val="99"/>
        <w:rPr>
          <w:rFonts w:hint="eastAsia" w:ascii="宋体" w:hAnsi="宋体" w:cs="宋体"/>
          <w:color w:val="auto"/>
          <w:sz w:val="21"/>
          <w:szCs w:val="21"/>
          <w:highlight w:val="none"/>
        </w:rPr>
      </w:pPr>
    </w:p>
    <w:p>
      <w:pPr>
        <w:autoSpaceDE w:val="0"/>
        <w:autoSpaceDN w:val="0"/>
        <w:adjustRightInd w:val="0"/>
        <w:jc w:val="center"/>
        <w:rPr>
          <w:rFonts w:hint="eastAsia" w:ascii="宋体" w:hAnsi="宋体"/>
          <w:b/>
          <w:color w:val="auto"/>
          <w:sz w:val="28"/>
          <w:szCs w:val="28"/>
          <w:highlight w:val="none"/>
        </w:rPr>
      </w:pPr>
      <w:r>
        <w:rPr>
          <w:rFonts w:hint="eastAsia" w:ascii="宋体" w:hAnsi="宋体"/>
          <w:b/>
          <w:color w:val="auto"/>
          <w:sz w:val="28"/>
          <w:szCs w:val="28"/>
          <w:highlight w:val="none"/>
        </w:rPr>
        <w:t>设备配置表</w:t>
      </w:r>
      <w:r>
        <w:rPr>
          <w:rFonts w:hint="eastAsia" w:ascii="仿宋" w:hAnsi="仿宋" w:eastAsia="仿宋"/>
          <w:color w:val="auto"/>
          <w:sz w:val="24"/>
          <w:highlight w:val="none"/>
        </w:rPr>
        <w:t>(格式</w:t>
      </w:r>
      <w:r>
        <w:rPr>
          <w:rFonts w:ascii="仿宋" w:hAnsi="仿宋" w:eastAsia="仿宋"/>
          <w:color w:val="auto"/>
          <w:sz w:val="24"/>
          <w:highlight w:val="none"/>
        </w:rPr>
        <w:t>)</w:t>
      </w:r>
    </w:p>
    <w:p>
      <w:pPr>
        <w:snapToGrid w:val="0"/>
        <w:spacing w:before="50" w:line="400" w:lineRule="exact"/>
        <w:ind w:firstLine="420" w:firstLineChars="200"/>
        <w:jc w:val="left"/>
        <w:rPr>
          <w:rFonts w:hint="eastAsia" w:ascii="宋体" w:hAnsi="宋体" w:cs="宋体"/>
          <w:color w:val="auto"/>
          <w:szCs w:val="21"/>
          <w:highlight w:val="none"/>
        </w:rPr>
      </w:pPr>
    </w:p>
    <w:tbl>
      <w:tblPr>
        <w:tblStyle w:val="36"/>
        <w:tblW w:w="83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6"/>
        <w:gridCol w:w="1233"/>
        <w:gridCol w:w="1029"/>
        <w:gridCol w:w="1477"/>
        <w:gridCol w:w="1295"/>
        <w:gridCol w:w="934"/>
        <w:gridCol w:w="1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6"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233"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名称</w:t>
            </w:r>
          </w:p>
        </w:tc>
        <w:tc>
          <w:tcPr>
            <w:tcW w:w="1029"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品牌及型号</w:t>
            </w:r>
          </w:p>
        </w:tc>
        <w:tc>
          <w:tcPr>
            <w:tcW w:w="1477" w:type="dxa"/>
            <w:vAlign w:val="center"/>
          </w:tcPr>
          <w:p>
            <w:pPr>
              <w:adjustRightInd w:val="0"/>
              <w:snapToGrid w:val="0"/>
              <w:jc w:val="center"/>
              <w:rPr>
                <w:rFonts w:hint="eastAsia" w:ascii="宋体" w:hAnsi="宋体" w:cs="宋体"/>
                <w:b/>
                <w:color w:val="auto"/>
                <w:szCs w:val="21"/>
                <w:highlight w:val="none"/>
              </w:rPr>
            </w:pPr>
            <w:r>
              <w:rPr>
                <w:rFonts w:hint="eastAsia" w:ascii="宋体" w:hAnsi="宋体" w:cs="宋体"/>
                <w:bCs/>
                <w:color w:val="auto"/>
                <w:szCs w:val="21"/>
                <w:highlight w:val="none"/>
              </w:rPr>
              <w:t>主要技术性能、参数</w:t>
            </w:r>
          </w:p>
        </w:tc>
        <w:tc>
          <w:tcPr>
            <w:tcW w:w="1295"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生产厂家</w:t>
            </w:r>
          </w:p>
        </w:tc>
        <w:tc>
          <w:tcPr>
            <w:tcW w:w="934"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1443"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 w:hRule="atLeast"/>
          <w:jc w:val="center"/>
        </w:trPr>
        <w:tc>
          <w:tcPr>
            <w:tcW w:w="926" w:type="dxa"/>
            <w:vAlign w:val="center"/>
          </w:tcPr>
          <w:p>
            <w:pPr>
              <w:spacing w:line="48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233" w:type="dxa"/>
            <w:vAlign w:val="center"/>
          </w:tcPr>
          <w:p>
            <w:pPr>
              <w:spacing w:line="480" w:lineRule="auto"/>
              <w:jc w:val="center"/>
              <w:rPr>
                <w:rFonts w:hint="eastAsia" w:ascii="宋体" w:hAnsi="宋体" w:cs="宋体"/>
                <w:bCs/>
                <w:color w:val="auto"/>
                <w:szCs w:val="21"/>
                <w:highlight w:val="none"/>
              </w:rPr>
            </w:pPr>
          </w:p>
        </w:tc>
        <w:tc>
          <w:tcPr>
            <w:tcW w:w="1029" w:type="dxa"/>
            <w:vAlign w:val="center"/>
          </w:tcPr>
          <w:p>
            <w:pPr>
              <w:jc w:val="center"/>
              <w:rPr>
                <w:rFonts w:hint="eastAsia" w:ascii="宋体" w:hAnsi="宋体" w:cs="宋体"/>
                <w:bCs/>
                <w:color w:val="auto"/>
                <w:szCs w:val="21"/>
                <w:highlight w:val="none"/>
              </w:rPr>
            </w:pPr>
          </w:p>
        </w:tc>
        <w:tc>
          <w:tcPr>
            <w:tcW w:w="1477" w:type="dxa"/>
            <w:vAlign w:val="center"/>
          </w:tcPr>
          <w:p>
            <w:pPr>
              <w:spacing w:line="480" w:lineRule="auto"/>
              <w:jc w:val="center"/>
              <w:rPr>
                <w:rFonts w:hint="eastAsia" w:ascii="宋体" w:hAnsi="宋体" w:cs="宋体"/>
                <w:bCs/>
                <w:color w:val="auto"/>
                <w:szCs w:val="21"/>
                <w:highlight w:val="none"/>
              </w:rPr>
            </w:pPr>
          </w:p>
        </w:tc>
        <w:tc>
          <w:tcPr>
            <w:tcW w:w="1295" w:type="dxa"/>
            <w:vAlign w:val="center"/>
          </w:tcPr>
          <w:p>
            <w:pPr>
              <w:spacing w:line="480" w:lineRule="auto"/>
              <w:jc w:val="center"/>
              <w:rPr>
                <w:rFonts w:hint="eastAsia" w:ascii="宋体" w:hAnsi="宋体" w:cs="宋体"/>
                <w:bCs/>
                <w:color w:val="auto"/>
                <w:szCs w:val="21"/>
                <w:highlight w:val="none"/>
              </w:rPr>
            </w:pPr>
          </w:p>
        </w:tc>
        <w:tc>
          <w:tcPr>
            <w:tcW w:w="934" w:type="dxa"/>
            <w:vAlign w:val="center"/>
          </w:tcPr>
          <w:p>
            <w:pPr>
              <w:spacing w:line="480" w:lineRule="auto"/>
              <w:jc w:val="center"/>
              <w:rPr>
                <w:rFonts w:hint="eastAsia" w:ascii="宋体" w:hAnsi="宋体" w:cs="宋体"/>
                <w:bCs/>
                <w:color w:val="auto"/>
                <w:szCs w:val="21"/>
                <w:highlight w:val="none"/>
              </w:rPr>
            </w:pPr>
          </w:p>
        </w:tc>
        <w:tc>
          <w:tcPr>
            <w:tcW w:w="1443" w:type="dxa"/>
          </w:tcPr>
          <w:p>
            <w:pPr>
              <w:spacing w:line="480" w:lineRule="auto"/>
              <w:jc w:val="center"/>
              <w:rPr>
                <w:rFonts w:hint="eastAsia"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26" w:type="dxa"/>
            <w:vAlign w:val="center"/>
          </w:tcPr>
          <w:p>
            <w:pPr>
              <w:spacing w:line="48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233" w:type="dxa"/>
            <w:vAlign w:val="center"/>
          </w:tcPr>
          <w:p>
            <w:pPr>
              <w:spacing w:line="480" w:lineRule="auto"/>
              <w:jc w:val="center"/>
              <w:rPr>
                <w:rFonts w:hint="eastAsia" w:ascii="宋体" w:hAnsi="宋体" w:cs="宋体"/>
                <w:bCs/>
                <w:color w:val="auto"/>
                <w:szCs w:val="21"/>
                <w:highlight w:val="none"/>
              </w:rPr>
            </w:pPr>
          </w:p>
        </w:tc>
        <w:tc>
          <w:tcPr>
            <w:tcW w:w="1029" w:type="dxa"/>
            <w:vAlign w:val="center"/>
          </w:tcPr>
          <w:p>
            <w:pPr>
              <w:spacing w:line="480" w:lineRule="auto"/>
              <w:jc w:val="center"/>
              <w:rPr>
                <w:rFonts w:hint="eastAsia" w:ascii="宋体" w:hAnsi="宋体" w:cs="宋体"/>
                <w:bCs/>
                <w:color w:val="auto"/>
                <w:szCs w:val="21"/>
                <w:highlight w:val="none"/>
              </w:rPr>
            </w:pPr>
          </w:p>
        </w:tc>
        <w:tc>
          <w:tcPr>
            <w:tcW w:w="1477" w:type="dxa"/>
            <w:vAlign w:val="center"/>
          </w:tcPr>
          <w:p>
            <w:pPr>
              <w:spacing w:line="480" w:lineRule="auto"/>
              <w:jc w:val="center"/>
              <w:rPr>
                <w:rFonts w:hint="eastAsia" w:ascii="宋体" w:hAnsi="宋体" w:cs="宋体"/>
                <w:bCs/>
                <w:color w:val="auto"/>
                <w:szCs w:val="21"/>
                <w:highlight w:val="none"/>
              </w:rPr>
            </w:pPr>
          </w:p>
        </w:tc>
        <w:tc>
          <w:tcPr>
            <w:tcW w:w="1295" w:type="dxa"/>
            <w:vAlign w:val="center"/>
          </w:tcPr>
          <w:p>
            <w:pPr>
              <w:spacing w:line="480" w:lineRule="auto"/>
              <w:jc w:val="center"/>
              <w:rPr>
                <w:rFonts w:hint="eastAsia" w:ascii="宋体" w:hAnsi="宋体" w:cs="宋体"/>
                <w:bCs/>
                <w:color w:val="auto"/>
                <w:szCs w:val="21"/>
                <w:highlight w:val="none"/>
              </w:rPr>
            </w:pPr>
          </w:p>
        </w:tc>
        <w:tc>
          <w:tcPr>
            <w:tcW w:w="934" w:type="dxa"/>
            <w:vAlign w:val="center"/>
          </w:tcPr>
          <w:p>
            <w:pPr>
              <w:spacing w:line="480" w:lineRule="auto"/>
              <w:jc w:val="center"/>
              <w:rPr>
                <w:rFonts w:hint="eastAsia" w:ascii="宋体" w:hAnsi="宋体" w:cs="宋体"/>
                <w:bCs/>
                <w:color w:val="auto"/>
                <w:szCs w:val="21"/>
                <w:highlight w:val="none"/>
              </w:rPr>
            </w:pPr>
          </w:p>
        </w:tc>
        <w:tc>
          <w:tcPr>
            <w:tcW w:w="1443" w:type="dxa"/>
          </w:tcPr>
          <w:p>
            <w:pPr>
              <w:spacing w:line="480" w:lineRule="auto"/>
              <w:jc w:val="center"/>
              <w:rPr>
                <w:rFonts w:hint="eastAsia"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26" w:type="dxa"/>
            <w:vAlign w:val="center"/>
          </w:tcPr>
          <w:p>
            <w:pPr>
              <w:spacing w:line="48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233" w:type="dxa"/>
            <w:vAlign w:val="center"/>
          </w:tcPr>
          <w:p>
            <w:pPr>
              <w:spacing w:line="480" w:lineRule="auto"/>
              <w:jc w:val="center"/>
              <w:rPr>
                <w:rFonts w:hint="eastAsia" w:ascii="宋体" w:hAnsi="宋体" w:cs="宋体"/>
                <w:bCs/>
                <w:color w:val="auto"/>
                <w:szCs w:val="21"/>
                <w:highlight w:val="none"/>
              </w:rPr>
            </w:pPr>
          </w:p>
        </w:tc>
        <w:tc>
          <w:tcPr>
            <w:tcW w:w="1029" w:type="dxa"/>
            <w:vAlign w:val="center"/>
          </w:tcPr>
          <w:p>
            <w:pPr>
              <w:spacing w:line="480" w:lineRule="auto"/>
              <w:jc w:val="center"/>
              <w:rPr>
                <w:rFonts w:hint="eastAsia" w:ascii="宋体" w:hAnsi="宋体" w:cs="宋体"/>
                <w:bCs/>
                <w:color w:val="auto"/>
                <w:szCs w:val="21"/>
                <w:highlight w:val="none"/>
              </w:rPr>
            </w:pPr>
          </w:p>
        </w:tc>
        <w:tc>
          <w:tcPr>
            <w:tcW w:w="1477" w:type="dxa"/>
            <w:vAlign w:val="center"/>
          </w:tcPr>
          <w:p>
            <w:pPr>
              <w:spacing w:line="480" w:lineRule="auto"/>
              <w:jc w:val="center"/>
              <w:rPr>
                <w:rFonts w:hint="eastAsia" w:ascii="宋体" w:hAnsi="宋体" w:cs="宋体"/>
                <w:bCs/>
                <w:color w:val="auto"/>
                <w:szCs w:val="21"/>
                <w:highlight w:val="none"/>
              </w:rPr>
            </w:pPr>
          </w:p>
        </w:tc>
        <w:tc>
          <w:tcPr>
            <w:tcW w:w="1295" w:type="dxa"/>
            <w:vAlign w:val="center"/>
          </w:tcPr>
          <w:p>
            <w:pPr>
              <w:spacing w:line="480" w:lineRule="auto"/>
              <w:jc w:val="center"/>
              <w:rPr>
                <w:rFonts w:hint="eastAsia" w:ascii="宋体" w:hAnsi="宋体" w:cs="宋体"/>
                <w:bCs/>
                <w:color w:val="auto"/>
                <w:szCs w:val="21"/>
                <w:highlight w:val="none"/>
              </w:rPr>
            </w:pPr>
          </w:p>
        </w:tc>
        <w:tc>
          <w:tcPr>
            <w:tcW w:w="934" w:type="dxa"/>
            <w:vAlign w:val="center"/>
          </w:tcPr>
          <w:p>
            <w:pPr>
              <w:spacing w:line="480" w:lineRule="auto"/>
              <w:jc w:val="center"/>
              <w:rPr>
                <w:rFonts w:hint="eastAsia" w:ascii="宋体" w:hAnsi="宋体" w:cs="宋体"/>
                <w:bCs/>
                <w:color w:val="auto"/>
                <w:szCs w:val="21"/>
                <w:highlight w:val="none"/>
              </w:rPr>
            </w:pPr>
          </w:p>
        </w:tc>
        <w:tc>
          <w:tcPr>
            <w:tcW w:w="1443" w:type="dxa"/>
          </w:tcPr>
          <w:p>
            <w:pPr>
              <w:spacing w:line="480" w:lineRule="auto"/>
              <w:jc w:val="center"/>
              <w:rPr>
                <w:rFonts w:hint="eastAsia"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26" w:type="dxa"/>
            <w:vAlign w:val="center"/>
          </w:tcPr>
          <w:p>
            <w:pPr>
              <w:spacing w:line="48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w:t>
            </w:r>
          </w:p>
        </w:tc>
        <w:tc>
          <w:tcPr>
            <w:tcW w:w="1233" w:type="dxa"/>
            <w:vAlign w:val="center"/>
          </w:tcPr>
          <w:p>
            <w:pPr>
              <w:spacing w:line="480" w:lineRule="auto"/>
              <w:jc w:val="center"/>
              <w:rPr>
                <w:rFonts w:hint="eastAsia" w:ascii="宋体" w:hAnsi="宋体" w:cs="宋体"/>
                <w:bCs/>
                <w:color w:val="auto"/>
                <w:szCs w:val="21"/>
                <w:highlight w:val="none"/>
              </w:rPr>
            </w:pPr>
          </w:p>
        </w:tc>
        <w:tc>
          <w:tcPr>
            <w:tcW w:w="1029" w:type="dxa"/>
            <w:vAlign w:val="center"/>
          </w:tcPr>
          <w:p>
            <w:pPr>
              <w:spacing w:line="480" w:lineRule="auto"/>
              <w:jc w:val="center"/>
              <w:rPr>
                <w:rFonts w:hint="eastAsia" w:ascii="宋体" w:hAnsi="宋体" w:cs="宋体"/>
                <w:bCs/>
                <w:color w:val="auto"/>
                <w:szCs w:val="21"/>
                <w:highlight w:val="none"/>
              </w:rPr>
            </w:pPr>
          </w:p>
        </w:tc>
        <w:tc>
          <w:tcPr>
            <w:tcW w:w="1477" w:type="dxa"/>
            <w:vAlign w:val="center"/>
          </w:tcPr>
          <w:p>
            <w:pPr>
              <w:spacing w:line="480" w:lineRule="auto"/>
              <w:jc w:val="center"/>
              <w:rPr>
                <w:rFonts w:hint="eastAsia" w:ascii="宋体" w:hAnsi="宋体" w:cs="宋体"/>
                <w:bCs/>
                <w:color w:val="auto"/>
                <w:szCs w:val="21"/>
                <w:highlight w:val="none"/>
              </w:rPr>
            </w:pPr>
          </w:p>
        </w:tc>
        <w:tc>
          <w:tcPr>
            <w:tcW w:w="1295" w:type="dxa"/>
            <w:vAlign w:val="center"/>
          </w:tcPr>
          <w:p>
            <w:pPr>
              <w:spacing w:line="480" w:lineRule="auto"/>
              <w:jc w:val="center"/>
              <w:rPr>
                <w:rFonts w:hint="eastAsia" w:ascii="宋体" w:hAnsi="宋体" w:cs="宋体"/>
                <w:bCs/>
                <w:color w:val="auto"/>
                <w:szCs w:val="21"/>
                <w:highlight w:val="none"/>
              </w:rPr>
            </w:pPr>
          </w:p>
        </w:tc>
        <w:tc>
          <w:tcPr>
            <w:tcW w:w="934" w:type="dxa"/>
            <w:vAlign w:val="center"/>
          </w:tcPr>
          <w:p>
            <w:pPr>
              <w:spacing w:line="480" w:lineRule="auto"/>
              <w:jc w:val="center"/>
              <w:rPr>
                <w:rFonts w:hint="eastAsia" w:ascii="宋体" w:hAnsi="宋体" w:cs="宋体"/>
                <w:bCs/>
                <w:color w:val="auto"/>
                <w:szCs w:val="21"/>
                <w:highlight w:val="none"/>
              </w:rPr>
            </w:pPr>
          </w:p>
        </w:tc>
        <w:tc>
          <w:tcPr>
            <w:tcW w:w="1443" w:type="dxa"/>
          </w:tcPr>
          <w:p>
            <w:pPr>
              <w:spacing w:line="480" w:lineRule="auto"/>
              <w:jc w:val="center"/>
              <w:rPr>
                <w:rFonts w:hint="eastAsia" w:ascii="宋体" w:hAnsi="宋体" w:cs="宋体"/>
                <w:bCs/>
                <w:color w:val="auto"/>
                <w:szCs w:val="21"/>
                <w:highlight w:val="none"/>
              </w:rPr>
            </w:pPr>
          </w:p>
        </w:tc>
      </w:tr>
    </w:tbl>
    <w:p>
      <w:pPr>
        <w:snapToGrid w:val="0"/>
        <w:spacing w:before="50"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注：1.由供应商根据本项目采购需求填写，拟投入本项目的设备设施包括办公用设备设施</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务相关的设备配置情况；</w:t>
      </w:r>
    </w:p>
    <w:p>
      <w:pPr>
        <w:snapToGrid w:val="0"/>
        <w:spacing w:before="50"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2.如本表不适用，供应商可自行制表填写。</w:t>
      </w:r>
    </w:p>
    <w:p>
      <w:pPr>
        <w:rPr>
          <w:color w:val="auto"/>
          <w:highlight w:val="none"/>
        </w:rPr>
      </w:pPr>
    </w:p>
    <w:p>
      <w:pPr>
        <w:rPr>
          <w:color w:val="auto"/>
          <w:highlight w:val="none"/>
        </w:rPr>
      </w:pPr>
    </w:p>
    <w:p>
      <w:pPr>
        <w:spacing w:line="400" w:lineRule="exact"/>
        <w:ind w:left="6092" w:leftChars="2498" w:right="592" w:rightChars="282" w:hanging="846" w:hangingChars="403"/>
        <w:jc w:val="left"/>
        <w:rPr>
          <w:rFonts w:hint="eastAsia" w:ascii="宋体" w:hAnsi="宋体"/>
          <w:bCs/>
          <w:color w:val="auto"/>
          <w:highlight w:val="none"/>
        </w:rPr>
      </w:pPr>
      <w:r>
        <w:rPr>
          <w:rFonts w:hint="eastAsia" w:ascii="宋体" w:hAnsi="宋体" w:cs="宋体"/>
          <w:color w:val="auto"/>
          <w:szCs w:val="21"/>
          <w:highlight w:val="none"/>
        </w:rPr>
        <w:t xml:space="preserve">        </w:t>
      </w:r>
      <w:bookmarkEnd w:id="46"/>
      <w:bookmarkEnd w:id="47"/>
      <w:bookmarkEnd w:id="48"/>
      <w:bookmarkEnd w:id="49"/>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snapToGrid w:val="0"/>
        <w:spacing w:before="50" w:after="50" w:line="320" w:lineRule="exact"/>
        <w:ind w:left="-2" w:leftChars="-1" w:right="-817" w:rightChars="-389" w:firstLine="4305" w:firstLineChars="2050"/>
        <w:rPr>
          <w:color w:val="auto"/>
          <w:highlight w:val="none"/>
        </w:rPr>
      </w:pPr>
    </w:p>
    <w:p>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业绩情况一览表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36"/>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2"/>
        <w:gridCol w:w="2495"/>
        <w:gridCol w:w="2693"/>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甲方名称</w:t>
            </w:r>
          </w:p>
        </w:tc>
        <w:tc>
          <w:tcPr>
            <w:tcW w:w="249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合同金额(万元)</w:t>
            </w: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合同</w:t>
            </w:r>
            <w:r>
              <w:rPr>
                <w:rFonts w:hint="eastAsia" w:ascii="宋体" w:hAnsi="宋体"/>
                <w:color w:val="auto"/>
                <w:szCs w:val="21"/>
                <w:highlight w:val="none"/>
                <w:lang w:val="en-US" w:eastAsia="zh-CN"/>
              </w:rPr>
              <w:t>材料</w:t>
            </w:r>
            <w:r>
              <w:rPr>
                <w:rFonts w:hint="eastAsia" w:ascii="宋体" w:hAnsi="宋体"/>
                <w:color w:val="auto"/>
                <w:szCs w:val="21"/>
                <w:highlight w:val="none"/>
              </w:rPr>
              <w:t>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r>
    </w:tbl>
    <w:p>
      <w:pPr>
        <w:spacing w:line="340" w:lineRule="exact"/>
        <w:ind w:firstLine="422" w:firstLineChars="200"/>
        <w:rPr>
          <w:b/>
          <w:color w:val="auto"/>
          <w:szCs w:val="21"/>
          <w:highlight w:val="none"/>
        </w:rPr>
      </w:pPr>
      <w:r>
        <w:rPr>
          <w:rFonts w:hint="eastAsia"/>
          <w:b/>
          <w:color w:val="auto"/>
          <w:szCs w:val="21"/>
          <w:highlight w:val="none"/>
        </w:rPr>
        <w:t>注：</w:t>
      </w:r>
      <w:r>
        <w:rPr>
          <w:rFonts w:hint="eastAsia"/>
          <w:color w:val="auto"/>
          <w:szCs w:val="21"/>
          <w:highlight w:val="none"/>
        </w:rPr>
        <w:t>业绩证明指</w:t>
      </w:r>
      <w:r>
        <w:rPr>
          <w:rFonts w:hint="eastAsia" w:ascii="宋体" w:hAnsi="宋体" w:cs="仿宋_GB2312"/>
          <w:color w:val="auto"/>
          <w:szCs w:val="21"/>
          <w:highlight w:val="none"/>
        </w:rPr>
        <w:t>供应商</w:t>
      </w:r>
      <w:r>
        <w:rPr>
          <w:rFonts w:ascii="宋体" w:hAnsi="宋体" w:cs="仿宋_GB2312"/>
          <w:color w:val="auto"/>
          <w:szCs w:val="21"/>
          <w:highlight w:val="none"/>
        </w:rPr>
        <w:t>自20</w:t>
      </w:r>
      <w:r>
        <w:rPr>
          <w:rFonts w:hint="eastAsia" w:ascii="宋体" w:hAnsi="宋体" w:cs="仿宋_GB2312"/>
          <w:color w:val="auto"/>
          <w:szCs w:val="21"/>
          <w:highlight w:val="none"/>
          <w:lang w:val="en-US" w:eastAsia="zh-CN"/>
        </w:rPr>
        <w:t>21</w:t>
      </w:r>
      <w:r>
        <w:rPr>
          <w:rFonts w:hint="eastAsia" w:ascii="宋体" w:hAnsi="宋体" w:cs="仿宋_GB2312"/>
          <w:color w:val="auto"/>
          <w:szCs w:val="21"/>
          <w:highlight w:val="none"/>
        </w:rPr>
        <w:t>年1月1日</w:t>
      </w:r>
      <w:r>
        <w:rPr>
          <w:rFonts w:ascii="宋体" w:hAnsi="宋体" w:cs="仿宋_GB2312"/>
          <w:color w:val="auto"/>
          <w:szCs w:val="21"/>
          <w:highlight w:val="none"/>
        </w:rPr>
        <w:t>以来</w:t>
      </w:r>
      <w:r>
        <w:rPr>
          <w:rFonts w:hint="eastAsia" w:ascii="宋体" w:hAnsi="宋体" w:cs="仿宋_GB2312"/>
          <w:color w:val="auto"/>
          <w:szCs w:val="21"/>
          <w:highlight w:val="none"/>
        </w:rPr>
        <w:t>的同类项目证明材料</w:t>
      </w:r>
      <w:r>
        <w:rPr>
          <w:rFonts w:hint="eastAsia"/>
          <w:bCs/>
          <w:color w:val="auto"/>
          <w:szCs w:val="21"/>
          <w:highlight w:val="none"/>
        </w:rPr>
        <w:t>。</w:t>
      </w:r>
    </w:p>
    <w:p>
      <w:pPr>
        <w:rPr>
          <w:color w:val="auto"/>
          <w:highlight w:val="none"/>
        </w:rPr>
      </w:pPr>
    </w:p>
    <w:p>
      <w:pPr>
        <w:rPr>
          <w:color w:val="auto"/>
          <w:highlight w:val="none"/>
        </w:rPr>
      </w:pPr>
    </w:p>
    <w:p>
      <w:pPr>
        <w:spacing w:line="400" w:lineRule="exact"/>
        <w:ind w:left="6092" w:leftChars="2766" w:right="592" w:rightChars="282" w:hanging="283" w:hangingChars="135"/>
        <w:jc w:val="left"/>
        <w:rPr>
          <w:rFonts w:hint="eastAsia"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snapToGrid w:val="0"/>
        <w:spacing w:before="50" w:after="50" w:line="350" w:lineRule="exact"/>
        <w:ind w:right="-817" w:rightChars="-389"/>
        <w:rPr>
          <w:color w:val="auto"/>
          <w:highlight w:val="none"/>
        </w:rPr>
      </w:pPr>
      <w:r>
        <w:rPr>
          <w:color w:val="auto"/>
          <w:highlight w:val="none"/>
        </w:rPr>
        <w:br w:type="page"/>
      </w:r>
    </w:p>
    <w:p>
      <w:pPr>
        <w:spacing w:line="320" w:lineRule="exact"/>
        <w:jc w:val="left"/>
        <w:rPr>
          <w:color w:val="auto"/>
          <w:highlight w:val="none"/>
        </w:rPr>
      </w:pPr>
    </w:p>
    <w:p>
      <w:pPr>
        <w:jc w:val="left"/>
        <w:rPr>
          <w:rFonts w:hint="eastAsia" w:ascii="宋体" w:hAnsi="宋体"/>
          <w:b/>
          <w:bCs/>
          <w:color w:val="auto"/>
          <w:sz w:val="36"/>
          <w:szCs w:val="36"/>
          <w:highlight w:val="none"/>
        </w:rPr>
      </w:pPr>
      <w:r>
        <w:rPr>
          <w:rFonts w:hint="eastAsia" w:ascii="宋体" w:hAnsi="宋体"/>
          <w:b/>
          <w:bCs/>
          <w:color w:val="auto"/>
          <w:sz w:val="36"/>
          <w:szCs w:val="36"/>
          <w:highlight w:val="none"/>
        </w:rPr>
        <w:t>三、报价文件</w:t>
      </w:r>
    </w:p>
    <w:p>
      <w:pPr>
        <w:jc w:val="center"/>
        <w:rPr>
          <w:rFonts w:hint="eastAsia" w:ascii="仿宋" w:hAnsi="仿宋" w:eastAsia="仿宋"/>
          <w:b/>
          <w:bCs/>
          <w:color w:val="auto"/>
          <w:sz w:val="30"/>
          <w:szCs w:val="30"/>
          <w:highlight w:val="none"/>
        </w:rPr>
      </w:pPr>
      <w:r>
        <w:rPr>
          <w:rFonts w:hint="eastAsia" w:ascii="仿宋" w:hAnsi="仿宋" w:eastAsia="仿宋"/>
          <w:b/>
          <w:bCs/>
          <w:color w:val="auto"/>
          <w:sz w:val="32"/>
          <w:szCs w:val="32"/>
          <w:highlight w:val="none"/>
        </w:rPr>
        <w:t>报价明细表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400" w:lineRule="exact"/>
        <w:jc w:val="left"/>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jc w:val="lef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3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822" w:type="dxa"/>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服务内容</w:t>
            </w:r>
          </w:p>
        </w:tc>
        <w:tc>
          <w:tcPr>
            <w:tcW w:w="3378"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报价</w:t>
            </w:r>
          </w:p>
        </w:tc>
        <w:tc>
          <w:tcPr>
            <w:tcW w:w="1386"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822" w:type="dxa"/>
            <w:vAlign w:val="center"/>
          </w:tcPr>
          <w:p>
            <w:pPr>
              <w:widowControl/>
              <w:jc w:val="center"/>
              <w:rPr>
                <w:rFonts w:hint="eastAsia" w:ascii="宋体" w:hAnsi="宋体"/>
                <w:bCs/>
                <w:color w:val="auto"/>
                <w:highlight w:val="none"/>
              </w:rPr>
            </w:pPr>
          </w:p>
        </w:tc>
        <w:tc>
          <w:tcPr>
            <w:tcW w:w="3378" w:type="dxa"/>
            <w:vAlign w:val="center"/>
          </w:tcPr>
          <w:p>
            <w:pPr>
              <w:widowControl/>
              <w:spacing w:line="500" w:lineRule="exact"/>
              <w:jc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元整</w:t>
            </w:r>
          </w:p>
          <w:p>
            <w:pPr>
              <w:widowControl/>
              <w:spacing w:line="500" w:lineRule="exac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tc>
        <w:tc>
          <w:tcPr>
            <w:tcW w:w="1386" w:type="dxa"/>
            <w:vAlign w:val="center"/>
          </w:tcPr>
          <w:p>
            <w:pPr>
              <w:widowControl/>
              <w:jc w:val="center"/>
              <w:rPr>
                <w:rFonts w:hint="eastAsia" w:ascii="宋体" w:hAnsi="宋体" w:cs="宋体"/>
                <w:color w:val="auto"/>
                <w:kern w:val="0"/>
                <w:szCs w:val="21"/>
                <w:highlight w:val="none"/>
              </w:rPr>
            </w:pPr>
          </w:p>
        </w:tc>
      </w:tr>
    </w:tbl>
    <w:p>
      <w:pPr>
        <w:spacing w:line="440" w:lineRule="exact"/>
        <w:rPr>
          <w:rFonts w:hint="eastAsia"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rPr>
          <w:color w:val="auto"/>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w:t>
      </w:r>
      <w:r>
        <w:rPr>
          <w:rFonts w:hint="eastAsia" w:hAnsi="宋体"/>
          <w:bCs/>
          <w:color w:val="auto"/>
          <w:highlight w:val="none"/>
        </w:rPr>
        <w:t>供应商应根据本采购文件指定格式正确填写报价，采取以总价包干方式承包以上所述服务内容，并给出项目总报价。</w:t>
      </w:r>
    </w:p>
    <w:p>
      <w:pPr>
        <w:pStyle w:val="22"/>
        <w:spacing w:before="50" w:after="50" w:line="360" w:lineRule="exact"/>
        <w:ind w:firstLine="420"/>
        <w:rPr>
          <w:color w:val="auto"/>
          <w:highlight w:val="none"/>
        </w:rPr>
      </w:pPr>
      <w:r>
        <w:rPr>
          <w:color w:val="auto"/>
          <w:highlight w:val="none"/>
        </w:rPr>
        <w:t>3</w:t>
      </w:r>
      <w:r>
        <w:rPr>
          <w:rFonts w:hint="eastAsia"/>
          <w:color w:val="auto"/>
          <w:highlight w:val="none"/>
        </w:rPr>
        <w:t>.在符合总体要求的前提下，供应商可对采购文件中没有提及的内容按自己的理解适当增加，但有关价格及费用必须在响应文件中单独列出，并说明理由。</w:t>
      </w:r>
    </w:p>
    <w:p>
      <w:pPr>
        <w:pStyle w:val="22"/>
        <w:spacing w:before="50" w:after="50" w:line="360" w:lineRule="exact"/>
        <w:ind w:firstLine="420"/>
        <w:rPr>
          <w:color w:val="auto"/>
          <w:highlight w:val="none"/>
        </w:rPr>
      </w:pPr>
      <w:r>
        <w:rPr>
          <w:color w:val="auto"/>
          <w:highlight w:val="none"/>
        </w:rPr>
        <w:t>4.</w:t>
      </w:r>
      <w:r>
        <w:rPr>
          <w:rFonts w:hint="eastAsia" w:hAnsi="宋体"/>
          <w:color w:val="auto"/>
          <w:highlight w:val="none"/>
        </w:rPr>
        <w:t>报价为全包价，以人民币为结算单位。在合同实施时，采购人将不予支付成交供应商没有列入的项目费用，并认为此项目的费用已包括在总报价中。采购人不再支付合同以外的其他费用。</w:t>
      </w:r>
    </w:p>
    <w:p>
      <w:pPr>
        <w:rPr>
          <w:color w:val="auto"/>
          <w:highlight w:val="none"/>
        </w:rPr>
      </w:pPr>
    </w:p>
    <w:p>
      <w:pPr>
        <w:rPr>
          <w:color w:val="auto"/>
          <w:highlight w:val="none"/>
        </w:rPr>
      </w:pPr>
    </w:p>
    <w:p>
      <w:pPr>
        <w:rPr>
          <w:color w:val="auto"/>
          <w:highlight w:val="none"/>
        </w:rPr>
      </w:pPr>
    </w:p>
    <w:p>
      <w:pPr>
        <w:pStyle w:val="22"/>
        <w:spacing w:line="440" w:lineRule="exact"/>
        <w:ind w:firstLine="3675" w:firstLineChars="1750"/>
        <w:rPr>
          <w:rFonts w:hint="eastAsia" w:hAnsi="宋体"/>
          <w:color w:val="auto"/>
          <w:highlight w:val="none"/>
          <w:u w:val="single"/>
        </w:rPr>
      </w:pPr>
      <w:r>
        <w:rPr>
          <w:rFonts w:hint="eastAsia" w:hAnsi="宋体"/>
          <w:color w:val="auto"/>
          <w:highlight w:val="none"/>
        </w:rPr>
        <w:t>法定代表人或授权代表（签名）：</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pStyle w:val="22"/>
        <w:spacing w:line="440" w:lineRule="exact"/>
        <w:ind w:firstLine="3675" w:firstLineChars="1750"/>
        <w:rPr>
          <w:rFonts w:hint="eastAsia" w:hAnsi="宋体"/>
          <w:color w:val="auto"/>
          <w:highlight w:val="none"/>
          <w:u w:val="singl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spacing w:line="440" w:lineRule="exact"/>
        <w:ind w:firstLine="3675" w:firstLineChars="1750"/>
        <w:rPr>
          <w:rFonts w:hint="eastAsia"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Adobe 仿宋 Std R">
    <w:altName w:val="仿宋"/>
    <w:panose1 w:val="020204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6"/>
          <w:jc w:val="center"/>
        </w:pPr>
        <w:r>
          <w:fldChar w:fldCharType="begin"/>
        </w:r>
        <w:r>
          <w:instrText xml:space="preserve">PAGE   \* MERGEFORMAT</w:instrText>
        </w:r>
        <w:r>
          <w:fldChar w:fldCharType="separate"/>
        </w:r>
        <w:r>
          <w:t>2</w:t>
        </w:r>
        <w:r>
          <w:fldChar w:fldCharType="end"/>
        </w:r>
      </w:p>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rPr>
      <w:t xml:space="preserve">钦州市政府采购中心                  </w:t>
    </w:r>
    <w:r>
      <w:t xml:space="preserve"> </w:t>
    </w:r>
    <w:r>
      <w:rPr>
        <w:rFonts w:hint="eastAsia"/>
      </w:rPr>
      <w:t>钦州市电子政务外网二期（含电子口岸专线）线路服务(</w:t>
    </w:r>
    <w:r>
      <w:rPr>
        <w:rFonts w:hint="eastAsia"/>
        <w:lang w:eastAsia="zh-CN"/>
      </w:rPr>
      <w:t>QZZC2025-C3-990082-QZSZ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74010"/>
    <w:multiLevelType w:val="singleLevel"/>
    <w:tmpl w:val="80A74010"/>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20"/>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7"/>
      <w:suff w:val="nothing"/>
      <w:lvlText w:val=""/>
      <w:lvlJc w:val="left"/>
      <w:pPr>
        <w:ind w:left="142" w:firstLine="0"/>
      </w:pPr>
      <w:rPr>
        <w:rFonts w:hint="eastAsia"/>
      </w:rPr>
    </w:lvl>
    <w:lvl w:ilvl="5" w:tentative="0">
      <w:start w:val="1"/>
      <w:numFmt w:val="none"/>
      <w:pStyle w:val="9"/>
      <w:suff w:val="nothing"/>
      <w:lvlText w:val=""/>
      <w:lvlJc w:val="left"/>
      <w:pPr>
        <w:ind w:left="142" w:firstLine="0"/>
      </w:pPr>
      <w:rPr>
        <w:rFonts w:hint="eastAsia"/>
      </w:rPr>
    </w:lvl>
    <w:lvl w:ilvl="6" w:tentative="0">
      <w:start w:val="1"/>
      <w:numFmt w:val="none"/>
      <w:pStyle w:val="10"/>
      <w:suff w:val="nothing"/>
      <w:lvlText w:val=""/>
      <w:lvlJc w:val="left"/>
      <w:pPr>
        <w:ind w:left="142" w:firstLine="0"/>
      </w:pPr>
      <w:rPr>
        <w:rFonts w:hint="eastAsia"/>
      </w:rPr>
    </w:lvl>
    <w:lvl w:ilvl="7" w:tentative="0">
      <w:start w:val="1"/>
      <w:numFmt w:val="none"/>
      <w:pStyle w:val="11"/>
      <w:suff w:val="nothing"/>
      <w:lvlText w:val=""/>
      <w:lvlJc w:val="left"/>
      <w:pPr>
        <w:ind w:left="142" w:firstLine="0"/>
      </w:pPr>
      <w:rPr>
        <w:rFonts w:hint="eastAsia"/>
      </w:rPr>
    </w:lvl>
    <w:lvl w:ilvl="8" w:tentative="0">
      <w:start w:val="1"/>
      <w:numFmt w:val="none"/>
      <w:pStyle w:val="12"/>
      <w:suff w:val="nothing"/>
      <w:lvlText w:val=""/>
      <w:lvlJc w:val="left"/>
      <w:pPr>
        <w:ind w:left="142" w:firstLine="0"/>
      </w:pPr>
      <w:rPr>
        <w:rFonts w:hint="eastAsia"/>
      </w:rPr>
    </w:lvl>
  </w:abstractNum>
  <w:abstractNum w:abstractNumId="2">
    <w:nsid w:val="434B39DA"/>
    <w:multiLevelType w:val="singleLevel"/>
    <w:tmpl w:val="434B39D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WQyZWFiOWFiMDFiNjVjN2I4ZTUyMTVjMTg4M2U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D69"/>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1F72"/>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C676A"/>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0C4D"/>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87DFC"/>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6C01"/>
    <w:rsid w:val="002A724F"/>
    <w:rsid w:val="002A7B53"/>
    <w:rsid w:val="002B05B1"/>
    <w:rsid w:val="002B0C56"/>
    <w:rsid w:val="002B128E"/>
    <w:rsid w:val="002B1B6D"/>
    <w:rsid w:val="002B213F"/>
    <w:rsid w:val="002B278C"/>
    <w:rsid w:val="002B2D48"/>
    <w:rsid w:val="002B31A3"/>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1AB6"/>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4B69"/>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129"/>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562A"/>
    <w:rsid w:val="00465DDA"/>
    <w:rsid w:val="00465E8B"/>
    <w:rsid w:val="0046640E"/>
    <w:rsid w:val="004665CA"/>
    <w:rsid w:val="00467256"/>
    <w:rsid w:val="00467674"/>
    <w:rsid w:val="00467882"/>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547"/>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235E"/>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3FD"/>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84D"/>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0AF"/>
    <w:rsid w:val="007246ED"/>
    <w:rsid w:val="00725A8D"/>
    <w:rsid w:val="00727851"/>
    <w:rsid w:val="00727B18"/>
    <w:rsid w:val="00727D5D"/>
    <w:rsid w:val="00727FA5"/>
    <w:rsid w:val="007314A9"/>
    <w:rsid w:val="007318E5"/>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217"/>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548A"/>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1658"/>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5CAA"/>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4B87"/>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328"/>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AC2"/>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1837"/>
    <w:rsid w:val="009C20F0"/>
    <w:rsid w:val="009C336E"/>
    <w:rsid w:val="009C3DE4"/>
    <w:rsid w:val="009C49F0"/>
    <w:rsid w:val="009C4C7E"/>
    <w:rsid w:val="009C517F"/>
    <w:rsid w:val="009C5240"/>
    <w:rsid w:val="009C566F"/>
    <w:rsid w:val="009C56FC"/>
    <w:rsid w:val="009C5ABE"/>
    <w:rsid w:val="009C6600"/>
    <w:rsid w:val="009C72E1"/>
    <w:rsid w:val="009C769F"/>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45EEF"/>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31D"/>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2F2E"/>
    <w:rsid w:val="00B43466"/>
    <w:rsid w:val="00B43B96"/>
    <w:rsid w:val="00B449D1"/>
    <w:rsid w:val="00B4541F"/>
    <w:rsid w:val="00B45583"/>
    <w:rsid w:val="00B45B7A"/>
    <w:rsid w:val="00B46195"/>
    <w:rsid w:val="00B46918"/>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2D36"/>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17B62"/>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0CD3"/>
    <w:rsid w:val="00D61112"/>
    <w:rsid w:val="00D62347"/>
    <w:rsid w:val="00D64D10"/>
    <w:rsid w:val="00D64FEC"/>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1B11"/>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67"/>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1A2"/>
    <w:rsid w:val="00ED145A"/>
    <w:rsid w:val="00ED183B"/>
    <w:rsid w:val="00ED2F0F"/>
    <w:rsid w:val="00ED3203"/>
    <w:rsid w:val="00ED337A"/>
    <w:rsid w:val="00ED367A"/>
    <w:rsid w:val="00ED40EE"/>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1633"/>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D5A"/>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282"/>
    <w:rsid w:val="00FF0310"/>
    <w:rsid w:val="00FF11DA"/>
    <w:rsid w:val="00FF23DE"/>
    <w:rsid w:val="00FF2792"/>
    <w:rsid w:val="00FF3258"/>
    <w:rsid w:val="00FF38CF"/>
    <w:rsid w:val="00FF59D0"/>
    <w:rsid w:val="00FF7454"/>
    <w:rsid w:val="016528CA"/>
    <w:rsid w:val="017054B6"/>
    <w:rsid w:val="01AC75F0"/>
    <w:rsid w:val="01BF37C7"/>
    <w:rsid w:val="01BF5575"/>
    <w:rsid w:val="01DB1C83"/>
    <w:rsid w:val="01FB5C4F"/>
    <w:rsid w:val="0213141D"/>
    <w:rsid w:val="02491AB4"/>
    <w:rsid w:val="0256548E"/>
    <w:rsid w:val="027345B1"/>
    <w:rsid w:val="02890D36"/>
    <w:rsid w:val="029370C7"/>
    <w:rsid w:val="029B0E51"/>
    <w:rsid w:val="02BD75DA"/>
    <w:rsid w:val="02D7069C"/>
    <w:rsid w:val="02FF41F8"/>
    <w:rsid w:val="0314419D"/>
    <w:rsid w:val="03AF786B"/>
    <w:rsid w:val="03D12F2D"/>
    <w:rsid w:val="03F86B1C"/>
    <w:rsid w:val="04602913"/>
    <w:rsid w:val="04E24159"/>
    <w:rsid w:val="04E81B1A"/>
    <w:rsid w:val="05097AD0"/>
    <w:rsid w:val="050A7344"/>
    <w:rsid w:val="05CC0E93"/>
    <w:rsid w:val="06443FD4"/>
    <w:rsid w:val="068273C6"/>
    <w:rsid w:val="06AF2ACB"/>
    <w:rsid w:val="06F47713"/>
    <w:rsid w:val="071C5217"/>
    <w:rsid w:val="07277E4A"/>
    <w:rsid w:val="0748600C"/>
    <w:rsid w:val="08073E22"/>
    <w:rsid w:val="083420ED"/>
    <w:rsid w:val="084A7A59"/>
    <w:rsid w:val="08822685"/>
    <w:rsid w:val="08B0222D"/>
    <w:rsid w:val="08C41BCC"/>
    <w:rsid w:val="08FA104A"/>
    <w:rsid w:val="08FA57C7"/>
    <w:rsid w:val="0983332C"/>
    <w:rsid w:val="09863BAB"/>
    <w:rsid w:val="09AA1547"/>
    <w:rsid w:val="09AA4D5C"/>
    <w:rsid w:val="09B63701"/>
    <w:rsid w:val="09E85885"/>
    <w:rsid w:val="0A20501F"/>
    <w:rsid w:val="0A344626"/>
    <w:rsid w:val="0A765FB8"/>
    <w:rsid w:val="0A814349"/>
    <w:rsid w:val="0AED6133"/>
    <w:rsid w:val="0AF8308E"/>
    <w:rsid w:val="0BB04180"/>
    <w:rsid w:val="0BC22AFC"/>
    <w:rsid w:val="0BCF2858"/>
    <w:rsid w:val="0BD55995"/>
    <w:rsid w:val="0BF91683"/>
    <w:rsid w:val="0C006EB6"/>
    <w:rsid w:val="0C483CB5"/>
    <w:rsid w:val="0C5F0057"/>
    <w:rsid w:val="0D8D654B"/>
    <w:rsid w:val="0D8F7828"/>
    <w:rsid w:val="0D984ECC"/>
    <w:rsid w:val="0DA914DF"/>
    <w:rsid w:val="0DE335FC"/>
    <w:rsid w:val="0DFE7425"/>
    <w:rsid w:val="0E0130FC"/>
    <w:rsid w:val="0E213113"/>
    <w:rsid w:val="0E263246"/>
    <w:rsid w:val="0E3015D7"/>
    <w:rsid w:val="0E6A02CB"/>
    <w:rsid w:val="0EC266A4"/>
    <w:rsid w:val="0F9067A2"/>
    <w:rsid w:val="0FB71F81"/>
    <w:rsid w:val="0FC87CEA"/>
    <w:rsid w:val="10036F74"/>
    <w:rsid w:val="101500B2"/>
    <w:rsid w:val="10507C42"/>
    <w:rsid w:val="105A7962"/>
    <w:rsid w:val="109C3C4F"/>
    <w:rsid w:val="10E36DA6"/>
    <w:rsid w:val="114F5A7F"/>
    <w:rsid w:val="11513D10"/>
    <w:rsid w:val="115C57C9"/>
    <w:rsid w:val="11692E07"/>
    <w:rsid w:val="116A4DD1"/>
    <w:rsid w:val="117143B2"/>
    <w:rsid w:val="117F087D"/>
    <w:rsid w:val="11AE4CBE"/>
    <w:rsid w:val="11C40985"/>
    <w:rsid w:val="11F62C07"/>
    <w:rsid w:val="11FA08A7"/>
    <w:rsid w:val="124F3295"/>
    <w:rsid w:val="12D44BF8"/>
    <w:rsid w:val="13737B75"/>
    <w:rsid w:val="138403CC"/>
    <w:rsid w:val="13B43E61"/>
    <w:rsid w:val="13CE5AEB"/>
    <w:rsid w:val="13DD5026"/>
    <w:rsid w:val="13F84916"/>
    <w:rsid w:val="147719A1"/>
    <w:rsid w:val="14891625"/>
    <w:rsid w:val="148C1946"/>
    <w:rsid w:val="14B8240A"/>
    <w:rsid w:val="1527796B"/>
    <w:rsid w:val="154C7218"/>
    <w:rsid w:val="15677C26"/>
    <w:rsid w:val="16323F16"/>
    <w:rsid w:val="165A3666"/>
    <w:rsid w:val="167F30CD"/>
    <w:rsid w:val="16826719"/>
    <w:rsid w:val="16E80C72"/>
    <w:rsid w:val="17016D2B"/>
    <w:rsid w:val="172A3039"/>
    <w:rsid w:val="17707100"/>
    <w:rsid w:val="17853822"/>
    <w:rsid w:val="17E06C0C"/>
    <w:rsid w:val="183343B1"/>
    <w:rsid w:val="18947263"/>
    <w:rsid w:val="18992D98"/>
    <w:rsid w:val="18B01F9D"/>
    <w:rsid w:val="18BF3C55"/>
    <w:rsid w:val="18D47700"/>
    <w:rsid w:val="196C5A40"/>
    <w:rsid w:val="198463D0"/>
    <w:rsid w:val="19BE215E"/>
    <w:rsid w:val="19BE3F0C"/>
    <w:rsid w:val="19C2556A"/>
    <w:rsid w:val="19C41B53"/>
    <w:rsid w:val="1A1A2CBB"/>
    <w:rsid w:val="1A2608F3"/>
    <w:rsid w:val="1A2C356C"/>
    <w:rsid w:val="1A336B23"/>
    <w:rsid w:val="1A6A51B6"/>
    <w:rsid w:val="1B7A20B5"/>
    <w:rsid w:val="1B9C202B"/>
    <w:rsid w:val="1BAF1D5E"/>
    <w:rsid w:val="1BCD57AB"/>
    <w:rsid w:val="1C0E1A98"/>
    <w:rsid w:val="1C444B9D"/>
    <w:rsid w:val="1C490289"/>
    <w:rsid w:val="1C5E5533"/>
    <w:rsid w:val="1C6F4FB4"/>
    <w:rsid w:val="1CA6768D"/>
    <w:rsid w:val="1CB331B1"/>
    <w:rsid w:val="1CB735C0"/>
    <w:rsid w:val="1CDB5968"/>
    <w:rsid w:val="1CDC20BC"/>
    <w:rsid w:val="1CE70364"/>
    <w:rsid w:val="1D1F6145"/>
    <w:rsid w:val="1D4F1A4B"/>
    <w:rsid w:val="1D540E0F"/>
    <w:rsid w:val="1D54432D"/>
    <w:rsid w:val="1D9425D3"/>
    <w:rsid w:val="1DB60C13"/>
    <w:rsid w:val="1E2D620F"/>
    <w:rsid w:val="1E422931"/>
    <w:rsid w:val="1E8F7C25"/>
    <w:rsid w:val="1EB65B04"/>
    <w:rsid w:val="1F5E4382"/>
    <w:rsid w:val="1F8F2FC4"/>
    <w:rsid w:val="1FA31BDA"/>
    <w:rsid w:val="1FF24910"/>
    <w:rsid w:val="20174376"/>
    <w:rsid w:val="20325EC0"/>
    <w:rsid w:val="203B0065"/>
    <w:rsid w:val="20621846"/>
    <w:rsid w:val="208244E5"/>
    <w:rsid w:val="210F451A"/>
    <w:rsid w:val="212154AC"/>
    <w:rsid w:val="215A09BE"/>
    <w:rsid w:val="21BD09EA"/>
    <w:rsid w:val="21C734F7"/>
    <w:rsid w:val="21D2510C"/>
    <w:rsid w:val="22B60C01"/>
    <w:rsid w:val="231879A1"/>
    <w:rsid w:val="239A46F7"/>
    <w:rsid w:val="23C15E1B"/>
    <w:rsid w:val="23CB7951"/>
    <w:rsid w:val="24005895"/>
    <w:rsid w:val="24030E99"/>
    <w:rsid w:val="2411343C"/>
    <w:rsid w:val="24170DE9"/>
    <w:rsid w:val="24213A15"/>
    <w:rsid w:val="249B1639"/>
    <w:rsid w:val="249F6523"/>
    <w:rsid w:val="25B84A72"/>
    <w:rsid w:val="25C44DD5"/>
    <w:rsid w:val="26062EC3"/>
    <w:rsid w:val="2699467B"/>
    <w:rsid w:val="26B50755"/>
    <w:rsid w:val="26C1503C"/>
    <w:rsid w:val="26CA35AD"/>
    <w:rsid w:val="26D11723"/>
    <w:rsid w:val="27541A0C"/>
    <w:rsid w:val="27C351B9"/>
    <w:rsid w:val="27CC3C98"/>
    <w:rsid w:val="27DC6979"/>
    <w:rsid w:val="28B1694E"/>
    <w:rsid w:val="28BC0562"/>
    <w:rsid w:val="2939535D"/>
    <w:rsid w:val="29437F8A"/>
    <w:rsid w:val="29747D10"/>
    <w:rsid w:val="29787C34"/>
    <w:rsid w:val="29EE3795"/>
    <w:rsid w:val="2A2D713F"/>
    <w:rsid w:val="2A423861"/>
    <w:rsid w:val="2A63541A"/>
    <w:rsid w:val="2A8F5EDF"/>
    <w:rsid w:val="2AA84B6D"/>
    <w:rsid w:val="2ABF0192"/>
    <w:rsid w:val="2AFB6893"/>
    <w:rsid w:val="2B844FB6"/>
    <w:rsid w:val="2B9176D3"/>
    <w:rsid w:val="2B937D0B"/>
    <w:rsid w:val="2BE90905"/>
    <w:rsid w:val="2C0C6D59"/>
    <w:rsid w:val="2D4B38B1"/>
    <w:rsid w:val="2DA55B88"/>
    <w:rsid w:val="2E1E06B9"/>
    <w:rsid w:val="2E786928"/>
    <w:rsid w:val="2EB61B31"/>
    <w:rsid w:val="2EF8259B"/>
    <w:rsid w:val="2EFC30B5"/>
    <w:rsid w:val="2F064E19"/>
    <w:rsid w:val="2F2954D5"/>
    <w:rsid w:val="2F5F095E"/>
    <w:rsid w:val="2F665BC2"/>
    <w:rsid w:val="2F794705"/>
    <w:rsid w:val="2F9959A7"/>
    <w:rsid w:val="2FDE4A00"/>
    <w:rsid w:val="2FFD0E93"/>
    <w:rsid w:val="30240B15"/>
    <w:rsid w:val="30450A8C"/>
    <w:rsid w:val="30A957E4"/>
    <w:rsid w:val="30AC28B9"/>
    <w:rsid w:val="30BE4A0D"/>
    <w:rsid w:val="30C56DD2"/>
    <w:rsid w:val="30EE1123"/>
    <w:rsid w:val="313F372D"/>
    <w:rsid w:val="316F5DC0"/>
    <w:rsid w:val="31843689"/>
    <w:rsid w:val="318A2BFA"/>
    <w:rsid w:val="3198766B"/>
    <w:rsid w:val="319D0DD6"/>
    <w:rsid w:val="31A812D2"/>
    <w:rsid w:val="31F2079F"/>
    <w:rsid w:val="32DE1F01"/>
    <w:rsid w:val="32FD283D"/>
    <w:rsid w:val="331630E9"/>
    <w:rsid w:val="335F6FD7"/>
    <w:rsid w:val="34087045"/>
    <w:rsid w:val="34C131AF"/>
    <w:rsid w:val="34E87C04"/>
    <w:rsid w:val="352B64A2"/>
    <w:rsid w:val="352E7D40"/>
    <w:rsid w:val="35301D0A"/>
    <w:rsid w:val="35452190"/>
    <w:rsid w:val="35476355"/>
    <w:rsid w:val="356928AF"/>
    <w:rsid w:val="356E280A"/>
    <w:rsid w:val="35BC513F"/>
    <w:rsid w:val="35D501BC"/>
    <w:rsid w:val="35D579E0"/>
    <w:rsid w:val="35DB17EF"/>
    <w:rsid w:val="35F727E8"/>
    <w:rsid w:val="36013D27"/>
    <w:rsid w:val="36025D97"/>
    <w:rsid w:val="36B26ACA"/>
    <w:rsid w:val="36DB3EF8"/>
    <w:rsid w:val="36E47B9D"/>
    <w:rsid w:val="37110C64"/>
    <w:rsid w:val="37164F30"/>
    <w:rsid w:val="374641B3"/>
    <w:rsid w:val="375A12C0"/>
    <w:rsid w:val="37CB5D1A"/>
    <w:rsid w:val="3859271F"/>
    <w:rsid w:val="38673C95"/>
    <w:rsid w:val="38733E42"/>
    <w:rsid w:val="38C2712E"/>
    <w:rsid w:val="38E2156D"/>
    <w:rsid w:val="394F0285"/>
    <w:rsid w:val="39A62C24"/>
    <w:rsid w:val="39DF7ECE"/>
    <w:rsid w:val="3A0A0D7C"/>
    <w:rsid w:val="3A29797A"/>
    <w:rsid w:val="3A3E409C"/>
    <w:rsid w:val="3A5B7D04"/>
    <w:rsid w:val="3A8221F6"/>
    <w:rsid w:val="3A993EAE"/>
    <w:rsid w:val="3AAC1E33"/>
    <w:rsid w:val="3ABB3E24"/>
    <w:rsid w:val="3AC53AEC"/>
    <w:rsid w:val="3AFB781A"/>
    <w:rsid w:val="3B1D351E"/>
    <w:rsid w:val="3B2575DE"/>
    <w:rsid w:val="3B2714BA"/>
    <w:rsid w:val="3B365BA1"/>
    <w:rsid w:val="3B60677A"/>
    <w:rsid w:val="3B941916"/>
    <w:rsid w:val="3BAC19BF"/>
    <w:rsid w:val="3C682428"/>
    <w:rsid w:val="3D3222CC"/>
    <w:rsid w:val="3D417B8C"/>
    <w:rsid w:val="3D4402AC"/>
    <w:rsid w:val="3D4C5F1D"/>
    <w:rsid w:val="3D803103"/>
    <w:rsid w:val="3D8D7280"/>
    <w:rsid w:val="3DDA0A65"/>
    <w:rsid w:val="3DFF671E"/>
    <w:rsid w:val="3E157CEF"/>
    <w:rsid w:val="3E1A5671"/>
    <w:rsid w:val="3E3F4B8A"/>
    <w:rsid w:val="3E3F7E22"/>
    <w:rsid w:val="3E481E73"/>
    <w:rsid w:val="3E546A69"/>
    <w:rsid w:val="3E667CEF"/>
    <w:rsid w:val="3EAB41B0"/>
    <w:rsid w:val="3ED34AA0"/>
    <w:rsid w:val="3EF73899"/>
    <w:rsid w:val="3F2A54AE"/>
    <w:rsid w:val="3F6E789D"/>
    <w:rsid w:val="3F747F0C"/>
    <w:rsid w:val="3FE04FF8"/>
    <w:rsid w:val="3FED2FEE"/>
    <w:rsid w:val="40B118C6"/>
    <w:rsid w:val="40EB11DB"/>
    <w:rsid w:val="412874F2"/>
    <w:rsid w:val="412C5A7C"/>
    <w:rsid w:val="41BD0482"/>
    <w:rsid w:val="41C73BAC"/>
    <w:rsid w:val="41FF0A9A"/>
    <w:rsid w:val="42014C57"/>
    <w:rsid w:val="42161379"/>
    <w:rsid w:val="42323CE4"/>
    <w:rsid w:val="424B1F31"/>
    <w:rsid w:val="42703746"/>
    <w:rsid w:val="429F227D"/>
    <w:rsid w:val="42AF6075"/>
    <w:rsid w:val="42CF43AB"/>
    <w:rsid w:val="42ED4D97"/>
    <w:rsid w:val="42EE6E5E"/>
    <w:rsid w:val="43204EC2"/>
    <w:rsid w:val="436E046A"/>
    <w:rsid w:val="438576C5"/>
    <w:rsid w:val="43AD2778"/>
    <w:rsid w:val="43C845C3"/>
    <w:rsid w:val="43E837B0"/>
    <w:rsid w:val="43FE2FD4"/>
    <w:rsid w:val="45123FBD"/>
    <w:rsid w:val="45336CAD"/>
    <w:rsid w:val="455C6204"/>
    <w:rsid w:val="45CF5A88"/>
    <w:rsid w:val="45D264C6"/>
    <w:rsid w:val="45E05E02"/>
    <w:rsid w:val="46737A24"/>
    <w:rsid w:val="46885E2A"/>
    <w:rsid w:val="46B207D1"/>
    <w:rsid w:val="46CA0433"/>
    <w:rsid w:val="47833F1C"/>
    <w:rsid w:val="47865EBD"/>
    <w:rsid w:val="48270D4B"/>
    <w:rsid w:val="48516FB5"/>
    <w:rsid w:val="48AF2AEE"/>
    <w:rsid w:val="48B459D5"/>
    <w:rsid w:val="48FF5A97"/>
    <w:rsid w:val="49452A17"/>
    <w:rsid w:val="49497D40"/>
    <w:rsid w:val="498875C7"/>
    <w:rsid w:val="49B303BC"/>
    <w:rsid w:val="4A8561FD"/>
    <w:rsid w:val="4A9216E3"/>
    <w:rsid w:val="4AE820F1"/>
    <w:rsid w:val="4B4D6D1A"/>
    <w:rsid w:val="4BC845F3"/>
    <w:rsid w:val="4BCA036B"/>
    <w:rsid w:val="4C2F6420"/>
    <w:rsid w:val="4C520360"/>
    <w:rsid w:val="4C662717"/>
    <w:rsid w:val="4CB13567"/>
    <w:rsid w:val="4D037E68"/>
    <w:rsid w:val="4D10647F"/>
    <w:rsid w:val="4D5A571F"/>
    <w:rsid w:val="4E2D4BE1"/>
    <w:rsid w:val="4E3F66C2"/>
    <w:rsid w:val="4E634927"/>
    <w:rsid w:val="4E782796"/>
    <w:rsid w:val="4E9E6D0A"/>
    <w:rsid w:val="4EFB3A84"/>
    <w:rsid w:val="4F105D44"/>
    <w:rsid w:val="4F355850"/>
    <w:rsid w:val="4F5C4B3F"/>
    <w:rsid w:val="4F5D14F6"/>
    <w:rsid w:val="4F8B14B0"/>
    <w:rsid w:val="4FB671CF"/>
    <w:rsid w:val="4FEE276A"/>
    <w:rsid w:val="4FF37764"/>
    <w:rsid w:val="4FFD7F4B"/>
    <w:rsid w:val="501F5F01"/>
    <w:rsid w:val="506D2760"/>
    <w:rsid w:val="50BF05A8"/>
    <w:rsid w:val="515801C7"/>
    <w:rsid w:val="51E152C2"/>
    <w:rsid w:val="51E504F4"/>
    <w:rsid w:val="52077FA0"/>
    <w:rsid w:val="52495986"/>
    <w:rsid w:val="52846D9A"/>
    <w:rsid w:val="528F2655"/>
    <w:rsid w:val="52F61E27"/>
    <w:rsid w:val="533F163E"/>
    <w:rsid w:val="53661218"/>
    <w:rsid w:val="53691AF8"/>
    <w:rsid w:val="53EB4DFF"/>
    <w:rsid w:val="53F02939"/>
    <w:rsid w:val="545A6004"/>
    <w:rsid w:val="545C6276"/>
    <w:rsid w:val="54C939AE"/>
    <w:rsid w:val="54DD6AF9"/>
    <w:rsid w:val="552542AB"/>
    <w:rsid w:val="553B7BE4"/>
    <w:rsid w:val="55546EF7"/>
    <w:rsid w:val="556C60B3"/>
    <w:rsid w:val="557E5D22"/>
    <w:rsid w:val="55943798"/>
    <w:rsid w:val="55A35789"/>
    <w:rsid w:val="55AF412E"/>
    <w:rsid w:val="561A74D1"/>
    <w:rsid w:val="56A417B8"/>
    <w:rsid w:val="57283E0B"/>
    <w:rsid w:val="574A1DC1"/>
    <w:rsid w:val="57C00B06"/>
    <w:rsid w:val="57C546E0"/>
    <w:rsid w:val="57CC0FC7"/>
    <w:rsid w:val="58021570"/>
    <w:rsid w:val="580E5197"/>
    <w:rsid w:val="5831455A"/>
    <w:rsid w:val="58485292"/>
    <w:rsid w:val="5863030F"/>
    <w:rsid w:val="5906339C"/>
    <w:rsid w:val="592616D2"/>
    <w:rsid w:val="59341B00"/>
    <w:rsid w:val="594971F2"/>
    <w:rsid w:val="59DE0E81"/>
    <w:rsid w:val="59F55223"/>
    <w:rsid w:val="59FF35B4"/>
    <w:rsid w:val="5A166E71"/>
    <w:rsid w:val="5AC71F19"/>
    <w:rsid w:val="5AE470AA"/>
    <w:rsid w:val="5B242EC8"/>
    <w:rsid w:val="5B301727"/>
    <w:rsid w:val="5B5A5DEF"/>
    <w:rsid w:val="5BC56904"/>
    <w:rsid w:val="5BDE576D"/>
    <w:rsid w:val="5C0A6E8C"/>
    <w:rsid w:val="5C7659A5"/>
    <w:rsid w:val="5CC1326B"/>
    <w:rsid w:val="5CC929ED"/>
    <w:rsid w:val="5CEC2D02"/>
    <w:rsid w:val="5D215911"/>
    <w:rsid w:val="5D2353DA"/>
    <w:rsid w:val="5D3A4C25"/>
    <w:rsid w:val="5D44739C"/>
    <w:rsid w:val="5D541157"/>
    <w:rsid w:val="5DA36C6E"/>
    <w:rsid w:val="5DAD189A"/>
    <w:rsid w:val="5DB744C7"/>
    <w:rsid w:val="5E0D40E7"/>
    <w:rsid w:val="5E8E6FD6"/>
    <w:rsid w:val="5EBC3A41"/>
    <w:rsid w:val="5EC24ED2"/>
    <w:rsid w:val="5EC65064"/>
    <w:rsid w:val="5ED864A3"/>
    <w:rsid w:val="5F074FDA"/>
    <w:rsid w:val="5F304531"/>
    <w:rsid w:val="5F6D531F"/>
    <w:rsid w:val="5FAE2505"/>
    <w:rsid w:val="5FD66420"/>
    <w:rsid w:val="5FE00EBE"/>
    <w:rsid w:val="5FE33352"/>
    <w:rsid w:val="5FE377F5"/>
    <w:rsid w:val="5FE5531C"/>
    <w:rsid w:val="60056797"/>
    <w:rsid w:val="60F8107F"/>
    <w:rsid w:val="61094D40"/>
    <w:rsid w:val="614172DE"/>
    <w:rsid w:val="6160574F"/>
    <w:rsid w:val="61F23D20"/>
    <w:rsid w:val="61F42ED5"/>
    <w:rsid w:val="621E68C3"/>
    <w:rsid w:val="62CC4571"/>
    <w:rsid w:val="62E35058"/>
    <w:rsid w:val="631A52DC"/>
    <w:rsid w:val="63411AEC"/>
    <w:rsid w:val="634405AB"/>
    <w:rsid w:val="636A546F"/>
    <w:rsid w:val="64405703"/>
    <w:rsid w:val="6511265D"/>
    <w:rsid w:val="651C4271"/>
    <w:rsid w:val="652C7549"/>
    <w:rsid w:val="655D7702"/>
    <w:rsid w:val="65767F1F"/>
    <w:rsid w:val="65A74E21"/>
    <w:rsid w:val="65A93AD5"/>
    <w:rsid w:val="662B3EC2"/>
    <w:rsid w:val="663366B5"/>
    <w:rsid w:val="664D59C9"/>
    <w:rsid w:val="6656236E"/>
    <w:rsid w:val="66754F1F"/>
    <w:rsid w:val="66B25BAB"/>
    <w:rsid w:val="67796A91"/>
    <w:rsid w:val="67CC4F63"/>
    <w:rsid w:val="6808013C"/>
    <w:rsid w:val="681E586F"/>
    <w:rsid w:val="68490BA5"/>
    <w:rsid w:val="68686AEA"/>
    <w:rsid w:val="6872092B"/>
    <w:rsid w:val="687234C5"/>
    <w:rsid w:val="68A320F0"/>
    <w:rsid w:val="68C10A03"/>
    <w:rsid w:val="68E54CA7"/>
    <w:rsid w:val="691702F9"/>
    <w:rsid w:val="692E7F1E"/>
    <w:rsid w:val="69430A4C"/>
    <w:rsid w:val="69584DB0"/>
    <w:rsid w:val="697D0373"/>
    <w:rsid w:val="69847A9A"/>
    <w:rsid w:val="6997407C"/>
    <w:rsid w:val="6A242849"/>
    <w:rsid w:val="6A753740"/>
    <w:rsid w:val="6A7C5CBA"/>
    <w:rsid w:val="6ADF78E5"/>
    <w:rsid w:val="6B032AFA"/>
    <w:rsid w:val="6B0B3C2C"/>
    <w:rsid w:val="6B7874F8"/>
    <w:rsid w:val="6B8D0D02"/>
    <w:rsid w:val="6BA51E03"/>
    <w:rsid w:val="6BD6020E"/>
    <w:rsid w:val="6C0818DE"/>
    <w:rsid w:val="6C335661"/>
    <w:rsid w:val="6C5775A1"/>
    <w:rsid w:val="6C584782"/>
    <w:rsid w:val="6C6B6BA9"/>
    <w:rsid w:val="6C7C2B89"/>
    <w:rsid w:val="6CB30AE5"/>
    <w:rsid w:val="6D5A0320"/>
    <w:rsid w:val="6D5D0BE7"/>
    <w:rsid w:val="6E92338D"/>
    <w:rsid w:val="6E9543B1"/>
    <w:rsid w:val="6E957F0D"/>
    <w:rsid w:val="6EA50F15"/>
    <w:rsid w:val="6EB215D3"/>
    <w:rsid w:val="6EE82732"/>
    <w:rsid w:val="6F1218C9"/>
    <w:rsid w:val="6F143527"/>
    <w:rsid w:val="6F35142D"/>
    <w:rsid w:val="6F392F8E"/>
    <w:rsid w:val="6F685621"/>
    <w:rsid w:val="6FE0340A"/>
    <w:rsid w:val="6FE10C9C"/>
    <w:rsid w:val="70257F20"/>
    <w:rsid w:val="70375E28"/>
    <w:rsid w:val="703F45D4"/>
    <w:rsid w:val="70593DDE"/>
    <w:rsid w:val="707D334E"/>
    <w:rsid w:val="70DF5DB7"/>
    <w:rsid w:val="714F4CEB"/>
    <w:rsid w:val="71883D59"/>
    <w:rsid w:val="72111FA0"/>
    <w:rsid w:val="72401A80"/>
    <w:rsid w:val="72465CF0"/>
    <w:rsid w:val="7261486E"/>
    <w:rsid w:val="726D505F"/>
    <w:rsid w:val="728A58AF"/>
    <w:rsid w:val="7298562B"/>
    <w:rsid w:val="729A4E44"/>
    <w:rsid w:val="72BC63B0"/>
    <w:rsid w:val="72D46DF2"/>
    <w:rsid w:val="73047240"/>
    <w:rsid w:val="73331C5E"/>
    <w:rsid w:val="737361D7"/>
    <w:rsid w:val="73BC5F3C"/>
    <w:rsid w:val="73D96AEE"/>
    <w:rsid w:val="74125278"/>
    <w:rsid w:val="744A3547"/>
    <w:rsid w:val="7474619D"/>
    <w:rsid w:val="748563E6"/>
    <w:rsid w:val="74B3733F"/>
    <w:rsid w:val="74D13C69"/>
    <w:rsid w:val="74FC0CE6"/>
    <w:rsid w:val="75435570"/>
    <w:rsid w:val="762F0AE4"/>
    <w:rsid w:val="765E373E"/>
    <w:rsid w:val="768D3BBF"/>
    <w:rsid w:val="76912AA8"/>
    <w:rsid w:val="76936197"/>
    <w:rsid w:val="76FA22C3"/>
    <w:rsid w:val="77000D51"/>
    <w:rsid w:val="770943E5"/>
    <w:rsid w:val="775B41FB"/>
    <w:rsid w:val="77B75398"/>
    <w:rsid w:val="77B92EBE"/>
    <w:rsid w:val="786E0F20"/>
    <w:rsid w:val="78827754"/>
    <w:rsid w:val="788F00C3"/>
    <w:rsid w:val="78A53442"/>
    <w:rsid w:val="79004B1D"/>
    <w:rsid w:val="79AE6327"/>
    <w:rsid w:val="7A2D6D03"/>
    <w:rsid w:val="7A604F75"/>
    <w:rsid w:val="7A6510DB"/>
    <w:rsid w:val="7AA15E8B"/>
    <w:rsid w:val="7AC878BC"/>
    <w:rsid w:val="7AD2618C"/>
    <w:rsid w:val="7AEA7832"/>
    <w:rsid w:val="7AF244C2"/>
    <w:rsid w:val="7B530520"/>
    <w:rsid w:val="7B674F74"/>
    <w:rsid w:val="7B6E2211"/>
    <w:rsid w:val="7C484810"/>
    <w:rsid w:val="7C4A4A2C"/>
    <w:rsid w:val="7C8313D5"/>
    <w:rsid w:val="7C9E6B26"/>
    <w:rsid w:val="7CB1637A"/>
    <w:rsid w:val="7CD07583"/>
    <w:rsid w:val="7D033D2B"/>
    <w:rsid w:val="7D0564AB"/>
    <w:rsid w:val="7D1961AD"/>
    <w:rsid w:val="7D382AD7"/>
    <w:rsid w:val="7D5052A6"/>
    <w:rsid w:val="7D670C49"/>
    <w:rsid w:val="7D8C697F"/>
    <w:rsid w:val="7D990C4B"/>
    <w:rsid w:val="7DC224E6"/>
    <w:rsid w:val="7DE50961"/>
    <w:rsid w:val="7E813419"/>
    <w:rsid w:val="7E867872"/>
    <w:rsid w:val="7F0204F0"/>
    <w:rsid w:val="7F106C3A"/>
    <w:rsid w:val="7FBE4DEA"/>
    <w:rsid w:val="7FD22FF6"/>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2"/>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58"/>
    <w:qFormat/>
    <w:uiPriority w:val="9"/>
    <w:pPr>
      <w:keepNext/>
      <w:keepLines/>
      <w:spacing w:before="260" w:after="260" w:line="416" w:lineRule="auto"/>
      <w:outlineLvl w:val="2"/>
    </w:pPr>
    <w:rPr>
      <w:b/>
      <w:bCs/>
      <w:sz w:val="32"/>
      <w:szCs w:val="32"/>
    </w:rPr>
  </w:style>
  <w:style w:type="paragraph" w:styleId="6">
    <w:name w:val="heading 4"/>
    <w:basedOn w:val="1"/>
    <w:next w:val="1"/>
    <w:link w:val="1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8"/>
    <w:link w:val="126"/>
    <w:qFormat/>
    <w:uiPriority w:val="9"/>
    <w:pPr>
      <w:keepNext/>
      <w:keepLines/>
      <w:numPr>
        <w:ilvl w:val="4"/>
        <w:numId w:val="1"/>
      </w:numPr>
      <w:spacing w:before="280" w:after="290" w:line="376" w:lineRule="auto"/>
      <w:outlineLvl w:val="4"/>
    </w:pPr>
    <w:rPr>
      <w:b/>
      <w:sz w:val="28"/>
    </w:rPr>
  </w:style>
  <w:style w:type="paragraph" w:styleId="9">
    <w:name w:val="heading 6"/>
    <w:basedOn w:val="1"/>
    <w:next w:val="8"/>
    <w:link w:val="127"/>
    <w:qFormat/>
    <w:uiPriority w:val="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28"/>
    <w:qFormat/>
    <w:uiPriority w:val="9"/>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0"/>
    <w:qFormat/>
    <w:uiPriority w:val="9"/>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link w:val="56"/>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Document Map"/>
    <w:basedOn w:val="1"/>
    <w:link w:val="132"/>
    <w:qFormat/>
    <w:uiPriority w:val="99"/>
    <w:pPr>
      <w:shd w:val="clear" w:color="auto" w:fill="000080"/>
    </w:pPr>
  </w:style>
  <w:style w:type="paragraph" w:styleId="16">
    <w:name w:val="annotation text"/>
    <w:basedOn w:val="1"/>
    <w:link w:val="72"/>
    <w:qFormat/>
    <w:uiPriority w:val="99"/>
    <w:pPr>
      <w:jc w:val="left"/>
    </w:pPr>
  </w:style>
  <w:style w:type="paragraph" w:styleId="17">
    <w:name w:val="Body Text 3"/>
    <w:basedOn w:val="1"/>
    <w:qFormat/>
    <w:uiPriority w:val="0"/>
    <w:pPr>
      <w:spacing w:line="500" w:lineRule="exact"/>
    </w:pPr>
    <w:rPr>
      <w:b/>
      <w:bCs/>
      <w:sz w:val="24"/>
    </w:rPr>
  </w:style>
  <w:style w:type="paragraph" w:styleId="18">
    <w:name w:val="Body Text"/>
    <w:basedOn w:val="1"/>
    <w:link w:val="133"/>
    <w:qFormat/>
    <w:uiPriority w:val="0"/>
    <w:pPr>
      <w:spacing w:line="380" w:lineRule="exact"/>
    </w:pPr>
    <w:rPr>
      <w:sz w:val="24"/>
    </w:rPr>
  </w:style>
  <w:style w:type="paragraph" w:styleId="19">
    <w:name w:val="Body Text Indent"/>
    <w:basedOn w:val="1"/>
    <w:link w:val="65"/>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2"/>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link w:val="71"/>
    <w:qFormat/>
    <w:uiPriority w:val="99"/>
    <w:rPr>
      <w:sz w:val="18"/>
      <w:szCs w:val="18"/>
      <w:lang w:val="zh-CN"/>
    </w:rPr>
  </w:style>
  <w:style w:type="paragraph" w:styleId="26">
    <w:name w:val="footer"/>
    <w:basedOn w:val="1"/>
    <w:link w:val="67"/>
    <w:qFormat/>
    <w:uiPriority w:val="99"/>
    <w:pPr>
      <w:tabs>
        <w:tab w:val="center" w:pos="4153"/>
        <w:tab w:val="right" w:pos="8306"/>
      </w:tabs>
      <w:snapToGrid w:val="0"/>
      <w:jc w:val="left"/>
    </w:pPr>
    <w:rPr>
      <w:sz w:val="18"/>
      <w:szCs w:val="18"/>
      <w:lang w:val="zh-CN"/>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0"/>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6"/>
    <w:next w:val="16"/>
    <w:link w:val="83"/>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qFormat/>
    <w:uiPriority w:val="0"/>
    <w:rPr>
      <w:rFonts w:ascii="Times New Roman" w:hAnsi="Times New Roman" w:eastAsia="宋体" w:cs="Times New Roman"/>
      <w:color w:val="CC0033"/>
    </w:rPr>
  </w:style>
  <w:style w:type="character" w:styleId="43">
    <w:name w:val="Hyperlink"/>
    <w:qFormat/>
    <w:uiPriority w:val="99"/>
    <w:rPr>
      <w:rFonts w:ascii="Times New Roman" w:hAnsi="Times New Roman" w:eastAsia="宋体" w:cs="Times New Roman"/>
      <w:color w:val="0000FF"/>
      <w:u w:val="single"/>
    </w:rPr>
  </w:style>
  <w:style w:type="character" w:styleId="44">
    <w:name w:val="annotation reference"/>
    <w:qFormat/>
    <w:uiPriority w:val="0"/>
    <w:rPr>
      <w:rFonts w:ascii="Times New Roman" w:hAnsi="Times New Roman" w:eastAsia="宋体" w:cs="Times New Roman"/>
      <w:sz w:val="21"/>
      <w:szCs w:val="21"/>
    </w:rPr>
  </w:style>
  <w:style w:type="character" w:customStyle="1" w:styleId="45">
    <w:name w:val="font21"/>
    <w:qFormat/>
    <w:uiPriority w:val="0"/>
    <w:rPr>
      <w:rFonts w:hint="eastAsia" w:ascii="宋体" w:hAnsi="宋体" w:eastAsia="宋体" w:cs="宋体"/>
      <w:color w:val="000000"/>
      <w:sz w:val="20"/>
      <w:szCs w:val="20"/>
    </w:rPr>
  </w:style>
  <w:style w:type="character" w:customStyle="1" w:styleId="46">
    <w:name w:val="st1"/>
    <w:qFormat/>
    <w:uiPriority w:val="0"/>
    <w:rPr>
      <w:rFonts w:ascii="Times New Roman" w:hAnsi="Times New Roman" w:eastAsia="宋体" w:cs="Times New Roman"/>
    </w:rPr>
  </w:style>
  <w:style w:type="character" w:customStyle="1" w:styleId="47">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48">
    <w:name w:val="ca-2"/>
    <w:qFormat/>
    <w:uiPriority w:val="0"/>
    <w:rPr>
      <w:rFonts w:ascii="Times New Roman" w:hAnsi="Times New Roman" w:eastAsia="宋体" w:cs="Times New Roman"/>
    </w:rPr>
  </w:style>
  <w:style w:type="character" w:customStyle="1" w:styleId="49">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0">
    <w:name w:val="1ji Char"/>
    <w:link w:val="51"/>
    <w:qFormat/>
    <w:uiPriority w:val="0"/>
    <w:rPr>
      <w:rFonts w:ascii="宋体" w:hAnsi="宋体" w:eastAsia="仿宋_GB2312" w:cs="Times New Roman"/>
      <w:b/>
      <w:bCs/>
      <w:kern w:val="44"/>
      <w:sz w:val="36"/>
      <w:szCs w:val="44"/>
      <w:lang w:val="en-US" w:eastAsia="zh-CN" w:bidi="ar-SA"/>
    </w:rPr>
  </w:style>
  <w:style w:type="paragraph" w:customStyle="1" w:styleId="51">
    <w:name w:val="1ji"/>
    <w:basedOn w:val="3"/>
    <w:link w:val="50"/>
    <w:qFormat/>
    <w:uiPriority w:val="0"/>
    <w:pPr>
      <w:keepLines w:val="0"/>
      <w:widowControl/>
      <w:spacing w:before="0" w:after="0" w:line="240" w:lineRule="auto"/>
    </w:pPr>
    <w:rPr>
      <w:rFonts w:ascii="宋体" w:hAnsi="宋体"/>
      <w:sz w:val="36"/>
    </w:rPr>
  </w:style>
  <w:style w:type="character" w:customStyle="1" w:styleId="52">
    <w:name w:val="纯文本 字符"/>
    <w:link w:val="22"/>
    <w:qFormat/>
    <w:uiPriority w:val="0"/>
    <w:rPr>
      <w:rFonts w:ascii="宋体" w:hAnsi="Courier New" w:eastAsia="宋体" w:cs="Courier New"/>
      <w:kern w:val="2"/>
      <w:sz w:val="21"/>
      <w:szCs w:val="21"/>
      <w:lang w:val="en-US" w:eastAsia="zh-CN" w:bidi="ar-SA"/>
    </w:rPr>
  </w:style>
  <w:style w:type="character" w:customStyle="1" w:styleId="53">
    <w:name w:val="font41"/>
    <w:qFormat/>
    <w:uiPriority w:val="0"/>
    <w:rPr>
      <w:rFonts w:hint="default" w:ascii="Times New Roman" w:hAnsi="Times New Roman" w:eastAsia="宋体" w:cs="Times New Roman"/>
      <w:color w:val="000000"/>
      <w:sz w:val="20"/>
      <w:szCs w:val="20"/>
    </w:rPr>
  </w:style>
  <w:style w:type="character" w:customStyle="1" w:styleId="54">
    <w:name w:val="font31"/>
    <w:qFormat/>
    <w:uiPriority w:val="0"/>
    <w:rPr>
      <w:rFonts w:hint="default" w:ascii="Times New Roman" w:hAnsi="Times New Roman" w:eastAsia="宋体" w:cs="Times New Roman"/>
      <w:color w:val="000000"/>
      <w:sz w:val="20"/>
      <w:szCs w:val="20"/>
    </w:rPr>
  </w:style>
  <w:style w:type="character" w:customStyle="1" w:styleId="55">
    <w:name w:val="apple-style-span"/>
    <w:qFormat/>
    <w:uiPriority w:val="0"/>
    <w:rPr>
      <w:rFonts w:ascii="Times New Roman" w:hAnsi="Times New Roman" w:eastAsia="宋体" w:cs="Times New Roman"/>
    </w:rPr>
  </w:style>
  <w:style w:type="character" w:customStyle="1" w:styleId="56">
    <w:name w:val="正文缩进 字符"/>
    <w:link w:val="8"/>
    <w:qFormat/>
    <w:uiPriority w:val="0"/>
    <w:rPr>
      <w:rFonts w:ascii="Times New Roman" w:hAnsi="Times New Roman" w:eastAsia="宋体" w:cs="Times New Roman"/>
      <w:kern w:val="2"/>
      <w:sz w:val="21"/>
      <w:lang w:val="en-US" w:eastAsia="zh-CN" w:bidi="ar-SA"/>
    </w:rPr>
  </w:style>
  <w:style w:type="character" w:customStyle="1" w:styleId="57">
    <w:name w:val="font51"/>
    <w:qFormat/>
    <w:uiPriority w:val="0"/>
    <w:rPr>
      <w:rFonts w:hint="default" w:ascii="Times New Roman" w:hAnsi="Times New Roman" w:eastAsia="宋体" w:cs="Times New Roman"/>
      <w:color w:val="000000"/>
      <w:sz w:val="20"/>
      <w:szCs w:val="20"/>
    </w:rPr>
  </w:style>
  <w:style w:type="character" w:customStyle="1" w:styleId="58">
    <w:name w:val="标题 3 字符"/>
    <w:link w:val="5"/>
    <w:qFormat/>
    <w:uiPriority w:val="9"/>
    <w:rPr>
      <w:rFonts w:ascii="Times New Roman" w:hAnsi="Times New Roman" w:eastAsia="宋体" w:cs="Times New Roman"/>
      <w:b/>
      <w:bCs/>
      <w:kern w:val="2"/>
      <w:sz w:val="32"/>
      <w:szCs w:val="32"/>
      <w:lang w:val="en-US" w:eastAsia="zh-CN" w:bidi="ar-SA"/>
    </w:rPr>
  </w:style>
  <w:style w:type="character" w:customStyle="1" w:styleId="59">
    <w:name w:val="apple-converted-space"/>
    <w:qFormat/>
    <w:uiPriority w:val="0"/>
    <w:rPr>
      <w:rFonts w:ascii="Times New Roman" w:hAnsi="Times New Roman" w:eastAsia="宋体" w:cs="Times New Roman"/>
    </w:rPr>
  </w:style>
  <w:style w:type="character" w:customStyle="1" w:styleId="60">
    <w:name w:val="Header Char"/>
    <w:qFormat/>
    <w:uiPriority w:val="0"/>
    <w:rPr>
      <w:rFonts w:ascii="Calibri" w:hAnsi="Calibri" w:eastAsia="宋体" w:cs="Times New Roman"/>
      <w:kern w:val="2"/>
      <w:sz w:val="18"/>
      <w:szCs w:val="18"/>
      <w:lang w:val="en-US" w:eastAsia="zh-CN" w:bidi="ar-SA"/>
    </w:rPr>
  </w:style>
  <w:style w:type="character" w:customStyle="1" w:styleId="61">
    <w:name w:val="Footer Char"/>
    <w:qFormat/>
    <w:uiPriority w:val="0"/>
    <w:rPr>
      <w:rFonts w:ascii="Calibri" w:hAnsi="Calibri" w:eastAsia="宋体" w:cs="Times New Roman"/>
      <w:kern w:val="2"/>
      <w:sz w:val="18"/>
      <w:szCs w:val="18"/>
      <w:lang w:val="en-US" w:eastAsia="zh-CN" w:bidi="ar-SA"/>
    </w:rPr>
  </w:style>
  <w:style w:type="character" w:customStyle="1" w:styleId="62">
    <w:name w:val="Plain Text Char"/>
    <w:qFormat/>
    <w:uiPriority w:val="0"/>
    <w:rPr>
      <w:rFonts w:ascii="宋体" w:hAnsi="Courier New" w:eastAsia="宋体" w:cs="Times New Roman"/>
      <w:lang w:bidi="ar-SA"/>
    </w:rPr>
  </w:style>
  <w:style w:type="character" w:customStyle="1" w:styleId="63">
    <w:name w:val="普通文字 Char Char3"/>
    <w:qFormat/>
    <w:uiPriority w:val="0"/>
    <w:rPr>
      <w:rFonts w:ascii="宋体" w:hAnsi="Times New Roman" w:eastAsia="宋体" w:cs="Courier New"/>
      <w:kern w:val="2"/>
      <w:sz w:val="21"/>
      <w:szCs w:val="21"/>
      <w:lang w:val="en-US" w:eastAsia="zh-CN" w:bidi="ar-SA"/>
    </w:rPr>
  </w:style>
  <w:style w:type="character" w:customStyle="1" w:styleId="64">
    <w:name w:val="样式 正文 +"/>
    <w:qFormat/>
    <w:uiPriority w:val="0"/>
    <w:rPr>
      <w:rFonts w:ascii="Times New Roman" w:hAnsi="Times New Roman" w:eastAsia="宋体" w:cs="Times New Roman"/>
      <w:kern w:val="0"/>
      <w:sz w:val="28"/>
    </w:rPr>
  </w:style>
  <w:style w:type="character" w:customStyle="1" w:styleId="65">
    <w:name w:val="正文文本缩进 字符"/>
    <w:link w:val="19"/>
    <w:qFormat/>
    <w:uiPriority w:val="0"/>
    <w:rPr>
      <w:rFonts w:ascii="仿宋_GB2312" w:hAnsi="Times New Roman" w:eastAsia="仿宋_GB2312" w:cs="Times New Roman"/>
      <w:kern w:val="2"/>
      <w:sz w:val="32"/>
      <w:lang w:val="en-US" w:eastAsia="zh-CN" w:bidi="ar-SA"/>
    </w:rPr>
  </w:style>
  <w:style w:type="character" w:customStyle="1" w:styleId="66">
    <w:name w:val="普通文字 Char Char2"/>
    <w:qFormat/>
    <w:uiPriority w:val="0"/>
    <w:rPr>
      <w:rFonts w:ascii="宋体" w:hAnsi="Courier New" w:eastAsia="宋体" w:cs="Times New Roman"/>
      <w:kern w:val="2"/>
      <w:sz w:val="21"/>
      <w:lang w:val="en-US" w:eastAsia="zh-CN" w:bidi="ar-SA"/>
    </w:rPr>
  </w:style>
  <w:style w:type="character" w:customStyle="1" w:styleId="67">
    <w:name w:val="页脚 字符"/>
    <w:link w:val="26"/>
    <w:qFormat/>
    <w:uiPriority w:val="99"/>
    <w:rPr>
      <w:rFonts w:ascii="Times New Roman" w:hAnsi="Times New Roman" w:eastAsia="宋体" w:cs="Times New Roman"/>
      <w:kern w:val="2"/>
      <w:sz w:val="18"/>
      <w:szCs w:val="18"/>
    </w:rPr>
  </w:style>
  <w:style w:type="character" w:customStyle="1" w:styleId="68">
    <w:name w:val="样式 宋体 小四"/>
    <w:qFormat/>
    <w:uiPriority w:val="0"/>
    <w:rPr>
      <w:rFonts w:ascii="宋体" w:hAnsi="宋体" w:eastAsia="宋体" w:cs="Times New Roman"/>
      <w:sz w:val="24"/>
    </w:rPr>
  </w:style>
  <w:style w:type="character" w:customStyle="1" w:styleId="69">
    <w:name w:val="页眉 字符"/>
    <w:link w:val="27"/>
    <w:qFormat/>
    <w:uiPriority w:val="99"/>
    <w:rPr>
      <w:rFonts w:ascii="Times New Roman" w:hAnsi="Times New Roman" w:eastAsia="宋体" w:cs="Times New Roman"/>
      <w:kern w:val="2"/>
      <w:sz w:val="18"/>
      <w:szCs w:val="18"/>
      <w:lang w:val="en-US" w:eastAsia="zh-CN" w:bidi="ar-SA"/>
    </w:rPr>
  </w:style>
  <w:style w:type="character" w:customStyle="1" w:styleId="70">
    <w:name w:val="副标题 字符"/>
    <w:link w:val="29"/>
    <w:qFormat/>
    <w:uiPriority w:val="0"/>
    <w:rPr>
      <w:rFonts w:ascii="Cambria" w:hAnsi="Cambria" w:eastAsia="宋体" w:cs="Times New Roman"/>
      <w:b/>
      <w:bCs/>
      <w:kern w:val="28"/>
      <w:sz w:val="28"/>
      <w:szCs w:val="32"/>
      <w:lang w:val="en-US" w:eastAsia="zh-CN" w:bidi="ar-SA"/>
    </w:rPr>
  </w:style>
  <w:style w:type="character" w:customStyle="1" w:styleId="71">
    <w:name w:val="批注框文本 字符"/>
    <w:link w:val="25"/>
    <w:qFormat/>
    <w:uiPriority w:val="99"/>
    <w:rPr>
      <w:rFonts w:ascii="Times New Roman" w:hAnsi="Times New Roman" w:eastAsia="宋体" w:cs="Times New Roman"/>
      <w:kern w:val="2"/>
      <w:sz w:val="18"/>
      <w:szCs w:val="18"/>
    </w:rPr>
  </w:style>
  <w:style w:type="character" w:customStyle="1" w:styleId="72">
    <w:name w:val="批注文字 字符"/>
    <w:link w:val="16"/>
    <w:qFormat/>
    <w:uiPriority w:val="99"/>
    <w:rPr>
      <w:rFonts w:ascii="Times New Roman" w:hAnsi="Times New Roman" w:eastAsia="宋体" w:cs="Times New Roman"/>
      <w:kern w:val="2"/>
      <w:sz w:val="21"/>
      <w:szCs w:val="24"/>
      <w:lang w:val="en-US" w:eastAsia="zh-CN" w:bidi="ar-SA"/>
    </w:rPr>
  </w:style>
  <w:style w:type="character" w:customStyle="1" w:styleId="73">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4">
    <w:name w:val="ca-1"/>
    <w:qFormat/>
    <w:uiPriority w:val="0"/>
    <w:rPr>
      <w:rFonts w:ascii="Times New Roman" w:hAnsi="Times New Roman" w:eastAsia="宋体" w:cs="Times New Roman"/>
    </w:rPr>
  </w:style>
  <w:style w:type="character" w:customStyle="1" w:styleId="75">
    <w:name w:val="正文360首行缩进 Char"/>
    <w:link w:val="76"/>
    <w:qFormat/>
    <w:uiPriority w:val="0"/>
    <w:rPr>
      <w:rFonts w:ascii="Times New Roman" w:hAnsi="Times New Roman" w:eastAsia="宋体" w:cs="Times New Roman"/>
      <w:sz w:val="24"/>
      <w:szCs w:val="24"/>
    </w:rPr>
  </w:style>
  <w:style w:type="paragraph" w:customStyle="1" w:styleId="76">
    <w:name w:val="正文360首行缩进"/>
    <w:basedOn w:val="1"/>
    <w:link w:val="75"/>
    <w:qFormat/>
    <w:uiPriority w:val="0"/>
    <w:pPr>
      <w:widowControl/>
      <w:spacing w:before="120" w:line="300" w:lineRule="auto"/>
      <w:ind w:firstLine="200"/>
      <w:jc w:val="left"/>
    </w:pPr>
    <w:rPr>
      <w:kern w:val="0"/>
      <w:sz w:val="24"/>
    </w:rPr>
  </w:style>
  <w:style w:type="character" w:customStyle="1" w:styleId="77">
    <w:name w:val="List Paragraph Char"/>
    <w:link w:val="78"/>
    <w:qFormat/>
    <w:locked/>
    <w:uiPriority w:val="0"/>
    <w:rPr>
      <w:rFonts w:ascii="宋体" w:hAnsi="宋体" w:cs="宋体"/>
      <w:sz w:val="24"/>
      <w:szCs w:val="24"/>
    </w:rPr>
  </w:style>
  <w:style w:type="paragraph" w:customStyle="1" w:styleId="78">
    <w:name w:val="列表段落1"/>
    <w:basedOn w:val="1"/>
    <w:link w:val="77"/>
    <w:qFormat/>
    <w:uiPriority w:val="0"/>
    <w:pPr>
      <w:widowControl/>
      <w:ind w:firstLine="420" w:firstLineChars="200"/>
      <w:jc w:val="left"/>
    </w:pPr>
    <w:rPr>
      <w:rFonts w:ascii="宋体" w:hAnsi="宋体"/>
      <w:kern w:val="0"/>
      <w:sz w:val="24"/>
      <w:lang w:val="zh-CN"/>
    </w:rPr>
  </w:style>
  <w:style w:type="character" w:customStyle="1" w:styleId="79">
    <w:name w:val="yyii"/>
    <w:qFormat/>
    <w:uiPriority w:val="0"/>
    <w:rPr>
      <w:rFonts w:ascii="Times New Roman" w:hAnsi="Times New Roman" w:eastAsia="宋体" w:cs="Times New Roman"/>
    </w:rPr>
  </w:style>
  <w:style w:type="character" w:customStyle="1" w:styleId="80">
    <w:name w:val="纯文本 Char1"/>
    <w:qFormat/>
    <w:uiPriority w:val="0"/>
    <w:rPr>
      <w:rFonts w:ascii="宋体" w:hAnsi="Courier New" w:eastAsia="宋体" w:cs="Times New Roman"/>
      <w:kern w:val="2"/>
      <w:sz w:val="21"/>
    </w:rPr>
  </w:style>
  <w:style w:type="character" w:customStyle="1" w:styleId="81">
    <w:name w:val="标题 1 Char1"/>
    <w:qFormat/>
    <w:uiPriority w:val="0"/>
    <w:rPr>
      <w:rFonts w:ascii="Times New Roman" w:hAnsi="Times New Roman" w:eastAsia="宋体" w:cs="Times New Roman"/>
      <w:b/>
      <w:bCs/>
      <w:kern w:val="44"/>
      <w:sz w:val="44"/>
      <w:szCs w:val="44"/>
    </w:rPr>
  </w:style>
  <w:style w:type="character" w:customStyle="1" w:styleId="82">
    <w:name w:val="标题 2 字符"/>
    <w:link w:val="4"/>
    <w:qFormat/>
    <w:uiPriority w:val="9"/>
    <w:rPr>
      <w:rFonts w:ascii="Arial" w:hAnsi="Arial" w:eastAsia="黑体"/>
      <w:b/>
      <w:bCs/>
      <w:kern w:val="2"/>
      <w:sz w:val="24"/>
      <w:szCs w:val="32"/>
    </w:rPr>
  </w:style>
  <w:style w:type="character" w:customStyle="1" w:styleId="83">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4">
    <w:name w:val="目录 11"/>
    <w:basedOn w:val="1"/>
    <w:next w:val="1"/>
    <w:qFormat/>
    <w:uiPriority w:val="39"/>
  </w:style>
  <w:style w:type="paragraph" w:customStyle="1" w:styleId="85">
    <w:name w:val="目录 21"/>
    <w:basedOn w:val="1"/>
    <w:next w:val="1"/>
    <w:qFormat/>
    <w:uiPriority w:val="39"/>
    <w:pPr>
      <w:tabs>
        <w:tab w:val="right" w:leader="dot" w:pos="9402"/>
      </w:tabs>
      <w:ind w:left="718" w:leftChars="200" w:hanging="298" w:hangingChars="142"/>
    </w:pPr>
  </w:style>
  <w:style w:type="paragraph" w:customStyle="1" w:styleId="86">
    <w:name w:val="目录 31"/>
    <w:basedOn w:val="1"/>
    <w:next w:val="1"/>
    <w:qFormat/>
    <w:uiPriority w:val="39"/>
    <w:pPr>
      <w:ind w:left="840" w:leftChars="400"/>
    </w:pPr>
  </w:style>
  <w:style w:type="paragraph" w:customStyle="1" w:styleId="87">
    <w:name w:val="正文首行缩进1"/>
    <w:basedOn w:val="18"/>
    <w:qFormat/>
    <w:uiPriority w:val="0"/>
    <w:pPr>
      <w:spacing w:after="120" w:line="240" w:lineRule="auto"/>
      <w:ind w:firstLine="420" w:firstLineChars="100"/>
    </w:pPr>
    <w:rPr>
      <w:sz w:val="21"/>
    </w:rPr>
  </w:style>
  <w:style w:type="paragraph" w:customStyle="1" w:styleId="88">
    <w:name w:val="Char Char1 Char Char Char Char"/>
    <w:basedOn w:val="15"/>
    <w:qFormat/>
    <w:uiPriority w:val="0"/>
    <w:rPr>
      <w:rFonts w:ascii="Tahoma" w:hAnsi="Tahoma"/>
      <w:sz w:val="24"/>
    </w:rPr>
  </w:style>
  <w:style w:type="paragraph" w:customStyle="1" w:styleId="89">
    <w:name w:val="列出段落1"/>
    <w:basedOn w:val="1"/>
    <w:qFormat/>
    <w:uiPriority w:val="99"/>
    <w:pPr>
      <w:ind w:firstLine="420" w:firstLineChars="200"/>
    </w:pPr>
    <w:rPr>
      <w:rFonts w:ascii="Calibri" w:hAnsi="Calibri"/>
    </w:rPr>
  </w:style>
  <w:style w:type="paragraph" w:customStyle="1" w:styleId="90">
    <w:name w:val="Char Char Char1 Char"/>
    <w:basedOn w:val="15"/>
    <w:qFormat/>
    <w:uiPriority w:val="0"/>
  </w:style>
  <w:style w:type="paragraph" w:customStyle="1" w:styleId="91">
    <w:name w:val="pa-5"/>
    <w:basedOn w:val="1"/>
    <w:qFormat/>
    <w:uiPriority w:val="0"/>
    <w:pPr>
      <w:widowControl/>
      <w:spacing w:before="150" w:after="150"/>
      <w:jc w:val="left"/>
    </w:pPr>
    <w:rPr>
      <w:rFonts w:ascii="宋体" w:hAnsi="宋体" w:cs="宋体"/>
      <w:kern w:val="0"/>
      <w:sz w:val="24"/>
    </w:rPr>
  </w:style>
  <w:style w:type="paragraph" w:customStyle="1" w:styleId="9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3">
    <w:name w:val="Char Char1 Char Char Char Char1"/>
    <w:basedOn w:val="15"/>
    <w:qFormat/>
    <w:uiPriority w:val="0"/>
    <w:rPr>
      <w:rFonts w:ascii="Tahoma" w:hAnsi="Tahoma"/>
      <w:sz w:val="24"/>
    </w:rPr>
  </w:style>
  <w:style w:type="paragraph" w:customStyle="1" w:styleId="94">
    <w:name w:val="_Style 35"/>
    <w:basedOn w:val="15"/>
    <w:qFormat/>
    <w:uiPriority w:val="0"/>
    <w:pPr>
      <w:widowControl/>
      <w:ind w:firstLine="454"/>
      <w:jc w:val="left"/>
    </w:pPr>
  </w:style>
  <w:style w:type="paragraph" w:customStyle="1" w:styleId="95">
    <w:name w:val="5 Char Char Char Char Char Char Char Char Char Char"/>
    <w:basedOn w:val="1"/>
    <w:qFormat/>
    <w:uiPriority w:val="0"/>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7">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8">
    <w:name w:val="默认段落字体 Para Char"/>
    <w:basedOn w:val="1"/>
    <w:qFormat/>
    <w:uiPriority w:val="0"/>
    <w:rPr>
      <w:szCs w:val="20"/>
    </w:rPr>
  </w:style>
  <w:style w:type="paragraph" w:customStyle="1" w:styleId="99">
    <w:name w:val="表格文字"/>
    <w:basedOn w:val="1"/>
    <w:qFormat/>
    <w:uiPriority w:val="0"/>
    <w:pPr>
      <w:spacing w:before="25" w:after="25"/>
      <w:jc w:val="left"/>
    </w:pPr>
    <w:rPr>
      <w:bCs/>
      <w:spacing w:val="10"/>
      <w:kern w:val="0"/>
      <w:sz w:val="24"/>
    </w:rPr>
  </w:style>
  <w:style w:type="paragraph" w:customStyle="1" w:styleId="100">
    <w:name w:val="_Style 7"/>
    <w:basedOn w:val="15"/>
    <w:qFormat/>
    <w:uiPriority w:val="0"/>
  </w:style>
  <w:style w:type="paragraph" w:customStyle="1" w:styleId="10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4">
    <w:name w:val="样式 小四 行距: 1.5 倍行距"/>
    <w:basedOn w:val="1"/>
    <w:qFormat/>
    <w:uiPriority w:val="0"/>
    <w:pPr>
      <w:spacing w:line="360" w:lineRule="auto"/>
      <w:ind w:firstLine="480" w:firstLineChars="200"/>
    </w:pPr>
    <w:rPr>
      <w:rFonts w:cs="宋体"/>
      <w:sz w:val="24"/>
      <w:szCs w:val="20"/>
    </w:rPr>
  </w:style>
  <w:style w:type="paragraph" w:customStyle="1" w:styleId="105">
    <w:name w:val="p0"/>
    <w:basedOn w:val="1"/>
    <w:qFormat/>
    <w:uiPriority w:val="0"/>
    <w:pPr>
      <w:widowControl/>
    </w:pPr>
    <w:rPr>
      <w:rFonts w:ascii="宋体" w:hAnsi="宋体" w:cs="宋体"/>
      <w:kern w:val="0"/>
      <w:szCs w:val="21"/>
    </w:rPr>
  </w:style>
  <w:style w:type="paragraph" w:customStyle="1" w:styleId="106">
    <w:name w:val="Char Char Char Char Char Char Char Char Char Char Char Char"/>
    <w:basedOn w:val="1"/>
    <w:qFormat/>
    <w:uiPriority w:val="0"/>
    <w:pPr>
      <w:widowControl/>
      <w:spacing w:after="160" w:line="240" w:lineRule="exact"/>
      <w:jc w:val="left"/>
    </w:pPr>
  </w:style>
  <w:style w:type="paragraph" w:customStyle="1" w:styleId="107">
    <w:name w:val="Char Char Char1 Char1"/>
    <w:basedOn w:val="1"/>
    <w:qFormat/>
    <w:uiPriority w:val="0"/>
    <w:rPr>
      <w:rFonts w:ascii="Calibri" w:hAnsi="Calibri"/>
      <w:szCs w:val="22"/>
    </w:rPr>
  </w:style>
  <w:style w:type="paragraph" w:customStyle="1" w:styleId="108">
    <w:name w:val="Char Char Char Char Char Char Char"/>
    <w:basedOn w:val="1"/>
    <w:qFormat/>
    <w:uiPriority w:val="0"/>
  </w:style>
  <w:style w:type="paragraph" w:customStyle="1" w:styleId="109">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0">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1">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w:basedOn w:val="15"/>
    <w:qFormat/>
    <w:uiPriority w:val="0"/>
    <w:pPr>
      <w:widowControl/>
      <w:ind w:firstLine="454"/>
      <w:jc w:val="left"/>
    </w:pPr>
    <w:rPr>
      <w:rFonts w:ascii="Tahoma" w:hAnsi="Tahoma" w:cs="宋体"/>
      <w:kern w:val="0"/>
      <w:sz w:val="24"/>
      <w:szCs w:val="20"/>
    </w:rPr>
  </w:style>
  <w:style w:type="paragraph" w:customStyle="1" w:styleId="114">
    <w:name w:val="Char1"/>
    <w:basedOn w:val="15"/>
    <w:qFormat/>
    <w:uiPriority w:val="0"/>
    <w:pPr>
      <w:widowControl/>
      <w:ind w:firstLine="454"/>
      <w:jc w:val="left"/>
    </w:pPr>
    <w:rPr>
      <w:rFonts w:ascii="Tahoma" w:hAnsi="Tahoma" w:cs="宋体"/>
      <w:kern w:val="0"/>
      <w:sz w:val="24"/>
      <w:szCs w:val="20"/>
    </w:rPr>
  </w:style>
  <w:style w:type="paragraph" w:customStyle="1" w:styleId="115">
    <w:name w:val="1"/>
    <w:basedOn w:val="1"/>
    <w:next w:val="22"/>
    <w:qFormat/>
    <w:uiPriority w:val="0"/>
    <w:rPr>
      <w:rFonts w:ascii="宋体" w:hAnsi="Courier New"/>
      <w:szCs w:val="20"/>
    </w:rPr>
  </w:style>
  <w:style w:type="paragraph" w:customStyle="1" w:styleId="116">
    <w:name w:val="_Style 2"/>
    <w:basedOn w:val="1"/>
    <w:qFormat/>
    <w:uiPriority w:val="0"/>
    <w:pPr>
      <w:ind w:firstLine="420" w:firstLineChars="200"/>
    </w:pPr>
  </w:style>
  <w:style w:type="paragraph" w:customStyle="1" w:styleId="117">
    <w:name w:val="正文段"/>
    <w:basedOn w:val="1"/>
    <w:qFormat/>
    <w:uiPriority w:val="0"/>
    <w:pPr>
      <w:widowControl/>
      <w:snapToGrid w:val="0"/>
      <w:spacing w:after="156" w:afterLines="50"/>
      <w:ind w:firstLine="200" w:firstLineChars="200"/>
    </w:pPr>
    <w:rPr>
      <w:kern w:val="0"/>
      <w:sz w:val="24"/>
      <w:szCs w:val="20"/>
    </w:rPr>
  </w:style>
  <w:style w:type="paragraph" w:customStyle="1" w:styleId="118">
    <w:name w:val="列出段落"/>
    <w:basedOn w:val="1"/>
    <w:qFormat/>
    <w:uiPriority w:val="34"/>
    <w:pPr>
      <w:ind w:firstLine="420" w:firstLineChars="200"/>
    </w:pPr>
    <w:rPr>
      <w:rFonts w:ascii="Calibri" w:hAnsi="Calibri"/>
      <w:szCs w:val="22"/>
    </w:rPr>
  </w:style>
  <w:style w:type="paragraph" w:customStyle="1" w:styleId="11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未处理的提及1"/>
    <w:basedOn w:val="38"/>
    <w:unhideWhenUsed/>
    <w:qFormat/>
    <w:uiPriority w:val="99"/>
    <w:rPr>
      <w:color w:val="605E5C"/>
      <w:shd w:val="clear" w:color="auto" w:fill="E1DFDD"/>
    </w:rPr>
  </w:style>
  <w:style w:type="character" w:customStyle="1" w:styleId="121">
    <w:name w:val="font81"/>
    <w:basedOn w:val="38"/>
    <w:qFormat/>
    <w:uiPriority w:val="0"/>
    <w:rPr>
      <w:rFonts w:hint="eastAsia" w:ascii="宋体" w:hAnsi="宋体" w:eastAsia="宋体" w:cs="宋体"/>
      <w:color w:val="000000"/>
      <w:sz w:val="18"/>
      <w:szCs w:val="18"/>
      <w:u w:val="none"/>
    </w:rPr>
  </w:style>
  <w:style w:type="paragraph" w:customStyle="1" w:styleId="122">
    <w:name w:val="列表段落2"/>
    <w:basedOn w:val="1"/>
    <w:qFormat/>
    <w:uiPriority w:val="34"/>
    <w:pPr>
      <w:ind w:firstLine="420" w:firstLineChars="200"/>
    </w:pPr>
  </w:style>
  <w:style w:type="character" w:customStyle="1" w:styleId="123">
    <w:name w:val="未处理的提及2"/>
    <w:basedOn w:val="38"/>
    <w:unhideWhenUsed/>
    <w:qFormat/>
    <w:uiPriority w:val="99"/>
    <w:rPr>
      <w:color w:val="605E5C"/>
      <w:shd w:val="clear" w:color="auto" w:fill="E1DFDD"/>
    </w:rPr>
  </w:style>
  <w:style w:type="character" w:customStyle="1" w:styleId="124">
    <w:name w:val="纯文本 字符1"/>
    <w:qFormat/>
    <w:uiPriority w:val="0"/>
    <w:rPr>
      <w:rFonts w:ascii="宋体" w:hAnsi="Courier New" w:eastAsia="宋体" w:cs="Courier New"/>
      <w:kern w:val="2"/>
      <w:sz w:val="21"/>
      <w:szCs w:val="21"/>
      <w:lang w:val="en-US" w:eastAsia="zh-CN" w:bidi="ar-SA"/>
    </w:rPr>
  </w:style>
  <w:style w:type="character" w:customStyle="1" w:styleId="125">
    <w:name w:val="标题 4 字符"/>
    <w:basedOn w:val="38"/>
    <w:link w:val="6"/>
    <w:qFormat/>
    <w:uiPriority w:val="9"/>
    <w:rPr>
      <w:rFonts w:asciiTheme="majorHAnsi" w:hAnsiTheme="majorHAnsi" w:eastAsiaTheme="majorEastAsia" w:cstheme="majorBidi"/>
      <w:b/>
      <w:bCs/>
      <w:kern w:val="2"/>
      <w:sz w:val="28"/>
      <w:szCs w:val="28"/>
    </w:rPr>
  </w:style>
  <w:style w:type="character" w:customStyle="1" w:styleId="126">
    <w:name w:val="标题 5 字符"/>
    <w:basedOn w:val="38"/>
    <w:link w:val="7"/>
    <w:qFormat/>
    <w:uiPriority w:val="9"/>
    <w:rPr>
      <w:b/>
      <w:kern w:val="2"/>
      <w:sz w:val="28"/>
      <w:szCs w:val="24"/>
    </w:rPr>
  </w:style>
  <w:style w:type="character" w:customStyle="1" w:styleId="127">
    <w:name w:val="标题 6 字符"/>
    <w:basedOn w:val="38"/>
    <w:link w:val="9"/>
    <w:qFormat/>
    <w:uiPriority w:val="9"/>
    <w:rPr>
      <w:rFonts w:ascii="Arial" w:hAnsi="Arial" w:eastAsia="黑体"/>
      <w:b/>
      <w:kern w:val="2"/>
      <w:sz w:val="24"/>
      <w:szCs w:val="24"/>
    </w:rPr>
  </w:style>
  <w:style w:type="character" w:customStyle="1" w:styleId="128">
    <w:name w:val="标题 7 字符"/>
    <w:basedOn w:val="38"/>
    <w:link w:val="10"/>
    <w:qFormat/>
    <w:uiPriority w:val="9"/>
    <w:rPr>
      <w:b/>
      <w:kern w:val="2"/>
      <w:sz w:val="24"/>
      <w:szCs w:val="24"/>
    </w:rPr>
  </w:style>
  <w:style w:type="character" w:customStyle="1" w:styleId="129">
    <w:name w:val="标题 8 字符"/>
    <w:basedOn w:val="38"/>
    <w:link w:val="11"/>
    <w:qFormat/>
    <w:uiPriority w:val="9"/>
    <w:rPr>
      <w:rFonts w:ascii="Arial" w:hAnsi="Arial" w:eastAsia="黑体"/>
      <w:kern w:val="2"/>
      <w:sz w:val="24"/>
      <w:szCs w:val="24"/>
    </w:rPr>
  </w:style>
  <w:style w:type="character" w:customStyle="1" w:styleId="130">
    <w:name w:val="标题 9 字符"/>
    <w:basedOn w:val="38"/>
    <w:link w:val="12"/>
    <w:qFormat/>
    <w:uiPriority w:val="9"/>
    <w:rPr>
      <w:rFonts w:ascii="Arial" w:hAnsi="Arial" w:eastAsia="黑体"/>
      <w:kern w:val="2"/>
      <w:sz w:val="21"/>
      <w:szCs w:val="24"/>
    </w:rPr>
  </w:style>
  <w:style w:type="paragraph" w:customStyle="1" w:styleId="131">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2">
    <w:name w:val="文档结构图 字符"/>
    <w:basedOn w:val="38"/>
    <w:link w:val="15"/>
    <w:qFormat/>
    <w:uiPriority w:val="99"/>
    <w:rPr>
      <w:kern w:val="2"/>
      <w:sz w:val="21"/>
      <w:szCs w:val="24"/>
      <w:shd w:val="clear" w:color="auto" w:fill="000080"/>
    </w:rPr>
  </w:style>
  <w:style w:type="character" w:customStyle="1" w:styleId="133">
    <w:name w:val="正文文本 字符"/>
    <w:basedOn w:val="38"/>
    <w:link w:val="18"/>
    <w:qFormat/>
    <w:uiPriority w:val="0"/>
    <w:rPr>
      <w:kern w:val="2"/>
      <w:sz w:val="24"/>
      <w:szCs w:val="24"/>
    </w:rPr>
  </w:style>
  <w:style w:type="paragraph" w:customStyle="1" w:styleId="134">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5">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36">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37">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38">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39">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0">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1">
    <w:name w:val="网格型1"/>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正文文本 Char1"/>
    <w:basedOn w:val="38"/>
    <w:semiHidden/>
    <w:qFormat/>
    <w:uiPriority w:val="99"/>
    <w:rPr>
      <w:sz w:val="24"/>
    </w:rPr>
  </w:style>
  <w:style w:type="paragraph" w:customStyle="1" w:styleId="143">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4">
    <w:name w:val="占位符文本1"/>
    <w:semiHidden/>
    <w:qFormat/>
    <w:uiPriority w:val="99"/>
    <w:rPr>
      <w:color w:val="808080"/>
    </w:rPr>
  </w:style>
  <w:style w:type="paragraph" w:customStyle="1" w:styleId="145">
    <w:name w:val="WPSOffice手动目录 1"/>
    <w:qFormat/>
    <w:uiPriority w:val="0"/>
    <w:rPr>
      <w:rFonts w:ascii="Times New Roman" w:hAnsi="Times New Roman" w:eastAsia="宋体" w:cs="Times New Roman"/>
      <w:lang w:val="en-US" w:eastAsia="zh-CN" w:bidi="ar-SA"/>
    </w:rPr>
  </w:style>
  <w:style w:type="paragraph" w:customStyle="1" w:styleId="1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8">
    <w:name w:val="font01"/>
    <w:basedOn w:val="38"/>
    <w:qFormat/>
    <w:uiPriority w:val="0"/>
    <w:rPr>
      <w:rFonts w:hint="eastAsia" w:ascii="宋体" w:hAnsi="宋体" w:eastAsia="宋体" w:cs="宋体"/>
      <w:color w:val="000000"/>
      <w:sz w:val="24"/>
      <w:szCs w:val="24"/>
      <w:u w:val="none"/>
    </w:rPr>
  </w:style>
  <w:style w:type="paragraph" w:customStyle="1" w:styleId="149">
    <w:name w:val="TOC 标题1"/>
    <w:basedOn w:val="3"/>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0">
    <w:name w:val="List Paragraph"/>
    <w:basedOn w:val="1"/>
    <w:qFormat/>
    <w:uiPriority w:val="99"/>
    <w:pPr>
      <w:ind w:firstLine="420" w:firstLineChars="200"/>
    </w:pPr>
  </w:style>
  <w:style w:type="character" w:customStyle="1" w:styleId="151">
    <w:name w:val="Unresolved Mention"/>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4879</Words>
  <Characters>5436</Characters>
  <Lines>147</Lines>
  <Paragraphs>41</Paragraphs>
  <TotalTime>24</TotalTime>
  <ScaleCrop>false</ScaleCrop>
  <LinksUpToDate>false</LinksUpToDate>
  <CharactersWithSpaces>5503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2020-10-27T08:16:00Z</dcterms:created>
  <dc:creator>Huang Qian</dc:creator>
  <cp:lastModifiedBy>Lenovo</cp:lastModifiedBy>
  <cp:lastPrinted>2025-04-24T06:52:42Z</cp:lastPrinted>
  <dcterms:modified xsi:type="dcterms:W3CDTF">2025-04-24T07:57:35Z</dcterms:modified>
  <dc:title>竞争性谈判文件</dc:title>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4F1ABFBFFD2C43F395A306CD5DB61A6B</vt:lpwstr>
  </property>
  <property fmtid="{D5CDD505-2E9C-101B-9397-08002B2CF9AE}" pid="4" name="KSOTemplateDocerSaveRecord">
    <vt:lpwstr>eyJoZGlkIjoiZTE3NjFiNWQzNWNhNmIzYjU1ODQ0NzE4OTUyMWI0YjEiLCJ1c2VySWQiOiI2NTY4NTEwODEifQ==</vt:lpwstr>
  </property>
</Properties>
</file>