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auto"/>
        </w:rPr>
      </w:pPr>
    </w:p>
    <w:p>
      <w:pPr>
        <w:rPr>
          <w:color w:val="auto"/>
        </w:rPr>
      </w:pPr>
    </w:p>
    <w:p>
      <w:pPr>
        <w:rPr>
          <w:color w:val="auto"/>
        </w:rPr>
      </w:pPr>
    </w:p>
    <w:p>
      <w:pPr>
        <w:rPr>
          <w:color w:val="auto"/>
        </w:rPr>
      </w:pPr>
    </w:p>
    <w:p>
      <w:pPr>
        <w:spacing w:before="156" w:beforeLines="50" w:line="780" w:lineRule="exact"/>
        <w:jc w:val="center"/>
        <w:rPr>
          <w:rFonts w:hint="eastAsia" w:ascii="方正小标宋_GBK" w:hAnsi="黑体" w:eastAsia="方正小标宋_GBK"/>
          <w:b/>
          <w:color w:val="auto"/>
          <w:sz w:val="84"/>
          <w:szCs w:val="84"/>
        </w:rPr>
      </w:pPr>
      <w:r>
        <w:rPr>
          <w:rFonts w:hint="eastAsia" w:ascii="方正小标宋_GBK" w:hAnsi="黑体" w:eastAsia="方正小标宋_GBK"/>
          <w:b/>
          <w:color w:val="auto"/>
          <w:sz w:val="84"/>
          <w:szCs w:val="84"/>
        </w:rPr>
        <w:t>竞争性谈判采购文件</w:t>
      </w: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spacing w:line="500" w:lineRule="exact"/>
        <w:ind w:left="3515" w:leftChars="912" w:hanging="1600" w:hangingChars="500"/>
        <w:rPr>
          <w:rFonts w:hint="eastAsia" w:ascii="方正小标宋_GBK" w:hAnsi="微软雅黑" w:eastAsia="宋体"/>
          <w:color w:val="auto"/>
          <w:sz w:val="32"/>
          <w:szCs w:val="32"/>
          <w:lang w:eastAsia="zh-CN"/>
        </w:rPr>
      </w:pPr>
      <w:r>
        <w:rPr>
          <w:rFonts w:hint="eastAsia" w:ascii="方正小标宋_GBK" w:hAnsi="微软雅黑" w:eastAsia="方正小标宋_GBK"/>
          <w:color w:val="auto"/>
          <w:sz w:val="32"/>
          <w:szCs w:val="32"/>
        </w:rPr>
        <w:t>项目名称:</w:t>
      </w:r>
      <w:r>
        <w:rPr>
          <w:rFonts w:hint="eastAsia"/>
          <w:color w:val="auto"/>
        </w:rPr>
        <w:t xml:space="preserve"> </w:t>
      </w:r>
      <w:r>
        <w:rPr>
          <w:rFonts w:hint="eastAsia" w:ascii="方正小标宋_GBK" w:hAnsi="微软雅黑" w:eastAsia="方正小标宋_GBK"/>
          <w:color w:val="auto"/>
          <w:sz w:val="32"/>
          <w:szCs w:val="32"/>
          <w:lang w:eastAsia="zh-CN"/>
        </w:rPr>
        <w:t>浦北县2024年支持义务教育薄弱环节与能力提升教学设备</w:t>
      </w:r>
    </w:p>
    <w:p>
      <w:pPr>
        <w:spacing w:line="500" w:lineRule="exact"/>
        <w:ind w:firstLine="1920" w:firstLineChars="600"/>
        <w:rPr>
          <w:rFonts w:hint="eastAsia" w:ascii="方正小标宋_GBK" w:hAnsi="微软雅黑" w:eastAsia="方正小标宋_GBK"/>
          <w:color w:val="auto"/>
          <w:sz w:val="32"/>
          <w:szCs w:val="32"/>
          <w:lang w:eastAsia="zh-CN"/>
        </w:rPr>
      </w:pPr>
      <w:r>
        <w:rPr>
          <w:rFonts w:hint="eastAsia" w:ascii="方正小标宋_GBK" w:hAnsi="微软雅黑" w:eastAsia="方正小标宋_GBK"/>
          <w:color w:val="auto"/>
          <w:sz w:val="32"/>
          <w:szCs w:val="32"/>
        </w:rPr>
        <w:t>项目编号:</w:t>
      </w:r>
      <w:r>
        <w:rPr>
          <w:rFonts w:hint="eastAsia" w:ascii="方正小标宋_GBK" w:hAnsi="微软雅黑" w:eastAsia="方正小标宋_GBK"/>
          <w:color w:val="auto"/>
          <w:sz w:val="32"/>
          <w:szCs w:val="32"/>
          <w:lang w:eastAsia="zh-CN"/>
        </w:rPr>
        <w:t>QZZC2024-J1-220427-QZSZ</w:t>
      </w: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spacing w:line="360" w:lineRule="exact"/>
        <w:jc w:val="center"/>
        <w:rPr>
          <w:rFonts w:hint="eastAsia" w:ascii="方正小标宋_GBK" w:hAnsi="微软雅黑" w:eastAsia="方正小标宋_GBK"/>
          <w:color w:val="auto"/>
          <w:sz w:val="32"/>
          <w:szCs w:val="32"/>
        </w:rPr>
      </w:pPr>
      <w:r>
        <w:rPr>
          <w:rFonts w:hint="eastAsia" w:ascii="方正小标宋_GBK" w:hAnsi="微软雅黑" w:eastAsia="方正小标宋_GBK"/>
          <w:color w:val="auto"/>
          <w:sz w:val="32"/>
          <w:szCs w:val="32"/>
        </w:rPr>
        <w:t>钦州市政府采购中心</w:t>
      </w:r>
    </w:p>
    <w:p>
      <w:pPr>
        <w:tabs>
          <w:tab w:val="left" w:pos="360"/>
        </w:tabs>
        <w:spacing w:line="440" w:lineRule="exact"/>
        <w:jc w:val="center"/>
        <w:rPr>
          <w:rFonts w:hint="eastAsia" w:ascii="仿宋_GB2312" w:hAnsi="宋体" w:eastAsia="仿宋_GB2312"/>
          <w:color w:val="auto"/>
          <w:sz w:val="32"/>
          <w:szCs w:val="32"/>
        </w:rPr>
      </w:pPr>
      <w:r>
        <w:rPr>
          <w:rFonts w:hint="eastAsia" w:ascii="方正小标宋_GBK" w:hAnsi="微软雅黑" w:eastAsia="方正小标宋_GBK"/>
          <w:color w:val="auto"/>
          <w:sz w:val="32"/>
          <w:szCs w:val="32"/>
        </w:rPr>
        <w:t>2024年</w:t>
      </w:r>
      <w:r>
        <w:rPr>
          <w:rFonts w:hint="eastAsia" w:ascii="方正小标宋_GBK" w:hAnsi="微软雅黑" w:eastAsia="方正小标宋_GBK"/>
          <w:color w:val="auto"/>
          <w:sz w:val="32"/>
          <w:szCs w:val="32"/>
          <w:lang w:val="en-US" w:eastAsia="zh-CN"/>
        </w:rPr>
        <w:t>10</w:t>
      </w:r>
      <w:r>
        <w:rPr>
          <w:rFonts w:hint="eastAsia" w:ascii="方正小标宋_GBK" w:hAnsi="微软雅黑" w:eastAsia="方正小标宋_GBK"/>
          <w:color w:val="auto"/>
          <w:sz w:val="32"/>
          <w:szCs w:val="32"/>
        </w:rPr>
        <w:t>月</w:t>
      </w:r>
    </w:p>
    <w:p>
      <w:pPr>
        <w:rPr>
          <w:color w:val="auto"/>
        </w:rPr>
      </w:pPr>
    </w:p>
    <w:p>
      <w:pPr>
        <w:rPr>
          <w:color w:val="auto"/>
        </w:rPr>
      </w:pPr>
    </w:p>
    <w:p>
      <w:pPr>
        <w:spacing w:line="640" w:lineRule="exact"/>
        <w:jc w:val="center"/>
        <w:rPr>
          <w:rFonts w:hint="eastAsia" w:ascii="方正小标宋_GBK" w:hAnsi="宋体" w:eastAsia="方正小标宋_GBK"/>
          <w:b/>
          <w:color w:val="auto"/>
          <w:sz w:val="32"/>
          <w:szCs w:val="32"/>
        </w:rPr>
      </w:pPr>
      <w:r>
        <w:rPr>
          <w:rFonts w:hint="eastAsia" w:ascii="方正小标宋_GBK" w:hAnsi="宋体" w:eastAsia="方正小标宋_GBK"/>
          <w:b/>
          <w:color w:val="auto"/>
          <w:sz w:val="44"/>
          <w:szCs w:val="44"/>
        </w:rPr>
        <w:t>目   录</w:t>
      </w:r>
    </w:p>
    <w:p>
      <w:pPr>
        <w:rPr>
          <w:color w:val="auto"/>
        </w:rPr>
      </w:pPr>
    </w:p>
    <w:p>
      <w:pPr>
        <w:pStyle w:val="26"/>
        <w:tabs>
          <w:tab w:val="right" w:leader="dot" w:pos="9514"/>
        </w:tabs>
        <w:spacing w:line="1000" w:lineRule="exact"/>
        <w:rPr>
          <w:rFonts w:hint="eastAsia" w:asciiTheme="minorHAnsi" w:hAnsiTheme="minorHAnsi" w:eastAsiaTheme="minorEastAsia" w:cstheme="minorBidi"/>
          <w:color w:val="auto"/>
          <w:sz w:val="28"/>
          <w:szCs w:val="28"/>
        </w:rPr>
      </w:pPr>
      <w:bookmarkStart w:id="0" w:name="_Toc354479497"/>
      <w:r>
        <w:rPr>
          <w:rFonts w:hint="eastAsia" w:ascii="方正小标宋_GBK" w:hAnsi="仿宋" w:eastAsia="方正小标宋_GBK"/>
          <w:b/>
          <w:color w:val="auto"/>
          <w:sz w:val="28"/>
          <w:szCs w:val="28"/>
        </w:rPr>
        <w:fldChar w:fldCharType="begin"/>
      </w:r>
      <w:r>
        <w:rPr>
          <w:rFonts w:hint="eastAsia" w:ascii="方正小标宋_GBK" w:hAnsi="仿宋" w:eastAsia="方正小标宋_GBK"/>
          <w:b/>
          <w:color w:val="auto"/>
          <w:sz w:val="28"/>
          <w:szCs w:val="28"/>
        </w:rPr>
        <w:instrText xml:space="preserve"> TOC \o "1-1" \h \z \u </w:instrText>
      </w:r>
      <w:r>
        <w:rPr>
          <w:rFonts w:hint="eastAsia" w:ascii="方正小标宋_GBK" w:hAnsi="仿宋" w:eastAsia="方正小标宋_GBK"/>
          <w:b/>
          <w:color w:val="auto"/>
          <w:sz w:val="28"/>
          <w:szCs w:val="28"/>
        </w:rPr>
        <w:fldChar w:fldCharType="separate"/>
      </w:r>
      <w:r>
        <w:rPr>
          <w:color w:val="auto"/>
        </w:rPr>
        <w:fldChar w:fldCharType="begin"/>
      </w:r>
      <w:r>
        <w:rPr>
          <w:color w:val="auto"/>
        </w:rPr>
        <w:instrText xml:space="preserve"> HYPERLINK \l "_Toc92355023" </w:instrText>
      </w:r>
      <w:r>
        <w:rPr>
          <w:color w:val="auto"/>
        </w:rPr>
        <w:fldChar w:fldCharType="separate"/>
      </w:r>
      <w:r>
        <w:rPr>
          <w:rStyle w:val="41"/>
          <w:rFonts w:ascii="方正小标宋_GBK" w:hAnsi="宋体" w:eastAsia="方正小标宋_GBK"/>
          <w:color w:val="auto"/>
          <w:sz w:val="28"/>
          <w:szCs w:val="28"/>
        </w:rPr>
        <w:t>第一章  竞争性谈判公告</w:t>
      </w:r>
      <w:r>
        <w:rPr>
          <w:color w:val="auto"/>
          <w:sz w:val="28"/>
          <w:szCs w:val="28"/>
        </w:rPr>
        <w:tab/>
      </w:r>
      <w:r>
        <w:rPr>
          <w:color w:val="auto"/>
          <w:sz w:val="28"/>
          <w:szCs w:val="28"/>
        </w:rPr>
        <w:fldChar w:fldCharType="begin"/>
      </w:r>
      <w:r>
        <w:rPr>
          <w:color w:val="auto"/>
          <w:sz w:val="28"/>
          <w:szCs w:val="28"/>
        </w:rPr>
        <w:instrText xml:space="preserve"> PAGEREF _Toc92355023 \h </w:instrText>
      </w:r>
      <w:r>
        <w:rPr>
          <w:color w:val="auto"/>
          <w:sz w:val="28"/>
          <w:szCs w:val="28"/>
        </w:rPr>
        <w:fldChar w:fldCharType="separate"/>
      </w:r>
      <w:r>
        <w:rPr>
          <w:color w:val="auto"/>
          <w:sz w:val="28"/>
          <w:szCs w:val="28"/>
        </w:rPr>
        <w:t>1</w:t>
      </w:r>
      <w:r>
        <w:rPr>
          <w:color w:val="auto"/>
          <w:sz w:val="28"/>
          <w:szCs w:val="28"/>
        </w:rPr>
        <w:fldChar w:fldCharType="end"/>
      </w:r>
      <w:r>
        <w:rPr>
          <w:color w:val="auto"/>
          <w:sz w:val="28"/>
          <w:szCs w:val="28"/>
        </w:rPr>
        <w:fldChar w:fldCharType="end"/>
      </w:r>
    </w:p>
    <w:p>
      <w:pPr>
        <w:pStyle w:val="26"/>
        <w:tabs>
          <w:tab w:val="right" w:leader="dot" w:pos="9514"/>
        </w:tabs>
        <w:spacing w:line="1000" w:lineRule="exact"/>
        <w:rPr>
          <w:rFonts w:hint="eastAsia" w:asciiTheme="minorHAnsi" w:hAnsiTheme="minorHAnsi" w:eastAsiaTheme="minorEastAsia" w:cstheme="minorBidi"/>
          <w:color w:val="auto"/>
          <w:sz w:val="28"/>
          <w:szCs w:val="28"/>
        </w:rPr>
      </w:pPr>
      <w:r>
        <w:rPr>
          <w:color w:val="auto"/>
        </w:rPr>
        <w:fldChar w:fldCharType="begin"/>
      </w:r>
      <w:r>
        <w:rPr>
          <w:color w:val="auto"/>
        </w:rPr>
        <w:instrText xml:space="preserve"> HYPERLINK \l "_Toc92355024" </w:instrText>
      </w:r>
      <w:r>
        <w:rPr>
          <w:color w:val="auto"/>
        </w:rPr>
        <w:fldChar w:fldCharType="separate"/>
      </w:r>
      <w:r>
        <w:rPr>
          <w:rStyle w:val="41"/>
          <w:rFonts w:ascii="方正小标宋_GBK" w:hAnsi="宋体" w:eastAsia="方正小标宋_GBK"/>
          <w:color w:val="auto"/>
          <w:sz w:val="28"/>
          <w:szCs w:val="28"/>
        </w:rPr>
        <w:t>第二章  项目需求</w:t>
      </w:r>
      <w:r>
        <w:rPr>
          <w:color w:val="auto"/>
          <w:sz w:val="28"/>
          <w:szCs w:val="28"/>
        </w:rPr>
        <w:tab/>
      </w:r>
      <w:r>
        <w:rPr>
          <w:color w:val="auto"/>
          <w:sz w:val="28"/>
          <w:szCs w:val="28"/>
        </w:rPr>
        <w:fldChar w:fldCharType="begin"/>
      </w:r>
      <w:r>
        <w:rPr>
          <w:color w:val="auto"/>
          <w:sz w:val="28"/>
          <w:szCs w:val="28"/>
        </w:rPr>
        <w:instrText xml:space="preserve"> PAGEREF _Toc92355024 \h </w:instrText>
      </w:r>
      <w:r>
        <w:rPr>
          <w:color w:val="auto"/>
          <w:sz w:val="28"/>
          <w:szCs w:val="28"/>
        </w:rPr>
        <w:fldChar w:fldCharType="separate"/>
      </w:r>
      <w:r>
        <w:rPr>
          <w:color w:val="auto"/>
          <w:sz w:val="28"/>
          <w:szCs w:val="28"/>
        </w:rPr>
        <w:t>5</w:t>
      </w:r>
      <w:r>
        <w:rPr>
          <w:color w:val="auto"/>
          <w:sz w:val="28"/>
          <w:szCs w:val="28"/>
        </w:rPr>
        <w:fldChar w:fldCharType="end"/>
      </w:r>
      <w:r>
        <w:rPr>
          <w:color w:val="auto"/>
          <w:sz w:val="28"/>
          <w:szCs w:val="28"/>
        </w:rPr>
        <w:fldChar w:fldCharType="end"/>
      </w:r>
    </w:p>
    <w:p>
      <w:pPr>
        <w:pStyle w:val="26"/>
        <w:tabs>
          <w:tab w:val="right" w:leader="dot" w:pos="9514"/>
        </w:tabs>
        <w:spacing w:line="1000" w:lineRule="exact"/>
        <w:rPr>
          <w:rFonts w:hint="eastAsia" w:asciiTheme="minorHAnsi" w:hAnsiTheme="minorHAnsi" w:eastAsiaTheme="minorEastAsia" w:cstheme="minorBidi"/>
          <w:color w:val="auto"/>
          <w:sz w:val="28"/>
          <w:szCs w:val="28"/>
        </w:rPr>
      </w:pPr>
      <w:r>
        <w:rPr>
          <w:color w:val="auto"/>
        </w:rPr>
        <w:fldChar w:fldCharType="begin"/>
      </w:r>
      <w:r>
        <w:rPr>
          <w:color w:val="auto"/>
        </w:rPr>
        <w:instrText xml:space="preserve"> HYPERLINK \l "_Toc92355025" </w:instrText>
      </w:r>
      <w:r>
        <w:rPr>
          <w:color w:val="auto"/>
        </w:rPr>
        <w:fldChar w:fldCharType="separate"/>
      </w:r>
      <w:r>
        <w:rPr>
          <w:rStyle w:val="41"/>
          <w:rFonts w:ascii="方正小标宋简体" w:eastAsia="方正小标宋简体"/>
          <w:color w:val="auto"/>
          <w:sz w:val="28"/>
          <w:szCs w:val="28"/>
        </w:rPr>
        <w:t>第三章  供应商须知</w:t>
      </w:r>
      <w:r>
        <w:rPr>
          <w:color w:val="auto"/>
          <w:sz w:val="28"/>
          <w:szCs w:val="28"/>
        </w:rPr>
        <w:tab/>
      </w:r>
      <w:r>
        <w:rPr>
          <w:color w:val="auto"/>
          <w:sz w:val="28"/>
          <w:szCs w:val="28"/>
        </w:rPr>
        <w:fldChar w:fldCharType="begin"/>
      </w:r>
      <w:r>
        <w:rPr>
          <w:color w:val="auto"/>
          <w:sz w:val="28"/>
          <w:szCs w:val="28"/>
        </w:rPr>
        <w:instrText xml:space="preserve"> PAGEREF _Toc92355025 \h </w:instrText>
      </w:r>
      <w:r>
        <w:rPr>
          <w:color w:val="auto"/>
          <w:sz w:val="28"/>
          <w:szCs w:val="28"/>
        </w:rPr>
        <w:fldChar w:fldCharType="separate"/>
      </w:r>
      <w:r>
        <w:rPr>
          <w:color w:val="auto"/>
          <w:sz w:val="28"/>
          <w:szCs w:val="28"/>
        </w:rPr>
        <w:t>65</w:t>
      </w:r>
      <w:r>
        <w:rPr>
          <w:color w:val="auto"/>
          <w:sz w:val="28"/>
          <w:szCs w:val="28"/>
        </w:rPr>
        <w:fldChar w:fldCharType="end"/>
      </w:r>
      <w:r>
        <w:rPr>
          <w:color w:val="auto"/>
          <w:sz w:val="28"/>
          <w:szCs w:val="28"/>
        </w:rPr>
        <w:fldChar w:fldCharType="end"/>
      </w:r>
    </w:p>
    <w:p>
      <w:pPr>
        <w:pStyle w:val="26"/>
        <w:tabs>
          <w:tab w:val="right" w:leader="dot" w:pos="9514"/>
        </w:tabs>
        <w:spacing w:line="1000" w:lineRule="exact"/>
        <w:rPr>
          <w:rFonts w:hint="eastAsia" w:asciiTheme="minorHAnsi" w:hAnsiTheme="minorHAnsi" w:eastAsiaTheme="minorEastAsia" w:cstheme="minorBidi"/>
          <w:color w:val="auto"/>
          <w:sz w:val="28"/>
          <w:szCs w:val="28"/>
        </w:rPr>
      </w:pPr>
      <w:r>
        <w:rPr>
          <w:color w:val="auto"/>
        </w:rPr>
        <w:fldChar w:fldCharType="begin"/>
      </w:r>
      <w:r>
        <w:rPr>
          <w:color w:val="auto"/>
        </w:rPr>
        <w:instrText xml:space="preserve"> HYPERLINK \l "_Toc92355026" </w:instrText>
      </w:r>
      <w:r>
        <w:rPr>
          <w:color w:val="auto"/>
        </w:rPr>
        <w:fldChar w:fldCharType="separate"/>
      </w:r>
      <w:r>
        <w:rPr>
          <w:rStyle w:val="41"/>
          <w:rFonts w:ascii="方正小标宋_GBK" w:hAnsi="宋体" w:eastAsia="方正小标宋_GBK"/>
          <w:color w:val="auto"/>
          <w:sz w:val="28"/>
          <w:szCs w:val="28"/>
        </w:rPr>
        <w:t>第四章  评定标准及推荐原则</w:t>
      </w:r>
      <w:r>
        <w:rPr>
          <w:color w:val="auto"/>
          <w:sz w:val="28"/>
          <w:szCs w:val="28"/>
        </w:rPr>
        <w:tab/>
      </w:r>
      <w:r>
        <w:rPr>
          <w:color w:val="auto"/>
          <w:sz w:val="28"/>
          <w:szCs w:val="28"/>
        </w:rPr>
        <w:fldChar w:fldCharType="begin"/>
      </w:r>
      <w:r>
        <w:rPr>
          <w:color w:val="auto"/>
          <w:sz w:val="28"/>
          <w:szCs w:val="28"/>
        </w:rPr>
        <w:instrText xml:space="preserve"> PAGEREF _Toc92355026 \h </w:instrText>
      </w:r>
      <w:r>
        <w:rPr>
          <w:color w:val="auto"/>
          <w:sz w:val="28"/>
          <w:szCs w:val="28"/>
        </w:rPr>
        <w:fldChar w:fldCharType="separate"/>
      </w:r>
      <w:r>
        <w:rPr>
          <w:color w:val="auto"/>
          <w:sz w:val="28"/>
          <w:szCs w:val="28"/>
        </w:rPr>
        <w:t>76</w:t>
      </w:r>
      <w:r>
        <w:rPr>
          <w:color w:val="auto"/>
          <w:sz w:val="28"/>
          <w:szCs w:val="28"/>
        </w:rPr>
        <w:fldChar w:fldCharType="end"/>
      </w:r>
      <w:r>
        <w:rPr>
          <w:color w:val="auto"/>
          <w:sz w:val="28"/>
          <w:szCs w:val="28"/>
        </w:rPr>
        <w:fldChar w:fldCharType="end"/>
      </w:r>
    </w:p>
    <w:p>
      <w:pPr>
        <w:pStyle w:val="26"/>
        <w:tabs>
          <w:tab w:val="right" w:leader="dot" w:pos="9514"/>
        </w:tabs>
        <w:spacing w:line="1000" w:lineRule="exact"/>
        <w:rPr>
          <w:rFonts w:hint="eastAsia" w:asciiTheme="minorHAnsi" w:hAnsiTheme="minorHAnsi" w:eastAsiaTheme="minorEastAsia" w:cstheme="minorBidi"/>
          <w:color w:val="auto"/>
          <w:sz w:val="28"/>
          <w:szCs w:val="28"/>
        </w:rPr>
      </w:pPr>
      <w:r>
        <w:rPr>
          <w:color w:val="auto"/>
        </w:rPr>
        <w:fldChar w:fldCharType="begin"/>
      </w:r>
      <w:r>
        <w:rPr>
          <w:color w:val="auto"/>
        </w:rPr>
        <w:instrText xml:space="preserve"> HYPERLINK \l "_Toc92355027" </w:instrText>
      </w:r>
      <w:r>
        <w:rPr>
          <w:color w:val="auto"/>
        </w:rPr>
        <w:fldChar w:fldCharType="separate"/>
      </w:r>
      <w:r>
        <w:rPr>
          <w:rStyle w:val="41"/>
          <w:rFonts w:ascii="方正小标宋_GBK" w:eastAsia="方正小标宋_GBK"/>
          <w:color w:val="auto"/>
          <w:sz w:val="28"/>
          <w:szCs w:val="28"/>
        </w:rPr>
        <w:t>第五章  合同文本</w:t>
      </w:r>
      <w:r>
        <w:rPr>
          <w:color w:val="auto"/>
          <w:sz w:val="28"/>
          <w:szCs w:val="28"/>
        </w:rPr>
        <w:tab/>
      </w:r>
      <w:r>
        <w:rPr>
          <w:color w:val="auto"/>
          <w:sz w:val="28"/>
          <w:szCs w:val="28"/>
        </w:rPr>
        <w:fldChar w:fldCharType="begin"/>
      </w:r>
      <w:r>
        <w:rPr>
          <w:color w:val="auto"/>
          <w:sz w:val="28"/>
          <w:szCs w:val="28"/>
        </w:rPr>
        <w:instrText xml:space="preserve"> PAGEREF _Toc92355027 \h </w:instrText>
      </w:r>
      <w:r>
        <w:rPr>
          <w:color w:val="auto"/>
          <w:sz w:val="28"/>
          <w:szCs w:val="28"/>
        </w:rPr>
        <w:fldChar w:fldCharType="separate"/>
      </w:r>
      <w:r>
        <w:rPr>
          <w:color w:val="auto"/>
          <w:sz w:val="28"/>
          <w:szCs w:val="28"/>
        </w:rPr>
        <w:t>78</w:t>
      </w:r>
      <w:r>
        <w:rPr>
          <w:color w:val="auto"/>
          <w:sz w:val="28"/>
          <w:szCs w:val="28"/>
        </w:rPr>
        <w:fldChar w:fldCharType="end"/>
      </w:r>
      <w:r>
        <w:rPr>
          <w:color w:val="auto"/>
          <w:sz w:val="28"/>
          <w:szCs w:val="28"/>
        </w:rPr>
        <w:fldChar w:fldCharType="end"/>
      </w:r>
    </w:p>
    <w:p>
      <w:pPr>
        <w:pStyle w:val="26"/>
        <w:tabs>
          <w:tab w:val="right" w:leader="dot" w:pos="9514"/>
        </w:tabs>
        <w:spacing w:line="1000" w:lineRule="exact"/>
        <w:rPr>
          <w:rFonts w:hint="eastAsia" w:asciiTheme="minorHAnsi" w:hAnsiTheme="minorHAnsi" w:eastAsiaTheme="minorEastAsia" w:cstheme="minorBidi"/>
          <w:color w:val="auto"/>
          <w:sz w:val="28"/>
          <w:szCs w:val="28"/>
        </w:rPr>
      </w:pPr>
      <w:r>
        <w:rPr>
          <w:color w:val="auto"/>
        </w:rPr>
        <w:fldChar w:fldCharType="begin"/>
      </w:r>
      <w:r>
        <w:rPr>
          <w:color w:val="auto"/>
        </w:rPr>
        <w:instrText xml:space="preserve"> HYPERLINK \l "_Toc92355028" </w:instrText>
      </w:r>
      <w:r>
        <w:rPr>
          <w:color w:val="auto"/>
        </w:rPr>
        <w:fldChar w:fldCharType="separate"/>
      </w:r>
      <w:r>
        <w:rPr>
          <w:rStyle w:val="41"/>
          <w:rFonts w:ascii="方正小标宋_GBK" w:hAnsi="方正小标宋_GBK" w:eastAsia="方正小标宋_GBK"/>
          <w:color w:val="auto"/>
          <w:sz w:val="28"/>
          <w:szCs w:val="28"/>
        </w:rPr>
        <w:t>第六章  响应文件格式</w:t>
      </w:r>
      <w:r>
        <w:rPr>
          <w:color w:val="auto"/>
          <w:sz w:val="28"/>
          <w:szCs w:val="28"/>
        </w:rPr>
        <w:tab/>
      </w:r>
      <w:r>
        <w:rPr>
          <w:color w:val="auto"/>
          <w:sz w:val="28"/>
          <w:szCs w:val="28"/>
        </w:rPr>
        <w:fldChar w:fldCharType="begin"/>
      </w:r>
      <w:r>
        <w:rPr>
          <w:color w:val="auto"/>
          <w:sz w:val="28"/>
          <w:szCs w:val="28"/>
        </w:rPr>
        <w:instrText xml:space="preserve"> PAGEREF _Toc92355028 \h </w:instrText>
      </w:r>
      <w:r>
        <w:rPr>
          <w:color w:val="auto"/>
          <w:sz w:val="28"/>
          <w:szCs w:val="28"/>
        </w:rPr>
        <w:fldChar w:fldCharType="separate"/>
      </w:r>
      <w:r>
        <w:rPr>
          <w:color w:val="auto"/>
          <w:sz w:val="28"/>
          <w:szCs w:val="28"/>
        </w:rPr>
        <w:t>93</w:t>
      </w:r>
      <w:r>
        <w:rPr>
          <w:color w:val="auto"/>
          <w:sz w:val="28"/>
          <w:szCs w:val="28"/>
        </w:rPr>
        <w:fldChar w:fldCharType="end"/>
      </w:r>
      <w:r>
        <w:rPr>
          <w:color w:val="auto"/>
          <w:sz w:val="28"/>
          <w:szCs w:val="28"/>
        </w:rPr>
        <w:fldChar w:fldCharType="end"/>
      </w:r>
    </w:p>
    <w:p>
      <w:pPr>
        <w:rPr>
          <w:color w:val="auto"/>
        </w:rPr>
        <w:sectPr>
          <w:footerReference r:id="rId4" w:type="first"/>
          <w:footerReference r:id="rId3" w:type="default"/>
          <w:pgSz w:w="11906" w:h="16838"/>
          <w:pgMar w:top="936" w:right="1191" w:bottom="936" w:left="1191" w:header="851" w:footer="992" w:gutter="0"/>
          <w:pgNumType w:start="1"/>
          <w:cols w:space="720" w:num="1"/>
          <w:docGrid w:type="lines" w:linePitch="312" w:charSpace="0"/>
        </w:sectPr>
      </w:pPr>
      <w:r>
        <w:rPr>
          <w:rFonts w:hint="eastAsia"/>
          <w:color w:val="auto"/>
        </w:rPr>
        <w:fldChar w:fldCharType="end"/>
      </w:r>
    </w:p>
    <w:p>
      <w:pPr>
        <w:rPr>
          <w:color w:val="auto"/>
        </w:rPr>
      </w:pPr>
    </w:p>
    <w:p>
      <w:pPr>
        <w:widowControl/>
        <w:jc w:val="left"/>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pStyle w:val="3"/>
        <w:spacing w:line="400" w:lineRule="exact"/>
        <w:rPr>
          <w:rFonts w:hint="eastAsia" w:ascii="方正小标宋_GBK" w:hAnsi="宋体" w:eastAsia="方正小标宋_GBK"/>
          <w:color w:val="auto"/>
        </w:rPr>
      </w:pPr>
      <w:bookmarkStart w:id="1" w:name="_Toc92355023"/>
      <w:r>
        <w:rPr>
          <w:rFonts w:hint="eastAsia" w:ascii="方正小标宋_GBK" w:hAnsi="宋体" w:eastAsia="方正小标宋_GBK"/>
          <w:color w:val="auto"/>
        </w:rPr>
        <w:t>第一章  竞争性谈判公告</w:t>
      </w:r>
      <w:bookmarkEnd w:id="0"/>
      <w:bookmarkEnd w:id="1"/>
    </w:p>
    <w:p>
      <w:pPr>
        <w:spacing w:line="600" w:lineRule="exact"/>
        <w:jc w:val="center"/>
        <w:rPr>
          <w:rFonts w:hint="eastAsia" w:ascii="黑体" w:hAnsi="宋体" w:eastAsia="黑体"/>
          <w:b/>
          <w:color w:val="auto"/>
          <w:sz w:val="32"/>
          <w:szCs w:val="32"/>
        </w:rPr>
      </w:pPr>
      <w:r>
        <w:rPr>
          <w:rFonts w:ascii="黑体" w:hAnsi="宋体" w:eastAsia="黑体"/>
          <w:b/>
          <w:color w:val="auto"/>
          <w:sz w:val="32"/>
          <w:szCs w:val="32"/>
        </w:rPr>
        <w:br w:type="page"/>
      </w:r>
    </w:p>
    <w:p>
      <w:pPr>
        <w:spacing w:line="600" w:lineRule="exact"/>
        <w:jc w:val="center"/>
        <w:rPr>
          <w:rFonts w:hint="eastAsia" w:ascii="方正小标宋_GBK" w:hAnsi="宋体" w:eastAsia="方正小标宋_GBK"/>
          <w:b/>
          <w:color w:val="auto"/>
          <w:sz w:val="34"/>
          <w:szCs w:val="34"/>
        </w:rPr>
      </w:pPr>
      <w:r>
        <w:rPr>
          <w:rFonts w:hint="eastAsia" w:ascii="方正小标宋_GBK" w:hAnsi="宋体" w:eastAsia="方正小标宋_GBK"/>
          <w:b/>
          <w:color w:val="auto"/>
          <w:sz w:val="34"/>
          <w:szCs w:val="34"/>
        </w:rPr>
        <w:t>钦州市政府采购中心关于</w:t>
      </w:r>
      <w:r>
        <w:rPr>
          <w:rFonts w:hint="eastAsia" w:ascii="方正小标宋_GBK" w:hAnsi="宋体" w:eastAsia="方正小标宋_GBK"/>
          <w:b/>
          <w:color w:val="auto"/>
          <w:sz w:val="34"/>
          <w:szCs w:val="34"/>
          <w:lang w:eastAsia="zh-CN"/>
        </w:rPr>
        <w:t>浦北县2024年支持义务教育薄弱环节与能力提升教学设备</w:t>
      </w:r>
      <w:r>
        <w:rPr>
          <w:rFonts w:ascii="方正小标宋_GBK" w:hAnsi="宋体" w:eastAsia="方正小标宋_GBK"/>
          <w:b/>
          <w:color w:val="auto"/>
          <w:sz w:val="34"/>
          <w:szCs w:val="34"/>
        </w:rPr>
        <w:t>(</w:t>
      </w:r>
      <w:r>
        <w:rPr>
          <w:rFonts w:hint="eastAsia" w:ascii="方正小标宋_GBK" w:hAnsi="宋体" w:eastAsia="方正小标宋_GBK"/>
          <w:b/>
          <w:color w:val="auto"/>
          <w:sz w:val="34"/>
          <w:szCs w:val="34"/>
          <w:lang w:eastAsia="zh-CN"/>
        </w:rPr>
        <w:t>QZZC2024-J1-220427-QZSZ</w:t>
      </w:r>
      <w:r>
        <w:rPr>
          <w:rFonts w:ascii="方正小标宋_GBK" w:hAnsi="宋体" w:eastAsia="方正小标宋_GBK"/>
          <w:b/>
          <w:color w:val="auto"/>
          <w:sz w:val="34"/>
          <w:szCs w:val="34"/>
        </w:rPr>
        <w:t>)</w:t>
      </w:r>
      <w:r>
        <w:rPr>
          <w:rFonts w:hint="eastAsia" w:ascii="方正小标宋_GBK" w:hAnsi="宋体" w:eastAsia="方正小标宋_GBK"/>
          <w:b/>
          <w:color w:val="auto"/>
          <w:sz w:val="34"/>
          <w:szCs w:val="34"/>
        </w:rPr>
        <w:t>的竞争性谈判公告</w:t>
      </w:r>
    </w:p>
    <w:p>
      <w:pPr>
        <w:pBdr>
          <w:top w:val="single" w:color="auto" w:sz="4" w:space="0"/>
          <w:left w:val="single" w:color="auto" w:sz="4" w:space="4"/>
          <w:bottom w:val="single" w:color="auto" w:sz="4" w:space="1"/>
          <w:right w:val="single" w:color="auto" w:sz="4" w:space="4"/>
        </w:pBdr>
        <w:spacing w:line="400" w:lineRule="exact"/>
        <w:rPr>
          <w:rFonts w:hint="eastAsia" w:ascii="方正小标宋简体" w:hAnsi="宋体" w:eastAsia="方正小标宋简体"/>
          <w:b/>
          <w:color w:val="auto"/>
          <w:sz w:val="32"/>
          <w:szCs w:val="32"/>
        </w:rPr>
      </w:pPr>
      <w:bookmarkStart w:id="2" w:name="_Toc38370138"/>
      <w:r>
        <w:rPr>
          <w:rFonts w:hint="eastAsia" w:ascii="宋体" w:hAnsi="宋体"/>
          <w:color w:val="auto"/>
          <w:szCs w:val="21"/>
        </w:rPr>
        <w:t>项目概况</w:t>
      </w:r>
    </w:p>
    <w:p>
      <w:pPr>
        <w:pBdr>
          <w:top w:val="single" w:color="auto" w:sz="4" w:space="0"/>
          <w:left w:val="single" w:color="auto" w:sz="4" w:space="4"/>
          <w:bottom w:val="single" w:color="auto" w:sz="4" w:space="1"/>
          <w:right w:val="single" w:color="auto" w:sz="4" w:space="4"/>
        </w:pBdr>
        <w:spacing w:line="400" w:lineRule="exact"/>
        <w:ind w:firstLine="420" w:firstLineChars="200"/>
        <w:rPr>
          <w:rFonts w:hint="eastAsia" w:ascii="宋体" w:hAnsi="宋体"/>
          <w:color w:val="auto"/>
          <w:szCs w:val="21"/>
        </w:rPr>
      </w:pPr>
      <w:r>
        <w:rPr>
          <w:rFonts w:hint="eastAsia" w:ascii="宋体" w:hAnsi="宋体"/>
          <w:color w:val="auto"/>
          <w:szCs w:val="21"/>
          <w:lang w:eastAsia="zh-CN"/>
        </w:rPr>
        <w:t>浦北县2024年支持义务教育薄弱环节与能力提升教学设备</w:t>
      </w:r>
      <w:r>
        <w:rPr>
          <w:rFonts w:hint="eastAsia" w:ascii="宋体" w:hAnsi="宋体"/>
          <w:color w:val="auto"/>
          <w:szCs w:val="21"/>
        </w:rPr>
        <w:t>项目的潜在供应商应在广西政府采购云平台（https://www.gcy.zfcg.gxzf.gov.cn/）获取采购文件，并于2024</w:t>
      </w:r>
      <w:r>
        <w:rPr>
          <w:rFonts w:hint="eastAsia" w:ascii="宋体" w:hAnsi="宋体"/>
          <w:bCs/>
          <w:color w:val="auto"/>
          <w:szCs w:val="21"/>
        </w:rPr>
        <w:t>年</w:t>
      </w:r>
      <w:r>
        <w:rPr>
          <w:rFonts w:hint="eastAsia" w:ascii="宋体" w:hAnsi="宋体"/>
          <w:bCs/>
          <w:color w:val="auto"/>
          <w:szCs w:val="21"/>
          <w:lang w:val="en-US" w:eastAsia="zh-CN"/>
        </w:rPr>
        <w:t>11</w:t>
      </w:r>
      <w:r>
        <w:rPr>
          <w:rFonts w:hint="eastAsia" w:ascii="宋体" w:hAnsi="宋体"/>
          <w:bCs/>
          <w:color w:val="auto"/>
          <w:szCs w:val="21"/>
        </w:rPr>
        <w:t>月</w:t>
      </w:r>
      <w:r>
        <w:rPr>
          <w:rFonts w:hint="eastAsia" w:ascii="宋体" w:hAnsi="宋体"/>
          <w:bCs/>
          <w:color w:val="auto"/>
          <w:szCs w:val="21"/>
          <w:lang w:val="en-US" w:eastAsia="zh-CN"/>
        </w:rPr>
        <w:t>8</w:t>
      </w:r>
      <w:r>
        <w:rPr>
          <w:rFonts w:hint="eastAsia" w:ascii="宋体" w:hAnsi="宋体"/>
          <w:bCs/>
          <w:color w:val="auto"/>
          <w:szCs w:val="21"/>
        </w:rPr>
        <w:t>日</w:t>
      </w:r>
      <w:r>
        <w:rPr>
          <w:rFonts w:hint="eastAsia"/>
          <w:color w:val="auto"/>
          <w:lang w:val="en-US" w:eastAsia="zh-CN"/>
        </w:rPr>
        <w:t>10</w:t>
      </w:r>
      <w:r>
        <w:rPr>
          <w:color w:val="auto"/>
        </w:rPr>
        <w:t>:</w:t>
      </w:r>
      <w:r>
        <w:rPr>
          <w:rFonts w:hint="eastAsia"/>
          <w:color w:val="auto"/>
          <w:lang w:val="en-US" w:eastAsia="zh-CN"/>
        </w:rPr>
        <w:t>0</w:t>
      </w:r>
      <w:r>
        <w:rPr>
          <w:color w:val="auto"/>
        </w:rPr>
        <w:t>0</w:t>
      </w:r>
      <w:r>
        <w:rPr>
          <w:rFonts w:hint="eastAsia" w:ascii="宋体" w:hAnsi="宋体"/>
          <w:bCs/>
          <w:color w:val="auto"/>
          <w:szCs w:val="21"/>
        </w:rPr>
        <w:t>（北京时间）前提交响应</w:t>
      </w:r>
      <w:r>
        <w:rPr>
          <w:rFonts w:ascii="宋体" w:hAnsi="宋体"/>
          <w:bCs/>
          <w:color w:val="auto"/>
          <w:szCs w:val="21"/>
        </w:rPr>
        <w:t>文件</w:t>
      </w:r>
      <w:r>
        <w:rPr>
          <w:rFonts w:hint="eastAsia" w:ascii="宋体" w:hAnsi="宋体"/>
          <w:color w:val="auto"/>
          <w:szCs w:val="21"/>
        </w:rPr>
        <w:t>。</w:t>
      </w:r>
    </w:p>
    <w:bookmarkEnd w:id="2"/>
    <w:p>
      <w:pPr>
        <w:spacing w:line="400" w:lineRule="exact"/>
        <w:rPr>
          <w:b/>
          <w:color w:val="auto"/>
        </w:rPr>
      </w:pPr>
      <w:bookmarkStart w:id="3" w:name="_Toc28359002"/>
      <w:bookmarkStart w:id="4" w:name="_Toc35393621"/>
      <w:bookmarkStart w:id="5" w:name="_Toc35393790"/>
      <w:bookmarkStart w:id="6" w:name="_Toc28359079"/>
      <w:bookmarkStart w:id="7" w:name="_Hlk24379207"/>
      <w:bookmarkStart w:id="8" w:name="_Toc38370146"/>
      <w:r>
        <w:rPr>
          <w:rFonts w:hint="eastAsia"/>
          <w:b/>
          <w:color w:val="auto"/>
        </w:rPr>
        <w:t>一、项目基本情况</w:t>
      </w:r>
      <w:bookmarkEnd w:id="3"/>
      <w:bookmarkEnd w:id="4"/>
      <w:bookmarkEnd w:id="5"/>
      <w:bookmarkEnd w:id="6"/>
    </w:p>
    <w:p>
      <w:pPr>
        <w:spacing w:line="400" w:lineRule="exact"/>
        <w:ind w:firstLine="420"/>
        <w:rPr>
          <w:rFonts w:hint="eastAsia" w:eastAsia="宋体"/>
          <w:color w:val="auto"/>
          <w:lang w:eastAsia="zh-CN"/>
        </w:rPr>
      </w:pPr>
      <w:r>
        <w:rPr>
          <w:rFonts w:hint="eastAsia"/>
          <w:color w:val="auto"/>
        </w:rPr>
        <w:t>项目编号：</w:t>
      </w:r>
      <w:r>
        <w:rPr>
          <w:rFonts w:hint="eastAsia"/>
          <w:color w:val="auto"/>
          <w:lang w:eastAsia="zh-CN"/>
        </w:rPr>
        <w:t>QZZC2024-J1-220427-QZSZ</w:t>
      </w:r>
    </w:p>
    <w:p>
      <w:pPr>
        <w:spacing w:line="400" w:lineRule="exact"/>
        <w:ind w:firstLine="420"/>
        <w:rPr>
          <w:rFonts w:hint="eastAsia" w:eastAsia="宋体"/>
          <w:color w:val="auto"/>
          <w:lang w:eastAsia="zh-CN"/>
        </w:rPr>
      </w:pPr>
      <w:r>
        <w:rPr>
          <w:rFonts w:hint="eastAsia"/>
          <w:color w:val="auto"/>
        </w:rPr>
        <w:t>项目名称：</w:t>
      </w:r>
      <w:r>
        <w:rPr>
          <w:rFonts w:hint="eastAsia"/>
          <w:color w:val="auto"/>
          <w:lang w:eastAsia="zh-CN"/>
        </w:rPr>
        <w:t>浦北县2024年支持义务教育薄弱环节与能力提升教学设备</w:t>
      </w:r>
    </w:p>
    <w:bookmarkEnd w:id="7"/>
    <w:p>
      <w:pPr>
        <w:spacing w:line="400" w:lineRule="exact"/>
        <w:ind w:firstLine="420"/>
        <w:rPr>
          <w:color w:val="auto"/>
        </w:rPr>
      </w:pPr>
      <w:r>
        <w:rPr>
          <w:rFonts w:hint="eastAsia"/>
          <w:color w:val="auto"/>
        </w:rPr>
        <w:t>预算总金额(元</w:t>
      </w:r>
      <w:r>
        <w:rPr>
          <w:color w:val="auto"/>
        </w:rPr>
        <w:t>)</w:t>
      </w:r>
      <w:r>
        <w:rPr>
          <w:rFonts w:hint="eastAsia"/>
          <w:color w:val="auto"/>
        </w:rPr>
        <w:t>：2,200,000.00</w:t>
      </w:r>
    </w:p>
    <w:p>
      <w:pPr>
        <w:spacing w:line="400" w:lineRule="exact"/>
        <w:ind w:firstLine="420"/>
        <w:rPr>
          <w:color w:val="auto"/>
        </w:rPr>
      </w:pPr>
      <w:r>
        <w:rPr>
          <w:rFonts w:hint="eastAsia"/>
          <w:color w:val="auto"/>
        </w:rPr>
        <w:t>采购需求：</w:t>
      </w:r>
    </w:p>
    <w:p>
      <w:pPr>
        <w:spacing w:line="400" w:lineRule="exact"/>
        <w:ind w:firstLine="420"/>
        <w:rPr>
          <w:color w:val="auto"/>
        </w:rPr>
      </w:pPr>
    </w:p>
    <w:p>
      <w:pPr>
        <w:spacing w:line="400" w:lineRule="exact"/>
        <w:ind w:firstLine="420"/>
        <w:rPr>
          <w:color w:val="auto"/>
        </w:rPr>
      </w:pPr>
      <w:r>
        <w:rPr>
          <w:rFonts w:hint="eastAsia"/>
          <w:color w:val="auto"/>
        </w:rPr>
        <w:t>标项名称：</w:t>
      </w:r>
      <w:r>
        <w:rPr>
          <w:color w:val="auto"/>
        </w:rPr>
        <w:t xml:space="preserve"> </w:t>
      </w:r>
      <w:r>
        <w:rPr>
          <w:rFonts w:hint="eastAsia"/>
          <w:color w:val="auto"/>
        </w:rPr>
        <w:t>浦北县2024年支持义务教育薄弱环节与能力提升教学设备</w:t>
      </w:r>
    </w:p>
    <w:p>
      <w:pPr>
        <w:spacing w:line="400" w:lineRule="exact"/>
        <w:ind w:firstLine="420"/>
        <w:rPr>
          <w:rFonts w:hint="eastAsia" w:eastAsia="宋体"/>
          <w:color w:val="auto"/>
          <w:lang w:val="en-US" w:eastAsia="zh-CN"/>
        </w:rPr>
      </w:pPr>
      <w:r>
        <w:rPr>
          <w:rFonts w:hint="eastAsia"/>
          <w:color w:val="auto"/>
        </w:rPr>
        <w:t>数量：</w:t>
      </w:r>
      <w:r>
        <w:rPr>
          <w:rFonts w:hint="eastAsia"/>
          <w:color w:val="auto"/>
          <w:lang w:val="en-US" w:eastAsia="zh-CN"/>
        </w:rPr>
        <w:t>1</w:t>
      </w:r>
    </w:p>
    <w:p>
      <w:pPr>
        <w:spacing w:line="400" w:lineRule="exact"/>
        <w:ind w:firstLine="420"/>
        <w:rPr>
          <w:color w:val="auto"/>
        </w:rPr>
      </w:pPr>
      <w:r>
        <w:rPr>
          <w:rFonts w:hint="eastAsia"/>
          <w:color w:val="auto"/>
        </w:rPr>
        <w:t>预算金额(元</w:t>
      </w:r>
      <w:r>
        <w:rPr>
          <w:color w:val="auto"/>
        </w:rPr>
        <w:t>)</w:t>
      </w:r>
      <w:r>
        <w:rPr>
          <w:rFonts w:hint="eastAsia"/>
          <w:color w:val="auto"/>
        </w:rPr>
        <w:t>：2,200,000.00</w:t>
      </w:r>
    </w:p>
    <w:p>
      <w:pPr>
        <w:spacing w:line="400" w:lineRule="exact"/>
        <w:ind w:firstLine="420"/>
        <w:rPr>
          <w:rFonts w:hint="default" w:eastAsia="宋体"/>
          <w:color w:val="auto"/>
          <w:lang w:val="en-US" w:eastAsia="zh-CN"/>
        </w:rPr>
      </w:pPr>
      <w:r>
        <w:rPr>
          <w:rFonts w:hint="eastAsia"/>
          <w:color w:val="auto"/>
        </w:rPr>
        <w:t>简要规格描述或项目基本概况介绍、用途：</w:t>
      </w:r>
      <w:r>
        <w:rPr>
          <w:color w:val="auto"/>
        </w:rPr>
        <w:t xml:space="preserve"> </w:t>
      </w:r>
      <w:r>
        <w:rPr>
          <w:rFonts w:hint="eastAsia"/>
          <w:color w:val="auto"/>
          <w:lang w:val="en-US" w:eastAsia="zh-CN"/>
        </w:rPr>
        <w:t>智慧黑板、计算机、课桌椅、校园广播系统等，具体详见采购需求</w:t>
      </w:r>
    </w:p>
    <w:p>
      <w:pPr>
        <w:spacing w:line="400" w:lineRule="exact"/>
        <w:ind w:firstLine="420"/>
        <w:rPr>
          <w:color w:val="auto"/>
        </w:rPr>
      </w:pPr>
      <w:r>
        <w:rPr>
          <w:rFonts w:hint="eastAsia"/>
          <w:color w:val="auto"/>
        </w:rPr>
        <w:t>最高限价(如有</w:t>
      </w:r>
      <w:r>
        <w:rPr>
          <w:color w:val="auto"/>
        </w:rPr>
        <w:t>)</w:t>
      </w:r>
      <w:r>
        <w:rPr>
          <w:rFonts w:hint="eastAsia"/>
          <w:color w:val="auto"/>
        </w:rPr>
        <w:t>：</w:t>
      </w:r>
    </w:p>
    <w:p>
      <w:pPr>
        <w:spacing w:line="400" w:lineRule="exact"/>
        <w:ind w:firstLine="420"/>
        <w:rPr>
          <w:color w:val="auto"/>
        </w:rPr>
      </w:pPr>
      <w:r>
        <w:rPr>
          <w:rFonts w:hint="eastAsia"/>
          <w:color w:val="auto"/>
        </w:rPr>
        <w:t>合同履行期限：2024年</w:t>
      </w:r>
      <w:r>
        <w:rPr>
          <w:rFonts w:hint="eastAsia"/>
          <w:color w:val="auto"/>
          <w:lang w:val="en-US" w:eastAsia="zh-CN"/>
        </w:rPr>
        <w:t>11</w:t>
      </w:r>
      <w:r>
        <w:rPr>
          <w:rFonts w:hint="eastAsia"/>
          <w:color w:val="auto"/>
        </w:rPr>
        <w:t>月</w:t>
      </w:r>
      <w:r>
        <w:rPr>
          <w:rFonts w:hint="eastAsia"/>
          <w:color w:val="auto"/>
          <w:lang w:val="en-US" w:eastAsia="zh-CN"/>
        </w:rPr>
        <w:t>25</w:t>
      </w:r>
      <w:r>
        <w:rPr>
          <w:rFonts w:hint="eastAsia"/>
          <w:color w:val="auto"/>
        </w:rPr>
        <w:t>日前安装调试竣工验收交付使用。</w:t>
      </w:r>
    </w:p>
    <w:p>
      <w:pPr>
        <w:spacing w:line="400" w:lineRule="exact"/>
        <w:ind w:firstLine="420"/>
        <w:rPr>
          <w:color w:val="auto"/>
        </w:rPr>
      </w:pPr>
      <w:r>
        <w:rPr>
          <w:rFonts w:hint="eastAsia"/>
          <w:color w:val="auto"/>
        </w:rPr>
        <w:t>本标项(否</w:t>
      </w:r>
      <w:r>
        <w:rPr>
          <w:color w:val="auto"/>
        </w:rPr>
        <w:t>)</w:t>
      </w:r>
      <w:r>
        <w:rPr>
          <w:rFonts w:hint="eastAsia"/>
          <w:color w:val="auto"/>
        </w:rPr>
        <w:t>接受联合体投标。</w:t>
      </w:r>
    </w:p>
    <w:p>
      <w:pPr>
        <w:spacing w:line="400" w:lineRule="exact"/>
        <w:ind w:firstLine="420"/>
        <w:rPr>
          <w:color w:val="auto"/>
        </w:rPr>
      </w:pPr>
      <w:r>
        <w:rPr>
          <w:rFonts w:hint="eastAsia"/>
          <w:color w:val="auto"/>
        </w:rPr>
        <w:t>备注：</w:t>
      </w:r>
    </w:p>
    <w:p>
      <w:pPr>
        <w:spacing w:line="400" w:lineRule="exact"/>
        <w:ind w:firstLine="420"/>
        <w:rPr>
          <w:color w:val="auto"/>
        </w:rPr>
      </w:pPr>
    </w:p>
    <w:p>
      <w:pPr>
        <w:spacing w:line="400" w:lineRule="exact"/>
        <w:rPr>
          <w:b/>
          <w:color w:val="auto"/>
        </w:rPr>
      </w:pPr>
      <w:bookmarkStart w:id="9" w:name="_Toc35393791"/>
      <w:bookmarkStart w:id="10" w:name="_Toc28359080"/>
      <w:bookmarkStart w:id="11" w:name="_Toc35393622"/>
      <w:bookmarkStart w:id="12" w:name="_Toc28359003"/>
      <w:r>
        <w:rPr>
          <w:rFonts w:hint="eastAsia"/>
          <w:b/>
          <w:color w:val="auto"/>
        </w:rPr>
        <w:t>二、申请人的资格要求：</w:t>
      </w:r>
      <w:bookmarkEnd w:id="9"/>
      <w:bookmarkEnd w:id="10"/>
      <w:bookmarkEnd w:id="11"/>
      <w:bookmarkEnd w:id="12"/>
      <w:bookmarkStart w:id="13" w:name="_Toc35393792"/>
      <w:bookmarkStart w:id="14" w:name="_Toc35393623"/>
      <w:bookmarkStart w:id="15" w:name="_Toc28359004"/>
      <w:bookmarkStart w:id="16" w:name="_Toc28359081"/>
    </w:p>
    <w:p>
      <w:pPr>
        <w:spacing w:line="400" w:lineRule="exact"/>
        <w:ind w:firstLine="420"/>
        <w:rPr>
          <w:b/>
          <w:color w:val="auto"/>
        </w:rPr>
      </w:pPr>
      <w:r>
        <w:rPr>
          <w:rFonts w:hint="eastAsia"/>
          <w:color w:val="auto"/>
        </w:rPr>
        <w:t>1.满足《中华人民共和国政府采购法》第二十二条规定</w:t>
      </w:r>
    </w:p>
    <w:p>
      <w:pPr>
        <w:spacing w:line="400" w:lineRule="exact"/>
        <w:ind w:firstLine="420"/>
        <w:rPr>
          <w:rFonts w:hint="eastAsia" w:eastAsia="宋体"/>
          <w:color w:val="auto"/>
          <w:lang w:val="en-US" w:eastAsia="zh-CN"/>
        </w:rPr>
      </w:pPr>
      <w:r>
        <w:rPr>
          <w:rFonts w:hint="eastAsia"/>
          <w:color w:val="auto"/>
        </w:rPr>
        <w:t>2.落实政府采购政策需满足的资格要求：</w:t>
      </w:r>
      <w:r>
        <w:rPr>
          <w:rFonts w:hint="eastAsia"/>
          <w:color w:val="auto"/>
          <w:lang w:val="en-US" w:eastAsia="zh-CN"/>
        </w:rPr>
        <w:t>无</w:t>
      </w:r>
    </w:p>
    <w:p>
      <w:pPr>
        <w:spacing w:line="400" w:lineRule="exact"/>
        <w:ind w:firstLine="435"/>
        <w:rPr>
          <w:rFonts w:hint="eastAsia" w:eastAsia="宋体"/>
          <w:color w:val="auto"/>
          <w:lang w:val="en-US" w:eastAsia="zh-CN"/>
        </w:rPr>
      </w:pPr>
      <w:r>
        <w:rPr>
          <w:rFonts w:hint="eastAsia"/>
          <w:color w:val="auto"/>
        </w:rPr>
        <w:t>3.本项目的特定资格要求：</w:t>
      </w:r>
      <w:r>
        <w:rPr>
          <w:rFonts w:hint="eastAsia"/>
          <w:color w:val="auto"/>
          <w:lang w:val="en-US" w:eastAsia="zh-CN"/>
        </w:rPr>
        <w:t>无</w:t>
      </w:r>
    </w:p>
    <w:p>
      <w:pPr>
        <w:spacing w:line="400" w:lineRule="exact"/>
        <w:rPr>
          <w:b/>
          <w:color w:val="auto"/>
        </w:rPr>
      </w:pPr>
      <w:r>
        <w:rPr>
          <w:rFonts w:hint="eastAsia"/>
          <w:b/>
          <w:color w:val="auto"/>
        </w:rPr>
        <w:t>三、获取采购文件</w:t>
      </w:r>
      <w:bookmarkEnd w:id="13"/>
      <w:bookmarkEnd w:id="14"/>
      <w:bookmarkEnd w:id="15"/>
      <w:bookmarkEnd w:id="16"/>
    </w:p>
    <w:p>
      <w:pPr>
        <w:spacing w:line="400" w:lineRule="exact"/>
        <w:ind w:firstLine="420"/>
        <w:jc w:val="left"/>
        <w:rPr>
          <w:color w:val="auto"/>
        </w:rPr>
      </w:pPr>
      <w:bookmarkStart w:id="17" w:name="_Toc38370141"/>
      <w:r>
        <w:rPr>
          <w:rFonts w:hint="eastAsia"/>
          <w:color w:val="auto"/>
        </w:rPr>
        <w:t>时间：2024年</w:t>
      </w:r>
      <w:r>
        <w:rPr>
          <w:rFonts w:hint="eastAsia"/>
          <w:color w:val="auto"/>
          <w:lang w:val="en-US" w:eastAsia="zh-CN"/>
        </w:rPr>
        <w:t>10</w:t>
      </w:r>
      <w:r>
        <w:rPr>
          <w:rFonts w:hint="eastAsia"/>
          <w:color w:val="auto"/>
        </w:rPr>
        <w:t>月</w:t>
      </w:r>
      <w:r>
        <w:rPr>
          <w:rFonts w:hint="eastAsia"/>
          <w:color w:val="auto"/>
          <w:lang w:val="en-US" w:eastAsia="zh-CN"/>
        </w:rPr>
        <w:t>29</w:t>
      </w:r>
      <w:r>
        <w:rPr>
          <w:rFonts w:hint="eastAsia"/>
          <w:color w:val="auto"/>
        </w:rPr>
        <w:t>日至2024年</w:t>
      </w:r>
      <w:r>
        <w:rPr>
          <w:rFonts w:hint="eastAsia"/>
          <w:color w:val="auto"/>
          <w:lang w:val="en-US" w:eastAsia="zh-CN"/>
        </w:rPr>
        <w:t>11</w:t>
      </w:r>
      <w:r>
        <w:rPr>
          <w:rFonts w:hint="eastAsia"/>
          <w:color w:val="auto"/>
        </w:rPr>
        <w:t>月</w:t>
      </w:r>
      <w:r>
        <w:rPr>
          <w:rFonts w:hint="eastAsia"/>
          <w:color w:val="auto"/>
          <w:lang w:val="en-US" w:eastAsia="zh-CN"/>
        </w:rPr>
        <w:t>6</w:t>
      </w:r>
      <w:r>
        <w:rPr>
          <w:rFonts w:hint="eastAsia"/>
          <w:color w:val="auto"/>
        </w:rPr>
        <w:t>日 ，每天上午00:00至12:00，下午12:00至23:59（北京时间，法定节假日除外）</w:t>
      </w:r>
    </w:p>
    <w:p>
      <w:pPr>
        <w:spacing w:line="400" w:lineRule="exact"/>
        <w:ind w:firstLine="420"/>
        <w:rPr>
          <w:color w:val="auto"/>
        </w:rPr>
      </w:pPr>
      <w:r>
        <w:rPr>
          <w:rFonts w:hint="eastAsia"/>
          <w:color w:val="auto"/>
        </w:rPr>
        <w:t>地点(网址</w:t>
      </w:r>
      <w:r>
        <w:rPr>
          <w:color w:val="auto"/>
        </w:rPr>
        <w:t>)</w:t>
      </w:r>
      <w:r>
        <w:rPr>
          <w:rFonts w:hint="eastAsia"/>
          <w:color w:val="auto"/>
        </w:rPr>
        <w:t>：</w:t>
      </w:r>
      <w:r>
        <w:rPr>
          <w:rFonts w:hint="eastAsia" w:ascii="宋体" w:hAnsi="宋体"/>
          <w:color w:val="auto"/>
          <w:szCs w:val="21"/>
        </w:rPr>
        <w:t>广西政府采购云平台（https://www.gcy.zfcg.gxzf.gov.cn/）</w:t>
      </w:r>
    </w:p>
    <w:p>
      <w:pPr>
        <w:spacing w:line="400" w:lineRule="exact"/>
        <w:ind w:firstLine="420"/>
        <w:rPr>
          <w:color w:val="auto"/>
        </w:rPr>
      </w:pPr>
      <w:r>
        <w:rPr>
          <w:rFonts w:hint="eastAsia"/>
          <w:color w:val="auto"/>
        </w:rPr>
        <w:t>方式：供应商登录广西政府采购云平台(以下称“政采云平台”)在线获取采购文件（进入“项目采购”应用选择项目，获取采购文件）</w:t>
      </w:r>
    </w:p>
    <w:p>
      <w:pPr>
        <w:spacing w:line="400" w:lineRule="exact"/>
        <w:ind w:firstLine="420"/>
        <w:rPr>
          <w:color w:val="auto"/>
        </w:rPr>
      </w:pPr>
      <w:r>
        <w:rPr>
          <w:rFonts w:hint="eastAsia"/>
          <w:color w:val="auto"/>
        </w:rPr>
        <w:t>售价(元</w:t>
      </w:r>
      <w:r>
        <w:rPr>
          <w:color w:val="auto"/>
        </w:rPr>
        <w:t>)</w:t>
      </w:r>
      <w:r>
        <w:rPr>
          <w:rFonts w:hint="eastAsia"/>
          <w:color w:val="auto"/>
        </w:rPr>
        <w:t xml:space="preserve">：0 </w:t>
      </w:r>
    </w:p>
    <w:p>
      <w:pPr>
        <w:spacing w:line="400" w:lineRule="exact"/>
        <w:rPr>
          <w:b/>
          <w:color w:val="auto"/>
        </w:rPr>
      </w:pPr>
      <w:r>
        <w:rPr>
          <w:rFonts w:hint="eastAsia"/>
          <w:b/>
          <w:bCs/>
          <w:color w:val="auto"/>
        </w:rPr>
        <w:t>四、</w:t>
      </w:r>
      <w:bookmarkEnd w:id="17"/>
      <w:bookmarkStart w:id="18" w:name="_Toc28359082"/>
      <w:bookmarkStart w:id="19" w:name="_Toc28359005"/>
      <w:bookmarkStart w:id="20" w:name="_Toc35393793"/>
      <w:bookmarkStart w:id="21" w:name="_Toc35393624"/>
      <w:r>
        <w:rPr>
          <w:rFonts w:hint="eastAsia"/>
          <w:b/>
          <w:color w:val="auto"/>
        </w:rPr>
        <w:t>响应文件</w:t>
      </w:r>
      <w:bookmarkEnd w:id="18"/>
      <w:bookmarkEnd w:id="19"/>
      <w:r>
        <w:rPr>
          <w:rFonts w:hint="eastAsia"/>
          <w:b/>
          <w:color w:val="auto"/>
        </w:rPr>
        <w:t>提交</w:t>
      </w:r>
      <w:bookmarkEnd w:id="20"/>
      <w:bookmarkEnd w:id="21"/>
    </w:p>
    <w:p>
      <w:pPr>
        <w:spacing w:line="400" w:lineRule="exact"/>
        <w:ind w:firstLine="420"/>
        <w:rPr>
          <w:color w:val="auto"/>
        </w:rPr>
      </w:pPr>
      <w:r>
        <w:rPr>
          <w:rFonts w:hint="eastAsia"/>
          <w:color w:val="auto"/>
        </w:rPr>
        <w:t>截止时间：2024年</w:t>
      </w:r>
      <w:r>
        <w:rPr>
          <w:rFonts w:hint="eastAsia"/>
          <w:color w:val="auto"/>
          <w:lang w:val="en-US" w:eastAsia="zh-CN"/>
        </w:rPr>
        <w:t>11</w:t>
      </w:r>
      <w:r>
        <w:rPr>
          <w:rFonts w:hint="eastAsia"/>
          <w:color w:val="auto"/>
        </w:rPr>
        <w:t>月</w:t>
      </w:r>
      <w:r>
        <w:rPr>
          <w:rFonts w:hint="eastAsia"/>
          <w:color w:val="auto"/>
          <w:lang w:val="en-US" w:eastAsia="zh-CN"/>
        </w:rPr>
        <w:t>8</w:t>
      </w:r>
      <w:r>
        <w:rPr>
          <w:rFonts w:hint="eastAsia"/>
          <w:color w:val="auto"/>
        </w:rPr>
        <w:t>日</w:t>
      </w:r>
      <w:r>
        <w:rPr>
          <w:rFonts w:hint="eastAsia"/>
          <w:color w:val="auto"/>
          <w:lang w:val="en-US" w:eastAsia="zh-CN"/>
        </w:rPr>
        <w:t>10</w:t>
      </w:r>
      <w:r>
        <w:rPr>
          <w:rFonts w:hint="eastAsia"/>
          <w:color w:val="auto"/>
        </w:rPr>
        <w:t>:</w:t>
      </w:r>
      <w:r>
        <w:rPr>
          <w:rFonts w:hint="eastAsia"/>
          <w:color w:val="auto"/>
          <w:lang w:val="en-US" w:eastAsia="zh-CN"/>
        </w:rPr>
        <w:t>0</w:t>
      </w:r>
      <w:r>
        <w:rPr>
          <w:rFonts w:hint="eastAsia"/>
          <w:color w:val="auto"/>
        </w:rPr>
        <w:t>0（北京时间）</w:t>
      </w:r>
    </w:p>
    <w:p>
      <w:pPr>
        <w:spacing w:line="400" w:lineRule="exact"/>
        <w:ind w:firstLine="420"/>
        <w:rPr>
          <w:rFonts w:hint="eastAsia" w:ascii="宋体" w:hAnsi="宋体" w:cs="Courier New"/>
          <w:color w:val="auto"/>
          <w:szCs w:val="21"/>
        </w:rPr>
      </w:pPr>
      <w:r>
        <w:rPr>
          <w:rFonts w:hint="eastAsia"/>
          <w:color w:val="auto"/>
        </w:rPr>
        <w:t>地点(网址）：</w:t>
      </w:r>
      <w:r>
        <w:rPr>
          <w:rFonts w:hint="eastAsia" w:ascii="宋体" w:hAnsi="宋体" w:cs="Courier New"/>
          <w:color w:val="auto"/>
          <w:szCs w:val="21"/>
        </w:rPr>
        <w:t>政采云远程开标大厅(</w:t>
      </w:r>
      <w:r>
        <w:rPr>
          <w:color w:val="auto"/>
        </w:rPr>
        <w:t>https://www.gcy.zfcg.gxzf.gov.cn/</w:t>
      </w:r>
      <w:r>
        <w:rPr>
          <w:rFonts w:hint="eastAsia" w:ascii="宋体" w:hAnsi="宋体" w:cs="Courier New"/>
          <w:color w:val="auto"/>
          <w:szCs w:val="21"/>
        </w:rPr>
        <w:t>)</w:t>
      </w:r>
    </w:p>
    <w:p>
      <w:pPr>
        <w:spacing w:line="400" w:lineRule="exact"/>
        <w:rPr>
          <w:rFonts w:hint="eastAsia" w:ascii="宋体" w:hAnsi="宋体" w:cs="Courier New"/>
          <w:b/>
          <w:bCs/>
          <w:color w:val="auto"/>
          <w:szCs w:val="21"/>
        </w:rPr>
      </w:pPr>
      <w:r>
        <w:rPr>
          <w:rFonts w:hint="eastAsia" w:ascii="宋体" w:hAnsi="宋体" w:cs="Courier New"/>
          <w:b/>
          <w:bCs/>
          <w:color w:val="auto"/>
          <w:szCs w:val="21"/>
        </w:rPr>
        <w:t>五、响应文件开启</w:t>
      </w:r>
    </w:p>
    <w:p>
      <w:pPr>
        <w:spacing w:line="400" w:lineRule="exact"/>
        <w:ind w:firstLine="420" w:firstLineChars="200"/>
        <w:rPr>
          <w:rFonts w:hint="eastAsia" w:ascii="宋体" w:hAnsi="宋体" w:cs="Courier New"/>
          <w:color w:val="auto"/>
          <w:szCs w:val="21"/>
        </w:rPr>
      </w:pPr>
      <w:r>
        <w:rPr>
          <w:rFonts w:hint="eastAsia" w:ascii="宋体" w:hAnsi="宋体" w:cs="Courier New"/>
          <w:color w:val="auto"/>
          <w:szCs w:val="21"/>
        </w:rPr>
        <w:t>开启时间：</w:t>
      </w:r>
      <w:r>
        <w:rPr>
          <w:rFonts w:hint="eastAsia"/>
          <w:color w:val="auto"/>
        </w:rPr>
        <w:t>2024年</w:t>
      </w:r>
      <w:r>
        <w:rPr>
          <w:rFonts w:hint="eastAsia"/>
          <w:color w:val="auto"/>
          <w:lang w:val="en-US" w:eastAsia="zh-CN"/>
        </w:rPr>
        <w:t>11</w:t>
      </w:r>
      <w:r>
        <w:rPr>
          <w:rFonts w:hint="eastAsia"/>
          <w:color w:val="auto"/>
        </w:rPr>
        <w:t>月</w:t>
      </w:r>
      <w:r>
        <w:rPr>
          <w:rFonts w:hint="eastAsia"/>
          <w:color w:val="auto"/>
          <w:lang w:val="en-US" w:eastAsia="zh-CN"/>
        </w:rPr>
        <w:t>8</w:t>
      </w:r>
      <w:r>
        <w:rPr>
          <w:rFonts w:hint="eastAsia"/>
          <w:color w:val="auto"/>
        </w:rPr>
        <w:t>日</w:t>
      </w:r>
      <w:r>
        <w:rPr>
          <w:rFonts w:hint="eastAsia"/>
          <w:color w:val="auto"/>
          <w:lang w:val="en-US" w:eastAsia="zh-CN"/>
        </w:rPr>
        <w:t>10</w:t>
      </w:r>
      <w:r>
        <w:rPr>
          <w:rFonts w:hint="eastAsia"/>
          <w:color w:val="auto"/>
        </w:rPr>
        <w:t>:</w:t>
      </w:r>
      <w:r>
        <w:rPr>
          <w:rFonts w:hint="eastAsia"/>
          <w:color w:val="auto"/>
          <w:lang w:val="en-US" w:eastAsia="zh-CN"/>
        </w:rPr>
        <w:t>0</w:t>
      </w:r>
      <w:r>
        <w:rPr>
          <w:rFonts w:hint="eastAsia"/>
          <w:color w:val="auto"/>
        </w:rPr>
        <w:t>0（北京时间）</w:t>
      </w:r>
    </w:p>
    <w:p>
      <w:pPr>
        <w:spacing w:line="400" w:lineRule="exact"/>
        <w:ind w:firstLine="420"/>
        <w:rPr>
          <w:rFonts w:hint="eastAsia" w:ascii="宋体" w:hAnsi="宋体" w:cs="Courier New"/>
          <w:color w:val="auto"/>
          <w:szCs w:val="21"/>
        </w:rPr>
      </w:pPr>
      <w:r>
        <w:rPr>
          <w:rFonts w:hint="eastAsia" w:ascii="宋体" w:hAnsi="宋体" w:cs="Courier New"/>
          <w:color w:val="auto"/>
          <w:szCs w:val="21"/>
        </w:rPr>
        <w:t>地点：</w:t>
      </w:r>
      <w:bookmarkStart w:id="22" w:name="_Toc35393625"/>
      <w:bookmarkStart w:id="23" w:name="_Toc28359084"/>
      <w:bookmarkStart w:id="24" w:name="_Toc35393794"/>
      <w:bookmarkStart w:id="25" w:name="_Toc28359007"/>
      <w:r>
        <w:rPr>
          <w:rFonts w:hint="eastAsia"/>
          <w:color w:val="auto"/>
        </w:rPr>
        <w:t>广西钦州市金海湾东大街8号市政务服务中心三楼开标室</w:t>
      </w:r>
    </w:p>
    <w:p>
      <w:pPr>
        <w:spacing w:line="400" w:lineRule="exact"/>
        <w:rPr>
          <w:b/>
          <w:color w:val="auto"/>
        </w:rPr>
      </w:pPr>
      <w:r>
        <w:rPr>
          <w:rFonts w:hint="eastAsia"/>
          <w:b/>
          <w:color w:val="auto"/>
        </w:rPr>
        <w:t>六、公告期限</w:t>
      </w:r>
      <w:bookmarkEnd w:id="22"/>
      <w:bookmarkEnd w:id="23"/>
      <w:bookmarkEnd w:id="24"/>
      <w:bookmarkEnd w:id="25"/>
    </w:p>
    <w:p>
      <w:pPr>
        <w:spacing w:line="400" w:lineRule="exact"/>
        <w:ind w:firstLine="420"/>
        <w:rPr>
          <w:color w:val="auto"/>
        </w:rPr>
      </w:pPr>
      <w:r>
        <w:rPr>
          <w:rFonts w:hint="eastAsia"/>
          <w:color w:val="auto"/>
        </w:rPr>
        <w:t>自本公告发布之日起</w:t>
      </w:r>
      <w:r>
        <w:rPr>
          <w:color w:val="auto"/>
        </w:rPr>
        <w:t>3</w:t>
      </w:r>
      <w:r>
        <w:rPr>
          <w:rFonts w:hint="eastAsia"/>
          <w:color w:val="auto"/>
        </w:rPr>
        <w:t>个工作日。</w:t>
      </w:r>
    </w:p>
    <w:p>
      <w:pPr>
        <w:spacing w:line="400" w:lineRule="exact"/>
        <w:rPr>
          <w:b/>
          <w:color w:val="auto"/>
        </w:rPr>
      </w:pPr>
      <w:bookmarkStart w:id="26" w:name="_Toc35393627"/>
      <w:bookmarkStart w:id="27" w:name="_Toc35393796"/>
      <w:bookmarkStart w:id="28" w:name="_Toc28359008"/>
      <w:bookmarkStart w:id="29" w:name="_Toc28359085"/>
      <w:r>
        <w:rPr>
          <w:rFonts w:hint="eastAsia"/>
          <w:b/>
          <w:color w:val="auto"/>
        </w:rPr>
        <w:t>七、其他补充事宜</w:t>
      </w:r>
    </w:p>
    <w:p>
      <w:pPr>
        <w:spacing w:line="400" w:lineRule="exact"/>
        <w:ind w:firstLine="420"/>
        <w:rPr>
          <w:color w:val="auto"/>
        </w:rPr>
      </w:pPr>
      <w:r>
        <w:rPr>
          <w:rFonts w:hint="eastAsia"/>
          <w:color w:val="auto"/>
        </w:rPr>
        <w:t>1</w:t>
      </w:r>
      <w:r>
        <w:rPr>
          <w:color w:val="auto"/>
        </w:rPr>
        <w:t>.</w:t>
      </w:r>
      <w:r>
        <w:rPr>
          <w:rFonts w:hint="eastAsia"/>
          <w:bCs/>
          <w:color w:val="auto"/>
        </w:rPr>
        <w:t>本项目需落实的政府采购政策</w:t>
      </w:r>
      <w:r>
        <w:rPr>
          <w:rFonts w:hint="eastAsia"/>
          <w:b/>
          <w:color w:val="auto"/>
        </w:rPr>
        <w:t>：</w:t>
      </w:r>
    </w:p>
    <w:p>
      <w:pPr>
        <w:spacing w:line="400" w:lineRule="exact"/>
        <w:ind w:firstLine="420"/>
        <w:rPr>
          <w:color w:val="auto"/>
        </w:rPr>
      </w:pPr>
      <w:r>
        <w:rPr>
          <w:rFonts w:hint="eastAsia"/>
          <w:color w:val="auto"/>
        </w:rPr>
        <w:t>(1)财政部 工业和信息化部关于印发《政府采购促进中小企业发展管理办法》的通知(财库﹝2020﹞46号)</w:t>
      </w:r>
    </w:p>
    <w:p>
      <w:pPr>
        <w:spacing w:line="400" w:lineRule="exact"/>
        <w:ind w:firstLine="420"/>
        <w:rPr>
          <w:color w:val="auto"/>
        </w:rPr>
      </w:pPr>
      <w:r>
        <w:rPr>
          <w:rFonts w:hint="eastAsia"/>
          <w:color w:val="auto"/>
        </w:rPr>
        <w:t>(2)财政部 司法部关于政府采购支持监狱企业发展有关问题的通知 (财库﹝2014﹞68号)</w:t>
      </w:r>
    </w:p>
    <w:p>
      <w:pPr>
        <w:spacing w:line="400" w:lineRule="exact"/>
        <w:ind w:firstLine="420"/>
        <w:rPr>
          <w:color w:val="auto"/>
        </w:rPr>
      </w:pPr>
      <w:r>
        <w:rPr>
          <w:rFonts w:hint="eastAsia"/>
          <w:color w:val="auto"/>
        </w:rPr>
        <w:t>(3)财政部 民政部 中国残疾人联合会关于促进残疾人就业政府采购政策的通知 (财库﹝2017﹞141号)</w:t>
      </w:r>
    </w:p>
    <w:p>
      <w:pPr>
        <w:spacing w:line="400" w:lineRule="exact"/>
        <w:ind w:firstLine="420" w:firstLineChars="200"/>
        <w:rPr>
          <w:color w:val="auto"/>
        </w:rPr>
      </w:pPr>
      <w:r>
        <w:rPr>
          <w:color w:val="auto"/>
        </w:rPr>
        <w:t>(4)</w:t>
      </w:r>
      <w:r>
        <w:rPr>
          <w:rFonts w:hint="eastAsia"/>
          <w:color w:val="auto"/>
        </w:rPr>
        <w:t>财政部</w:t>
      </w:r>
      <w:r>
        <w:rPr>
          <w:color w:val="auto"/>
        </w:rPr>
        <w:t xml:space="preserve"> </w:t>
      </w:r>
      <w:r>
        <w:rPr>
          <w:rFonts w:hint="eastAsia"/>
          <w:color w:val="auto"/>
        </w:rPr>
        <w:t>发展改革委</w:t>
      </w:r>
      <w:r>
        <w:rPr>
          <w:color w:val="auto"/>
        </w:rPr>
        <w:t xml:space="preserve"> </w:t>
      </w:r>
      <w:r>
        <w:rPr>
          <w:rFonts w:hint="eastAsia"/>
          <w:color w:val="auto"/>
        </w:rPr>
        <w:t>生态环境部</w:t>
      </w:r>
      <w:r>
        <w:rPr>
          <w:color w:val="auto"/>
        </w:rPr>
        <w:t xml:space="preserve"> </w:t>
      </w:r>
      <w:r>
        <w:rPr>
          <w:rFonts w:hint="eastAsia"/>
          <w:color w:val="auto"/>
        </w:rPr>
        <w:t>市场监管总局关于调整优化节能产品、环境标志产品政府采购执行机制的通知（财库〔</w:t>
      </w:r>
      <w:r>
        <w:rPr>
          <w:color w:val="auto"/>
        </w:rPr>
        <w:t>2019</w:t>
      </w:r>
      <w:r>
        <w:rPr>
          <w:rFonts w:hint="eastAsia"/>
          <w:color w:val="auto"/>
        </w:rPr>
        <w:t>〕</w:t>
      </w:r>
      <w:r>
        <w:rPr>
          <w:color w:val="auto"/>
        </w:rPr>
        <w:t>9</w:t>
      </w:r>
      <w:r>
        <w:rPr>
          <w:rFonts w:hint="eastAsia"/>
          <w:color w:val="auto"/>
        </w:rPr>
        <w:t>号）</w:t>
      </w:r>
    </w:p>
    <w:p>
      <w:pPr>
        <w:spacing w:line="400" w:lineRule="exact"/>
        <w:ind w:firstLine="420" w:firstLineChars="200"/>
        <w:rPr>
          <w:rFonts w:hint="eastAsia"/>
          <w:color w:val="auto"/>
        </w:rPr>
      </w:pPr>
      <w:r>
        <w:rPr>
          <w:rFonts w:hint="eastAsia"/>
          <w:color w:val="auto"/>
        </w:rPr>
        <w:t>(5) 财政部 发展改革委 关于印发节能产品政府采购品目清单的通知（财库〔2019〕19号）</w:t>
      </w:r>
    </w:p>
    <w:p>
      <w:pPr>
        <w:spacing w:line="400" w:lineRule="exact"/>
        <w:ind w:firstLine="420"/>
        <w:rPr>
          <w:color w:val="auto"/>
        </w:rPr>
      </w:pPr>
      <w:r>
        <w:rPr>
          <w:rFonts w:hint="eastAsia"/>
          <w:color w:val="auto"/>
        </w:rPr>
        <w:t>2</w:t>
      </w:r>
      <w:r>
        <w:rPr>
          <w:color w:val="auto"/>
        </w:rPr>
        <w:t>.</w:t>
      </w:r>
      <w:bookmarkStart w:id="30" w:name="_Hlk91598380"/>
      <w:r>
        <w:rPr>
          <w:rFonts w:hint="eastAsia"/>
          <w:color w:val="auto"/>
        </w:rPr>
        <w:t>全流程电子化</w:t>
      </w:r>
      <w:bookmarkEnd w:id="30"/>
      <w:r>
        <w:rPr>
          <w:rFonts w:hint="eastAsia"/>
          <w:color w:val="auto"/>
        </w:rPr>
        <w:t>要求：</w:t>
      </w:r>
    </w:p>
    <w:p>
      <w:pPr>
        <w:spacing w:line="400" w:lineRule="exact"/>
        <w:ind w:firstLine="420"/>
        <w:rPr>
          <w:color w:val="auto"/>
        </w:rPr>
      </w:pPr>
      <w:bookmarkStart w:id="31" w:name="_Hlk147760486"/>
      <w:r>
        <w:rPr>
          <w:rFonts w:hint="eastAsia"/>
          <w:color w:val="auto"/>
        </w:rPr>
        <w:t>本项目为全流程电子化项目，供应商应做好参与全流程电子化交易的充分准备，熟悉掌握电子化采购项目操作指南(操作指南：</w:t>
      </w:r>
      <w:r>
        <w:rPr>
          <w:color w:val="auto"/>
        </w:rPr>
        <w:fldChar w:fldCharType="begin"/>
      </w:r>
      <w:r>
        <w:rPr>
          <w:color w:val="auto"/>
        </w:rPr>
        <w:instrText xml:space="preserve"> HYPERLINK "https://helpcenter.zcygov.cn/document/" \l "/document/dashboard?siteCode=beijing&amp;channel=dt" </w:instrText>
      </w:r>
      <w:r>
        <w:rPr>
          <w:color w:val="auto"/>
        </w:rPr>
        <w:fldChar w:fldCharType="separate"/>
      </w:r>
      <w:r>
        <w:rPr>
          <w:rStyle w:val="41"/>
          <w:rFonts w:hint="eastAsia"/>
          <w:color w:val="auto"/>
        </w:rPr>
        <w:t>政采云电子卖场首页右上角—服务中心—帮助文档—项目采购</w:t>
      </w:r>
      <w:r>
        <w:rPr>
          <w:rStyle w:val="41"/>
          <w:rFonts w:hint="eastAsia"/>
          <w:color w:val="auto"/>
        </w:rPr>
        <w:fldChar w:fldCharType="end"/>
      </w:r>
      <w:r>
        <w:rPr>
          <w:rFonts w:hint="eastAsia"/>
          <w:color w:val="auto"/>
        </w:rPr>
        <w:t>)，及时完成CA申领和绑定(操作指南：</w:t>
      </w:r>
      <w:r>
        <w:rPr>
          <w:color w:val="auto"/>
        </w:rPr>
        <w:fldChar w:fldCharType="begin"/>
      </w:r>
      <w:r>
        <w:rPr>
          <w:color w:val="auto"/>
        </w:rPr>
        <w:instrText xml:space="preserve"> HYPERLINK "https://helpcenter.zcygov.cn/document/" \l "/document/detail?siteCode=beijing&amp;manualId=795&amp;topicId=4081" </w:instrText>
      </w:r>
      <w:r>
        <w:rPr>
          <w:color w:val="auto"/>
        </w:rPr>
        <w:fldChar w:fldCharType="separate"/>
      </w:r>
      <w:r>
        <w:rPr>
          <w:rStyle w:val="41"/>
          <w:rFonts w:hint="eastAsia"/>
          <w:color w:val="auto"/>
        </w:rPr>
        <w:t>政采云电子卖场首页右上角—帮助文档—入驻与配置—CA管理</w:t>
      </w:r>
      <w:r>
        <w:rPr>
          <w:rStyle w:val="41"/>
          <w:rFonts w:hint="eastAsia"/>
          <w:color w:val="auto"/>
        </w:rPr>
        <w:fldChar w:fldCharType="end"/>
      </w:r>
      <w:r>
        <w:rPr>
          <w:rFonts w:hint="eastAsia"/>
          <w:color w:val="auto"/>
        </w:rPr>
        <w:t>；CA证书申领路径：</w:t>
      </w:r>
      <w:r>
        <w:rPr>
          <w:color w:val="auto"/>
        </w:rPr>
        <w:fldChar w:fldCharType="begin"/>
      </w:r>
      <w:r>
        <w:rPr>
          <w:color w:val="auto"/>
        </w:rPr>
        <w:instrText xml:space="preserve"> HYPERLINK "https://helpcenter.zcygov.cn/document/" \l "/document/detail?siteCode=beijing&amp;manualId=795&amp;topicId=4083" </w:instrText>
      </w:r>
      <w:r>
        <w:rPr>
          <w:color w:val="auto"/>
        </w:rPr>
        <w:fldChar w:fldCharType="separate"/>
      </w:r>
      <w:r>
        <w:rPr>
          <w:rStyle w:val="41"/>
          <w:rFonts w:hint="eastAsia"/>
          <w:color w:val="auto"/>
        </w:rPr>
        <w:t>政采云平台—我的工作台右上角—CA管理—CA证书申领</w:t>
      </w:r>
      <w:r>
        <w:rPr>
          <w:rStyle w:val="41"/>
          <w:rFonts w:hint="eastAsia"/>
          <w:color w:val="auto"/>
        </w:rPr>
        <w:fldChar w:fldCharType="end"/>
      </w:r>
      <w:r>
        <w:rPr>
          <w:rFonts w:hint="eastAsia"/>
          <w:color w:val="auto"/>
        </w:rPr>
        <w:t>)。因未注册入库、未办理CA数字证书、CA证书故障、操作不当等原因造成谈判失败等后果由供应商承担。</w:t>
      </w:r>
    </w:p>
    <w:bookmarkEnd w:id="31"/>
    <w:p>
      <w:pPr>
        <w:spacing w:line="400" w:lineRule="exact"/>
        <w:ind w:firstLine="420"/>
        <w:rPr>
          <w:color w:val="auto"/>
        </w:rPr>
      </w:pPr>
      <w:r>
        <w:rPr>
          <w:color w:val="auto"/>
        </w:rPr>
        <w:t>(1)</w:t>
      </w:r>
      <w:r>
        <w:rPr>
          <w:rFonts w:hint="eastAsia"/>
          <w:color w:val="auto"/>
        </w:rPr>
        <w:t>依法获取采购文件：供应商须在获取采购文件时间内登录</w:t>
      </w:r>
      <w:r>
        <w:rPr>
          <w:color w:val="auto"/>
        </w:rPr>
        <w:fldChar w:fldCharType="begin"/>
      </w:r>
      <w:r>
        <w:rPr>
          <w:color w:val="auto"/>
        </w:rPr>
        <w:instrText xml:space="preserve"> HYPERLINK "https://www.zcygov.cn/" </w:instrText>
      </w:r>
      <w:r>
        <w:rPr>
          <w:color w:val="auto"/>
        </w:rPr>
        <w:fldChar w:fldCharType="separate"/>
      </w:r>
      <w:r>
        <w:rPr>
          <w:rStyle w:val="41"/>
          <w:rFonts w:hint="eastAsia"/>
          <w:color w:val="auto"/>
        </w:rPr>
        <w:t>政府采购云平台</w:t>
      </w:r>
      <w:r>
        <w:rPr>
          <w:rStyle w:val="41"/>
          <w:rFonts w:hint="eastAsia"/>
          <w:color w:val="auto"/>
        </w:rPr>
        <w:fldChar w:fldCharType="end"/>
      </w:r>
      <w:r>
        <w:rPr>
          <w:rFonts w:hint="eastAsia"/>
          <w:color w:val="auto"/>
        </w:rPr>
        <w:t>申请下载采购文件才视作依法获取采购文件。</w:t>
      </w:r>
    </w:p>
    <w:p>
      <w:pPr>
        <w:spacing w:line="400" w:lineRule="exact"/>
        <w:ind w:firstLine="420"/>
        <w:rPr>
          <w:b/>
          <w:color w:val="auto"/>
        </w:rPr>
      </w:pPr>
      <w:r>
        <w:rPr>
          <w:rFonts w:hint="eastAsia"/>
          <w:color w:val="auto"/>
        </w:rPr>
        <w:t>(</w:t>
      </w:r>
      <w:r>
        <w:rPr>
          <w:color w:val="auto"/>
        </w:rPr>
        <w:t>2)</w:t>
      </w:r>
      <w:r>
        <w:rPr>
          <w:rFonts w:hint="eastAsia"/>
          <w:color w:val="auto"/>
        </w:rPr>
        <w:t>供应商应通过广西政府采购云平台客户端制作响应文件，供应商自行前往下载安装（</w:t>
      </w:r>
      <w:r>
        <w:rPr>
          <w:color w:val="auto"/>
        </w:rPr>
        <w:fldChar w:fldCharType="begin"/>
      </w:r>
      <w:r>
        <w:rPr>
          <w:color w:val="auto"/>
        </w:rPr>
        <w:instrText xml:space="preserve"> HYPERLINK "https://sitecdn.zcycdn.com/zcy-client/bidding-client-new/official/guangxi/GuangXiSetup.exe" </w:instrText>
      </w:r>
      <w:r>
        <w:rPr>
          <w:color w:val="auto"/>
        </w:rPr>
        <w:fldChar w:fldCharType="separate"/>
      </w:r>
      <w:r>
        <w:rPr>
          <w:rFonts w:hint="eastAsia"/>
          <w:color w:val="auto"/>
        </w:rPr>
        <w:t>客户端下载</w:t>
      </w:r>
      <w:r>
        <w:rPr>
          <w:rFonts w:hint="eastAsia"/>
          <w:color w:val="auto"/>
        </w:rPr>
        <w:fldChar w:fldCharType="end"/>
      </w:r>
      <w:r>
        <w:rPr>
          <w:rFonts w:hint="eastAsia"/>
          <w:color w:val="auto"/>
        </w:rPr>
        <w:t>）。</w:t>
      </w:r>
    </w:p>
    <w:p>
      <w:pPr>
        <w:spacing w:line="400" w:lineRule="exact"/>
        <w:ind w:firstLine="420"/>
        <w:rPr>
          <w:color w:val="auto"/>
        </w:rPr>
      </w:pPr>
      <w:r>
        <w:rPr>
          <w:rFonts w:hint="eastAsia"/>
          <w:color w:val="auto"/>
        </w:rPr>
        <w:t>(</w:t>
      </w:r>
      <w:r>
        <w:rPr>
          <w:color w:val="auto"/>
        </w:rPr>
        <w:t>3)</w:t>
      </w:r>
      <w:r>
        <w:rPr>
          <w:rFonts w:hint="eastAsia"/>
          <w:color w:val="auto"/>
        </w:rPr>
        <w:t>供应商须按照采购文件和政府采购云平台的要求进行编制、上传、加密、提交、解密响应文件，响应文件提交截止时间后，政府采购云平台自动提取全部响应文件，各供应商须在提交截止时间后30分钟内对已上传政府采购云平台的响应文件进行解密，参与本项目的全部供应商在规定的解密时限内解密完成或解密时限结束后，我中心开启响应文件；供应商在解密时限内未完成解密的，政府采购云平台默认为供应商放弃参与本项目。</w:t>
      </w:r>
    </w:p>
    <w:p>
      <w:pPr>
        <w:spacing w:line="400" w:lineRule="exact"/>
        <w:ind w:firstLine="420"/>
        <w:rPr>
          <w:b/>
          <w:color w:val="auto"/>
        </w:rPr>
      </w:pPr>
      <w:r>
        <w:rPr>
          <w:rFonts w:hint="eastAsia"/>
          <w:color w:val="auto"/>
        </w:rPr>
        <w:t>(</w:t>
      </w:r>
      <w:r>
        <w:rPr>
          <w:color w:val="auto"/>
        </w:rPr>
        <w:t>4)</w:t>
      </w:r>
      <w:r>
        <w:rPr>
          <w:rFonts w:hint="eastAsia"/>
          <w:color w:val="auto"/>
        </w:rPr>
        <w:t>供应商法定代表人或委托代理人须按时登录</w:t>
      </w:r>
      <w:bookmarkStart w:id="32" w:name="_Hlk90367388"/>
      <w:r>
        <w:rPr>
          <w:rFonts w:hint="eastAsia" w:ascii="宋体" w:hAnsi="宋体" w:cs="Courier New"/>
          <w:color w:val="auto"/>
          <w:szCs w:val="21"/>
        </w:rPr>
        <w:t>政采云远程开标大厅</w:t>
      </w:r>
      <w:bookmarkEnd w:id="32"/>
      <w:r>
        <w:rPr>
          <w:rFonts w:hint="eastAsia"/>
          <w:color w:val="auto"/>
        </w:rPr>
        <w:t>，保持全程在线并关注评审谈判进度，评审期间谈判小组提出澄清等要求时，供应商须在规定时间内进行应答，否则按采购文件或政采云平台的相关规定执行。</w:t>
      </w:r>
    </w:p>
    <w:p>
      <w:pPr>
        <w:spacing w:line="400" w:lineRule="exact"/>
        <w:ind w:firstLine="420"/>
        <w:rPr>
          <w:rFonts w:hint="eastAsia" w:hAnsi="宋体"/>
          <w:color w:val="auto"/>
        </w:rPr>
      </w:pPr>
      <w:r>
        <w:rPr>
          <w:rFonts w:hint="eastAsia"/>
          <w:color w:val="auto"/>
        </w:rPr>
        <w:t>(</w:t>
      </w:r>
      <w:r>
        <w:rPr>
          <w:color w:val="auto"/>
        </w:rPr>
        <w:t>5)</w:t>
      </w:r>
      <w:r>
        <w:rPr>
          <w:rFonts w:hint="eastAsia"/>
          <w:color w:val="auto"/>
        </w:rPr>
        <w:t>供应商参与谈判过程中涉及政府采购云平台的问题，请咨询政采云</w:t>
      </w:r>
      <w:r>
        <w:rPr>
          <w:rFonts w:hint="eastAsia" w:hAnsi="宋体"/>
          <w:color w:val="auto"/>
        </w:rPr>
        <w:t>技术支持热线：</w:t>
      </w:r>
      <w:r>
        <w:rPr>
          <w:rFonts w:hAnsi="宋体"/>
          <w:color w:val="auto"/>
        </w:rPr>
        <w:t>95763</w:t>
      </w:r>
      <w:r>
        <w:rPr>
          <w:rFonts w:hint="eastAsia" w:hAnsi="宋体"/>
          <w:color w:val="auto"/>
        </w:rPr>
        <w:t>。</w:t>
      </w:r>
    </w:p>
    <w:p>
      <w:pPr>
        <w:spacing w:line="400" w:lineRule="exact"/>
        <w:ind w:firstLine="420"/>
        <w:jc w:val="left"/>
        <w:rPr>
          <w:rFonts w:hint="eastAsia" w:hAnsi="宋体"/>
          <w:color w:val="auto"/>
        </w:rPr>
      </w:pPr>
      <w:r>
        <w:rPr>
          <w:rFonts w:hint="eastAsia" w:hAnsi="宋体"/>
          <w:color w:val="auto"/>
        </w:rPr>
        <w:t>3</w:t>
      </w:r>
      <w:r>
        <w:rPr>
          <w:rFonts w:hAnsi="宋体"/>
          <w:color w:val="auto"/>
        </w:rPr>
        <w:t>.</w:t>
      </w:r>
      <w:r>
        <w:rPr>
          <w:rFonts w:hint="eastAsia" w:hAnsi="宋体"/>
          <w:color w:val="auto"/>
        </w:rPr>
        <w:t>查询媒体：中国政府采购网、</w:t>
      </w:r>
      <w:r>
        <w:rPr>
          <w:color w:val="auto"/>
        </w:rPr>
        <w:fldChar w:fldCharType="begin"/>
      </w:r>
      <w:r>
        <w:rPr>
          <w:color w:val="auto"/>
        </w:rPr>
        <w:instrText xml:space="preserve"> HYPERLINK "http://zfcg.gxzf.gov.cn/" </w:instrText>
      </w:r>
      <w:r>
        <w:rPr>
          <w:color w:val="auto"/>
        </w:rPr>
        <w:fldChar w:fldCharType="separate"/>
      </w:r>
      <w:r>
        <w:rPr>
          <w:rStyle w:val="41"/>
          <w:rFonts w:hint="eastAsia" w:hAnsi="宋体"/>
          <w:color w:val="auto"/>
          <w:u w:val="none"/>
        </w:rPr>
        <w:t>广西政府采购网</w:t>
      </w:r>
      <w:r>
        <w:rPr>
          <w:rStyle w:val="41"/>
          <w:rFonts w:hint="eastAsia" w:hAnsi="宋体"/>
          <w:color w:val="auto"/>
          <w:u w:val="none"/>
        </w:rPr>
        <w:fldChar w:fldCharType="end"/>
      </w:r>
      <w:r>
        <w:rPr>
          <w:rFonts w:hint="eastAsia" w:hAnsi="宋体"/>
          <w:color w:val="auto"/>
        </w:rPr>
        <w:t>。</w:t>
      </w:r>
    </w:p>
    <w:p>
      <w:pPr>
        <w:spacing w:line="400" w:lineRule="exact"/>
        <w:ind w:firstLine="420"/>
        <w:jc w:val="left"/>
        <w:rPr>
          <w:rFonts w:hint="eastAsia" w:hAnsi="宋体"/>
          <w:color w:val="auto"/>
        </w:rPr>
      </w:pPr>
      <w:bookmarkStart w:id="33" w:name="_Hlk107409555"/>
      <w:r>
        <w:rPr>
          <w:rFonts w:hint="eastAsia" w:hAnsi="宋体"/>
          <w:color w:val="auto"/>
        </w:rPr>
        <w:t>4</w:t>
      </w:r>
      <w:r>
        <w:rPr>
          <w:rFonts w:hAnsi="宋体"/>
          <w:color w:val="auto"/>
        </w:rPr>
        <w:t>.</w:t>
      </w:r>
      <w:r>
        <w:rPr>
          <w:rFonts w:hint="eastAsia" w:hAnsi="宋体"/>
          <w:color w:val="auto"/>
        </w:rPr>
        <w:t>钦州市政府采购中心联系方式：</w:t>
      </w:r>
    </w:p>
    <w:p>
      <w:pPr>
        <w:spacing w:line="400" w:lineRule="exact"/>
        <w:ind w:firstLine="420"/>
        <w:jc w:val="left"/>
        <w:rPr>
          <w:rFonts w:hint="eastAsia" w:hAnsi="宋体"/>
          <w:color w:val="auto"/>
        </w:rPr>
      </w:pPr>
      <w:r>
        <w:rPr>
          <w:rFonts w:hAnsi="宋体"/>
          <w:color w:val="auto"/>
        </w:rPr>
        <w:t>(1)</w:t>
      </w:r>
      <w:r>
        <w:rPr>
          <w:rFonts w:hint="eastAsia" w:hAnsi="宋体"/>
          <w:color w:val="auto"/>
        </w:rPr>
        <w:t>采购部(采购文件</w:t>
      </w:r>
      <w:r>
        <w:rPr>
          <w:rFonts w:hAnsi="宋体"/>
          <w:color w:val="auto"/>
        </w:rPr>
        <w:t>)</w:t>
      </w:r>
    </w:p>
    <w:p>
      <w:pPr>
        <w:spacing w:line="400" w:lineRule="exact"/>
        <w:ind w:firstLine="420"/>
        <w:jc w:val="left"/>
        <w:rPr>
          <w:rFonts w:hint="eastAsia" w:hAnsi="宋体"/>
          <w:color w:val="auto"/>
        </w:rPr>
      </w:pPr>
      <w:r>
        <w:rPr>
          <w:rFonts w:hint="eastAsia" w:hAnsi="宋体"/>
          <w:color w:val="auto"/>
        </w:rPr>
        <w:t>联系人：</w:t>
      </w:r>
      <w:r>
        <w:rPr>
          <w:rFonts w:hint="eastAsia" w:hAnsi="宋体"/>
          <w:color w:val="auto"/>
          <w:lang w:val="en-US" w:eastAsia="zh-CN"/>
        </w:rPr>
        <w:t>黄忠秀</w:t>
      </w:r>
      <w:r>
        <w:rPr>
          <w:rFonts w:hAnsi="宋体"/>
          <w:color w:val="auto"/>
        </w:rPr>
        <w:t xml:space="preserve">  </w:t>
      </w:r>
      <w:r>
        <w:rPr>
          <w:rFonts w:hint="eastAsia" w:hAnsi="宋体"/>
          <w:color w:val="auto"/>
        </w:rPr>
        <w:t xml:space="preserve"> 联系方式：0777-2886022</w:t>
      </w:r>
    </w:p>
    <w:p>
      <w:pPr>
        <w:spacing w:line="400" w:lineRule="exact"/>
        <w:ind w:firstLine="420"/>
        <w:jc w:val="left"/>
        <w:rPr>
          <w:rFonts w:hint="eastAsia" w:hAnsi="宋体"/>
          <w:color w:val="auto"/>
        </w:rPr>
      </w:pPr>
      <w:r>
        <w:rPr>
          <w:rFonts w:hint="eastAsia" w:hAnsi="宋体"/>
          <w:color w:val="auto"/>
        </w:rPr>
        <w:t>(</w:t>
      </w:r>
      <w:r>
        <w:rPr>
          <w:rFonts w:hAnsi="宋体"/>
          <w:color w:val="auto"/>
        </w:rPr>
        <w:t>2)</w:t>
      </w:r>
      <w:r>
        <w:rPr>
          <w:rFonts w:hint="eastAsia" w:hAnsi="宋体"/>
          <w:color w:val="auto"/>
        </w:rPr>
        <w:t>综合二部(评审、谈判、成交及合同管理)</w:t>
      </w:r>
    </w:p>
    <w:p>
      <w:pPr>
        <w:spacing w:line="400" w:lineRule="exact"/>
        <w:ind w:firstLine="420"/>
        <w:jc w:val="left"/>
        <w:rPr>
          <w:rFonts w:hint="eastAsia" w:hAnsi="宋体"/>
          <w:color w:val="auto"/>
        </w:rPr>
      </w:pPr>
      <w:r>
        <w:rPr>
          <w:rFonts w:hint="eastAsia" w:hAnsi="宋体"/>
          <w:color w:val="auto"/>
        </w:rPr>
        <w:t xml:space="preserve">联系人：陈启梅、陈侃 </w:t>
      </w:r>
      <w:r>
        <w:rPr>
          <w:rFonts w:hAnsi="宋体"/>
          <w:color w:val="auto"/>
        </w:rPr>
        <w:t xml:space="preserve">  </w:t>
      </w:r>
      <w:r>
        <w:rPr>
          <w:rFonts w:hint="eastAsia" w:hAnsi="宋体"/>
          <w:color w:val="auto"/>
        </w:rPr>
        <w:t>联系方式：0777-2886006</w:t>
      </w:r>
      <w:bookmarkEnd w:id="33"/>
    </w:p>
    <w:p>
      <w:pPr>
        <w:spacing w:line="400" w:lineRule="exact"/>
        <w:rPr>
          <w:b/>
          <w:color w:val="auto"/>
        </w:rPr>
      </w:pPr>
      <w:r>
        <w:rPr>
          <w:rFonts w:hint="eastAsia"/>
          <w:b/>
          <w:color w:val="auto"/>
        </w:rPr>
        <w:t>八、对本次采购项目提出询问，请按</w:t>
      </w:r>
      <w:r>
        <w:rPr>
          <w:b/>
          <w:color w:val="auto"/>
        </w:rPr>
        <w:t>以下方式</w:t>
      </w:r>
      <w:r>
        <w:rPr>
          <w:rFonts w:hint="eastAsia"/>
          <w:b/>
          <w:color w:val="auto"/>
        </w:rPr>
        <w:t>联系</w:t>
      </w:r>
      <w:bookmarkEnd w:id="26"/>
      <w:bookmarkEnd w:id="27"/>
      <w:bookmarkEnd w:id="28"/>
      <w:bookmarkEnd w:id="29"/>
    </w:p>
    <w:p>
      <w:pPr>
        <w:spacing w:line="400" w:lineRule="exact"/>
        <w:ind w:firstLine="420" w:firstLineChars="200"/>
        <w:rPr>
          <w:color w:val="auto"/>
        </w:rPr>
      </w:pPr>
      <w:r>
        <w:rPr>
          <w:rFonts w:hint="eastAsia"/>
          <w:color w:val="auto"/>
        </w:rPr>
        <w:t>1.采购人信息</w:t>
      </w:r>
      <w:bookmarkEnd w:id="8"/>
    </w:p>
    <w:p>
      <w:pPr>
        <w:spacing w:line="400" w:lineRule="exact"/>
        <w:ind w:firstLine="420" w:firstLineChars="200"/>
        <w:rPr>
          <w:color w:val="auto"/>
        </w:rPr>
      </w:pPr>
      <w:bookmarkStart w:id="34" w:name="_Toc38370147"/>
      <w:r>
        <w:rPr>
          <w:rFonts w:hint="eastAsia"/>
          <w:color w:val="auto"/>
        </w:rPr>
        <w:t>名称：浦北县教育局</w:t>
      </w:r>
    </w:p>
    <w:p>
      <w:pPr>
        <w:spacing w:line="400" w:lineRule="exact"/>
        <w:ind w:firstLine="420" w:firstLineChars="200"/>
        <w:rPr>
          <w:color w:val="auto"/>
        </w:rPr>
      </w:pPr>
      <w:r>
        <w:rPr>
          <w:rFonts w:hint="eastAsia"/>
          <w:color w:val="auto"/>
        </w:rPr>
        <w:t>地址：广西钦州市浦北县小江镇民</w:t>
      </w:r>
      <w:r>
        <w:rPr>
          <w:rFonts w:hint="eastAsia"/>
          <w:color w:val="auto"/>
          <w:lang w:val="en-US" w:eastAsia="zh-CN"/>
        </w:rPr>
        <w:t>兴</w:t>
      </w:r>
      <w:r>
        <w:rPr>
          <w:rFonts w:hint="eastAsia"/>
          <w:color w:val="auto"/>
        </w:rPr>
        <w:t>路39号</w:t>
      </w:r>
    </w:p>
    <w:p>
      <w:pPr>
        <w:spacing w:line="400" w:lineRule="exact"/>
        <w:ind w:firstLine="420" w:firstLineChars="200"/>
        <w:rPr>
          <w:color w:val="auto"/>
        </w:rPr>
      </w:pPr>
      <w:r>
        <w:rPr>
          <w:rFonts w:hint="eastAsia"/>
          <w:color w:val="auto"/>
        </w:rPr>
        <w:t>联系方式：0777-8212033</w:t>
      </w:r>
    </w:p>
    <w:bookmarkEnd w:id="34"/>
    <w:p>
      <w:pPr>
        <w:spacing w:line="400" w:lineRule="exact"/>
        <w:ind w:firstLine="420" w:firstLineChars="200"/>
        <w:rPr>
          <w:color w:val="auto"/>
        </w:rPr>
      </w:pPr>
      <w:r>
        <w:rPr>
          <w:rFonts w:hint="eastAsia"/>
          <w:color w:val="auto"/>
        </w:rPr>
        <w:t>2.采购代理机构信息</w:t>
      </w:r>
    </w:p>
    <w:p>
      <w:pPr>
        <w:spacing w:line="400" w:lineRule="exact"/>
        <w:ind w:firstLine="420" w:firstLineChars="200"/>
        <w:rPr>
          <w:color w:val="auto"/>
        </w:rPr>
      </w:pPr>
      <w:r>
        <w:rPr>
          <w:rFonts w:hint="eastAsia"/>
          <w:color w:val="auto"/>
        </w:rPr>
        <w:t>名称：钦州市政府采购中心</w:t>
      </w:r>
    </w:p>
    <w:p>
      <w:pPr>
        <w:spacing w:line="400" w:lineRule="exact"/>
        <w:ind w:firstLine="420" w:firstLineChars="200"/>
        <w:rPr>
          <w:color w:val="auto"/>
        </w:rPr>
      </w:pPr>
      <w:r>
        <w:rPr>
          <w:rFonts w:hint="eastAsia"/>
          <w:color w:val="auto"/>
        </w:rPr>
        <w:t>地址：钦州市金海湾东大街8号</w:t>
      </w:r>
    </w:p>
    <w:p>
      <w:pPr>
        <w:spacing w:line="400" w:lineRule="exact"/>
        <w:ind w:firstLine="420" w:firstLineChars="200"/>
        <w:rPr>
          <w:rFonts w:hint="eastAsia" w:eastAsia="宋体"/>
          <w:color w:val="auto"/>
          <w:lang w:val="en-US" w:eastAsia="zh-CN"/>
        </w:rPr>
      </w:pPr>
      <w:r>
        <w:rPr>
          <w:rFonts w:hint="eastAsia"/>
          <w:color w:val="auto"/>
        </w:rPr>
        <w:t>项目联系人：</w:t>
      </w:r>
      <w:bookmarkStart w:id="35" w:name="_Toc28359010"/>
      <w:bookmarkStart w:id="36" w:name="_Toc28359087"/>
      <w:r>
        <w:rPr>
          <w:rFonts w:hint="eastAsia"/>
          <w:color w:val="auto"/>
          <w:lang w:val="en-US" w:eastAsia="zh-CN"/>
        </w:rPr>
        <w:t>黄忠秀</w:t>
      </w:r>
    </w:p>
    <w:p>
      <w:pPr>
        <w:spacing w:line="400" w:lineRule="exact"/>
        <w:ind w:firstLine="420" w:firstLineChars="200"/>
        <w:rPr>
          <w:rFonts w:hint="default" w:eastAsia="宋体"/>
          <w:color w:val="auto"/>
          <w:lang w:val="en-US" w:eastAsia="zh-CN"/>
        </w:rPr>
      </w:pPr>
      <w:r>
        <w:rPr>
          <w:rFonts w:hint="eastAsia"/>
          <w:color w:val="auto"/>
        </w:rPr>
        <w:t>项目联系方式：</w:t>
      </w:r>
      <w:r>
        <w:rPr>
          <w:rFonts w:hint="eastAsia"/>
          <w:color w:val="auto"/>
          <w:lang w:val="en-US" w:eastAsia="zh-CN"/>
        </w:rPr>
        <w:t>0777--2886022</w:t>
      </w:r>
    </w:p>
    <w:p>
      <w:pPr>
        <w:widowControl/>
        <w:jc w:val="left"/>
        <w:rPr>
          <w:color w:val="auto"/>
        </w:rPr>
      </w:pPr>
      <w:r>
        <w:rPr>
          <w:color w:val="auto"/>
        </w:rPr>
        <w:br w:type="page"/>
      </w:r>
    </w:p>
    <w:p>
      <w:pPr>
        <w:spacing w:line="400" w:lineRule="exact"/>
        <w:ind w:firstLine="420" w:firstLineChars="200"/>
        <w:rPr>
          <w:color w:val="auto"/>
        </w:rPr>
      </w:pPr>
    </w:p>
    <w:p>
      <w:pPr>
        <w:rPr>
          <w:color w:val="auto"/>
        </w:rPr>
      </w:pPr>
    </w:p>
    <w:bookmarkEnd w:id="35"/>
    <w:bookmarkEnd w:id="36"/>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pStyle w:val="3"/>
        <w:spacing w:line="400" w:lineRule="exact"/>
        <w:rPr>
          <w:rFonts w:hint="eastAsia" w:ascii="方正小标宋_GBK" w:hAnsi="宋体" w:eastAsia="方正小标宋_GBK"/>
          <w:color w:val="auto"/>
        </w:rPr>
      </w:pPr>
      <w:bookmarkStart w:id="37" w:name="_Toc92355024"/>
      <w:r>
        <w:rPr>
          <w:rFonts w:hint="eastAsia" w:ascii="方正小标宋_GBK" w:hAnsi="宋体" w:eastAsia="方正小标宋_GBK"/>
          <w:color w:val="auto"/>
        </w:rPr>
        <w:t>第二章  项目需求</w:t>
      </w:r>
      <w:bookmarkEnd w:id="37"/>
    </w:p>
    <w:p>
      <w:pPr>
        <w:spacing w:line="440" w:lineRule="exact"/>
        <w:jc w:val="center"/>
        <w:rPr>
          <w:rFonts w:hint="eastAsia" w:ascii="宋体" w:hAnsi="宋体"/>
          <w:b/>
          <w:color w:val="auto"/>
          <w:sz w:val="36"/>
          <w:szCs w:val="36"/>
        </w:rPr>
      </w:pPr>
      <w:r>
        <w:rPr>
          <w:rFonts w:ascii="宋体" w:hAnsi="宋体"/>
          <w:b/>
          <w:color w:val="auto"/>
          <w:szCs w:val="21"/>
        </w:rPr>
        <w:br w:type="page"/>
      </w:r>
      <w:bookmarkStart w:id="38" w:name="_Toc354479498"/>
      <w:bookmarkStart w:id="39" w:name="_Toc358477280"/>
      <w:r>
        <w:rPr>
          <w:rFonts w:hint="eastAsia" w:ascii="宋体" w:hAnsi="宋体"/>
          <w:b/>
          <w:color w:val="auto"/>
          <w:sz w:val="36"/>
          <w:szCs w:val="36"/>
        </w:rPr>
        <w:t>项目需求</w:t>
      </w:r>
    </w:p>
    <w:p>
      <w:pPr>
        <w:spacing w:line="396" w:lineRule="exact"/>
        <w:rPr>
          <w:rFonts w:hint="eastAsia" w:ascii="宋体" w:hAnsi="宋体"/>
          <w:b/>
          <w:color w:val="auto"/>
          <w:szCs w:val="21"/>
        </w:rPr>
      </w:pPr>
    </w:p>
    <w:p>
      <w:pPr>
        <w:spacing w:line="430" w:lineRule="exact"/>
        <w:rPr>
          <w:rFonts w:hint="default" w:ascii="宋体" w:hAnsi="宋体" w:eastAsia="宋体"/>
          <w:color w:val="auto"/>
          <w:szCs w:val="21"/>
          <w:u w:val="single"/>
          <w:lang w:val="en-US" w:eastAsia="zh-CN"/>
        </w:rPr>
      </w:pPr>
      <w:bookmarkStart w:id="40" w:name="_Hlk89960406"/>
      <w:r>
        <w:rPr>
          <w:rFonts w:hint="eastAsia" w:ascii="宋体" w:hAnsi="宋体"/>
          <w:color w:val="auto"/>
          <w:szCs w:val="21"/>
        </w:rPr>
        <w:t>一、采购预算：</w:t>
      </w:r>
      <w:r>
        <w:rPr>
          <w:rFonts w:hint="eastAsia" w:ascii="宋体" w:hAnsi="宋体"/>
          <w:color w:val="auto"/>
          <w:szCs w:val="21"/>
          <w:lang w:val="en-US" w:eastAsia="zh-CN"/>
        </w:rPr>
        <w:t>220万元</w:t>
      </w:r>
    </w:p>
    <w:p>
      <w:pPr>
        <w:spacing w:line="430" w:lineRule="exact"/>
        <w:rPr>
          <w:rFonts w:hint="eastAsia" w:ascii="宋体" w:hAnsi="宋体"/>
          <w:color w:val="auto"/>
          <w:szCs w:val="21"/>
        </w:rPr>
      </w:pPr>
      <w:r>
        <w:rPr>
          <w:rFonts w:hint="eastAsia" w:ascii="宋体" w:hAnsi="宋体"/>
          <w:color w:val="auto"/>
          <w:szCs w:val="21"/>
        </w:rPr>
        <w:t>二、项目需求：</w:t>
      </w:r>
    </w:p>
    <w:p>
      <w:pPr>
        <w:spacing w:line="430" w:lineRule="exact"/>
        <w:rPr>
          <w:rFonts w:hint="eastAsia" w:ascii="宋体" w:hAnsi="宋体"/>
          <w:color w:val="auto"/>
          <w:szCs w:val="21"/>
        </w:rPr>
      </w:pPr>
      <w:r>
        <w:rPr>
          <w:rFonts w:hint="eastAsia" w:ascii="宋体" w:hAnsi="宋体"/>
          <w:color w:val="auto"/>
          <w:szCs w:val="21"/>
        </w:rPr>
        <w:t>说明：</w:t>
      </w:r>
    </w:p>
    <w:p>
      <w:pPr>
        <w:spacing w:line="430" w:lineRule="exact"/>
        <w:rPr>
          <w:rFonts w:hint="eastAsia" w:ascii="宋体" w:hAnsi="宋体"/>
          <w:color w:val="auto"/>
          <w:szCs w:val="21"/>
        </w:rPr>
      </w:pPr>
      <w:r>
        <w:rPr>
          <w:rFonts w:hint="eastAsia" w:ascii="宋体" w:hAnsi="宋体"/>
          <w:color w:val="auto"/>
          <w:szCs w:val="21"/>
        </w:rPr>
        <w:t>1.本表中的品牌型号、技术参数及其性能（规格）仅起参考作用，供应商可选用其他品牌型号替代，但替代的产品整体上要相当于或优于参考品牌型号或其技术参数性能（规格）要求。</w:t>
      </w:r>
    </w:p>
    <w:p>
      <w:pPr>
        <w:spacing w:line="430" w:lineRule="exact"/>
        <w:rPr>
          <w:rFonts w:hint="eastAsia" w:ascii="宋体" w:hAnsi="宋体"/>
          <w:color w:val="auto"/>
          <w:szCs w:val="21"/>
        </w:rPr>
      </w:pPr>
      <w:r>
        <w:rPr>
          <w:rFonts w:hint="eastAsia" w:ascii="宋体" w:hAnsi="宋体"/>
          <w:color w:val="auto"/>
          <w:szCs w:val="21"/>
        </w:rPr>
        <w:t>2.供应商必须自行为其产品侵犯其他供应商或专利人的专利成果承担相应法律责任；同时，具有产品专利的供应商应在其响应文件中提供与其自有产品专利相关的有效证明材料，否则，不能就其产品的专利在本项目谈判过程中被侵权问题提出异议。</w:t>
      </w:r>
    </w:p>
    <w:p>
      <w:pPr>
        <w:spacing w:line="430" w:lineRule="exact"/>
        <w:rPr>
          <w:rFonts w:hint="eastAsia" w:ascii="宋体" w:hAnsi="宋体"/>
          <w:color w:val="auto"/>
          <w:szCs w:val="21"/>
        </w:rPr>
      </w:pPr>
      <w:r>
        <w:rPr>
          <w:rFonts w:hint="eastAsia" w:ascii="宋体" w:hAnsi="宋体"/>
          <w:color w:val="auto"/>
          <w:szCs w:val="21"/>
        </w:rPr>
        <w:t>3.本项目不接受供应商提供通过中国海关报关验放进入中国境内且产自关境外的产品。</w:t>
      </w:r>
    </w:p>
    <w:p>
      <w:pPr>
        <w:spacing w:line="430" w:lineRule="exact"/>
        <w:rPr>
          <w:rFonts w:hint="eastAsia" w:ascii="宋体" w:hAnsi="宋体"/>
          <w:b/>
          <w:bCs/>
          <w:color w:val="auto"/>
          <w:szCs w:val="21"/>
        </w:rPr>
      </w:pPr>
      <w:r>
        <w:rPr>
          <w:rFonts w:hint="eastAsia" w:ascii="宋体" w:hAnsi="宋体"/>
          <w:b/>
          <w:bCs/>
          <w:color w:val="auto"/>
          <w:szCs w:val="21"/>
        </w:rPr>
        <w:t>4.谈判文件中可能实质性变动的内容：采购需求的技术、服务要求以及合同草案条款。</w:t>
      </w:r>
    </w:p>
    <w:p>
      <w:pPr>
        <w:spacing w:line="430" w:lineRule="exact"/>
        <w:rPr>
          <w:rFonts w:hint="eastAsia" w:ascii="宋体" w:hAnsi="宋体"/>
          <w:color w:val="auto"/>
          <w:szCs w:val="21"/>
        </w:rPr>
      </w:pPr>
      <w:r>
        <w:rPr>
          <w:rFonts w:hint="eastAsia" w:ascii="宋体" w:hAnsi="宋体"/>
          <w:color w:val="auto"/>
          <w:szCs w:val="21"/>
        </w:rPr>
        <w:t>5.标注★号的技术参数为实质性响应条款，要求必须满足或优于，否则视为无效响应文件。</w:t>
      </w:r>
    </w:p>
    <w:p>
      <w:pPr>
        <w:pStyle w:val="2"/>
        <w:rPr>
          <w:rFonts w:hint="eastAsia"/>
          <w:color w:val="auto"/>
        </w:rPr>
      </w:pPr>
    </w:p>
    <w:tbl>
      <w:tblPr>
        <w:tblStyle w:val="35"/>
        <w:tblW w:w="9817" w:type="dxa"/>
        <w:tblInd w:w="-2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1"/>
        <w:gridCol w:w="797"/>
        <w:gridCol w:w="448"/>
        <w:gridCol w:w="735"/>
        <w:gridCol w:w="6540"/>
        <w:gridCol w:w="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pStyle w:val="137"/>
              <w:spacing w:line="440" w:lineRule="exact"/>
              <w:ind w:firstLine="0" w:firstLineChars="0"/>
              <w:jc w:val="center"/>
              <w:rPr>
                <w:rFonts w:hint="eastAsia" w:hAnsi="宋体" w:cs="宋体"/>
                <w:b/>
                <w:color w:val="auto"/>
                <w:sz w:val="21"/>
                <w:szCs w:val="21"/>
              </w:rPr>
            </w:pPr>
            <w:r>
              <w:rPr>
                <w:rFonts w:hint="eastAsia" w:hAnsi="宋体" w:cs="宋体"/>
                <w:b/>
                <w:color w:val="auto"/>
                <w:sz w:val="21"/>
                <w:szCs w:val="21"/>
                <w:lang w:bidi="ar"/>
              </w:rPr>
              <w:t>序号</w:t>
            </w:r>
          </w:p>
        </w:tc>
        <w:tc>
          <w:tcPr>
            <w:tcW w:w="797" w:type="dxa"/>
            <w:vAlign w:val="center"/>
          </w:tcPr>
          <w:p>
            <w:pPr>
              <w:pStyle w:val="137"/>
              <w:spacing w:line="440" w:lineRule="exact"/>
              <w:ind w:firstLine="0" w:firstLineChars="0"/>
              <w:jc w:val="center"/>
              <w:rPr>
                <w:rFonts w:hint="eastAsia" w:hAnsi="宋体" w:cs="宋体"/>
                <w:b/>
                <w:color w:val="auto"/>
                <w:sz w:val="21"/>
                <w:szCs w:val="21"/>
              </w:rPr>
            </w:pPr>
            <w:r>
              <w:rPr>
                <w:rFonts w:hint="eastAsia" w:hAnsi="宋体" w:cs="宋体"/>
                <w:b/>
                <w:color w:val="auto"/>
                <w:sz w:val="21"/>
                <w:szCs w:val="21"/>
                <w:lang w:bidi="ar"/>
              </w:rPr>
              <w:t>货物名称</w:t>
            </w:r>
          </w:p>
        </w:tc>
        <w:tc>
          <w:tcPr>
            <w:tcW w:w="448" w:type="dxa"/>
            <w:vAlign w:val="center"/>
          </w:tcPr>
          <w:p>
            <w:pPr>
              <w:pStyle w:val="137"/>
              <w:spacing w:line="440" w:lineRule="exact"/>
              <w:ind w:firstLine="0" w:firstLineChars="0"/>
              <w:jc w:val="center"/>
              <w:rPr>
                <w:rFonts w:hint="eastAsia" w:hAnsi="宋体" w:cs="宋体"/>
                <w:b/>
                <w:color w:val="auto"/>
                <w:sz w:val="21"/>
                <w:szCs w:val="21"/>
              </w:rPr>
            </w:pPr>
            <w:r>
              <w:rPr>
                <w:rFonts w:hint="eastAsia" w:hAnsi="宋体" w:cs="宋体"/>
                <w:b/>
                <w:color w:val="auto"/>
                <w:sz w:val="21"/>
                <w:szCs w:val="21"/>
                <w:lang w:bidi="ar"/>
              </w:rPr>
              <w:t>单位</w:t>
            </w:r>
          </w:p>
        </w:tc>
        <w:tc>
          <w:tcPr>
            <w:tcW w:w="735" w:type="dxa"/>
            <w:vAlign w:val="center"/>
          </w:tcPr>
          <w:p>
            <w:pPr>
              <w:pStyle w:val="137"/>
              <w:spacing w:line="440" w:lineRule="exact"/>
              <w:ind w:firstLine="0" w:firstLineChars="0"/>
              <w:jc w:val="center"/>
              <w:rPr>
                <w:rFonts w:hint="eastAsia" w:hAnsi="宋体" w:cs="宋体"/>
                <w:b/>
                <w:color w:val="auto"/>
                <w:sz w:val="21"/>
                <w:szCs w:val="21"/>
              </w:rPr>
            </w:pPr>
            <w:r>
              <w:rPr>
                <w:rFonts w:hint="eastAsia" w:hAnsi="宋体" w:cs="宋体"/>
                <w:b/>
                <w:color w:val="auto"/>
                <w:sz w:val="21"/>
                <w:szCs w:val="21"/>
                <w:lang w:bidi="ar"/>
              </w:rPr>
              <w:t>数量</w:t>
            </w:r>
          </w:p>
        </w:tc>
        <w:tc>
          <w:tcPr>
            <w:tcW w:w="6540" w:type="dxa"/>
            <w:vAlign w:val="center"/>
          </w:tcPr>
          <w:p>
            <w:pPr>
              <w:pStyle w:val="137"/>
              <w:spacing w:line="440" w:lineRule="exact"/>
              <w:ind w:firstLine="310"/>
              <w:jc w:val="center"/>
              <w:rPr>
                <w:rFonts w:hint="eastAsia" w:hAnsi="宋体" w:cs="宋体"/>
                <w:b/>
                <w:color w:val="auto"/>
                <w:sz w:val="21"/>
                <w:szCs w:val="21"/>
              </w:rPr>
            </w:pPr>
            <w:r>
              <w:rPr>
                <w:rFonts w:hint="eastAsia" w:hAnsi="宋体" w:cs="宋体"/>
                <w:b/>
                <w:color w:val="auto"/>
                <w:sz w:val="21"/>
                <w:szCs w:val="21"/>
                <w:lang w:bidi="ar"/>
              </w:rPr>
              <w:t>技术参数、规格及要求</w:t>
            </w:r>
          </w:p>
        </w:tc>
        <w:tc>
          <w:tcPr>
            <w:tcW w:w="756" w:type="dxa"/>
            <w:vAlign w:val="center"/>
          </w:tcPr>
          <w:p>
            <w:pPr>
              <w:pStyle w:val="137"/>
              <w:spacing w:line="440" w:lineRule="exact"/>
              <w:ind w:firstLine="0" w:firstLineChars="0"/>
              <w:jc w:val="center"/>
              <w:rPr>
                <w:rFonts w:hint="eastAsia" w:hAnsi="宋体" w:cs="宋体"/>
                <w:b/>
                <w:color w:val="auto"/>
                <w:sz w:val="21"/>
                <w:szCs w:val="21"/>
              </w:rPr>
            </w:pPr>
            <w:r>
              <w:rPr>
                <w:rFonts w:hint="eastAsia" w:hAnsi="宋体" w:cs="宋体"/>
                <w:b/>
                <w:color w:val="auto"/>
                <w:sz w:val="21"/>
                <w:szCs w:val="21"/>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17" w:type="dxa"/>
            <w:gridSpan w:val="6"/>
            <w:vAlign w:val="center"/>
          </w:tcPr>
          <w:p>
            <w:pPr>
              <w:pStyle w:val="137"/>
              <w:spacing w:line="440" w:lineRule="exact"/>
              <w:ind w:firstLine="0" w:firstLineChars="0"/>
              <w:jc w:val="left"/>
              <w:rPr>
                <w:rFonts w:hint="eastAsia" w:hAnsi="宋体" w:cs="宋体"/>
                <w:b/>
                <w:color w:val="auto"/>
                <w:sz w:val="21"/>
                <w:szCs w:val="21"/>
              </w:rPr>
            </w:pPr>
            <w:r>
              <w:rPr>
                <w:rFonts w:hint="eastAsia" w:hAnsi="宋体" w:cs="宋体"/>
                <w:b/>
                <w:color w:val="auto"/>
                <w:sz w:val="21"/>
                <w:szCs w:val="21"/>
              </w:rPr>
              <w:t>一、技术要求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17" w:type="dxa"/>
            <w:gridSpan w:val="6"/>
            <w:vAlign w:val="center"/>
          </w:tcPr>
          <w:p>
            <w:pPr>
              <w:pStyle w:val="137"/>
              <w:spacing w:line="440" w:lineRule="exact"/>
              <w:ind w:firstLine="0" w:firstLineChars="0"/>
              <w:jc w:val="left"/>
              <w:rPr>
                <w:rFonts w:hint="eastAsia" w:hAnsi="宋体" w:cs="宋体"/>
                <w:b/>
                <w:color w:val="auto"/>
                <w:sz w:val="21"/>
                <w:szCs w:val="21"/>
              </w:rPr>
            </w:pPr>
            <w:r>
              <w:rPr>
                <w:rFonts w:hint="eastAsia" w:hAnsi="宋体" w:cs="宋体"/>
                <w:b/>
                <w:bCs/>
                <w:color w:val="auto"/>
                <w:sz w:val="21"/>
                <w:szCs w:val="21"/>
              </w:rPr>
              <w:t>（一）智慧黑板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pStyle w:val="137"/>
              <w:spacing w:line="440" w:lineRule="exact"/>
              <w:ind w:firstLine="0" w:firstLineChars="0"/>
              <w:jc w:val="center"/>
              <w:rPr>
                <w:rFonts w:hint="eastAsia" w:hAnsi="宋体" w:cs="宋体"/>
                <w:color w:val="auto"/>
                <w:sz w:val="21"/>
                <w:szCs w:val="21"/>
              </w:rPr>
            </w:pPr>
            <w:r>
              <w:rPr>
                <w:rFonts w:hint="eastAsia" w:hAnsi="宋体" w:cs="宋体"/>
                <w:color w:val="auto"/>
                <w:sz w:val="21"/>
                <w:szCs w:val="21"/>
              </w:rPr>
              <w:t>1</w:t>
            </w:r>
          </w:p>
        </w:tc>
        <w:tc>
          <w:tcPr>
            <w:tcW w:w="797" w:type="dxa"/>
            <w:vAlign w:val="center"/>
          </w:tcPr>
          <w:p>
            <w:pPr>
              <w:pStyle w:val="137"/>
              <w:spacing w:line="440" w:lineRule="exact"/>
              <w:ind w:firstLine="0" w:firstLineChars="0"/>
              <w:jc w:val="center"/>
              <w:rPr>
                <w:rFonts w:hint="eastAsia" w:hAnsi="宋体" w:cs="宋体"/>
                <w:color w:val="auto"/>
                <w:sz w:val="21"/>
                <w:szCs w:val="21"/>
              </w:rPr>
            </w:pPr>
            <w:r>
              <w:rPr>
                <w:rFonts w:hint="eastAsia" w:hAnsi="宋体" w:cs="宋体"/>
                <w:color w:val="auto"/>
                <w:sz w:val="21"/>
                <w:szCs w:val="21"/>
              </w:rPr>
              <w:t>86寸智慧黑板</w:t>
            </w:r>
          </w:p>
        </w:tc>
        <w:tc>
          <w:tcPr>
            <w:tcW w:w="448" w:type="dxa"/>
            <w:vAlign w:val="center"/>
          </w:tcPr>
          <w:p>
            <w:pPr>
              <w:pStyle w:val="137"/>
              <w:spacing w:line="440" w:lineRule="exact"/>
              <w:ind w:firstLine="0" w:firstLineChars="0"/>
              <w:jc w:val="center"/>
              <w:rPr>
                <w:rFonts w:hint="eastAsia" w:hAnsi="宋体" w:cs="宋体"/>
                <w:color w:val="auto"/>
                <w:sz w:val="21"/>
                <w:szCs w:val="21"/>
              </w:rPr>
            </w:pPr>
            <w:r>
              <w:rPr>
                <w:rFonts w:hint="eastAsia" w:hAnsi="宋体" w:cs="宋体"/>
                <w:color w:val="auto"/>
                <w:sz w:val="21"/>
                <w:szCs w:val="21"/>
              </w:rPr>
              <w:t>台</w:t>
            </w:r>
          </w:p>
        </w:tc>
        <w:tc>
          <w:tcPr>
            <w:tcW w:w="735" w:type="dxa"/>
            <w:vAlign w:val="center"/>
          </w:tcPr>
          <w:p>
            <w:pPr>
              <w:pStyle w:val="137"/>
              <w:spacing w:line="440" w:lineRule="exact"/>
              <w:ind w:firstLine="0" w:firstLineChars="0"/>
              <w:jc w:val="center"/>
              <w:rPr>
                <w:rFonts w:hint="default" w:hAnsi="宋体" w:eastAsia="宋体" w:cs="宋体"/>
                <w:color w:val="auto"/>
                <w:sz w:val="21"/>
                <w:szCs w:val="21"/>
                <w:lang w:val="en-US" w:eastAsia="zh-CN"/>
              </w:rPr>
            </w:pPr>
            <w:r>
              <w:rPr>
                <w:rFonts w:hint="eastAsia" w:hAnsi="宋体" w:cs="宋体"/>
                <w:color w:val="auto"/>
                <w:sz w:val="21"/>
                <w:szCs w:val="21"/>
                <w:lang w:val="en-US" w:eastAsia="zh-CN"/>
              </w:rPr>
              <w:t>43</w:t>
            </w:r>
          </w:p>
        </w:tc>
        <w:tc>
          <w:tcPr>
            <w:tcW w:w="6540" w:type="dxa"/>
            <w:vAlign w:val="top"/>
          </w:tcPr>
          <w:p>
            <w:pPr>
              <w:widowControl/>
              <w:numPr>
                <w:ilvl w:val="0"/>
                <w:numId w:val="2"/>
              </w:numPr>
              <w:spacing w:line="440" w:lineRule="exac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接口设计</w:t>
            </w:r>
          </w:p>
          <w:p>
            <w:pPr>
              <w:widowControl/>
              <w:numPr>
                <w:ilvl w:val="0"/>
                <w:numId w:val="0"/>
              </w:numPr>
              <w:spacing w:line="440" w:lineRule="exac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1.侧置输入接口具备≥2路HDMI、≥1路RS232.≥1路USB接口；</w:t>
            </w:r>
          </w:p>
          <w:p>
            <w:pPr>
              <w:widowControl/>
              <w:numPr>
                <w:ilvl w:val="0"/>
                <w:numId w:val="0"/>
              </w:numPr>
              <w:spacing w:line="440" w:lineRule="exac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2.侧置输出接口具备≥1路音频输出、≥1路触控USB输出；</w:t>
            </w:r>
          </w:p>
          <w:p>
            <w:pPr>
              <w:widowControl/>
              <w:numPr>
                <w:ilvl w:val="0"/>
                <w:numId w:val="0"/>
              </w:numPr>
              <w:spacing w:line="440" w:lineRule="exac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3.前置输入接口具备≥3路USB接口（包含≥1路Type-C、≥2路USB）。</w:t>
            </w:r>
          </w:p>
          <w:p>
            <w:pPr>
              <w:widowControl/>
              <w:numPr>
                <w:ilvl w:val="0"/>
                <w:numId w:val="0"/>
              </w:numPr>
              <w:spacing w:line="440" w:lineRule="exac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4.整机具备前置Type-C接口，通过Type-C接口实现音视频输入，外接电脑设备经双头Type-C线连接至整机，即可把外接电脑设备画面投到整机上，同时在整机上操作画面，可实现触摸电脑的操作，无需再连接触控USB线。支持通过Type-C接口U盘进行文件传输，兼容Type-C接口手机充电，type-C 支持最大充电功率15W。</w:t>
            </w:r>
          </w:p>
          <w:p>
            <w:pPr>
              <w:widowControl/>
              <w:numPr>
                <w:ilvl w:val="0"/>
                <w:numId w:val="0"/>
              </w:numPr>
              <w:spacing w:line="440" w:lineRule="exac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5.外接电脑设备经双头Type-C线连接至整机，可调用整机内置的摄像头、麦克风、扬声器，在外接电脑即可控制整机拍摄教室画面。</w:t>
            </w:r>
          </w:p>
          <w:p>
            <w:pPr>
              <w:widowControl/>
              <w:numPr>
                <w:ilvl w:val="0"/>
                <w:numId w:val="0"/>
              </w:numPr>
              <w:spacing w:line="440" w:lineRule="exac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6.前置Type-C接口，支持通过不带转换装置的外部线缆，实现外接电脑HDMI信号的接入显示。</w:t>
            </w:r>
          </w:p>
          <w:p>
            <w:pPr>
              <w:widowControl/>
              <w:numPr>
                <w:ilvl w:val="0"/>
                <w:numId w:val="0"/>
              </w:numPr>
              <w:spacing w:line="440" w:lineRule="exac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7.前置USB接口支持Android系统、Windows系统读取外接移动存储设备。</w:t>
            </w:r>
          </w:p>
          <w:p>
            <w:pPr>
              <w:widowControl/>
              <w:numPr>
                <w:ilvl w:val="0"/>
                <w:numId w:val="0"/>
              </w:numPr>
              <w:spacing w:line="440" w:lineRule="exac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二、整机设计</w:t>
            </w:r>
          </w:p>
          <w:p>
            <w:pPr>
              <w:widowControl/>
              <w:numPr>
                <w:ilvl w:val="0"/>
                <w:numId w:val="0"/>
              </w:numPr>
              <w:spacing w:line="440" w:lineRule="exac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1.整机采用全金属外壳，三拼接平面一体化设计，屏幕边缘采用圆角包边防护，整机背板采用金属材质。</w:t>
            </w:r>
          </w:p>
          <w:p>
            <w:pPr>
              <w:widowControl/>
              <w:numPr>
                <w:ilvl w:val="0"/>
                <w:numId w:val="0"/>
              </w:numPr>
              <w:spacing w:line="440" w:lineRule="exac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2.整机屏幕边缘采用金属圆角包边防护，整机背板采用金属材质，有效屏蔽内部电路器件辐射；防潮耐盐雾蚀锈，适应多种教学环境。</w:t>
            </w:r>
          </w:p>
          <w:p>
            <w:pPr>
              <w:widowControl/>
              <w:numPr>
                <w:ilvl w:val="0"/>
                <w:numId w:val="0"/>
              </w:numPr>
              <w:spacing w:line="440" w:lineRule="exac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3.无推拉式结构，外部无任何可见内部功能模块连接线。主副屏过渡平滑，中间无单独边框阻隔。</w:t>
            </w:r>
          </w:p>
          <w:p>
            <w:pPr>
              <w:widowControl/>
              <w:numPr>
                <w:ilvl w:val="0"/>
                <w:numId w:val="0"/>
              </w:numPr>
              <w:spacing w:line="440" w:lineRule="exac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4.整体外观尺寸：宽≥4200mm，高≥1200mm，厚≤120mm，主屏支持普通粉笔直接书写。</w:t>
            </w:r>
          </w:p>
          <w:p>
            <w:pPr>
              <w:widowControl/>
              <w:numPr>
                <w:ilvl w:val="0"/>
                <w:numId w:val="0"/>
              </w:numPr>
              <w:spacing w:line="440" w:lineRule="exac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5.整机两侧副屏可支持以下媒介（普通粉笔、液体粉笔、成膜笔）进行板书书写。</w:t>
            </w:r>
          </w:p>
          <w:p>
            <w:pPr>
              <w:widowControl/>
              <w:numPr>
                <w:ilvl w:val="0"/>
                <w:numId w:val="0"/>
              </w:numPr>
              <w:spacing w:line="440" w:lineRule="exac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三、主屏设计</w:t>
            </w:r>
          </w:p>
          <w:p>
            <w:pPr>
              <w:widowControl/>
              <w:numPr>
                <w:ilvl w:val="0"/>
                <w:numId w:val="0"/>
              </w:numPr>
              <w:spacing w:line="440" w:lineRule="exac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1.整机屏幕采用≥86英寸液晶显示器，采用超高清LED液晶显示屏，显示比例16:9，分辨率3840×2160，整机色域覆盖率（NTSC）≥72%，灰度等级≥256级。</w:t>
            </w:r>
          </w:p>
          <w:p>
            <w:pPr>
              <w:widowControl/>
              <w:numPr>
                <w:ilvl w:val="0"/>
                <w:numId w:val="0"/>
              </w:numPr>
              <w:spacing w:line="440" w:lineRule="exac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2.整机系统支持手势上滑调出人工智能画质调节模式（AI-PQ），在安卓通道下可根据屏幕内容自动调节画质参数，当屏幕出现人物、建筑、夜景等元素时，自动调整对比度、饱和度、锐利度、色调色相值、高光/阴影。</w:t>
            </w:r>
          </w:p>
          <w:p>
            <w:pPr>
              <w:widowControl/>
              <w:numPr>
                <w:ilvl w:val="0"/>
                <w:numId w:val="0"/>
              </w:numPr>
              <w:spacing w:line="440" w:lineRule="exac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3.支持自定义图像设置，可对对比度、屏幕色温、图像亮度、亮度范围、色彩空间调节设置。</w:t>
            </w:r>
          </w:p>
          <w:p>
            <w:pPr>
              <w:widowControl/>
              <w:numPr>
                <w:ilvl w:val="0"/>
                <w:numId w:val="0"/>
              </w:numPr>
              <w:spacing w:line="440" w:lineRule="exac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4.整机支持色彩空间可选，包含标准模式和sRGB模式，在sRGB模式下可做到高色准△E≤1.0。</w:t>
            </w:r>
          </w:p>
          <w:p>
            <w:pPr>
              <w:widowControl/>
              <w:numPr>
                <w:ilvl w:val="0"/>
                <w:numId w:val="3"/>
              </w:numPr>
              <w:spacing w:line="440" w:lineRule="exac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整机采用硬件低蓝光背光技术，在源头减少有害蓝光波段能量，蓝光占比（有害蓝光415～455nm能量综合）/（整体蓝光400～500能量综合）＜50%，低蓝光保护显示不偏色、不泛黄。</w:t>
            </w:r>
          </w:p>
          <w:p>
            <w:pPr>
              <w:widowControl/>
              <w:numPr>
                <w:ilvl w:val="0"/>
                <w:numId w:val="0"/>
              </w:numPr>
              <w:spacing w:line="440" w:lineRule="exac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6.整机背光系统支持DC调光方式，多级亮度调节，支持白颜色背景下最暗亮度≤100nit，用于提升显示对比度。</w:t>
            </w:r>
          </w:p>
          <w:p>
            <w:pPr>
              <w:widowControl/>
              <w:numPr>
                <w:ilvl w:val="0"/>
                <w:numId w:val="0"/>
              </w:numPr>
              <w:spacing w:line="440" w:lineRule="exac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7.支持标准、多媒体和节能三种图像模式调节。</w:t>
            </w:r>
          </w:p>
          <w:p>
            <w:pPr>
              <w:widowControl/>
              <w:numPr>
                <w:ilvl w:val="0"/>
                <w:numId w:val="0"/>
              </w:numPr>
              <w:spacing w:line="440" w:lineRule="exac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8.整机全通道支持纸质护眼模式，可实现画面纹理的实时调整；支持纸质纹理：牛皮纸、素描纸、宣纸、水彩纸、水纹纸；支持透明度调节；支持色温调节。</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9.纸质护眼模式下，显示画面各像素点灰度不规则，减少背景干扰。</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10.采用全物理钢化玻璃，有效保护屏幕显示画面，整机钢化玻璃表面硬度≥9H。</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11.整机能感应并自动调节屏幕亮度来达到在不同光照环境下的不同亮度显示效果，此功能可自行开启或关闭。</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四、内置电脑设计</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1.处理器：intel i5或以上配置；</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2.内存：≥8GB DDR4</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3.硬盘：≥256GB固态硬盘</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4.电脑模块和整机的连接采用支持万兆级及以上接口，传输速率≥1Gbps；HDMI≥1路 ；USB接口：≥USB*3（USB2.0以上）。</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5.电脑模块采用按压式卡扣，无需工具就可快速拆卸电脑模块。</w:t>
            </w:r>
          </w:p>
          <w:p>
            <w:pPr>
              <w:widowControl/>
              <w:spacing w:line="440" w:lineRule="exac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6.具有独立非外拓展的电脑 USB 接口：至少具备 3个USB3.0 接口。</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★7.预装正版windows10或以上操作系统及WPS办公软件。</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五、副屏设计</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1.整机设备副屏支持磁吸附功能，可以满足带有磁吸的板擦等教具进行吸附在副屏上。</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2.整机设备副屏光泽度符合GB 28231《书写板安全卫生要求》，粉笔板书写面的光泽度应在6光泽单位以下，不应有因粉笔板本身的原因产生眩光。</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3.整机设备副屏耐光性符合GB 28231《书写板安全卫生要求》，暴晒后对比度应大于GB/T 250的四级。</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4.整机设备副屏耐腐蚀性符合GB 28231《书写板安全卫生要求》，使用含有日常家用洗涤剂或消毒剂的温水(40℃ )，擦拭书写板的书写面后，书写面应不变色，无表皮脱落。</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5.整机设备副屏甲醛释放限量符合GB 28231《书写板安全卫生要求》，甲醛释放限量应不大于1.5mg/L。</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6.整机设备副屏漆膜的附着力符合GB/T 9286 测试方法，支持色漆和清漆 漆膜的划格试验。</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7.整机设备副屏漆膜的硬度符合GB/T 6739测试方法，支持漆膜硬度铅笔测定法，无塑性变形也无内聚破坏，铅笔硬度≧6H。</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8.整机设备副屏漆膜的抗冲击性符合GB/T 1732测试方法，支持漆膜耐冲击测定法，无裂纹现象。</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9.整机两侧副屏可支持多种媒介进行板书书写，便于老师完整书写教学内容。整机主屏书写面板采用耐磨玻璃材质，长期书写情况下面板磨损导致的雾度不超过2%。</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六、按键设计</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1.三合一电源按键，同一电源物理按键完成Android系统和Windows系统的开机、节能熄屏、关机操作；关机状态下按按键开机；开机状态下按按键实现节能熄屏/唤醒，长按按键实现关机。</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2.整机具备至少6个前置按键，可实现开关机、调出中控菜单、音量+/-、护眼、录屏操作。</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3.支持经典护眼模式，可通过前置面板物理功能按键一键启用经典护眼模式。</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4.整机支持至少5个自定义前置按键，“设置”、“音量-”，“音量+”，“录屏”，“护眼”按键，可通过自定义设置实现前置面板功能按键一键启用任一全局小工具（批注、截屏、计时、降半屏、放大镜、倒数日、日历）、快捷开关（节能模式、纸质护眼模式、经典护眼模式、自动亮度模式）、课堂智能反馈。</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5.设备支持通过前置面板物理按键一键启动录屏功能，可将屏幕中显示的课件、音频内容与人声同时录制。</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6.整机内置专业硬件自检维护工具（非第三方工具），支持对整机内部的板卡及部件模块进行故障检测、系统还原功能。</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7.具备电视遥控功能和电脑键盘常用的F1—F12功能键及Alt+F4.Alt+Tab、Space、Enter、windows快捷按键，可实现一键开启交互白板软件、PPT上下翻页、一键锁定/解锁触摸及整机实体按键、一键熄屏的功能。</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七、触控设计</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1.采用红外触控方式，支持Windows系统中进行40点或以上触控，支持在Android系统中进行40点或以上触控。</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2.整机系统支持书写触控延迟≤25ms。</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3.整机触控书写功能集成预测算法，在书写速度≥50cm/s，支持笔迹距离笔的距离小于20mm。</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4.支持Windows 7.Windows 8.Windows 10.Windows 11.Linux、Mac Os、UOS和麒麟系统外置电脑操作系统接入时，无需安装触摸驱动。</w:t>
            </w:r>
          </w:p>
          <w:p>
            <w:pPr>
              <w:widowControl/>
              <w:spacing w:line="440" w:lineRule="exact"/>
              <w:textAlignment w:val="center"/>
              <w:rPr>
                <w:rFonts w:hint="default" w:ascii="宋体" w:hAnsi="宋体" w:eastAsia="宋体" w:cs="宋体"/>
                <w:color w:val="auto"/>
                <w:kern w:val="0"/>
                <w:szCs w:val="21"/>
                <w:lang w:val="en-US" w:eastAsia="zh-CN" w:bidi="ar"/>
              </w:rPr>
            </w:pPr>
            <w:r>
              <w:rPr>
                <w:rFonts w:hint="eastAsia" w:ascii="宋体" w:hAnsi="宋体" w:cs="宋体"/>
                <w:color w:val="auto"/>
                <w:kern w:val="0"/>
                <w:szCs w:val="21"/>
                <w:lang w:bidi="ar"/>
              </w:rPr>
              <w:t>★5.整机支持提笔书写，在Windows系统下可实现无需点击任意功能入口，当检测到红外笔笔尖接触屏幕时，自动进入书写模式。支持手笔分离，通过提笔即写唤醒批注功能后，可进行手笔分离功能，使用笔正常书写，使用手指可以操作应用，进行点击操作。</w:t>
            </w:r>
            <w:r>
              <w:rPr>
                <w:rFonts w:hint="eastAsia" w:ascii="宋体" w:hAnsi="宋体" w:cs="宋体"/>
                <w:color w:val="auto"/>
                <w:kern w:val="0"/>
                <w:szCs w:val="21"/>
                <w:lang w:eastAsia="zh-CN" w:bidi="ar"/>
              </w:rPr>
              <w:t>（提供证明材料：包括但不限于厂家证明或功能截图或国家认可的第三方检测报告并加盖供应商公章）</w:t>
            </w:r>
            <w:r>
              <w:rPr>
                <w:rFonts w:hint="eastAsia"/>
                <w:color w:val="auto"/>
                <w:lang w:val="en-US" w:eastAsia="zh-CN"/>
              </w:rPr>
              <w:t>。</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6.支持智能板擦功能，系统可根据触控物体的形状自动识别出实物板擦，可擦除电子白板中的内容，无需依赖外部电子设备。</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7.整机屏幕触摸有效识别高度不超过1.5mm，即触摸物体距离玻璃外表面高度不超过1.5mm时，触摸屏识别为点击操作。</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8.整机触摸支持动态压力感应，支持无任何电子功能的普通书写笔在整机上书写或点压时，整机能感应压力变化，书写或点压过程笔迹呈现不同粗细。</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9.支持同一支笔，笔头、笔尾书写不同的颜色，且颜色可自定义。</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八、功能设计</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（一）多媒体教学功能</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1.整机设备开机启动后，自动进入教学桌面，支持账号登录、退出，自动获取个人云端教学课件列表，并可进入全部课件列表。</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2.整机设备可将应用编辑到教学桌面首页，编辑方式支持从教学桌面首页进入编辑，支持在全部应用列表中进入编辑 2 种方式。教学桌面首页应用支持无需进入应用编辑页面，在首页指定应用上长按进行移除。</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3.整机设备教学桌面支持进行通道切换，当设备有其他输入源时，可在桌面点击信号源进行输入源切换。</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4.整机安卓和全部外接通道（HDMI、Type-c）下侧边栏支持通过扫描二维码加入班级，老师设置题型，学生回答后提交，教师查看正确率比例及详细讲解；支持随机抽选、实时弹幕；支持管理当前班级成员；支持导出学生报告。全通道下可支持通过自定义按键调出该功能。</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5.整机安卓和全部外接通道（HDMI、Type-c）下侧边栏支持节拍器，支持设置节拍、轻重、节拍播放速度。全通道下可支持通过自定义按键调出该功能。</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6.整机全通道侧边栏支持自主选择所需截取的屏幕范围，点击截屏即可成功截取屏幕，并自动保存。</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（二）摄像头功能</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1.整机上边框内置非独立式广角高清摄像头，视场角≥142度且水平视场角≥121度，支持输出4:3.16:9比例的图片和视频；在清晰度为2592 x 1944分辨率下，支持30帧的视频输出。整机上边框内置非独式广角摄像头和智能拼接摄像头， 均支持 3D 降噪算法和数字宽动态范围成像WDR 技术，支持输出 MJPG、 H.264 视频格式。</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2.整机上边框内置非独立摄像头，采用一体化集成设计，摄像头数量≥4个，整机内置至少三个摄像头像素值均大于800 万。</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3.具备摄像头工作指示灯，摄像头运行时，有指示灯提示。</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4.整机上边框内置非独立的广角高清摄像头，在距离整机1.7米情况下，且拍摄范围可以覆盖摄像头垂直法线左右距离大于等于4米，可以实现人脸识别。</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★5.整机支持上边框内置非独立摄像头模组，同时输出至少 3 路视频流，同时支持课堂远程巡课、课堂教学数据采集、本地画面预览（拍照或视频录制）。</w:t>
            </w:r>
            <w:r>
              <w:rPr>
                <w:rFonts w:hint="eastAsia" w:ascii="宋体" w:hAnsi="宋体" w:cs="宋体"/>
                <w:color w:val="auto"/>
                <w:kern w:val="0"/>
                <w:szCs w:val="21"/>
                <w:lang w:eastAsia="zh-CN" w:bidi="ar"/>
              </w:rPr>
              <w:t>（提供证明材料：包括但不限于厂家证明或功能截图或国家认可的第三方检测报告并加盖供应商公章）</w:t>
            </w:r>
            <w:r>
              <w:rPr>
                <w:rFonts w:hint="eastAsia"/>
                <w:color w:val="auto"/>
                <w:lang w:val="en-US" w:eastAsia="zh-CN"/>
              </w:rPr>
              <w:t>。</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6.整机摄像头支持环境色温判断，根据环境调节合适的显示图像效果。</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7.整机上边框内置非独立式摄像头，视场角≥141度且水平视场角≥139度，可拍摄≥1600万像素的照片，支持输出≥8192×2048分辨率的照片和视频，支持画面畸变矫正功能。支持人脸识别、清点人数、随机抽人；识别所有学生，显示标记，然后随机抽选，同时显示标记不少于60人。</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（三）音频功能</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1.整机可选择高级音效设置，支持在左右声道平衡显示范围中进行更改；中低频段显示调节范围125Hz～1KHz，高频段显示调节范围 2KHz～16KHz，分贝显示-12dB～12dB 调节范围。</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2.整机内置非独立外扩展的8阵列麦克风，拾音角度≥180°，可用于对教室环境音频进行采集，拾音距离≥12m。</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3.支持标准、听力、观影和AI空间感知音效模式，AI空间感知音效模式可通过内置麦克风采集教室物理环境声音，自动生成符合当前教室物理环境的频段、音量、音效。</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4.整机扬声器在100%音量下，可做到1米处声压级≥88db，10米处声压级≥79dB。</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5.整机PC端支持主动发现蓝牙外设从而连接（无需整机进入发现模式），支持连接外部蓝牙音箱播放音频。</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6.整机内置2.2声道扬声器，位于设备上边框，顶置朝前发声，前朝向10W高音扬声器2个，上朝向20W中低音扬声器2个，额定总功率60W。内置扬声器采用缝隙发声技术，喇叭采用槽式开口设计，不大于5.8mm。</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（四）无线功能</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1.整机无需外接无线网卡，在Windows系统下接入无线网络，切换到嵌入式Android系统下可直接实现无线上网功能，不需手动重复设置。</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2.整机无需外接无线网卡，在Android和Windows系统下可实现Wi-Fi无线上网连接、AP无线热点发射和BT蓝牙连接功能。</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3.Wi-Fi和AP热点工作距离≥12m。</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4.整机内置双WiFi6无线网卡（不接受外接），在Android下支持无线设备同时连接数量≥32个，在Windows系统下支持无线设备同时连接≥8个；</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5.整机支持蓝牙Bluetooth 5.4标准，固件版本号HCI13.0/LMP13.0。</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★6.整机支持发出频率为18kHz-22kHz超声波信号，智能手机通过麦克风接收后，智能手机与整机无需在同一局域网内，可实现配对，一键投屏，用户无需手动输入投屏码或扫码获取投屏码。</w:t>
            </w:r>
            <w:r>
              <w:rPr>
                <w:rFonts w:hint="eastAsia" w:ascii="宋体" w:hAnsi="宋体" w:cs="宋体"/>
                <w:color w:val="auto"/>
                <w:kern w:val="0"/>
                <w:szCs w:val="21"/>
                <w:lang w:eastAsia="zh-CN" w:bidi="ar"/>
              </w:rPr>
              <w:t>（提供证明材料：包括但不限于厂家证明或功能截图或国家认可的第三方检测报告并加盖供应商公章）</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（五）其他功能</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1.支持半屏模式，将Windows显示画面上半部分下拉到屏幕下半部分显示，此时依然可以正常触控操作Windows系统；点击非Windows显示画面区域（屏幕上半部分），即可退出该模式。</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2.整机关机状态下，通过长按电源键进入设置界面后，可点击屏幕选择故障检测、系统还原功能，系统还原可单独还原PC系统，单独还原整机系统。</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3.整机内置触摸中控菜单，在整机全信号源通道下通过手势在屏幕上调取该触摸菜单；支持信号源通道切换、护眼、声音调节功能；支持切换智能息屏、经典护眼模式、纸质护眼模式、自动亮度模式；并可支持调节音量、亮度，支持自动亮度模式，支持点击静音按钮静音。</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4.整机具备智能手势识别功能，在整机全信号源通道下均可识别五指上、下、左、右方向手势，五指画 O、画~、左右晃动、缩/放方向手势滑动并调用相应功能。支持将各手势滑动方向自定义设置为无操作、熄屏、批注、桌面、半屏模式。</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5.整机全通道侧边栏支持倒计时、正计时功能；倒计时，输入某特定时间值，可精确到秒，点击开始进入倒计时；正计时，点击开始计时便自动开始，并实时显示时间。</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九、安卓系统设计</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1.嵌入式系统版本不低于Android 13，内存≥2GB，存储空间≥8GB。</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2.嵌入式Android操作系统下，白板支持对已经书写的笔迹和形状的颜色进行更换。</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3.无PC状态下，嵌入式系统内置互动白板支持十笔书写及手掌擦除（手掌擦除面积根据手掌与屏幕的接触面大小自动调整），白板书写内容可以PDF、IWB和SVG格式导出。支持10种以上平面图形工具。支持8种以上立体图形工具。</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4.在嵌入式Android操作系统下，能对TV多媒体USB所读取到的文件进行自动归类，可分类查找文档、板书、图片、音视频，检索后可直接在界面中打开。</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5.整机全通道侧边栏支持放大选中区域内容；并可支持对未选中区域关灯处理，实现聚光灯效果。</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6.整机全通道侧边栏支持使用批注小工具进行批注讲解，可切换书写笔颜色、截屏保存批注内容、清屏，可根据手与屏幕的接触面积自动调整板擦工具的大小。</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7.无PC状态下，嵌入式Android操作系统下可使用白板书写、WPS软件和网页浏览。</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8.嵌入式Android操作系统下，互动白板支持不同背景颜色，同时提供学科背景，如：五线谱、信纸、田字格、英文格、篮球和足球场地平面图。</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十、文件传输设计</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1.整机Windows通道支持文件传输应用，支持多人同时将手机文件传输到整机上；当手机端登录账号与整机一致时，接收文件不需要二次确认，当手机端登录账号与整机不一致时，且距离连接成功或上次传输超过3分钟，则接收文件需要二次确认。</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2.整机Windows通道支持文件传输应用，可将手机文件传输到整机上，无需借助第三方网页、第三方应用，传输文件格式支持：pptx、pdf、docx、txt、xlsx、enbx、jpg、png、gif、svg、mp4.rmvb、avi、3gp、wmv、flv、mkv、mp3.wav、wma、ogg、zip。</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3.整机Windows通道支持文件传输应用，支持通过扫码、wifi直联、超声三种方式与手机进行握手连接，实现文件传输功能。</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4.整机 Windows 通道支持文件传输应用，传输方式支持公网传输、局域网传输、WiFi 直连传输。</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5.整机Windows通道支持文件传输应用，接收的文件支持单份删除；接收的文件支持手动全部清空，为防止误清空，全部清空需要经过二次确认。</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6.整机Windows通道支持文件传输应用，支持打开文件所在文件夹。</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7.整机Windows通道支持文件传输应用，开启该应用后，可自动打开整机热点，并在文件传输应用中显示热点信息，无需手动在设置中查看热点。</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十一、备授课软件设计</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（一）整体设计</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1.为教师提供可扩展，易于学校管理，安全可靠的云存储空间，根据每名教师使用时长与教学资料制作频率提供可扩展升级至不小于200G的个人云空间。</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2.教学软件为使用方全体教师配备个人账号，形成一体的信息化教学账号体系；根据教师账号信息将教师云空间匹配至对应学校、学科校本资源库。支持通过数字账号、微信二维码、硬件密钥方式登录教师个人账号。</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3.互动教学课件支持定向精准分享：分享者可将互动课件、课件组精准推送至指定接收方账号云空间，接收方可在云空间接收并打开分享课件。</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4.上传下载一体化云存储：备课时支持将云空间中存储图片、音频、视频、Flash等素材插入课件，同时支持将课件中的图片、音频、视频、Flash、PPT等素材右键上传至云空间。</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5.互动教学课件支持开放式云分享：分享者可将互动课件、课件组以公开或加密的web链接和二维码形式进行分享，分享链接可设置访问有效期。</w:t>
            </w:r>
          </w:p>
          <w:p>
            <w:pPr>
              <w:widowControl/>
              <w:spacing w:line="440" w:lineRule="exact"/>
              <w:textAlignment w:val="center"/>
              <w:rPr>
                <w:rFonts w:hint="eastAsia" w:ascii="宋体" w:hAnsi="宋体" w:eastAsia="宋体" w:cs="宋体"/>
                <w:color w:val="auto"/>
                <w:kern w:val="0"/>
                <w:szCs w:val="21"/>
                <w:highlight w:val="none"/>
                <w:lang w:eastAsia="zh-CN" w:bidi="ar"/>
              </w:rPr>
            </w:pPr>
            <w:r>
              <w:rPr>
                <w:rFonts w:hint="eastAsia" w:ascii="宋体" w:hAnsi="宋体" w:cs="宋体"/>
                <w:color w:val="auto"/>
                <w:kern w:val="0"/>
                <w:szCs w:val="21"/>
                <w:highlight w:val="none"/>
                <w:lang w:val="en-US" w:eastAsia="zh-CN" w:bidi="ar"/>
              </w:rPr>
              <w:t>6</w:t>
            </w:r>
            <w:r>
              <w:rPr>
                <w:rFonts w:hint="eastAsia" w:ascii="宋体" w:hAnsi="宋体" w:cs="宋体"/>
                <w:color w:val="auto"/>
                <w:kern w:val="0"/>
                <w:szCs w:val="21"/>
                <w:highlight w:val="none"/>
                <w:lang w:bidi="ar"/>
              </w:rPr>
              <w:t>.互动教学课件支持分享至学校校本资源库，学段学科根据教师个人信息自动匹配，分享后课件全校教师可见，并可直接下载使用。校本资源库支持按学科、学段进行快速查找，同时支持关键词精准检索。</w:t>
            </w:r>
          </w:p>
          <w:p>
            <w:pPr>
              <w:widowControl/>
              <w:spacing w:line="440" w:lineRule="exact"/>
              <w:textAlignment w:val="center"/>
              <w:rPr>
                <w:rFonts w:hint="eastAsia" w:ascii="宋体" w:hAnsi="宋体" w:eastAsia="宋体" w:cs="宋体"/>
                <w:color w:val="auto"/>
                <w:kern w:val="0"/>
                <w:szCs w:val="21"/>
                <w:highlight w:val="none"/>
                <w:lang w:eastAsia="zh-CN" w:bidi="ar"/>
              </w:rPr>
            </w:pPr>
            <w:r>
              <w:rPr>
                <w:rFonts w:hint="eastAsia" w:ascii="宋体" w:hAnsi="宋体" w:cs="宋体"/>
                <w:color w:val="auto"/>
                <w:kern w:val="0"/>
                <w:szCs w:val="21"/>
                <w:highlight w:val="none"/>
                <w:lang w:val="en-US" w:eastAsia="zh-CN" w:bidi="ar"/>
              </w:rPr>
              <w:t>7</w:t>
            </w:r>
            <w:r>
              <w:rPr>
                <w:rFonts w:hint="eastAsia" w:ascii="宋体" w:hAnsi="宋体" w:cs="宋体"/>
                <w:color w:val="auto"/>
                <w:kern w:val="0"/>
                <w:szCs w:val="21"/>
                <w:highlight w:val="none"/>
                <w:lang w:bidi="ar"/>
              </w:rPr>
              <w:t>.胶囊式微课功能内置于交互式课件工具中，支持快速录制胶囊式微课，微课可录制保存音频和课件的互动操作</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（1）录制功能：录制过程中可对课件中的元素进行拖动、克隆、删除等操作，支持在录制过程中进行书写和擦除</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（2）剪辑重录功能：支持按照课件页面片段剪辑和重录微课，支持一键上传至云端保存</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（3）无课件录制：支持教师在空白页面录制胶囊式微课，支持自主添加不低于100页电子草稿进行讲解</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（4）听课方式：微课录制结束后自动生成分享海报，学生扫码在即可在微信观看，无需下载额外app使用</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（5）学生观看胶囊式微课时可进行多种互动，可在控制课件模式下移动、删除克隆课件内的元素，参与课堂活动互动练习</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（6）系统后台自动统计胶囊式微课的观看次数，便于教师做教研管理</w:t>
            </w:r>
          </w:p>
          <w:p>
            <w:pPr>
              <w:widowControl/>
              <w:spacing w:line="440" w:lineRule="exact"/>
              <w:textAlignment w:val="center"/>
              <w:rPr>
                <w:rFonts w:hint="eastAsia" w:ascii="宋体" w:hAnsi="宋体" w:eastAsia="宋体" w:cs="宋体"/>
                <w:color w:val="auto"/>
                <w:kern w:val="0"/>
                <w:szCs w:val="21"/>
                <w:highlight w:val="none"/>
                <w:lang w:eastAsia="zh-CN" w:bidi="ar"/>
              </w:rPr>
            </w:pPr>
            <w:r>
              <w:rPr>
                <w:rFonts w:hint="eastAsia" w:ascii="宋体" w:hAnsi="宋体" w:cs="宋体"/>
                <w:color w:val="auto"/>
                <w:kern w:val="0"/>
                <w:szCs w:val="21"/>
                <w:highlight w:val="none"/>
                <w:lang w:val="en-US" w:eastAsia="zh-CN" w:bidi="ar"/>
              </w:rPr>
              <w:t>8</w:t>
            </w:r>
            <w:r>
              <w:rPr>
                <w:rFonts w:hint="eastAsia" w:ascii="宋体" w:hAnsi="宋体" w:cs="宋体"/>
                <w:color w:val="auto"/>
                <w:kern w:val="0"/>
                <w:szCs w:val="21"/>
                <w:highlight w:val="none"/>
                <w:lang w:bidi="ar"/>
              </w:rPr>
              <w:t>.云教案设计：可在备课平台直接边写教案，教案为云端存储，支持文本、图片、视频、公式的插入。可将教案关联至教师课件，支持课件同时关联多份教案，关联后教师可在备课界面调用查看教案，便于教研工作开展。</w:t>
            </w:r>
          </w:p>
          <w:p>
            <w:pPr>
              <w:widowControl/>
              <w:spacing w:line="440" w:lineRule="exact"/>
              <w:textAlignment w:val="center"/>
              <w:rPr>
                <w:rFonts w:hint="eastAsia" w:ascii="宋体" w:hAnsi="宋体" w:eastAsia="宋体" w:cs="宋体"/>
                <w:color w:val="auto"/>
                <w:kern w:val="0"/>
                <w:szCs w:val="21"/>
                <w:highlight w:val="none"/>
                <w:lang w:eastAsia="zh-CN" w:bidi="ar"/>
              </w:rPr>
            </w:pPr>
            <w:r>
              <w:rPr>
                <w:rFonts w:hint="eastAsia" w:ascii="宋体" w:hAnsi="宋体" w:cs="宋体"/>
                <w:color w:val="auto"/>
                <w:kern w:val="0"/>
                <w:szCs w:val="21"/>
                <w:highlight w:val="none"/>
                <w:lang w:val="en-US" w:eastAsia="zh-CN" w:bidi="ar"/>
              </w:rPr>
              <w:t>9</w:t>
            </w:r>
            <w:r>
              <w:rPr>
                <w:rFonts w:hint="eastAsia" w:ascii="宋体" w:hAnsi="宋体" w:cs="宋体"/>
                <w:color w:val="auto"/>
                <w:kern w:val="0"/>
                <w:szCs w:val="21"/>
                <w:highlight w:val="none"/>
                <w:lang w:bidi="ar"/>
              </w:rPr>
              <w:t>.支持移动授课，实现公网连接控制课件翻页、播放，支持手机拍照上传、投屏。手机端和电脑端登录同一账号后即可自动连接，拍照上传、控制课件支持公网。</w:t>
            </w:r>
          </w:p>
          <w:p>
            <w:pPr>
              <w:widowControl/>
              <w:spacing w:line="440" w:lineRule="exact"/>
              <w:textAlignment w:val="center"/>
              <w:rPr>
                <w:rFonts w:hint="eastAsia" w:ascii="宋体" w:hAnsi="宋体" w:eastAsia="宋体" w:cs="宋体"/>
                <w:color w:val="auto"/>
                <w:kern w:val="0"/>
                <w:szCs w:val="21"/>
                <w:highlight w:val="none"/>
                <w:lang w:eastAsia="zh-CN" w:bidi="ar"/>
              </w:rPr>
            </w:pPr>
            <w:r>
              <w:rPr>
                <w:rFonts w:hint="eastAsia" w:ascii="宋体" w:hAnsi="宋体" w:cs="宋体"/>
                <w:color w:val="auto"/>
                <w:kern w:val="0"/>
                <w:szCs w:val="21"/>
                <w:highlight w:val="none"/>
                <w:lang w:bidi="ar"/>
              </w:rPr>
              <w:t>1</w:t>
            </w:r>
            <w:r>
              <w:rPr>
                <w:rFonts w:hint="eastAsia" w:ascii="宋体" w:hAnsi="宋体" w:cs="宋体"/>
                <w:color w:val="auto"/>
                <w:kern w:val="0"/>
                <w:szCs w:val="21"/>
                <w:highlight w:val="none"/>
                <w:lang w:val="en-US" w:eastAsia="zh-CN" w:bidi="ar"/>
              </w:rPr>
              <w:t>0</w:t>
            </w:r>
            <w:r>
              <w:rPr>
                <w:rFonts w:hint="eastAsia" w:ascii="宋体" w:hAnsi="宋体" w:cs="宋体"/>
                <w:color w:val="auto"/>
                <w:kern w:val="0"/>
                <w:szCs w:val="21"/>
                <w:highlight w:val="none"/>
                <w:lang w:bidi="ar"/>
              </w:rPr>
              <w:t>.采用备授课一体化框架设计，教师可根据教学场景自由切换类PPT界面的备课模式与触控交互教学模式，适用于教室、办公室等不同教学环境，便于教师教学使用。</w:t>
            </w:r>
          </w:p>
          <w:p>
            <w:pPr>
              <w:widowControl/>
              <w:spacing w:line="440" w:lineRule="exact"/>
              <w:textAlignment w:val="center"/>
              <w:rPr>
                <w:rFonts w:hint="eastAsia" w:ascii="宋体" w:hAnsi="宋体" w:eastAsia="宋体" w:cs="宋体"/>
                <w:color w:val="auto"/>
                <w:kern w:val="0"/>
                <w:szCs w:val="21"/>
                <w:highlight w:val="none"/>
                <w:lang w:eastAsia="zh-CN" w:bidi="ar"/>
              </w:rPr>
            </w:pPr>
            <w:r>
              <w:rPr>
                <w:rFonts w:hint="eastAsia" w:ascii="宋体" w:hAnsi="宋体" w:cs="宋体"/>
                <w:color w:val="auto"/>
                <w:kern w:val="0"/>
                <w:szCs w:val="21"/>
                <w:highlight w:val="none"/>
                <w:lang w:bidi="ar"/>
              </w:rPr>
              <w:t>1</w:t>
            </w:r>
            <w:r>
              <w:rPr>
                <w:rFonts w:hint="eastAsia" w:ascii="宋体" w:hAnsi="宋体" w:cs="宋体"/>
                <w:color w:val="auto"/>
                <w:kern w:val="0"/>
                <w:szCs w:val="21"/>
                <w:highlight w:val="none"/>
                <w:lang w:val="en-US" w:eastAsia="zh-CN" w:bidi="ar"/>
              </w:rPr>
              <w:t>1</w:t>
            </w:r>
            <w:r>
              <w:rPr>
                <w:rFonts w:hint="eastAsia" w:ascii="宋体" w:hAnsi="宋体" w:cs="宋体"/>
                <w:color w:val="auto"/>
                <w:kern w:val="0"/>
                <w:szCs w:val="21"/>
                <w:highlight w:val="none"/>
                <w:lang w:bidi="ar"/>
              </w:rPr>
              <w:t>.互动课件与多媒体素材的云空间相互独立，互不干扰；教师可新建课件组或素材文件夹对教学资源进行个性化的分类与标记，便于管理；多媒体素材库内的素材可随时插入互动课件，互动课件内的多媒体素材可在课件内直接上传至多媒体素材存储空间，便于教师调用、采集教学素材。</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（二）备课模式设计</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1.教学软件具备图形自由创作工具，教师可自由绘制复杂的任意多边图形及曲边图形；教师自主创作的图形可存储至个人云空间便于后续使用。</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2.教学软件内置图片处理功能，无需借助专业图片处理软件即可对课件内的图片进行快速抠图，图片主体处理后边缘无明显毛边，且处理后的图片可直接上传至教师云空间供后续复用。</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3.教学软件兼容传统课件制作工具的组合快捷按键，支持如加粗（Ctrl+B）、文字居中（Ctrl+E）等教师熟悉的组合按键，鼠标悬停至功能按键时自动提示组合快捷键，内置组合快捷键数量不少于50个。</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4.支持对任意课件元素自定义路径动画，可自由绘制动画移动轨迹使课件元素沿轨迹路径进行移动。</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5.支持对音频、视频文件进行关键帧标记，可在音、视频进度条任意位置自由设置关键帧播放节点，便于快速定位讲解关键教学内容。</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6.全文快速搜索：支持在课件中通过快捷键（Ctrl+F）调用搜索控件，输入文本即可查找课件内文本框、形状、表格中对应的文本匹配项。</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（三）授课模式设计</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1.课堂互动游戏支持云储存，编辑完成的活动可一键存储至教师云空间，便于在不同课件中直接调用，无需反复编辑。</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2.判断题竞赛游戏：支持创建判断题竞赛游戏，教师可设置正确项／干扰项，让两组学生进行判断对错游戏竞争。提供简单、中等、困难难度及多种预设游戏背景模版，模版样式支持自定义修改。支持记录和展示学生作答结果，便于课堂知识点对比讲解。</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3.互动分类游戏：支持创建互动分类游戏，可自定义不同类别及相对应对象，将不同对象拖拽到对应类别容器中系统自动辨识分类，分类正误均有相应提示；竞争模式下可记录不同操作者的动作和用时并自动排名。类别和对象的样式、数量均支持自定义修改。系统需提供不少于9种游戏模板，直接选择并输入相应内容即可轻松生成互动分类游戏，提升课堂趣味性。</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4.智能选词填空：支持创建智能选词填空游戏，填空选项支持并列选项，并列选项支持答案互换，教师可随意编辑填空题题干以及相应的答案选项，将选项拖到对应题干空白处，系统自动判断答案正误，系统需提供不少于10种游戏模板，且模板样式支持自定义修改。</w:t>
            </w:r>
          </w:p>
          <w:p>
            <w:pPr>
              <w:widowControl/>
              <w:spacing w:line="440" w:lineRule="exac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5.智能配对游戏：支持创建配对游戏，教师可随意将知识点进行配对。当开始配对游戏时，拖动知识点进行配对，系统将自动判断是否正确。系统至少提供10种游戏模版，且模版样式支持自定义修改，同时支持设置干扰项。</w:t>
            </w:r>
          </w:p>
          <w:p>
            <w:pPr>
              <w:widowControl/>
              <w:spacing w:line="440" w:lineRule="exact"/>
              <w:textAlignment w:val="center"/>
              <w:rPr>
                <w:rFonts w:hint="eastAsia" w:ascii="宋体" w:hAnsi="宋体" w:eastAsia="宋体" w:cs="宋体"/>
                <w:color w:val="auto"/>
                <w:kern w:val="2"/>
                <w:sz w:val="21"/>
                <w:szCs w:val="21"/>
                <w:lang w:val="en-US" w:eastAsia="zh-CN" w:bidi="ar-SA"/>
              </w:rPr>
            </w:pPr>
            <w:r>
              <w:rPr>
                <w:rFonts w:hint="eastAsia" w:ascii="宋体" w:hAnsi="宋体" w:cs="宋体"/>
                <w:color w:val="auto"/>
                <w:kern w:val="0"/>
                <w:szCs w:val="21"/>
                <w:lang w:bidi="ar"/>
              </w:rPr>
              <w:t>6.分组竞争游戏：支持创建分组竞争游戏，教师可设置正确项／干扰项，让两组学生开展竞争游戏。提供不少于3种难度、10种游戏模版供选择，且模版样式支持自定义修改。支持记录和展示学生作答结果，便于课堂知识点对比讲解。</w:t>
            </w:r>
          </w:p>
        </w:tc>
        <w:tc>
          <w:tcPr>
            <w:tcW w:w="756" w:type="dxa"/>
            <w:vAlign w:val="center"/>
          </w:tcPr>
          <w:p>
            <w:pPr>
              <w:pStyle w:val="137"/>
              <w:spacing w:line="440" w:lineRule="exact"/>
              <w:ind w:firstLine="0" w:firstLineChars="0"/>
              <w:jc w:val="center"/>
              <w:rPr>
                <w:rFonts w:hint="eastAsia" w:hAnsi="宋体" w:cs="宋体"/>
                <w:color w:val="auto"/>
                <w:sz w:val="21"/>
                <w:szCs w:val="21"/>
              </w:rPr>
            </w:pPr>
            <w:r>
              <w:rPr>
                <w:rFonts w:hint="eastAsia" w:hAnsi="宋体" w:cs="宋体"/>
                <w:color w:val="auto"/>
                <w:sz w:val="21"/>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pStyle w:val="137"/>
              <w:spacing w:line="440" w:lineRule="exact"/>
              <w:ind w:firstLine="0" w:firstLineChars="0"/>
              <w:jc w:val="center"/>
              <w:rPr>
                <w:rFonts w:hint="eastAsia" w:hAnsi="宋体" w:cs="宋体"/>
                <w:color w:val="auto"/>
                <w:sz w:val="21"/>
                <w:szCs w:val="21"/>
              </w:rPr>
            </w:pPr>
            <w:r>
              <w:rPr>
                <w:rFonts w:hint="eastAsia" w:hAnsi="宋体" w:cs="宋体"/>
                <w:color w:val="auto"/>
                <w:sz w:val="21"/>
                <w:szCs w:val="21"/>
              </w:rPr>
              <w:t>2</w:t>
            </w:r>
          </w:p>
        </w:tc>
        <w:tc>
          <w:tcPr>
            <w:tcW w:w="797" w:type="dxa"/>
            <w:vAlign w:val="center"/>
          </w:tcPr>
          <w:p>
            <w:pPr>
              <w:pStyle w:val="137"/>
              <w:spacing w:line="440" w:lineRule="exact"/>
              <w:ind w:firstLine="0" w:firstLineChars="0"/>
              <w:jc w:val="center"/>
              <w:rPr>
                <w:rFonts w:hint="eastAsia" w:hAnsi="宋体" w:cs="宋体"/>
                <w:color w:val="auto"/>
                <w:sz w:val="21"/>
                <w:szCs w:val="21"/>
              </w:rPr>
            </w:pPr>
            <w:r>
              <w:rPr>
                <w:rFonts w:hint="eastAsia" w:hAnsi="宋体" w:cs="宋体"/>
                <w:color w:val="auto"/>
                <w:sz w:val="21"/>
                <w:szCs w:val="21"/>
                <w:lang w:bidi="ar"/>
              </w:rPr>
              <w:t>视频展台</w:t>
            </w:r>
          </w:p>
        </w:tc>
        <w:tc>
          <w:tcPr>
            <w:tcW w:w="448" w:type="dxa"/>
            <w:vAlign w:val="center"/>
          </w:tcPr>
          <w:p>
            <w:pPr>
              <w:pStyle w:val="137"/>
              <w:spacing w:line="440" w:lineRule="exact"/>
              <w:ind w:firstLine="0" w:firstLineChars="0"/>
              <w:jc w:val="center"/>
              <w:rPr>
                <w:rFonts w:hint="eastAsia" w:hAnsi="宋体" w:cs="宋体"/>
                <w:color w:val="auto"/>
                <w:sz w:val="21"/>
                <w:szCs w:val="21"/>
              </w:rPr>
            </w:pPr>
            <w:r>
              <w:rPr>
                <w:rFonts w:hint="eastAsia" w:hAnsi="宋体" w:cs="宋体"/>
                <w:color w:val="auto"/>
                <w:sz w:val="21"/>
                <w:szCs w:val="21"/>
              </w:rPr>
              <w:t>台</w:t>
            </w:r>
          </w:p>
        </w:tc>
        <w:tc>
          <w:tcPr>
            <w:tcW w:w="735" w:type="dxa"/>
            <w:vAlign w:val="center"/>
          </w:tcPr>
          <w:p>
            <w:pPr>
              <w:pStyle w:val="137"/>
              <w:spacing w:line="440" w:lineRule="exact"/>
              <w:ind w:firstLine="0" w:firstLineChars="0"/>
              <w:jc w:val="center"/>
              <w:rPr>
                <w:rFonts w:hint="default" w:hAnsi="宋体" w:eastAsia="宋体" w:cs="宋体"/>
                <w:color w:val="auto"/>
                <w:sz w:val="21"/>
                <w:szCs w:val="21"/>
                <w:lang w:val="en-US" w:eastAsia="zh-CN"/>
              </w:rPr>
            </w:pPr>
            <w:r>
              <w:rPr>
                <w:rFonts w:hint="eastAsia" w:hAnsi="宋体" w:cs="宋体"/>
                <w:color w:val="auto"/>
                <w:sz w:val="21"/>
                <w:szCs w:val="21"/>
                <w:lang w:val="en-US" w:eastAsia="zh-CN"/>
              </w:rPr>
              <w:t>43</w:t>
            </w:r>
          </w:p>
        </w:tc>
        <w:tc>
          <w:tcPr>
            <w:tcW w:w="6540" w:type="dxa"/>
            <w:vAlign w:val="center"/>
          </w:tcPr>
          <w:p>
            <w:pPr>
              <w:widowControl/>
              <w:spacing w:line="440" w:lineRule="exact"/>
              <w:jc w:val="lef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1.采用≥800万像素摄像头；采用 USB五伏电源直接供电，无需额外配置电源适配器，环保无辐射；箱内USB连线采用隐藏式设计，箱内无可见连线且USB口下出，有效防止积尘，且方便布线和返修。</w:t>
            </w:r>
          </w:p>
          <w:p>
            <w:pPr>
              <w:widowControl/>
              <w:spacing w:line="440" w:lineRule="exact"/>
              <w:jc w:val="lef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2.A4大小拍摄幅面，1080P动态视频预览达到30帧/秒；托板及挂墙部分采用金属加强，托板可承重3kg，整机壁挂式安装。</w:t>
            </w:r>
          </w:p>
          <w:p>
            <w:pPr>
              <w:widowControl/>
              <w:spacing w:line="440" w:lineRule="exact"/>
              <w:jc w:val="lef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3.支持展台成像画面实时批注，预设多种笔划粗细及颜色供选择，且支持对展台成像画面联同批注内容进行同步缩放、移动。</w:t>
            </w:r>
          </w:p>
          <w:p>
            <w:pPr>
              <w:widowControl/>
              <w:spacing w:line="440" w:lineRule="exact"/>
              <w:jc w:val="left"/>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4.展示托板正上方具备LED补光灯，保证展示区域的亮度及展示效果，补光灯开关采用触摸按键设计，同时可通过交互智能平板中的软件直接控制开关；带自动对焦摄像头。</w:t>
            </w:r>
          </w:p>
          <w:p>
            <w:pPr>
              <w:widowControl/>
              <w:spacing w:line="440" w:lineRule="exact"/>
              <w:jc w:val="left"/>
              <w:textAlignment w:val="center"/>
              <w:rPr>
                <w:rFonts w:hint="eastAsia" w:ascii="宋体" w:hAnsi="宋体" w:cs="宋体"/>
                <w:color w:val="auto"/>
                <w:szCs w:val="21"/>
              </w:rPr>
            </w:pPr>
            <w:r>
              <w:rPr>
                <w:rFonts w:hint="eastAsia" w:ascii="宋体" w:hAnsi="宋体" w:cs="宋体"/>
                <w:color w:val="auto"/>
                <w:kern w:val="0"/>
                <w:szCs w:val="21"/>
                <w:lang w:bidi="ar"/>
              </w:rPr>
              <w:t>5.具有故障自动检测功能：在调用展台却无法出现镜头采集画面信号时，可自动出现检测链接，并给出导致性原因（如硬件连接、摄像头占用、配套软件版本等问题）。</w:t>
            </w:r>
          </w:p>
        </w:tc>
        <w:tc>
          <w:tcPr>
            <w:tcW w:w="756" w:type="dxa"/>
            <w:vAlign w:val="center"/>
          </w:tcPr>
          <w:p>
            <w:pPr>
              <w:pStyle w:val="137"/>
              <w:spacing w:line="440" w:lineRule="exact"/>
              <w:ind w:firstLine="0" w:firstLineChars="0"/>
              <w:jc w:val="center"/>
              <w:rPr>
                <w:rFonts w:hint="eastAsia" w:hAnsi="宋体" w:cs="宋体"/>
                <w:color w:val="auto"/>
                <w:sz w:val="21"/>
                <w:szCs w:val="21"/>
              </w:rPr>
            </w:pPr>
            <w:r>
              <w:rPr>
                <w:rFonts w:hint="eastAsia" w:hAnsi="宋体" w:cs="宋体"/>
                <w:color w:val="auto"/>
                <w:sz w:val="21"/>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pStyle w:val="137"/>
              <w:spacing w:line="440" w:lineRule="exact"/>
              <w:ind w:firstLine="0" w:firstLineChars="0"/>
              <w:jc w:val="center"/>
              <w:rPr>
                <w:rFonts w:hint="eastAsia" w:hAnsi="宋体" w:eastAsia="宋体" w:cs="宋体"/>
                <w:color w:val="auto"/>
                <w:sz w:val="21"/>
                <w:szCs w:val="21"/>
                <w:lang w:val="en-US" w:eastAsia="zh-CN"/>
              </w:rPr>
            </w:pPr>
            <w:r>
              <w:rPr>
                <w:rFonts w:hint="eastAsia" w:hAnsi="宋体" w:cs="宋体"/>
                <w:color w:val="auto"/>
                <w:sz w:val="21"/>
                <w:szCs w:val="21"/>
                <w:lang w:val="en-US" w:eastAsia="zh-CN"/>
              </w:rPr>
              <w:t>3</w:t>
            </w:r>
          </w:p>
        </w:tc>
        <w:tc>
          <w:tcPr>
            <w:tcW w:w="797" w:type="dxa"/>
            <w:vAlign w:val="center"/>
          </w:tcPr>
          <w:p>
            <w:pPr>
              <w:pStyle w:val="137"/>
              <w:spacing w:line="440" w:lineRule="exact"/>
              <w:ind w:firstLine="0" w:firstLineChars="0"/>
              <w:jc w:val="center"/>
              <w:rPr>
                <w:rFonts w:hint="eastAsia" w:hAnsi="宋体" w:cs="宋体"/>
                <w:color w:val="auto"/>
                <w:sz w:val="21"/>
                <w:szCs w:val="21"/>
                <w:lang w:bidi="ar"/>
              </w:rPr>
            </w:pPr>
            <w:r>
              <w:rPr>
                <w:rFonts w:hint="eastAsia" w:hAnsi="宋体" w:cs="宋体"/>
                <w:color w:val="auto"/>
                <w:sz w:val="21"/>
                <w:szCs w:val="21"/>
                <w:lang w:val="en-US" w:eastAsia="zh-CN" w:bidi="ar"/>
              </w:rPr>
              <w:t>讲台</w:t>
            </w:r>
          </w:p>
        </w:tc>
        <w:tc>
          <w:tcPr>
            <w:tcW w:w="448" w:type="dxa"/>
            <w:vAlign w:val="center"/>
          </w:tcPr>
          <w:p>
            <w:pPr>
              <w:pStyle w:val="137"/>
              <w:spacing w:line="440" w:lineRule="exact"/>
              <w:ind w:firstLine="0" w:firstLineChars="0"/>
              <w:jc w:val="center"/>
              <w:rPr>
                <w:rFonts w:hint="default" w:hAnsi="宋体" w:eastAsia="宋体" w:cs="宋体"/>
                <w:color w:val="auto"/>
                <w:sz w:val="21"/>
                <w:szCs w:val="21"/>
                <w:lang w:val="en-US" w:eastAsia="zh-CN"/>
              </w:rPr>
            </w:pPr>
            <w:r>
              <w:rPr>
                <w:rFonts w:hint="eastAsia" w:hAnsi="宋体" w:cs="宋体"/>
                <w:color w:val="auto"/>
                <w:sz w:val="21"/>
                <w:szCs w:val="21"/>
                <w:lang w:val="en-US" w:eastAsia="zh-CN"/>
              </w:rPr>
              <w:t>张</w:t>
            </w:r>
          </w:p>
        </w:tc>
        <w:tc>
          <w:tcPr>
            <w:tcW w:w="735" w:type="dxa"/>
            <w:vAlign w:val="center"/>
          </w:tcPr>
          <w:p>
            <w:pPr>
              <w:pStyle w:val="137"/>
              <w:spacing w:line="440" w:lineRule="exact"/>
              <w:ind w:firstLine="0" w:firstLineChars="0"/>
              <w:jc w:val="center"/>
              <w:rPr>
                <w:rFonts w:hint="eastAsia" w:hAnsi="宋体" w:cs="宋体"/>
                <w:color w:val="auto"/>
                <w:sz w:val="21"/>
                <w:szCs w:val="21"/>
                <w:lang w:val="en-US" w:eastAsia="zh-CN"/>
              </w:rPr>
            </w:pPr>
            <w:r>
              <w:rPr>
                <w:rFonts w:hint="eastAsia" w:hAnsi="宋体" w:cs="宋体"/>
                <w:color w:val="auto"/>
                <w:sz w:val="21"/>
                <w:szCs w:val="21"/>
                <w:lang w:val="en-US" w:eastAsia="zh-CN"/>
              </w:rPr>
              <w:t>43</w:t>
            </w:r>
          </w:p>
        </w:tc>
        <w:tc>
          <w:tcPr>
            <w:tcW w:w="6540" w:type="dxa"/>
            <w:vAlign w:val="center"/>
          </w:tcPr>
          <w:p>
            <w:pPr>
              <w:widowControl/>
              <w:spacing w:line="440" w:lineRule="exact"/>
              <w:jc w:val="left"/>
              <w:textAlignment w:val="center"/>
              <w:rPr>
                <w:rFonts w:hint="eastAsia" w:ascii="宋体" w:hAnsi="宋体" w:cs="宋体"/>
                <w:color w:val="auto"/>
                <w:kern w:val="0"/>
                <w:szCs w:val="21"/>
                <w:lang w:val="en-US" w:eastAsia="zh-CN" w:bidi="ar"/>
              </w:rPr>
            </w:pPr>
            <w:r>
              <w:rPr>
                <w:rFonts w:hint="eastAsia" w:ascii="宋体" w:hAnsi="宋体" w:cs="宋体"/>
                <w:color w:val="auto"/>
                <w:kern w:val="0"/>
                <w:szCs w:val="21"/>
                <w:lang w:val="en-US" w:eastAsia="zh-CN" w:bidi="ar"/>
              </w:rPr>
              <w:t>一、讲桌的尺寸： 900mm×500mm×900mm（长×宽×高）。</w:t>
            </w:r>
          </w:p>
          <w:p>
            <w:pPr>
              <w:widowControl/>
              <w:spacing w:line="440" w:lineRule="exact"/>
              <w:jc w:val="left"/>
              <w:textAlignment w:val="center"/>
              <w:rPr>
                <w:rFonts w:hint="eastAsia" w:ascii="宋体" w:hAnsi="宋体" w:cs="宋体"/>
                <w:color w:val="auto"/>
                <w:kern w:val="0"/>
                <w:szCs w:val="21"/>
                <w:lang w:val="en-US" w:eastAsia="zh-CN" w:bidi="ar"/>
              </w:rPr>
            </w:pPr>
            <w:r>
              <w:rPr>
                <w:rFonts w:hint="eastAsia" w:ascii="宋体" w:hAnsi="宋体" w:cs="宋体"/>
                <w:color w:val="auto"/>
                <w:kern w:val="0"/>
                <w:szCs w:val="21"/>
                <w:lang w:val="en-US" w:eastAsia="zh-CN" w:bidi="ar"/>
              </w:rPr>
              <w:t>二、讲桌的材料和木工要求</w:t>
            </w:r>
          </w:p>
          <w:p>
            <w:pPr>
              <w:widowControl/>
              <w:spacing w:line="440" w:lineRule="exact"/>
              <w:jc w:val="left"/>
              <w:textAlignment w:val="center"/>
              <w:rPr>
                <w:rFonts w:hint="eastAsia" w:ascii="宋体" w:hAnsi="宋体" w:cs="宋体"/>
                <w:color w:val="auto"/>
                <w:kern w:val="0"/>
                <w:szCs w:val="21"/>
                <w:highlight w:val="none"/>
                <w:lang w:val="en-US" w:eastAsia="zh-CN" w:bidi="ar"/>
              </w:rPr>
            </w:pPr>
            <w:r>
              <w:rPr>
                <w:rFonts w:hint="eastAsia" w:ascii="宋体" w:hAnsi="宋体" w:cs="宋体"/>
                <w:color w:val="auto"/>
                <w:kern w:val="0"/>
                <w:szCs w:val="21"/>
                <w:highlight w:val="none"/>
                <w:lang w:val="en-US" w:eastAsia="zh-CN" w:bidi="ar"/>
              </w:rPr>
              <w:t>★（一）讲桌主体材料采用公称厚度不小于18mm、质量等级为国家标准GB/T 5849-2006《细木工板》一等品、甲醛释放量不大于E1级的室内用实心细木工板。讲桌外表面加压红樱桃装饰贴面胶合板。讲桌的圆弧面采用多层胶合板（含装饰贴面胶合板）加工而成，成品公称厚度不小于13mm。实木封边，所用实木边要与饰面板色一致。</w:t>
            </w:r>
          </w:p>
          <w:p>
            <w:pPr>
              <w:widowControl/>
              <w:spacing w:line="440" w:lineRule="exact"/>
              <w:jc w:val="left"/>
              <w:textAlignment w:val="center"/>
              <w:rPr>
                <w:rFonts w:hint="eastAsia" w:ascii="宋体" w:hAnsi="宋体" w:cs="宋体"/>
                <w:color w:val="auto"/>
                <w:kern w:val="0"/>
                <w:szCs w:val="21"/>
                <w:highlight w:val="none"/>
                <w:lang w:val="en-US" w:eastAsia="zh-CN" w:bidi="ar"/>
              </w:rPr>
            </w:pPr>
            <w:r>
              <w:rPr>
                <w:rFonts w:hint="eastAsia" w:ascii="宋体" w:hAnsi="宋体" w:cs="宋体"/>
                <w:color w:val="auto"/>
                <w:kern w:val="0"/>
                <w:szCs w:val="21"/>
                <w:highlight w:val="none"/>
                <w:lang w:val="en-US" w:eastAsia="zh-CN" w:bidi="ar"/>
              </w:rPr>
              <w:t>（二）讲桌使用的主要人造板物理力学性能和人造板含水率按照国家标准GB/T 3324-2008《木家具通用技术条件》的规定执行。</w:t>
            </w:r>
          </w:p>
          <w:p>
            <w:pPr>
              <w:widowControl/>
              <w:spacing w:line="440" w:lineRule="exact"/>
              <w:jc w:val="left"/>
              <w:textAlignment w:val="center"/>
              <w:rPr>
                <w:rFonts w:hint="eastAsia" w:ascii="宋体" w:hAnsi="宋体" w:cs="宋体"/>
                <w:color w:val="auto"/>
                <w:kern w:val="0"/>
                <w:szCs w:val="21"/>
                <w:highlight w:val="none"/>
                <w:lang w:val="en-US" w:eastAsia="zh-CN" w:bidi="ar"/>
              </w:rPr>
            </w:pPr>
            <w:r>
              <w:rPr>
                <w:rFonts w:hint="eastAsia" w:ascii="宋体" w:hAnsi="宋体" w:cs="宋体"/>
                <w:color w:val="auto"/>
                <w:kern w:val="0"/>
                <w:szCs w:val="21"/>
                <w:highlight w:val="none"/>
                <w:lang w:val="en-US" w:eastAsia="zh-CN" w:bidi="ar"/>
              </w:rPr>
              <w:t>胶合板质量应符合国家标准GB/T 9846.3-2004《胶合板 第3部分 普通胶合板通用技术条件》和GB/T 9846.4-2004《胶合板 第4部分 普通胶合板外观分等技术条件》相应的规定要求，甲醛释放量不大于E1级的规定，胶合板的胶合强度指标值应不小于0.70兆帕。胶合板外表面（装饰层）胶合强度指标值应不小于0.40兆帕。</w:t>
            </w:r>
          </w:p>
          <w:p>
            <w:pPr>
              <w:widowControl/>
              <w:spacing w:line="440" w:lineRule="exact"/>
              <w:jc w:val="left"/>
              <w:textAlignment w:val="center"/>
              <w:rPr>
                <w:rFonts w:hint="eastAsia" w:ascii="宋体" w:hAnsi="宋体" w:cs="宋体"/>
                <w:color w:val="auto"/>
                <w:kern w:val="0"/>
                <w:szCs w:val="21"/>
                <w:highlight w:val="none"/>
                <w:lang w:val="en-US" w:eastAsia="zh-CN" w:bidi="ar"/>
              </w:rPr>
            </w:pPr>
            <w:r>
              <w:rPr>
                <w:rFonts w:hint="eastAsia" w:ascii="宋体" w:hAnsi="宋体" w:cs="宋体"/>
                <w:color w:val="auto"/>
                <w:kern w:val="0"/>
                <w:szCs w:val="21"/>
                <w:highlight w:val="none"/>
                <w:lang w:val="en-US" w:eastAsia="zh-CN" w:bidi="ar"/>
              </w:rPr>
              <w:t>讲桌不允许使用有边角缺陷（边角含树皮或缺少一部分木材）、虫蛀、腐朽、霉变、开裂等会影响产品结构强度和外观的材料。</w:t>
            </w:r>
          </w:p>
          <w:p>
            <w:pPr>
              <w:widowControl/>
              <w:spacing w:line="440" w:lineRule="exact"/>
              <w:jc w:val="left"/>
              <w:textAlignment w:val="center"/>
              <w:rPr>
                <w:rFonts w:hint="eastAsia" w:ascii="宋体" w:hAnsi="宋体" w:cs="宋体"/>
                <w:color w:val="auto"/>
                <w:kern w:val="0"/>
                <w:szCs w:val="21"/>
                <w:lang w:val="en-US" w:eastAsia="zh-CN" w:bidi="ar"/>
              </w:rPr>
            </w:pPr>
            <w:r>
              <w:rPr>
                <w:rFonts w:hint="eastAsia" w:ascii="宋体" w:hAnsi="宋体" w:cs="宋体"/>
                <w:color w:val="auto"/>
                <w:kern w:val="0"/>
                <w:szCs w:val="21"/>
                <w:lang w:val="en-US" w:eastAsia="zh-CN" w:bidi="ar"/>
              </w:rPr>
              <w:t>（三）组合部位要求用公称长度不小于50mm的钢钉，钉合后钉子两端均不许外露。接口部位涂上拼板胶。安装时上金属角码，以增强讲桌的牢固性。结合处不允许开裂或松动。</w:t>
            </w:r>
          </w:p>
          <w:p>
            <w:pPr>
              <w:widowControl/>
              <w:spacing w:line="440" w:lineRule="exact"/>
              <w:jc w:val="left"/>
              <w:textAlignment w:val="center"/>
              <w:rPr>
                <w:rFonts w:hint="eastAsia" w:ascii="宋体" w:hAnsi="宋体" w:cs="宋体"/>
                <w:color w:val="auto"/>
                <w:kern w:val="0"/>
                <w:szCs w:val="21"/>
                <w:lang w:val="en-US" w:eastAsia="zh-CN" w:bidi="ar"/>
              </w:rPr>
            </w:pPr>
            <w:r>
              <w:rPr>
                <w:rFonts w:hint="eastAsia" w:ascii="宋体" w:hAnsi="宋体" w:cs="宋体"/>
                <w:color w:val="auto"/>
                <w:kern w:val="0"/>
                <w:szCs w:val="21"/>
                <w:lang w:val="en-US" w:eastAsia="zh-CN" w:bidi="ar"/>
              </w:rPr>
              <w:t>（四）讲桌表面涂饰部位的表面粗糙度（其参数及数值要求详见GB／T 3324-2008《木家具通用技术条件》。下同）为精光；内部不涂饰部位的表面粗糙度为细光；隐蔽处的表面粗糙度为粗光。讲桌外露边棱和凸出部分应倒角，不得有尖锐的棱角、毛刺。</w:t>
            </w:r>
          </w:p>
          <w:p>
            <w:pPr>
              <w:widowControl/>
              <w:spacing w:line="440" w:lineRule="exact"/>
              <w:jc w:val="left"/>
              <w:textAlignment w:val="center"/>
              <w:rPr>
                <w:rFonts w:hint="eastAsia" w:ascii="宋体" w:hAnsi="宋体" w:cs="宋体"/>
                <w:color w:val="auto"/>
                <w:kern w:val="0"/>
                <w:szCs w:val="21"/>
                <w:lang w:val="en-US" w:eastAsia="zh-CN" w:bidi="ar"/>
              </w:rPr>
            </w:pPr>
            <w:r>
              <w:rPr>
                <w:rFonts w:hint="eastAsia" w:ascii="宋体" w:hAnsi="宋体" w:cs="宋体"/>
                <w:color w:val="auto"/>
                <w:kern w:val="0"/>
                <w:szCs w:val="21"/>
                <w:lang w:val="en-US" w:eastAsia="zh-CN" w:bidi="ar"/>
              </w:rPr>
              <w:t>三、讲桌的涂饰要求</w:t>
            </w:r>
          </w:p>
          <w:p>
            <w:pPr>
              <w:widowControl/>
              <w:spacing w:line="440" w:lineRule="exact"/>
              <w:jc w:val="left"/>
              <w:textAlignment w:val="center"/>
              <w:rPr>
                <w:rFonts w:hint="eastAsia" w:ascii="宋体" w:hAnsi="宋体" w:cs="宋体"/>
                <w:color w:val="auto"/>
                <w:kern w:val="0"/>
                <w:szCs w:val="21"/>
                <w:lang w:val="en-US" w:eastAsia="zh-CN" w:bidi="ar"/>
              </w:rPr>
            </w:pPr>
            <w:r>
              <w:rPr>
                <w:rFonts w:hint="eastAsia" w:ascii="宋体" w:hAnsi="宋体" w:cs="宋体"/>
                <w:color w:val="auto"/>
                <w:kern w:val="0"/>
                <w:szCs w:val="21"/>
                <w:lang w:val="en-US" w:eastAsia="zh-CN" w:bidi="ar"/>
              </w:rPr>
              <w:t>（一）讲桌的漆膜外观应符合国家标准GB/T 3324-2008《木家具通用技术条件》的规定。</w:t>
            </w:r>
          </w:p>
          <w:p>
            <w:pPr>
              <w:widowControl/>
              <w:spacing w:line="440" w:lineRule="exact"/>
              <w:jc w:val="left"/>
              <w:textAlignment w:val="center"/>
              <w:rPr>
                <w:rFonts w:hint="eastAsia" w:ascii="宋体" w:hAnsi="宋体" w:cs="宋体"/>
                <w:color w:val="auto"/>
                <w:kern w:val="0"/>
                <w:szCs w:val="21"/>
                <w:lang w:val="en-US" w:eastAsia="zh-CN" w:bidi="ar"/>
              </w:rPr>
            </w:pPr>
            <w:r>
              <w:rPr>
                <w:rFonts w:hint="eastAsia" w:ascii="宋体" w:hAnsi="宋体" w:cs="宋体"/>
                <w:color w:val="auto"/>
                <w:kern w:val="0"/>
                <w:szCs w:val="21"/>
                <w:lang w:val="en-US" w:eastAsia="zh-CN" w:bidi="ar"/>
              </w:rPr>
              <w:t>（二）讲桌涂饰部位：讲桌外表面、内表面（包括桌斗内）的所有部位均应涂饰。</w:t>
            </w:r>
          </w:p>
          <w:p>
            <w:pPr>
              <w:widowControl/>
              <w:spacing w:line="440" w:lineRule="exact"/>
              <w:jc w:val="left"/>
              <w:textAlignment w:val="center"/>
              <w:rPr>
                <w:rFonts w:hint="eastAsia" w:ascii="宋体" w:hAnsi="宋体" w:cs="宋体"/>
                <w:color w:val="auto"/>
                <w:kern w:val="0"/>
                <w:szCs w:val="21"/>
                <w:lang w:val="en-US" w:eastAsia="zh-CN" w:bidi="ar"/>
              </w:rPr>
            </w:pPr>
            <w:r>
              <w:rPr>
                <w:rFonts w:hint="eastAsia" w:ascii="宋体" w:hAnsi="宋体" w:cs="宋体"/>
                <w:color w:val="auto"/>
                <w:kern w:val="0"/>
                <w:szCs w:val="21"/>
                <w:lang w:val="en-US" w:eastAsia="zh-CN" w:bidi="ar"/>
              </w:rPr>
              <w:t>（三）讲桌涂饰颜色要求：讲桌外表面的底漆颜色为浅桔黄色或浅橙黄色、浅琥珀色，漆膜色调均匀；面漆用符合环保和安全卫生要求的聚氨酯清漆。讲桌内表面涂饰清漆。</w:t>
            </w:r>
          </w:p>
          <w:p>
            <w:pPr>
              <w:widowControl/>
              <w:spacing w:line="440" w:lineRule="exact"/>
              <w:jc w:val="left"/>
              <w:textAlignment w:val="center"/>
              <w:rPr>
                <w:rFonts w:hint="eastAsia" w:ascii="宋体" w:hAnsi="宋体" w:cs="宋体"/>
                <w:color w:val="auto"/>
                <w:kern w:val="0"/>
                <w:szCs w:val="21"/>
                <w:lang w:val="en-US" w:eastAsia="zh-CN" w:bidi="ar"/>
              </w:rPr>
            </w:pPr>
            <w:r>
              <w:rPr>
                <w:rFonts w:hint="eastAsia" w:ascii="宋体" w:hAnsi="宋体" w:cs="宋体"/>
                <w:color w:val="auto"/>
                <w:kern w:val="0"/>
                <w:szCs w:val="21"/>
                <w:lang w:val="en-US" w:eastAsia="zh-CN" w:bidi="ar"/>
              </w:rPr>
              <w:t>（四）讲桌涂层应平整光滑、清晰，不应有皱皮、发粘和漏漆现象；无明显粒子、涨边和褪色、掉色现象；应无明显加工痕迹、划痕、雾光、白棱、白点、鼓泡、油白、流挂、缩孔、刷毛、积粉、杂渣、漏嵌腻子等外观缺陷。每批产品无明显色差。</w:t>
            </w:r>
          </w:p>
        </w:tc>
        <w:tc>
          <w:tcPr>
            <w:tcW w:w="756" w:type="dxa"/>
            <w:vAlign w:val="center"/>
          </w:tcPr>
          <w:p>
            <w:pPr>
              <w:pStyle w:val="137"/>
              <w:spacing w:line="440" w:lineRule="exact"/>
              <w:ind w:firstLine="0" w:firstLineChars="0"/>
              <w:jc w:val="center"/>
              <w:rPr>
                <w:rFonts w:hint="default" w:hAnsi="宋体" w:eastAsia="宋体" w:cs="宋体"/>
                <w:color w:val="auto"/>
                <w:sz w:val="21"/>
                <w:szCs w:val="21"/>
                <w:lang w:val="en-US" w:eastAsia="zh-CN"/>
              </w:rPr>
            </w:pPr>
            <w:r>
              <w:rPr>
                <w:rFonts w:hint="eastAsia" w:hAnsi="宋体" w:cs="宋体"/>
                <w:color w:val="auto"/>
                <w:sz w:val="21"/>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pStyle w:val="137"/>
              <w:spacing w:line="440" w:lineRule="exact"/>
              <w:ind w:firstLine="0" w:firstLineChars="0"/>
              <w:jc w:val="center"/>
              <w:rPr>
                <w:rFonts w:hint="eastAsia" w:hAnsi="宋体" w:eastAsia="宋体" w:cs="宋体"/>
                <w:color w:val="auto"/>
                <w:sz w:val="21"/>
                <w:szCs w:val="21"/>
                <w:lang w:val="en-US" w:eastAsia="zh-CN"/>
              </w:rPr>
            </w:pPr>
            <w:r>
              <w:rPr>
                <w:rFonts w:hint="eastAsia" w:hAnsi="宋体" w:cs="宋体"/>
                <w:color w:val="auto"/>
                <w:sz w:val="21"/>
                <w:szCs w:val="21"/>
                <w:lang w:val="en-US" w:eastAsia="zh-CN"/>
              </w:rPr>
              <w:t>4</w:t>
            </w:r>
          </w:p>
        </w:tc>
        <w:tc>
          <w:tcPr>
            <w:tcW w:w="797" w:type="dxa"/>
            <w:vAlign w:val="center"/>
          </w:tcPr>
          <w:p>
            <w:pPr>
              <w:pStyle w:val="137"/>
              <w:spacing w:line="440" w:lineRule="exact"/>
              <w:ind w:firstLine="0" w:firstLineChars="0"/>
              <w:jc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1"/>
                <w:szCs w:val="21"/>
                <w:u w:val="none"/>
                <w:lang w:val="en-US" w:eastAsia="zh-CN" w:bidi="ar"/>
              </w:rPr>
              <w:t>系统集成</w:t>
            </w:r>
          </w:p>
        </w:tc>
        <w:tc>
          <w:tcPr>
            <w:tcW w:w="448" w:type="dxa"/>
            <w:vAlign w:val="center"/>
          </w:tcPr>
          <w:p>
            <w:pPr>
              <w:autoSpaceDN w:val="0"/>
              <w:ind w:left="210" w:leftChars="0" w:hanging="210" w:hangingChars="10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项</w:t>
            </w:r>
          </w:p>
        </w:tc>
        <w:tc>
          <w:tcPr>
            <w:tcW w:w="735" w:type="dxa"/>
            <w:vAlign w:val="center"/>
          </w:tcPr>
          <w:p>
            <w:pPr>
              <w:autoSpaceDN w:val="0"/>
              <w:ind w:left="210" w:leftChars="0" w:hanging="210" w:hangingChars="10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43</w:t>
            </w:r>
          </w:p>
        </w:tc>
        <w:tc>
          <w:tcPr>
            <w:tcW w:w="6540" w:type="dxa"/>
            <w:vAlign w:val="center"/>
          </w:tcPr>
          <w:p>
            <w:pPr>
              <w:widowControl/>
              <w:spacing w:line="440" w:lineRule="exact"/>
              <w:jc w:val="left"/>
              <w:textAlignment w:val="center"/>
              <w:rPr>
                <w:rFonts w:hint="eastAsia" w:ascii="宋体" w:hAnsi="宋体" w:cs="宋体"/>
                <w:color w:val="auto"/>
                <w:kern w:val="0"/>
                <w:szCs w:val="21"/>
                <w:lang w:val="en-US" w:eastAsia="zh-CN" w:bidi="ar"/>
              </w:rPr>
            </w:pPr>
            <w:r>
              <w:rPr>
                <w:rFonts w:hint="eastAsia" w:ascii="宋体" w:hAnsi="宋体" w:cs="宋体"/>
                <w:color w:val="auto"/>
                <w:kern w:val="0"/>
                <w:szCs w:val="21"/>
                <w:lang w:val="en-US" w:eastAsia="zh-CN" w:bidi="ar"/>
              </w:rPr>
              <w:t>含网线、音视频线、电源线、线盒、钉子、胶布等满足本项目需求的线材及辅材。</w:t>
            </w:r>
          </w:p>
          <w:p>
            <w:pPr>
              <w:widowControl/>
              <w:spacing w:line="440" w:lineRule="exact"/>
              <w:jc w:val="left"/>
              <w:textAlignment w:val="center"/>
              <w:rPr>
                <w:rFonts w:hint="eastAsia" w:ascii="宋体" w:hAnsi="宋体" w:cs="宋体"/>
                <w:color w:val="auto"/>
                <w:kern w:val="0"/>
                <w:szCs w:val="21"/>
                <w:lang w:val="en-US" w:eastAsia="zh-CN" w:bidi="ar"/>
              </w:rPr>
            </w:pPr>
            <w:r>
              <w:rPr>
                <w:rFonts w:hint="eastAsia" w:ascii="宋体" w:hAnsi="宋体" w:cs="宋体"/>
                <w:color w:val="auto"/>
                <w:kern w:val="0"/>
                <w:szCs w:val="21"/>
                <w:lang w:val="en-US" w:eastAsia="zh-CN" w:bidi="ar"/>
              </w:rPr>
              <w:t>1.系统集成所需材料要求符合国标标准；</w:t>
            </w:r>
          </w:p>
          <w:p>
            <w:pPr>
              <w:widowControl/>
              <w:spacing w:line="440" w:lineRule="exact"/>
              <w:jc w:val="left"/>
              <w:textAlignment w:val="center"/>
              <w:rPr>
                <w:rFonts w:hint="eastAsia" w:ascii="宋体" w:hAnsi="宋体" w:cs="宋体"/>
                <w:color w:val="auto"/>
                <w:kern w:val="0"/>
                <w:szCs w:val="21"/>
                <w:lang w:val="en-US" w:eastAsia="zh-CN" w:bidi="ar"/>
              </w:rPr>
            </w:pPr>
            <w:r>
              <w:rPr>
                <w:rFonts w:hint="eastAsia" w:ascii="宋体" w:hAnsi="宋体" w:cs="宋体"/>
                <w:color w:val="auto"/>
                <w:kern w:val="0"/>
                <w:szCs w:val="21"/>
                <w:lang w:val="en-US" w:eastAsia="zh-CN" w:bidi="ar"/>
              </w:rPr>
              <w:t>2.要求所有布线均入线盒，不能裸露在外；</w:t>
            </w:r>
          </w:p>
          <w:p>
            <w:pPr>
              <w:widowControl/>
              <w:spacing w:line="440" w:lineRule="exact"/>
              <w:jc w:val="left"/>
              <w:textAlignment w:val="center"/>
              <w:rPr>
                <w:rFonts w:hint="eastAsia" w:ascii="宋体" w:hAnsi="宋体" w:cs="宋体"/>
                <w:color w:val="auto"/>
                <w:kern w:val="0"/>
                <w:szCs w:val="21"/>
                <w:lang w:val="en-US" w:eastAsia="zh-CN" w:bidi="ar"/>
              </w:rPr>
            </w:pPr>
            <w:r>
              <w:rPr>
                <w:rFonts w:hint="eastAsia" w:ascii="宋体" w:hAnsi="宋体" w:cs="宋体"/>
                <w:color w:val="auto"/>
                <w:kern w:val="0"/>
                <w:szCs w:val="21"/>
                <w:lang w:val="en-US" w:eastAsia="zh-CN" w:bidi="ar"/>
              </w:rPr>
              <w:t>3.布线规范，横平竖直。</w:t>
            </w:r>
          </w:p>
          <w:p>
            <w:pPr>
              <w:widowControl/>
              <w:spacing w:line="440" w:lineRule="exact"/>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cs="宋体"/>
                <w:color w:val="auto"/>
                <w:kern w:val="0"/>
                <w:szCs w:val="21"/>
                <w:lang w:val="en-US" w:eastAsia="zh-CN" w:bidi="ar"/>
              </w:rPr>
              <w:t>4.设备安装、调试、运维、培训等服务。</w:t>
            </w:r>
          </w:p>
        </w:tc>
        <w:tc>
          <w:tcPr>
            <w:tcW w:w="756" w:type="dxa"/>
            <w:vAlign w:val="center"/>
          </w:tcPr>
          <w:p>
            <w:pPr>
              <w:pStyle w:val="137"/>
              <w:spacing w:line="440" w:lineRule="exact"/>
              <w:ind w:firstLine="0" w:firstLineChars="0"/>
              <w:jc w:val="center"/>
              <w:rPr>
                <w:rFonts w:hint="default" w:hAnsi="宋体" w:cs="宋体"/>
                <w:color w:val="auto"/>
                <w:sz w:val="21"/>
                <w:szCs w:val="21"/>
                <w:lang w:val="en-US" w:eastAsia="zh-CN" w:bidi="ar"/>
              </w:rPr>
            </w:pPr>
            <w:r>
              <w:rPr>
                <w:rFonts w:hint="eastAsia" w:hAnsi="宋体" w:cs="宋体"/>
                <w:color w:val="auto"/>
                <w:sz w:val="21"/>
                <w:szCs w:val="21"/>
                <w:lang w:val="en-US" w:eastAsia="zh-CN" w:bidi="ar"/>
              </w:rPr>
              <w:t>信息技术服务业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17" w:type="dxa"/>
            <w:gridSpan w:val="6"/>
            <w:vAlign w:val="center"/>
          </w:tcPr>
          <w:p>
            <w:pPr>
              <w:pStyle w:val="137"/>
              <w:spacing w:line="440" w:lineRule="exact"/>
              <w:ind w:firstLine="0" w:firstLineChars="0"/>
              <w:jc w:val="center"/>
              <w:rPr>
                <w:rFonts w:hint="eastAsia" w:hAnsi="宋体" w:cs="宋体"/>
                <w:color w:val="auto"/>
                <w:sz w:val="21"/>
                <w:szCs w:val="21"/>
              </w:rPr>
            </w:pPr>
            <w:r>
              <w:rPr>
                <w:rFonts w:hint="eastAsia" w:hAnsi="宋体" w:cs="宋体"/>
                <w:b/>
                <w:color w:val="auto"/>
                <w:sz w:val="21"/>
                <w:szCs w:val="21"/>
              </w:rPr>
              <w:t>（二）计算机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pStyle w:val="137"/>
              <w:spacing w:line="440" w:lineRule="exact"/>
              <w:ind w:firstLine="0" w:firstLineChars="0"/>
              <w:jc w:val="center"/>
              <w:rPr>
                <w:rFonts w:hint="default" w:hAnsi="宋体" w:cs="宋体"/>
                <w:color w:val="auto"/>
                <w:sz w:val="21"/>
                <w:szCs w:val="21"/>
                <w:lang w:val="en-US" w:eastAsia="zh-CN"/>
              </w:rPr>
            </w:pPr>
            <w:r>
              <w:rPr>
                <w:rFonts w:hint="eastAsia" w:hAnsi="宋体" w:cs="宋体"/>
                <w:color w:val="auto"/>
                <w:sz w:val="21"/>
                <w:szCs w:val="21"/>
                <w:lang w:val="en-US" w:eastAsia="zh-CN"/>
              </w:rPr>
              <w:t>1</w:t>
            </w:r>
          </w:p>
        </w:tc>
        <w:tc>
          <w:tcPr>
            <w:tcW w:w="797" w:type="dxa"/>
            <w:vAlign w:val="center"/>
          </w:tcPr>
          <w:p>
            <w:pPr>
              <w:autoSpaceDN w:val="0"/>
              <w:ind w:left="210" w:leftChars="0" w:hanging="210" w:hangingChars="10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台式</w:t>
            </w:r>
          </w:p>
          <w:p>
            <w:pPr>
              <w:autoSpaceDN w:val="0"/>
              <w:ind w:left="210" w:leftChars="0" w:hanging="210" w:hangingChars="10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计算</w:t>
            </w:r>
          </w:p>
          <w:p>
            <w:pPr>
              <w:pStyle w:val="137"/>
              <w:spacing w:line="440" w:lineRule="exact"/>
              <w:ind w:firstLine="0" w:firstLineChars="0"/>
              <w:jc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机</w:t>
            </w:r>
          </w:p>
        </w:tc>
        <w:tc>
          <w:tcPr>
            <w:tcW w:w="448" w:type="dxa"/>
            <w:vAlign w:val="center"/>
          </w:tcPr>
          <w:p>
            <w:pPr>
              <w:autoSpaceDN w:val="0"/>
              <w:ind w:left="210" w:leftChars="0" w:hanging="210" w:hangingChars="10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台</w:t>
            </w:r>
          </w:p>
        </w:tc>
        <w:tc>
          <w:tcPr>
            <w:tcW w:w="735" w:type="dxa"/>
            <w:vAlign w:val="center"/>
          </w:tcPr>
          <w:p>
            <w:pPr>
              <w:autoSpaceDN w:val="0"/>
              <w:ind w:left="210" w:leftChars="0" w:hanging="210" w:hangingChars="10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40</w:t>
            </w:r>
          </w:p>
        </w:tc>
        <w:tc>
          <w:tcPr>
            <w:tcW w:w="6540" w:type="dxa"/>
            <w:vAlign w:val="center"/>
          </w:tcPr>
          <w:p>
            <w:pPr>
              <w:widowControl/>
              <w:spacing w:line="440" w:lineRule="exact"/>
              <w:ind w:firstLine="420" w:firstLineChars="200"/>
              <w:jc w:val="left"/>
              <w:textAlignment w:val="center"/>
              <w:rPr>
                <w:rFonts w:hint="eastAsia"/>
                <w:color w:val="auto"/>
                <w:lang w:val="en-US" w:eastAsia="zh-CN"/>
              </w:rPr>
            </w:pPr>
            <w:r>
              <w:rPr>
                <w:rFonts w:hint="eastAsia" w:ascii="Times New Roman" w:hAnsi="Times New Roman" w:eastAsia="宋体" w:cs="Times New Roman"/>
                <w:color w:val="auto"/>
                <w:kern w:val="2"/>
                <w:sz w:val="21"/>
                <w:szCs w:val="24"/>
                <w:lang w:val="en-US" w:eastAsia="zh-CN" w:bidi="ar-SA"/>
              </w:rPr>
              <w:t>根据深化安全可靠应用政府采购相关政策要求，本项产品的CPU、操作系统必须符合安全可靠测评要求，否则响应无效</w:t>
            </w:r>
            <w:r>
              <w:rPr>
                <w:rFonts w:hint="eastAsia" w:cs="Times New Roman"/>
                <w:color w:val="auto"/>
                <w:kern w:val="2"/>
                <w:sz w:val="21"/>
                <w:szCs w:val="24"/>
                <w:lang w:val="en-US" w:eastAsia="zh-CN" w:bidi="ar-SA"/>
              </w:rPr>
              <w:t>。</w:t>
            </w:r>
          </w:p>
          <w:p>
            <w:pPr>
              <w:widowControl/>
              <w:spacing w:line="440" w:lineRule="exact"/>
              <w:jc w:val="left"/>
              <w:textAlignment w:val="center"/>
              <w:rPr>
                <w:rFonts w:hint="eastAsia"/>
                <w:color w:val="auto"/>
                <w:lang w:val="en-US" w:eastAsia="zh-CN"/>
              </w:rPr>
            </w:pPr>
            <w:r>
              <w:rPr>
                <w:rFonts w:hint="eastAsia"/>
                <w:color w:val="auto"/>
                <w:lang w:val="en-US" w:eastAsia="zh-CN"/>
              </w:rPr>
              <w:t>一、参数要求：</w:t>
            </w:r>
          </w:p>
          <w:p>
            <w:pPr>
              <w:widowControl/>
              <w:spacing w:line="440" w:lineRule="exact"/>
              <w:jc w:val="left"/>
              <w:textAlignment w:val="center"/>
              <w:rPr>
                <w:rFonts w:hint="eastAsia"/>
                <w:color w:val="auto"/>
                <w:lang w:val="en-US" w:eastAsia="zh-CN"/>
              </w:rPr>
            </w:pPr>
            <w:r>
              <w:rPr>
                <w:rFonts w:hint="eastAsia"/>
                <w:color w:val="auto"/>
                <w:lang w:val="en-US" w:eastAsia="zh-CN"/>
              </w:rPr>
              <w:t>★1.</w:t>
            </w:r>
            <w:r>
              <w:rPr>
                <w:rFonts w:hint="eastAsia"/>
                <w:color w:val="auto"/>
              </w:rPr>
              <w:t>配置海光C86-3G高性能8核心（X86架构，处理器主频≥3.0GHz）或</w:t>
            </w:r>
            <w:r>
              <w:rPr>
                <w:rFonts w:hint="eastAsia"/>
                <w:color w:val="auto"/>
                <w:lang w:val="en-US" w:eastAsia="zh-CN"/>
              </w:rPr>
              <w:t>同等档次性能以上</w:t>
            </w:r>
            <w:r>
              <w:rPr>
                <w:rFonts w:hint="eastAsia"/>
                <w:color w:val="auto"/>
              </w:rPr>
              <w:t>处理器</w:t>
            </w:r>
            <w:r>
              <w:rPr>
                <w:rFonts w:hint="eastAsia"/>
                <w:color w:val="auto"/>
                <w:lang w:val="en-US" w:eastAsia="zh-CN"/>
              </w:rPr>
              <w:t>；</w:t>
            </w:r>
          </w:p>
          <w:p>
            <w:pPr>
              <w:widowControl/>
              <w:spacing w:line="440" w:lineRule="exact"/>
              <w:jc w:val="left"/>
              <w:textAlignment w:val="center"/>
              <w:rPr>
                <w:rFonts w:hint="eastAsia"/>
                <w:color w:val="auto"/>
                <w:lang w:val="en-US" w:eastAsia="zh-CN"/>
              </w:rPr>
            </w:pPr>
            <w:r>
              <w:rPr>
                <w:rFonts w:hint="eastAsia"/>
                <w:color w:val="auto"/>
                <w:lang w:val="en-US" w:eastAsia="zh-CN"/>
              </w:rPr>
              <w:t>2.内存：配置≥8GB DDR4内存，内存读写速率≥3200MT/s，不少于4根内存插槽，内存插槽满配时提供的最高内存容量≥128GB；</w:t>
            </w:r>
          </w:p>
          <w:p>
            <w:pPr>
              <w:widowControl/>
              <w:spacing w:line="440" w:lineRule="exact"/>
              <w:jc w:val="left"/>
              <w:textAlignment w:val="center"/>
              <w:rPr>
                <w:rFonts w:hint="eastAsia"/>
                <w:color w:val="auto"/>
                <w:lang w:val="en-US" w:eastAsia="zh-CN"/>
              </w:rPr>
            </w:pPr>
            <w:r>
              <w:rPr>
                <w:rFonts w:hint="eastAsia"/>
                <w:color w:val="auto"/>
                <w:lang w:val="en-US" w:eastAsia="zh-CN"/>
              </w:rPr>
              <w:t>3.硬盘：≥512GB  SSD固态硬盘，支持混合硬盘，最大可扩展至1T SSD+2T机械硬盘，支持硬盘减震功能；</w:t>
            </w:r>
          </w:p>
          <w:p>
            <w:pPr>
              <w:widowControl/>
              <w:spacing w:line="440" w:lineRule="exact"/>
              <w:jc w:val="left"/>
              <w:textAlignment w:val="center"/>
              <w:rPr>
                <w:rFonts w:hint="eastAsia"/>
                <w:color w:val="auto"/>
                <w:lang w:val="en-US" w:eastAsia="zh-CN"/>
              </w:rPr>
            </w:pPr>
            <w:r>
              <w:rPr>
                <w:rFonts w:hint="eastAsia"/>
                <w:color w:val="auto"/>
                <w:lang w:val="en-US" w:eastAsia="zh-CN"/>
              </w:rPr>
              <w:t>4.显卡：配置独立显卡，显存容量≥2GB，至少支持 VGA、HDMI、DVI、DP、 Type-C 中 2种显示接口，并与显示器接口相匹配；</w:t>
            </w:r>
          </w:p>
          <w:p>
            <w:pPr>
              <w:widowControl/>
              <w:spacing w:line="440" w:lineRule="exact"/>
              <w:jc w:val="left"/>
              <w:textAlignment w:val="center"/>
              <w:rPr>
                <w:rFonts w:hint="eastAsia"/>
                <w:color w:val="auto"/>
                <w:lang w:val="en-US" w:eastAsia="zh-CN"/>
              </w:rPr>
            </w:pPr>
            <w:r>
              <w:rPr>
                <w:rFonts w:hint="eastAsia"/>
                <w:color w:val="auto"/>
                <w:lang w:val="en-US" w:eastAsia="zh-CN"/>
              </w:rPr>
              <w:t>5.主板接口：配置≥2个PCIe x16, ≥1个PCIe x8, ≥1个PCIe x1；配置USB总数≥11个，其中USB3.0接口≥9个，≥1个M.2接口 PCIE4.0协议，≥4个SATA 接口；主板集成10/100M/1000M 自适应以太网卡，原厂可配置同品牌网络防雷器，有网络端口防雷功能；</w:t>
            </w:r>
          </w:p>
          <w:p>
            <w:pPr>
              <w:widowControl/>
              <w:spacing w:line="440" w:lineRule="exact"/>
              <w:jc w:val="left"/>
              <w:textAlignment w:val="center"/>
              <w:rPr>
                <w:rFonts w:hint="eastAsia"/>
                <w:color w:val="auto"/>
                <w:lang w:val="en-US" w:eastAsia="zh-CN"/>
              </w:rPr>
            </w:pPr>
            <w:r>
              <w:rPr>
                <w:rFonts w:hint="eastAsia"/>
                <w:color w:val="auto"/>
                <w:lang w:val="en-US" w:eastAsia="zh-CN"/>
              </w:rPr>
              <w:t>6.显示器：显示屏尺寸≥23.8英寸，显示屏屏占比≥85%，显示屏像素密度≥90像素/英寸，显示屏可视角度水平≥178°，显示屏防蓝光支持防蓝光模式，蓝光加权辐射亮度比应≤0.0012W/(·cd·sr)（瓦每坎特拉每球面度），显示屏低频闪显示屏应支持低频闪≤-35dB，显示屏防炫目显示屏镜面反射率≤10%，显示屏刷新率≥75Hz，显示屏位深≥8 位，显示屏色域≥99%  sRGB，显示屏色准△E≤4，显示屏响应时间≤8ms，显示屏亮度≥250 尼特，显示屏亮度一致性≥75%，显示屏对比度≥1000：1；</w:t>
            </w:r>
          </w:p>
          <w:p>
            <w:pPr>
              <w:widowControl/>
              <w:spacing w:line="440" w:lineRule="exact"/>
              <w:jc w:val="left"/>
              <w:textAlignment w:val="center"/>
              <w:rPr>
                <w:rFonts w:hint="eastAsia"/>
                <w:color w:val="auto"/>
                <w:lang w:val="en-US" w:eastAsia="zh-CN"/>
              </w:rPr>
            </w:pPr>
            <w:r>
              <w:rPr>
                <w:rFonts w:hint="eastAsia"/>
                <w:color w:val="auto"/>
                <w:lang w:val="en-US" w:eastAsia="zh-CN"/>
              </w:rPr>
              <w:t>7.键鼠：同品牌USB光电鼠标、键盘，键盘防水且自带导水孔；</w:t>
            </w:r>
          </w:p>
          <w:p>
            <w:pPr>
              <w:widowControl/>
              <w:spacing w:line="440" w:lineRule="exact"/>
              <w:jc w:val="left"/>
              <w:textAlignment w:val="center"/>
              <w:rPr>
                <w:rFonts w:hint="eastAsia"/>
                <w:color w:val="auto"/>
                <w:lang w:val="en-US" w:eastAsia="zh-CN"/>
              </w:rPr>
            </w:pPr>
            <w:r>
              <w:rPr>
                <w:rFonts w:hint="eastAsia"/>
                <w:color w:val="auto"/>
                <w:lang w:val="en-US" w:eastAsia="zh-CN"/>
              </w:rPr>
              <w:t>8.机箱：具备顶置提手，方便搬运；机箱前置至少具备1个网络故障灯，以便于快速诊断网路通畅情况，机型体积不小于15L；整机防尘等级不低于国际标准IP5X级；</w:t>
            </w:r>
          </w:p>
          <w:p>
            <w:pPr>
              <w:widowControl/>
              <w:spacing w:line="440" w:lineRule="exact"/>
              <w:jc w:val="left"/>
              <w:textAlignment w:val="center"/>
              <w:rPr>
                <w:rFonts w:hint="eastAsia"/>
                <w:color w:val="auto"/>
                <w:lang w:val="en-US" w:eastAsia="zh-CN"/>
              </w:rPr>
            </w:pPr>
            <w:r>
              <w:rPr>
                <w:rFonts w:hint="eastAsia"/>
                <w:color w:val="auto"/>
                <w:lang w:val="en-US" w:eastAsia="zh-CN"/>
              </w:rPr>
              <w:t>9.电源：≥200W节能电源；                                                                                                                                                                                                                                                                                                                                                                                                                  10.操作系统：支持统信UOS、麒麟、windows等主流操作系统；</w:t>
            </w:r>
          </w:p>
          <w:p>
            <w:pPr>
              <w:pStyle w:val="2"/>
              <w:rPr>
                <w:rFonts w:hint="eastAsia" w:ascii="Times New Roman" w:hAnsi="Times New Roman" w:eastAsia="宋体" w:cs="Times New Roman"/>
                <w:color w:val="auto"/>
                <w:kern w:val="2"/>
                <w:sz w:val="21"/>
                <w:szCs w:val="24"/>
                <w:lang w:val="en-US" w:eastAsia="zh-CN" w:bidi="ar-SA"/>
              </w:rPr>
            </w:pPr>
            <w:r>
              <w:rPr>
                <w:rFonts w:hint="eastAsia" w:ascii="宋体" w:hAnsi="宋体" w:cs="宋体"/>
                <w:color w:val="auto"/>
                <w:kern w:val="0"/>
                <w:szCs w:val="21"/>
                <w:lang w:val="en-US" w:eastAsia="zh-CN" w:bidi="ar"/>
              </w:rPr>
              <w:t>★</w:t>
            </w:r>
            <w:r>
              <w:rPr>
                <w:rFonts w:hint="eastAsia" w:ascii="Times New Roman" w:hAnsi="Times New Roman" w:eastAsia="宋体" w:cs="Times New Roman"/>
                <w:color w:val="auto"/>
                <w:kern w:val="2"/>
                <w:sz w:val="21"/>
                <w:szCs w:val="24"/>
                <w:lang w:val="en-US" w:eastAsia="zh-CN" w:bidi="ar-SA"/>
              </w:rPr>
              <w:t xml:space="preserve"> 11.投标文件中必须提供该产品由国家确定的认证机构出具的处于有效期之内的节能产品认证、3C认证证书扫描件（加盖供应商公章）</w:t>
            </w:r>
          </w:p>
        </w:tc>
        <w:tc>
          <w:tcPr>
            <w:tcW w:w="756" w:type="dxa"/>
            <w:vAlign w:val="center"/>
          </w:tcPr>
          <w:p>
            <w:pPr>
              <w:pStyle w:val="137"/>
              <w:spacing w:line="440" w:lineRule="exact"/>
              <w:ind w:firstLine="0" w:firstLineChars="0"/>
              <w:jc w:val="center"/>
              <w:rPr>
                <w:rFonts w:hint="eastAsia" w:hAnsi="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pStyle w:val="137"/>
              <w:spacing w:line="440" w:lineRule="exact"/>
              <w:ind w:firstLine="0" w:firstLineChars="0"/>
              <w:jc w:val="center"/>
              <w:rPr>
                <w:rFonts w:hint="eastAsia" w:hAnsi="宋体" w:eastAsia="宋体" w:cs="宋体"/>
                <w:bCs/>
                <w:color w:val="auto"/>
                <w:sz w:val="21"/>
                <w:szCs w:val="21"/>
                <w:lang w:eastAsia="zh-CN" w:bidi="ar"/>
              </w:rPr>
            </w:pPr>
            <w:r>
              <w:rPr>
                <w:rFonts w:hint="eastAsia" w:hAnsi="宋体" w:cs="宋体"/>
                <w:bCs/>
                <w:color w:val="auto"/>
                <w:sz w:val="21"/>
                <w:szCs w:val="21"/>
                <w:lang w:val="en-US" w:eastAsia="zh-CN" w:bidi="ar"/>
              </w:rPr>
              <w:t>2</w:t>
            </w:r>
          </w:p>
        </w:tc>
        <w:tc>
          <w:tcPr>
            <w:tcW w:w="797" w:type="dxa"/>
            <w:vAlign w:val="center"/>
          </w:tcPr>
          <w:p>
            <w:pPr>
              <w:autoSpaceDN w:val="0"/>
              <w:ind w:left="210" w:leftChars="0" w:hanging="210" w:hangingChars="10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融</w:t>
            </w:r>
          </w:p>
          <w:p>
            <w:pPr>
              <w:autoSpaceDN w:val="0"/>
              <w:ind w:left="210" w:leftChars="0" w:hanging="210" w:hangingChars="10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合</w:t>
            </w:r>
          </w:p>
          <w:p>
            <w:pPr>
              <w:autoSpaceDN w:val="0"/>
              <w:ind w:left="210" w:leftChars="0" w:hanging="210" w:hangingChars="10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桌</w:t>
            </w:r>
          </w:p>
          <w:p>
            <w:pPr>
              <w:autoSpaceDN w:val="0"/>
              <w:ind w:left="210" w:leftChars="0" w:hanging="210" w:hangingChars="10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面</w:t>
            </w:r>
          </w:p>
          <w:p>
            <w:pPr>
              <w:autoSpaceDN w:val="0"/>
              <w:ind w:left="210" w:leftChars="0" w:hanging="210" w:hangingChars="10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云</w:t>
            </w:r>
          </w:p>
          <w:p>
            <w:pPr>
              <w:autoSpaceDN w:val="0"/>
              <w:ind w:left="210" w:leftChars="0" w:hanging="210" w:hangingChars="10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平</w:t>
            </w:r>
          </w:p>
          <w:p>
            <w:pPr>
              <w:autoSpaceDN w:val="0"/>
              <w:ind w:left="210" w:leftChars="0" w:hanging="210" w:hangingChars="10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台</w:t>
            </w:r>
          </w:p>
          <w:p>
            <w:pPr>
              <w:autoSpaceDN w:val="0"/>
              <w:ind w:left="210" w:leftChars="0" w:hanging="210" w:hangingChars="10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管</w:t>
            </w:r>
          </w:p>
          <w:p>
            <w:pPr>
              <w:autoSpaceDN w:val="0"/>
              <w:ind w:left="210" w:leftChars="0" w:hanging="210" w:hangingChars="10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理</w:t>
            </w:r>
          </w:p>
          <w:p>
            <w:pPr>
              <w:autoSpaceDN w:val="0"/>
              <w:ind w:left="210" w:leftChars="0" w:hanging="210" w:hangingChars="10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软</w:t>
            </w:r>
          </w:p>
          <w:p>
            <w:pPr>
              <w:autoSpaceDN w:val="0"/>
              <w:ind w:left="210" w:leftChars="0" w:hanging="210" w:hangingChars="10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件</w:t>
            </w:r>
          </w:p>
        </w:tc>
        <w:tc>
          <w:tcPr>
            <w:tcW w:w="448" w:type="dxa"/>
            <w:vAlign w:val="center"/>
          </w:tcPr>
          <w:p>
            <w:pPr>
              <w:autoSpaceDN w:val="0"/>
              <w:ind w:left="210" w:leftChars="0" w:hanging="210" w:hangingChars="10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套</w:t>
            </w:r>
          </w:p>
        </w:tc>
        <w:tc>
          <w:tcPr>
            <w:tcW w:w="735" w:type="dxa"/>
            <w:vAlign w:val="center"/>
          </w:tcPr>
          <w:p>
            <w:pPr>
              <w:autoSpaceDN w:val="0"/>
              <w:ind w:left="210" w:leftChars="0" w:hanging="210" w:hangingChars="10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40</w:t>
            </w:r>
          </w:p>
        </w:tc>
        <w:tc>
          <w:tcPr>
            <w:tcW w:w="6540" w:type="dxa"/>
            <w:vAlign w:val="center"/>
          </w:tcPr>
          <w:p>
            <w:pPr>
              <w:widowControl/>
              <w:spacing w:line="440" w:lineRule="exact"/>
              <w:jc w:val="left"/>
              <w:textAlignment w:val="center"/>
              <w:rPr>
                <w:rFonts w:hint="eastAsia" w:ascii="宋体" w:hAnsi="宋体" w:eastAsia="宋体" w:cs="宋体"/>
                <w:color w:val="auto"/>
                <w:kern w:val="0"/>
                <w:szCs w:val="21"/>
                <w:lang w:val="en-US" w:eastAsia="zh-CN" w:bidi="ar"/>
              </w:rPr>
            </w:pPr>
            <w:r>
              <w:rPr>
                <w:rFonts w:hint="eastAsia" w:ascii="宋体" w:hAnsi="宋体" w:cs="宋体"/>
                <w:color w:val="auto"/>
                <w:kern w:val="0"/>
                <w:szCs w:val="21"/>
                <w:lang w:val="en-US" w:eastAsia="zh-CN" w:bidi="ar"/>
              </w:rPr>
              <w:t>1.</w:t>
            </w:r>
            <w:r>
              <w:rPr>
                <w:rFonts w:hint="eastAsia" w:ascii="宋体" w:hAnsi="宋体" w:eastAsia="宋体" w:cs="宋体"/>
                <w:color w:val="auto"/>
                <w:kern w:val="0"/>
                <w:szCs w:val="21"/>
                <w:lang w:val="en-US" w:eastAsia="zh-CN" w:bidi="ar"/>
              </w:rPr>
              <w:t>支持系统环境的批量部署，可根据不同专业的教学、考试要求，快速创建多套教学环境，使用时开放，不使用时随时回收。</w:t>
            </w:r>
          </w:p>
          <w:p>
            <w:pPr>
              <w:widowControl/>
              <w:spacing w:line="440" w:lineRule="exact"/>
              <w:jc w:val="left"/>
              <w:textAlignment w:val="center"/>
              <w:rPr>
                <w:rFonts w:hint="eastAsia" w:ascii="宋体" w:hAnsi="宋体" w:eastAsia="宋体" w:cs="宋体"/>
                <w:color w:val="auto"/>
                <w:kern w:val="0"/>
                <w:szCs w:val="21"/>
                <w:lang w:val="en-US" w:eastAsia="zh-CN" w:bidi="ar"/>
              </w:rPr>
            </w:pPr>
            <w:r>
              <w:rPr>
                <w:rFonts w:hint="eastAsia" w:ascii="宋体" w:hAnsi="宋体" w:cs="宋体"/>
                <w:color w:val="auto"/>
                <w:kern w:val="0"/>
                <w:szCs w:val="21"/>
                <w:lang w:val="en-US" w:eastAsia="zh-CN" w:bidi="ar"/>
              </w:rPr>
              <w:t>2.</w:t>
            </w:r>
            <w:r>
              <w:rPr>
                <w:rFonts w:hint="eastAsia" w:ascii="宋体" w:hAnsi="宋体" w:eastAsia="宋体" w:cs="宋体"/>
                <w:color w:val="auto"/>
                <w:kern w:val="0"/>
                <w:szCs w:val="21"/>
                <w:lang w:val="en-US" w:eastAsia="zh-CN" w:bidi="ar"/>
              </w:rPr>
              <w:t>需支持用户桌面在需要帮助的时候，云桌面管理平台可以直接向需要帮助的用户桌面发起帮助，进行这一项操作时不需要借助第三方软件。</w:t>
            </w:r>
          </w:p>
          <w:p>
            <w:pPr>
              <w:widowControl/>
              <w:spacing w:line="440" w:lineRule="exact"/>
              <w:jc w:val="left"/>
              <w:textAlignment w:val="center"/>
              <w:rPr>
                <w:rFonts w:hint="eastAsia" w:ascii="宋体" w:hAnsi="宋体" w:eastAsia="宋体" w:cs="宋体"/>
                <w:color w:val="auto"/>
                <w:kern w:val="0"/>
                <w:szCs w:val="21"/>
                <w:lang w:val="en-US" w:eastAsia="zh-CN" w:bidi="ar"/>
              </w:rPr>
            </w:pPr>
            <w:r>
              <w:rPr>
                <w:rFonts w:hint="eastAsia" w:ascii="宋体" w:hAnsi="宋体" w:cs="宋体"/>
                <w:color w:val="auto"/>
                <w:kern w:val="0"/>
                <w:szCs w:val="21"/>
                <w:lang w:val="en-US" w:eastAsia="zh-CN" w:bidi="ar"/>
              </w:rPr>
              <w:t>3.</w:t>
            </w:r>
            <w:r>
              <w:rPr>
                <w:rFonts w:hint="eastAsia" w:ascii="宋体" w:hAnsi="宋体" w:eastAsia="宋体" w:cs="宋体"/>
                <w:color w:val="auto"/>
                <w:kern w:val="0"/>
                <w:szCs w:val="21"/>
                <w:lang w:val="en-US" w:eastAsia="zh-CN" w:bidi="ar"/>
              </w:rPr>
              <w:t>支持开机logo自定义，可以自定义设备开机登录页面logo及文字定制，便于学校进行资产管理。</w:t>
            </w:r>
          </w:p>
          <w:p>
            <w:pPr>
              <w:widowControl/>
              <w:spacing w:line="440" w:lineRule="exact"/>
              <w:jc w:val="left"/>
              <w:textAlignment w:val="center"/>
              <w:rPr>
                <w:rFonts w:hint="eastAsia" w:ascii="宋体" w:hAnsi="宋体" w:eastAsia="宋体" w:cs="宋体"/>
                <w:color w:val="auto"/>
                <w:kern w:val="0"/>
                <w:szCs w:val="21"/>
                <w:lang w:val="en-US" w:eastAsia="zh-CN" w:bidi="ar"/>
              </w:rPr>
            </w:pPr>
            <w:r>
              <w:rPr>
                <w:rFonts w:hint="eastAsia" w:ascii="宋体" w:hAnsi="宋体" w:cs="宋体"/>
                <w:color w:val="auto"/>
                <w:kern w:val="0"/>
                <w:szCs w:val="21"/>
                <w:lang w:val="en-US" w:eastAsia="zh-CN" w:bidi="ar"/>
              </w:rPr>
              <w:t>4.</w:t>
            </w:r>
            <w:r>
              <w:rPr>
                <w:rFonts w:hint="eastAsia" w:ascii="宋体" w:hAnsi="宋体" w:eastAsia="宋体" w:cs="宋体"/>
                <w:color w:val="auto"/>
                <w:kern w:val="0"/>
                <w:szCs w:val="21"/>
                <w:lang w:val="en-US" w:eastAsia="zh-CN" w:bidi="ar"/>
              </w:rPr>
              <w:t>为简化运维和管理工作，云桌面需要提供系统垃圾清理功能，保障机房电脑能高效运行，稳定使用。</w:t>
            </w:r>
          </w:p>
          <w:p>
            <w:pPr>
              <w:widowControl/>
              <w:spacing w:line="440" w:lineRule="exact"/>
              <w:jc w:val="left"/>
              <w:textAlignment w:val="center"/>
              <w:rPr>
                <w:rFonts w:hint="eastAsia" w:ascii="宋体" w:hAnsi="宋体" w:eastAsia="宋体" w:cs="宋体"/>
                <w:color w:val="auto"/>
                <w:kern w:val="0"/>
                <w:szCs w:val="21"/>
                <w:lang w:val="en-US" w:eastAsia="zh-CN" w:bidi="ar"/>
              </w:rPr>
            </w:pPr>
            <w:r>
              <w:rPr>
                <w:rFonts w:hint="eastAsia" w:ascii="宋体" w:hAnsi="宋体" w:eastAsia="宋体" w:cs="宋体"/>
                <w:color w:val="auto"/>
                <w:kern w:val="0"/>
                <w:szCs w:val="21"/>
                <w:lang w:val="en-US" w:eastAsia="zh-CN" w:bidi="ar"/>
              </w:rPr>
              <w:t>★</w:t>
            </w:r>
            <w:r>
              <w:rPr>
                <w:rFonts w:hint="eastAsia" w:ascii="宋体" w:hAnsi="宋体" w:cs="宋体"/>
                <w:color w:val="auto"/>
                <w:kern w:val="0"/>
                <w:szCs w:val="21"/>
                <w:lang w:val="en-US" w:eastAsia="zh-CN" w:bidi="ar"/>
              </w:rPr>
              <w:t>5.</w:t>
            </w:r>
            <w:r>
              <w:rPr>
                <w:rFonts w:hint="eastAsia" w:ascii="宋体" w:hAnsi="宋体" w:eastAsia="宋体" w:cs="宋体"/>
                <w:color w:val="auto"/>
                <w:kern w:val="0"/>
                <w:szCs w:val="21"/>
                <w:lang w:val="en-US" w:eastAsia="zh-CN" w:bidi="ar"/>
              </w:rPr>
              <w:t>能够单独设定桌面系统盘/数据盘的还原属性，支持每天还原、每周还原、每月还原，支持自动更新桌面。</w:t>
            </w:r>
            <w:r>
              <w:rPr>
                <w:rFonts w:hint="eastAsia" w:ascii="宋体" w:hAnsi="宋体" w:cs="宋体"/>
                <w:color w:val="auto"/>
                <w:kern w:val="0"/>
                <w:szCs w:val="21"/>
                <w:lang w:eastAsia="zh-CN" w:bidi="ar"/>
              </w:rPr>
              <w:t>（提供证明材料：包括但不限于厂家证明或功能截图或国家认可的第三方检测报告并加盖供应商公章）</w:t>
            </w:r>
          </w:p>
          <w:p>
            <w:pPr>
              <w:widowControl/>
              <w:spacing w:line="440" w:lineRule="exact"/>
              <w:jc w:val="left"/>
              <w:textAlignment w:val="center"/>
              <w:rPr>
                <w:rFonts w:hint="eastAsia" w:ascii="宋体" w:hAnsi="宋体" w:eastAsia="宋体" w:cs="宋体"/>
                <w:color w:val="auto"/>
                <w:kern w:val="0"/>
                <w:szCs w:val="21"/>
                <w:lang w:val="en-US" w:eastAsia="zh-CN" w:bidi="ar"/>
              </w:rPr>
            </w:pPr>
            <w:r>
              <w:rPr>
                <w:rFonts w:hint="eastAsia" w:ascii="宋体" w:hAnsi="宋体" w:cs="宋体"/>
                <w:color w:val="auto"/>
                <w:kern w:val="0"/>
                <w:szCs w:val="21"/>
                <w:lang w:val="en-US" w:eastAsia="zh-CN" w:bidi="ar"/>
              </w:rPr>
              <w:t>6.</w:t>
            </w:r>
            <w:r>
              <w:rPr>
                <w:rFonts w:hint="eastAsia" w:ascii="宋体" w:hAnsi="宋体" w:eastAsia="宋体" w:cs="宋体"/>
                <w:color w:val="auto"/>
                <w:kern w:val="0"/>
                <w:szCs w:val="21"/>
                <w:lang w:val="en-US" w:eastAsia="zh-CN" w:bidi="ar"/>
              </w:rPr>
              <w:t>为满足多种使用需求，需支持多种系统镜像例如Win</w:t>
            </w:r>
            <w:r>
              <w:rPr>
                <w:rFonts w:hint="eastAsia" w:ascii="宋体" w:hAnsi="宋体" w:cs="宋体"/>
                <w:color w:val="auto"/>
                <w:kern w:val="0"/>
                <w:szCs w:val="21"/>
                <w:lang w:val="en-US" w:eastAsia="zh-CN" w:bidi="ar"/>
              </w:rPr>
              <w:t>7.</w:t>
            </w:r>
            <w:r>
              <w:rPr>
                <w:rFonts w:hint="eastAsia" w:ascii="宋体" w:hAnsi="宋体" w:eastAsia="宋体" w:cs="宋体"/>
                <w:color w:val="auto"/>
                <w:kern w:val="0"/>
                <w:szCs w:val="21"/>
                <w:lang w:val="en-US" w:eastAsia="zh-CN" w:bidi="ar"/>
              </w:rPr>
              <w:t>Win1</w:t>
            </w:r>
            <w:r>
              <w:rPr>
                <w:rFonts w:hint="eastAsia" w:ascii="宋体" w:hAnsi="宋体" w:cs="宋体"/>
                <w:color w:val="auto"/>
                <w:kern w:val="0"/>
                <w:szCs w:val="21"/>
                <w:lang w:val="en-US" w:eastAsia="zh-CN" w:bidi="ar"/>
              </w:rPr>
              <w:t>0.</w:t>
            </w:r>
            <w:r>
              <w:rPr>
                <w:rFonts w:hint="eastAsia" w:ascii="宋体" w:hAnsi="宋体" w:eastAsia="宋体" w:cs="宋体"/>
                <w:color w:val="auto"/>
                <w:kern w:val="0"/>
                <w:szCs w:val="21"/>
                <w:lang w:val="en-US" w:eastAsia="zh-CN" w:bidi="ar"/>
              </w:rPr>
              <w:t>Win1</w:t>
            </w:r>
            <w:r>
              <w:rPr>
                <w:rFonts w:hint="eastAsia" w:ascii="宋体" w:hAnsi="宋体" w:cs="宋体"/>
                <w:color w:val="auto"/>
                <w:kern w:val="0"/>
                <w:szCs w:val="21"/>
                <w:lang w:val="en-US" w:eastAsia="zh-CN" w:bidi="ar"/>
              </w:rPr>
              <w:t>1.</w:t>
            </w:r>
            <w:r>
              <w:rPr>
                <w:rFonts w:hint="eastAsia" w:ascii="宋体" w:hAnsi="宋体" w:eastAsia="宋体" w:cs="宋体"/>
                <w:color w:val="auto"/>
                <w:kern w:val="0"/>
                <w:szCs w:val="21"/>
                <w:lang w:val="en-US" w:eastAsia="zh-CN" w:bidi="ar"/>
              </w:rPr>
              <w:t>UOS、麒麟、中科方德等主流镜像，为降低使用复杂度要求云桌面管理系统软件可以进行一键切换系统镜像。</w:t>
            </w:r>
          </w:p>
          <w:p>
            <w:pPr>
              <w:widowControl/>
              <w:spacing w:line="440" w:lineRule="exact"/>
              <w:jc w:val="left"/>
              <w:textAlignment w:val="center"/>
              <w:rPr>
                <w:rFonts w:hint="eastAsia" w:ascii="宋体" w:hAnsi="宋体" w:eastAsia="宋体" w:cs="宋体"/>
                <w:color w:val="auto"/>
                <w:kern w:val="0"/>
                <w:szCs w:val="21"/>
                <w:lang w:val="en-US" w:eastAsia="zh-CN" w:bidi="ar"/>
              </w:rPr>
            </w:pPr>
            <w:r>
              <w:rPr>
                <w:rFonts w:hint="eastAsia" w:ascii="宋体" w:hAnsi="宋体" w:cs="宋体"/>
                <w:color w:val="auto"/>
                <w:kern w:val="0"/>
                <w:szCs w:val="21"/>
                <w:lang w:val="en-US" w:eastAsia="zh-CN" w:bidi="ar"/>
              </w:rPr>
              <w:t>7.</w:t>
            </w:r>
            <w:r>
              <w:rPr>
                <w:rFonts w:hint="eastAsia" w:ascii="宋体" w:hAnsi="宋体" w:eastAsia="宋体" w:cs="宋体"/>
                <w:color w:val="auto"/>
                <w:kern w:val="0"/>
                <w:szCs w:val="21"/>
                <w:lang w:val="en-US" w:eastAsia="zh-CN" w:bidi="ar"/>
              </w:rPr>
              <w:t>云桌面系统软件支持系统同传，为保障同传传输速度，需支持BT传输。</w:t>
            </w:r>
          </w:p>
          <w:p>
            <w:pPr>
              <w:widowControl/>
              <w:spacing w:line="440" w:lineRule="exact"/>
              <w:jc w:val="left"/>
              <w:textAlignment w:val="center"/>
              <w:rPr>
                <w:rFonts w:hint="eastAsia" w:ascii="宋体" w:hAnsi="宋体" w:eastAsia="宋体" w:cs="宋体"/>
                <w:color w:val="auto"/>
                <w:kern w:val="0"/>
                <w:szCs w:val="21"/>
                <w:lang w:val="en-US" w:eastAsia="zh-CN" w:bidi="ar"/>
              </w:rPr>
            </w:pPr>
            <w:r>
              <w:rPr>
                <w:rFonts w:hint="eastAsia" w:ascii="宋体" w:hAnsi="宋体" w:cs="宋体"/>
                <w:color w:val="auto"/>
                <w:kern w:val="0"/>
                <w:szCs w:val="21"/>
                <w:lang w:val="en-US" w:eastAsia="zh-CN" w:bidi="ar"/>
              </w:rPr>
              <w:t>8.</w:t>
            </w:r>
            <w:r>
              <w:rPr>
                <w:rFonts w:hint="eastAsia" w:ascii="宋体" w:hAnsi="宋体" w:eastAsia="宋体" w:cs="宋体"/>
                <w:color w:val="auto"/>
                <w:kern w:val="0"/>
                <w:szCs w:val="21"/>
                <w:lang w:val="en-US" w:eastAsia="zh-CN" w:bidi="ar"/>
              </w:rPr>
              <w:t>云桌面系统支持获取所有设备的状态、设备编号、设备IP、设备MAC、CPU信息、内存使用率、运行时间、磁盘信息等信息，便于管理员统计已纳管的设备资产情况。</w:t>
            </w:r>
          </w:p>
          <w:p>
            <w:pPr>
              <w:widowControl/>
              <w:spacing w:line="440" w:lineRule="exact"/>
              <w:jc w:val="left"/>
              <w:textAlignment w:val="center"/>
              <w:rPr>
                <w:rFonts w:hint="eastAsia" w:ascii="宋体" w:hAnsi="宋体" w:eastAsia="宋体" w:cs="宋体"/>
                <w:color w:val="auto"/>
                <w:kern w:val="0"/>
                <w:szCs w:val="21"/>
                <w:lang w:val="en-US" w:eastAsia="zh-CN" w:bidi="ar"/>
              </w:rPr>
            </w:pPr>
            <w:r>
              <w:rPr>
                <w:rFonts w:hint="eastAsia" w:ascii="宋体" w:hAnsi="宋体" w:cs="宋体"/>
                <w:color w:val="auto"/>
                <w:kern w:val="0"/>
                <w:szCs w:val="21"/>
                <w:lang w:val="en-US" w:eastAsia="zh-CN" w:bidi="ar"/>
              </w:rPr>
              <w:t>9.</w:t>
            </w:r>
            <w:r>
              <w:rPr>
                <w:rFonts w:hint="eastAsia" w:ascii="宋体" w:hAnsi="宋体" w:eastAsia="宋体" w:cs="宋体"/>
                <w:color w:val="auto"/>
                <w:kern w:val="0"/>
                <w:szCs w:val="21"/>
                <w:lang w:val="en-US" w:eastAsia="zh-CN" w:bidi="ar"/>
              </w:rPr>
              <w:t>为提供更加良好的桌面使用环境，需提供广告弹窗拦截功能，开启后系统自动拦截用户设备桌面弹窗广告，净化桌面环境。</w:t>
            </w:r>
          </w:p>
          <w:p>
            <w:pPr>
              <w:widowControl/>
              <w:spacing w:line="440" w:lineRule="exact"/>
              <w:jc w:val="left"/>
              <w:textAlignment w:val="center"/>
              <w:rPr>
                <w:rFonts w:hint="eastAsia" w:ascii="宋体" w:hAnsi="宋体" w:eastAsia="宋体" w:cs="宋体"/>
                <w:color w:val="auto"/>
                <w:kern w:val="0"/>
                <w:szCs w:val="21"/>
                <w:lang w:val="en-US" w:eastAsia="zh-CN" w:bidi="ar"/>
              </w:rPr>
            </w:pPr>
            <w:r>
              <w:rPr>
                <w:rFonts w:hint="eastAsia" w:ascii="宋体" w:hAnsi="宋体" w:eastAsia="宋体" w:cs="宋体"/>
                <w:color w:val="auto"/>
                <w:kern w:val="0"/>
                <w:szCs w:val="21"/>
                <w:lang w:val="en-US" w:eastAsia="zh-CN" w:bidi="ar"/>
              </w:rPr>
              <w:t>1</w:t>
            </w:r>
            <w:r>
              <w:rPr>
                <w:rFonts w:hint="eastAsia" w:ascii="宋体" w:hAnsi="宋体" w:cs="宋体"/>
                <w:color w:val="auto"/>
                <w:kern w:val="0"/>
                <w:szCs w:val="21"/>
                <w:lang w:val="en-US" w:eastAsia="zh-CN" w:bidi="ar"/>
              </w:rPr>
              <w:t>0.</w:t>
            </w:r>
            <w:r>
              <w:rPr>
                <w:rFonts w:hint="eastAsia" w:ascii="宋体" w:hAnsi="宋体" w:eastAsia="宋体" w:cs="宋体"/>
                <w:color w:val="auto"/>
                <w:kern w:val="0"/>
                <w:szCs w:val="21"/>
                <w:lang w:val="en-US" w:eastAsia="zh-CN" w:bidi="ar"/>
              </w:rPr>
              <w:t>提供环境监测功能，针对用户正在使用的桌面系统环境进行巡检，监测内容以列表形式呈现内容包含但不限于电脑名称、系统版本、IP、内存、硬盘等状态。如出现网络连接中断、USB未连接、未知盘符，均会进行告警。</w:t>
            </w:r>
          </w:p>
          <w:p>
            <w:pPr>
              <w:widowControl/>
              <w:spacing w:line="440" w:lineRule="exact"/>
              <w:jc w:val="left"/>
              <w:textAlignment w:val="center"/>
              <w:rPr>
                <w:rFonts w:hint="eastAsia" w:ascii="宋体" w:hAnsi="宋体" w:eastAsia="宋体" w:cs="宋体"/>
                <w:color w:val="auto"/>
                <w:kern w:val="0"/>
                <w:szCs w:val="21"/>
                <w:lang w:val="en-US" w:eastAsia="zh-CN" w:bidi="ar"/>
              </w:rPr>
            </w:pPr>
            <w:r>
              <w:rPr>
                <w:rFonts w:hint="eastAsia" w:ascii="宋体" w:hAnsi="宋体" w:eastAsia="宋体" w:cs="宋体"/>
                <w:color w:val="auto"/>
                <w:kern w:val="0"/>
                <w:szCs w:val="21"/>
                <w:lang w:val="en-US" w:eastAsia="zh-CN" w:bidi="ar"/>
              </w:rPr>
              <w:t>1</w:t>
            </w:r>
            <w:r>
              <w:rPr>
                <w:rFonts w:hint="eastAsia" w:ascii="宋体" w:hAnsi="宋体" w:cs="宋体"/>
                <w:color w:val="auto"/>
                <w:kern w:val="0"/>
                <w:szCs w:val="21"/>
                <w:lang w:val="en-US" w:eastAsia="zh-CN" w:bidi="ar"/>
              </w:rPr>
              <w:t>1.</w:t>
            </w:r>
            <w:r>
              <w:rPr>
                <w:rFonts w:hint="eastAsia" w:ascii="宋体" w:hAnsi="宋体" w:eastAsia="宋体" w:cs="宋体"/>
                <w:color w:val="auto"/>
                <w:kern w:val="0"/>
                <w:szCs w:val="21"/>
                <w:lang w:val="en-US" w:eastAsia="zh-CN" w:bidi="ar"/>
              </w:rPr>
              <w:t>支持静默更新功能，要求不影响用户设备日常使用的情况下对用户支持进行更新操作，服务端发送过来的更新镜像文件用户设备后台可进行静默接收，且桌面会有弹窗提示，待用户空闲时间重启即可自动更新。</w:t>
            </w:r>
          </w:p>
          <w:p>
            <w:pPr>
              <w:widowControl/>
              <w:spacing w:line="440" w:lineRule="exact"/>
              <w:jc w:val="left"/>
              <w:textAlignment w:val="center"/>
              <w:rPr>
                <w:rFonts w:hint="eastAsia" w:ascii="宋体" w:hAnsi="宋体" w:eastAsia="宋体" w:cs="宋体"/>
                <w:strike/>
                <w:dstrike w:val="0"/>
                <w:color w:val="auto"/>
                <w:kern w:val="0"/>
                <w:szCs w:val="21"/>
                <w:highlight w:val="yellow"/>
                <w:lang w:val="en-US" w:eastAsia="zh-CN" w:bidi="ar"/>
              </w:rPr>
            </w:pPr>
            <w:r>
              <w:rPr>
                <w:rFonts w:hint="eastAsia" w:ascii="宋体" w:hAnsi="宋体" w:eastAsia="宋体" w:cs="宋体"/>
                <w:color w:val="auto"/>
                <w:kern w:val="0"/>
                <w:szCs w:val="21"/>
                <w:lang w:val="en-US" w:eastAsia="zh-CN" w:bidi="ar"/>
              </w:rPr>
              <w:t>1</w:t>
            </w:r>
            <w:r>
              <w:rPr>
                <w:rFonts w:hint="eastAsia" w:ascii="宋体" w:hAnsi="宋体" w:cs="宋体"/>
                <w:color w:val="auto"/>
                <w:kern w:val="0"/>
                <w:szCs w:val="21"/>
                <w:lang w:val="en-US" w:eastAsia="zh-CN" w:bidi="ar"/>
              </w:rPr>
              <w:t>2.</w:t>
            </w:r>
            <w:r>
              <w:rPr>
                <w:rFonts w:hint="eastAsia" w:ascii="宋体" w:hAnsi="宋体" w:eastAsia="宋体" w:cs="宋体"/>
                <w:color w:val="auto"/>
                <w:kern w:val="0"/>
                <w:szCs w:val="21"/>
                <w:lang w:val="en-US" w:eastAsia="zh-CN" w:bidi="ar"/>
              </w:rPr>
              <w:t>为了便于管理员排查网络故障，需提供网络修复功能，可全面检测网络服务是否正常。</w:t>
            </w:r>
          </w:p>
          <w:p>
            <w:pPr>
              <w:widowControl/>
              <w:spacing w:line="440" w:lineRule="exact"/>
              <w:jc w:val="left"/>
              <w:textAlignment w:val="center"/>
              <w:rPr>
                <w:rFonts w:hint="eastAsia" w:ascii="宋体" w:hAnsi="宋体" w:eastAsia="宋体" w:cs="宋体"/>
                <w:strike/>
                <w:dstrike w:val="0"/>
                <w:color w:val="auto"/>
                <w:kern w:val="0"/>
                <w:szCs w:val="21"/>
                <w:highlight w:val="yellow"/>
                <w:lang w:val="en-US" w:eastAsia="zh-CN" w:bidi="ar"/>
              </w:rPr>
            </w:pPr>
            <w:r>
              <w:rPr>
                <w:rFonts w:hint="eastAsia" w:ascii="宋体" w:hAnsi="宋体" w:eastAsia="宋体" w:cs="宋体"/>
                <w:color w:val="auto"/>
                <w:kern w:val="0"/>
                <w:szCs w:val="21"/>
                <w:lang w:val="en-US" w:eastAsia="zh-CN" w:bidi="ar"/>
              </w:rPr>
              <w:t>1</w:t>
            </w:r>
            <w:r>
              <w:rPr>
                <w:rFonts w:hint="eastAsia" w:ascii="宋体" w:hAnsi="宋体" w:cs="宋体"/>
                <w:color w:val="auto"/>
                <w:kern w:val="0"/>
                <w:szCs w:val="21"/>
                <w:lang w:val="en-US" w:eastAsia="zh-CN" w:bidi="ar"/>
              </w:rPr>
              <w:t>3.</w:t>
            </w:r>
            <w:r>
              <w:rPr>
                <w:rFonts w:hint="eastAsia" w:ascii="宋体" w:hAnsi="宋体" w:eastAsia="宋体" w:cs="宋体"/>
                <w:color w:val="auto"/>
                <w:kern w:val="0"/>
                <w:szCs w:val="21"/>
                <w:lang w:val="en-US" w:eastAsia="zh-CN" w:bidi="ar"/>
              </w:rPr>
              <w:t>云桌面软件需支持流量监控功能，可检测设备机目前进程的流量接收与发送的情况。</w:t>
            </w:r>
          </w:p>
          <w:p>
            <w:pPr>
              <w:widowControl/>
              <w:spacing w:line="440" w:lineRule="exact"/>
              <w:jc w:val="left"/>
              <w:textAlignment w:val="center"/>
              <w:rPr>
                <w:rFonts w:hint="eastAsia" w:ascii="宋体" w:hAnsi="宋体" w:eastAsia="宋体" w:cs="宋体"/>
                <w:color w:val="auto"/>
                <w:kern w:val="0"/>
                <w:szCs w:val="21"/>
                <w:lang w:val="en-US" w:eastAsia="zh-CN" w:bidi="ar"/>
              </w:rPr>
            </w:pPr>
            <w:r>
              <w:rPr>
                <w:rFonts w:hint="eastAsia" w:ascii="宋体" w:hAnsi="宋体" w:eastAsia="宋体" w:cs="宋体"/>
                <w:color w:val="auto"/>
                <w:kern w:val="0"/>
                <w:szCs w:val="21"/>
                <w:lang w:val="en-US" w:eastAsia="zh-CN" w:bidi="ar"/>
              </w:rPr>
              <w:t>1</w:t>
            </w:r>
            <w:r>
              <w:rPr>
                <w:rFonts w:hint="eastAsia" w:ascii="宋体" w:hAnsi="宋体" w:cs="宋体"/>
                <w:color w:val="auto"/>
                <w:kern w:val="0"/>
                <w:szCs w:val="21"/>
                <w:lang w:val="en-US" w:eastAsia="zh-CN" w:bidi="ar"/>
              </w:rPr>
              <w:t>4.</w:t>
            </w:r>
            <w:r>
              <w:rPr>
                <w:rFonts w:hint="eastAsia" w:ascii="宋体" w:hAnsi="宋体" w:eastAsia="宋体" w:cs="宋体"/>
                <w:color w:val="auto"/>
                <w:kern w:val="0"/>
                <w:szCs w:val="21"/>
                <w:lang w:val="en-US" w:eastAsia="zh-CN" w:bidi="ar"/>
              </w:rPr>
              <w:t>支持远程打开管理平台，进行远程操作，无需管理员进行来回奔走。</w:t>
            </w:r>
          </w:p>
          <w:p>
            <w:pPr>
              <w:widowControl/>
              <w:spacing w:line="440" w:lineRule="exact"/>
              <w:jc w:val="left"/>
              <w:textAlignment w:val="center"/>
              <w:rPr>
                <w:rFonts w:hint="eastAsia" w:ascii="宋体" w:hAnsi="宋体" w:eastAsia="宋体" w:cs="宋体"/>
                <w:color w:val="auto"/>
                <w:kern w:val="0"/>
                <w:szCs w:val="21"/>
                <w:lang w:val="en-US" w:eastAsia="zh-CN" w:bidi="ar"/>
              </w:rPr>
            </w:pPr>
            <w:r>
              <w:rPr>
                <w:rFonts w:hint="eastAsia" w:ascii="宋体" w:hAnsi="宋体" w:eastAsia="宋体" w:cs="宋体"/>
                <w:color w:val="auto"/>
                <w:kern w:val="0"/>
                <w:szCs w:val="21"/>
                <w:lang w:val="en-US" w:eastAsia="zh-CN" w:bidi="ar"/>
              </w:rPr>
              <w:t>1</w:t>
            </w:r>
            <w:r>
              <w:rPr>
                <w:rFonts w:hint="eastAsia" w:ascii="宋体" w:hAnsi="宋体" w:cs="宋体"/>
                <w:color w:val="auto"/>
                <w:kern w:val="0"/>
                <w:szCs w:val="21"/>
                <w:lang w:val="en-US" w:eastAsia="zh-CN" w:bidi="ar"/>
              </w:rPr>
              <w:t>5.</w:t>
            </w:r>
            <w:r>
              <w:rPr>
                <w:rFonts w:hint="eastAsia" w:ascii="宋体" w:hAnsi="宋体" w:eastAsia="宋体" w:cs="宋体"/>
                <w:color w:val="auto"/>
                <w:kern w:val="0"/>
                <w:szCs w:val="21"/>
                <w:lang w:val="en-US" w:eastAsia="zh-CN" w:bidi="ar"/>
              </w:rPr>
              <w:t>为便于管理员可以给不同的课程制作不同的镜像，支持子镜像功能，在基础镜像的基础上安装不同课程的软件成为不同子镜像，分配给不同的课程。</w:t>
            </w:r>
          </w:p>
          <w:p>
            <w:pPr>
              <w:widowControl/>
              <w:spacing w:line="440" w:lineRule="exact"/>
              <w:jc w:val="left"/>
              <w:textAlignment w:val="center"/>
              <w:rPr>
                <w:rFonts w:hint="eastAsia" w:ascii="宋体" w:hAnsi="宋体" w:eastAsia="宋体" w:cs="宋体"/>
                <w:color w:val="auto"/>
                <w:kern w:val="0"/>
                <w:szCs w:val="21"/>
                <w:lang w:val="en-US" w:eastAsia="zh-CN" w:bidi="ar"/>
              </w:rPr>
            </w:pPr>
            <w:r>
              <w:rPr>
                <w:rFonts w:hint="eastAsia" w:ascii="宋体" w:hAnsi="宋体" w:eastAsia="宋体" w:cs="宋体"/>
                <w:color w:val="auto"/>
                <w:kern w:val="0"/>
                <w:szCs w:val="21"/>
                <w:lang w:val="en-US" w:eastAsia="zh-CN" w:bidi="ar"/>
              </w:rPr>
              <w:t>1</w:t>
            </w:r>
            <w:r>
              <w:rPr>
                <w:rFonts w:hint="eastAsia" w:ascii="宋体" w:hAnsi="宋体" w:cs="宋体"/>
                <w:color w:val="auto"/>
                <w:kern w:val="0"/>
                <w:szCs w:val="21"/>
                <w:lang w:val="en-US" w:eastAsia="zh-CN" w:bidi="ar"/>
              </w:rPr>
              <w:t>6.</w:t>
            </w:r>
            <w:r>
              <w:rPr>
                <w:rFonts w:hint="eastAsia" w:ascii="宋体" w:hAnsi="宋体" w:eastAsia="宋体" w:cs="宋体"/>
                <w:color w:val="auto"/>
                <w:kern w:val="0"/>
                <w:szCs w:val="21"/>
                <w:lang w:val="en-US" w:eastAsia="zh-CN" w:bidi="ar"/>
              </w:rPr>
              <w:t>为加速后期文件以及软件的下发速度，软件需支持增量下发功能，只下发差异数据，速度更快。</w:t>
            </w:r>
          </w:p>
          <w:p>
            <w:pPr>
              <w:widowControl/>
              <w:spacing w:line="440" w:lineRule="exact"/>
              <w:jc w:val="left"/>
              <w:textAlignment w:val="center"/>
              <w:rPr>
                <w:rFonts w:hint="eastAsia" w:ascii="宋体" w:hAnsi="宋体" w:eastAsia="宋体" w:cs="宋体"/>
                <w:strike/>
                <w:dstrike w:val="0"/>
                <w:color w:val="auto"/>
                <w:kern w:val="0"/>
                <w:szCs w:val="21"/>
                <w:highlight w:val="yellow"/>
                <w:lang w:val="en-US" w:eastAsia="zh-CN" w:bidi="ar"/>
              </w:rPr>
            </w:pPr>
            <w:r>
              <w:rPr>
                <w:rFonts w:hint="eastAsia" w:ascii="宋体" w:hAnsi="宋体" w:eastAsia="宋体" w:cs="宋体"/>
                <w:color w:val="auto"/>
                <w:kern w:val="0"/>
                <w:szCs w:val="21"/>
                <w:lang w:val="en-US" w:eastAsia="zh-CN" w:bidi="ar"/>
              </w:rPr>
              <w:t>1</w:t>
            </w:r>
            <w:r>
              <w:rPr>
                <w:rFonts w:hint="eastAsia" w:ascii="宋体" w:hAnsi="宋体" w:cs="宋体"/>
                <w:color w:val="auto"/>
                <w:kern w:val="0"/>
                <w:szCs w:val="21"/>
                <w:lang w:val="en-US" w:eastAsia="zh-CN" w:bidi="ar"/>
              </w:rPr>
              <w:t>7.</w:t>
            </w:r>
            <w:r>
              <w:rPr>
                <w:rFonts w:hint="eastAsia" w:ascii="宋体" w:hAnsi="宋体" w:eastAsia="宋体" w:cs="宋体"/>
                <w:color w:val="auto"/>
                <w:kern w:val="0"/>
                <w:szCs w:val="21"/>
                <w:lang w:val="en-US" w:eastAsia="zh-CN" w:bidi="ar"/>
              </w:rPr>
              <w:t>为简化部署，支持对3DMAX、CAD等图形设计、工程设计类软件的统一注册，无需手动逐台激活。</w:t>
            </w:r>
          </w:p>
          <w:p>
            <w:pPr>
              <w:widowControl/>
              <w:spacing w:line="440" w:lineRule="exact"/>
              <w:jc w:val="left"/>
              <w:textAlignment w:val="center"/>
              <w:rPr>
                <w:rFonts w:hint="eastAsia" w:ascii="宋体" w:hAnsi="宋体" w:eastAsia="宋体" w:cs="宋体"/>
                <w:color w:val="auto"/>
                <w:kern w:val="0"/>
                <w:szCs w:val="21"/>
                <w:lang w:val="en-US" w:eastAsia="zh-CN" w:bidi="ar"/>
              </w:rPr>
            </w:pPr>
            <w:r>
              <w:rPr>
                <w:rFonts w:hint="eastAsia" w:ascii="宋体" w:hAnsi="宋体" w:eastAsia="宋体" w:cs="宋体"/>
                <w:color w:val="auto"/>
                <w:kern w:val="0"/>
                <w:szCs w:val="21"/>
                <w:lang w:val="en-US" w:eastAsia="zh-CN" w:bidi="ar"/>
              </w:rPr>
              <w:t>1</w:t>
            </w:r>
            <w:r>
              <w:rPr>
                <w:rFonts w:hint="eastAsia" w:ascii="宋体" w:hAnsi="宋体" w:cs="宋体"/>
                <w:color w:val="auto"/>
                <w:kern w:val="0"/>
                <w:szCs w:val="21"/>
                <w:lang w:val="en-US" w:eastAsia="zh-CN" w:bidi="ar"/>
              </w:rPr>
              <w:t>8.</w:t>
            </w:r>
            <w:r>
              <w:rPr>
                <w:rFonts w:hint="eastAsia" w:ascii="宋体" w:hAnsi="宋体" w:eastAsia="宋体" w:cs="宋体"/>
                <w:color w:val="auto"/>
                <w:kern w:val="0"/>
                <w:szCs w:val="21"/>
                <w:lang w:val="en-US" w:eastAsia="zh-CN" w:bidi="ar"/>
              </w:rPr>
              <w:t>支持Linux系统以及Windows系统的IP以及计算机名的批量自动分配。</w:t>
            </w:r>
          </w:p>
          <w:p>
            <w:pPr>
              <w:widowControl/>
              <w:spacing w:line="440" w:lineRule="exact"/>
              <w:jc w:val="left"/>
              <w:textAlignment w:val="center"/>
              <w:rPr>
                <w:rFonts w:hint="eastAsia" w:ascii="宋体" w:hAnsi="宋体" w:eastAsia="宋体" w:cs="宋体"/>
                <w:color w:val="auto"/>
                <w:kern w:val="0"/>
                <w:szCs w:val="21"/>
                <w:lang w:val="en-US" w:eastAsia="zh-CN" w:bidi="ar"/>
              </w:rPr>
            </w:pPr>
            <w:r>
              <w:rPr>
                <w:rFonts w:hint="eastAsia" w:ascii="宋体" w:hAnsi="宋体" w:eastAsia="宋体" w:cs="宋体"/>
                <w:color w:val="auto"/>
                <w:kern w:val="0"/>
                <w:szCs w:val="21"/>
                <w:lang w:val="en-US" w:eastAsia="zh-CN" w:bidi="ar"/>
              </w:rPr>
              <w:t>1</w:t>
            </w:r>
            <w:r>
              <w:rPr>
                <w:rFonts w:hint="eastAsia" w:ascii="宋体" w:hAnsi="宋体" w:cs="宋体"/>
                <w:color w:val="auto"/>
                <w:kern w:val="0"/>
                <w:szCs w:val="21"/>
                <w:lang w:val="en-US" w:eastAsia="zh-CN" w:bidi="ar"/>
              </w:rPr>
              <w:t>9.</w:t>
            </w:r>
            <w:r>
              <w:rPr>
                <w:rFonts w:hint="eastAsia" w:ascii="宋体" w:hAnsi="宋体" w:eastAsia="宋体" w:cs="宋体"/>
                <w:color w:val="auto"/>
                <w:kern w:val="0"/>
                <w:szCs w:val="21"/>
                <w:lang w:val="en-US" w:eastAsia="zh-CN" w:bidi="ar"/>
              </w:rPr>
              <w:t>支持查看各设备的网络连接状态是否正常，如存在异常情况，便于管理员进行及时排障。</w:t>
            </w:r>
          </w:p>
          <w:p>
            <w:pPr>
              <w:widowControl/>
              <w:spacing w:line="440" w:lineRule="exact"/>
              <w:jc w:val="left"/>
              <w:textAlignment w:val="center"/>
              <w:rPr>
                <w:rFonts w:hint="eastAsia" w:ascii="宋体" w:hAnsi="宋体" w:eastAsia="宋体" w:cs="宋体"/>
                <w:color w:val="auto"/>
                <w:kern w:val="0"/>
                <w:szCs w:val="21"/>
                <w:lang w:val="en-US" w:eastAsia="zh-CN" w:bidi="ar"/>
              </w:rPr>
            </w:pPr>
            <w:r>
              <w:rPr>
                <w:rFonts w:hint="eastAsia" w:ascii="宋体" w:hAnsi="宋体" w:eastAsia="宋体" w:cs="宋体"/>
                <w:color w:val="auto"/>
                <w:kern w:val="0"/>
                <w:szCs w:val="21"/>
                <w:lang w:val="en-US" w:eastAsia="zh-CN" w:bidi="ar"/>
              </w:rPr>
              <w:t>★2</w:t>
            </w:r>
            <w:r>
              <w:rPr>
                <w:rFonts w:hint="eastAsia" w:ascii="宋体" w:hAnsi="宋体" w:cs="宋体"/>
                <w:color w:val="auto"/>
                <w:kern w:val="0"/>
                <w:szCs w:val="21"/>
                <w:lang w:val="en-US" w:eastAsia="zh-CN" w:bidi="ar"/>
              </w:rPr>
              <w:t>0.</w:t>
            </w:r>
            <w:r>
              <w:rPr>
                <w:rFonts w:hint="eastAsia" w:ascii="宋体" w:hAnsi="宋体" w:eastAsia="宋体" w:cs="宋体"/>
                <w:color w:val="auto"/>
                <w:kern w:val="0"/>
                <w:szCs w:val="21"/>
                <w:lang w:val="en-US" w:eastAsia="zh-CN" w:bidi="ar"/>
              </w:rPr>
              <w:t>云桌面软件支持无服务器部署，任意一台学生机均可成为管理端，对于所有设备进行统一管理维护。</w:t>
            </w:r>
            <w:r>
              <w:rPr>
                <w:rFonts w:hint="eastAsia" w:ascii="宋体" w:hAnsi="宋体" w:cs="宋体"/>
                <w:color w:val="auto"/>
                <w:kern w:val="0"/>
                <w:szCs w:val="21"/>
                <w:lang w:eastAsia="zh-CN" w:bidi="ar"/>
              </w:rPr>
              <w:t>（提供证明材料：包括但不限于厂家证明或功能截图或国家认可的第三方检测报告并加盖供应商公章）</w:t>
            </w:r>
          </w:p>
          <w:p>
            <w:pPr>
              <w:widowControl/>
              <w:spacing w:line="440" w:lineRule="exact"/>
              <w:jc w:val="left"/>
              <w:textAlignment w:val="center"/>
              <w:rPr>
                <w:rFonts w:hint="eastAsia" w:ascii="宋体" w:hAnsi="宋体" w:eastAsia="宋体" w:cs="宋体"/>
                <w:color w:val="auto"/>
                <w:kern w:val="0"/>
                <w:szCs w:val="21"/>
                <w:lang w:val="en-US" w:eastAsia="zh-CN" w:bidi="ar"/>
              </w:rPr>
            </w:pPr>
            <w:r>
              <w:rPr>
                <w:rFonts w:hint="eastAsia" w:ascii="宋体" w:hAnsi="宋体" w:eastAsia="宋体" w:cs="宋体"/>
                <w:color w:val="auto"/>
                <w:kern w:val="0"/>
                <w:szCs w:val="21"/>
                <w:lang w:val="en-US" w:eastAsia="zh-CN" w:bidi="ar"/>
              </w:rPr>
              <w:t>2</w:t>
            </w:r>
            <w:r>
              <w:rPr>
                <w:rFonts w:hint="eastAsia" w:ascii="宋体" w:hAnsi="宋体" w:cs="宋体"/>
                <w:color w:val="auto"/>
                <w:kern w:val="0"/>
                <w:szCs w:val="21"/>
                <w:lang w:val="en-US" w:eastAsia="zh-CN" w:bidi="ar"/>
              </w:rPr>
              <w:t>1.</w:t>
            </w:r>
            <w:r>
              <w:rPr>
                <w:rFonts w:hint="eastAsia" w:ascii="宋体" w:hAnsi="宋体" w:eastAsia="宋体" w:cs="宋体"/>
                <w:color w:val="auto"/>
                <w:kern w:val="0"/>
                <w:szCs w:val="21"/>
                <w:lang w:val="en-US" w:eastAsia="zh-CN" w:bidi="ar"/>
              </w:rPr>
              <w:t>支持操作日志记录，对于管理员的所有操作都会自动生成日志，便于在出现问题时进行及时排查。</w:t>
            </w:r>
          </w:p>
          <w:p>
            <w:pPr>
              <w:widowControl/>
              <w:spacing w:line="440" w:lineRule="exact"/>
              <w:jc w:val="left"/>
              <w:textAlignment w:val="center"/>
              <w:rPr>
                <w:rFonts w:hint="eastAsia" w:ascii="宋体" w:hAnsi="宋体" w:eastAsia="宋体" w:cs="宋体"/>
                <w:color w:val="auto"/>
                <w:kern w:val="0"/>
                <w:szCs w:val="21"/>
                <w:lang w:val="en-US" w:eastAsia="zh-CN" w:bidi="ar"/>
              </w:rPr>
            </w:pPr>
            <w:r>
              <w:rPr>
                <w:rFonts w:hint="eastAsia" w:ascii="宋体" w:hAnsi="宋体" w:eastAsia="宋体" w:cs="宋体"/>
                <w:color w:val="auto"/>
                <w:kern w:val="0"/>
                <w:szCs w:val="21"/>
                <w:lang w:val="en-US" w:eastAsia="zh-CN" w:bidi="ar"/>
              </w:rPr>
              <w:t>2</w:t>
            </w:r>
            <w:r>
              <w:rPr>
                <w:rFonts w:hint="eastAsia" w:ascii="宋体" w:hAnsi="宋体" w:cs="宋体"/>
                <w:color w:val="auto"/>
                <w:kern w:val="0"/>
                <w:szCs w:val="21"/>
                <w:lang w:val="en-US" w:eastAsia="zh-CN" w:bidi="ar"/>
              </w:rPr>
              <w:t>2.</w:t>
            </w:r>
            <w:r>
              <w:rPr>
                <w:rFonts w:hint="eastAsia" w:ascii="宋体" w:hAnsi="宋体" w:eastAsia="宋体" w:cs="宋体"/>
                <w:color w:val="auto"/>
                <w:kern w:val="0"/>
                <w:szCs w:val="21"/>
                <w:lang w:val="en-US" w:eastAsia="zh-CN" w:bidi="ar"/>
              </w:rPr>
              <w:t>为防止管理员镜像下发时出现错误，可支持中止下发，中止后进行重新下发即可。</w:t>
            </w:r>
          </w:p>
          <w:p>
            <w:pPr>
              <w:widowControl/>
              <w:spacing w:line="440" w:lineRule="exact"/>
              <w:jc w:val="left"/>
              <w:textAlignment w:val="center"/>
              <w:rPr>
                <w:rFonts w:hint="eastAsia" w:ascii="宋体" w:hAnsi="宋体" w:eastAsia="宋体" w:cs="宋体"/>
                <w:color w:val="auto"/>
                <w:kern w:val="0"/>
                <w:szCs w:val="21"/>
                <w:lang w:val="en-US" w:eastAsia="zh-CN" w:bidi="ar"/>
              </w:rPr>
            </w:pPr>
            <w:r>
              <w:rPr>
                <w:rFonts w:hint="eastAsia" w:ascii="宋体" w:hAnsi="宋体" w:eastAsia="宋体" w:cs="宋体"/>
                <w:color w:val="auto"/>
                <w:kern w:val="0"/>
                <w:szCs w:val="21"/>
                <w:lang w:val="en-US" w:eastAsia="zh-CN" w:bidi="ar"/>
              </w:rPr>
              <w:t>2</w:t>
            </w:r>
            <w:r>
              <w:rPr>
                <w:rFonts w:hint="eastAsia" w:ascii="宋体" w:hAnsi="宋体" w:cs="宋体"/>
                <w:color w:val="auto"/>
                <w:kern w:val="0"/>
                <w:szCs w:val="21"/>
                <w:lang w:val="en-US" w:eastAsia="zh-CN" w:bidi="ar"/>
              </w:rPr>
              <w:t>3.</w:t>
            </w:r>
            <w:r>
              <w:rPr>
                <w:rFonts w:hint="eastAsia" w:ascii="宋体" w:hAnsi="宋体" w:eastAsia="宋体" w:cs="宋体"/>
                <w:color w:val="auto"/>
                <w:kern w:val="0"/>
                <w:szCs w:val="21"/>
                <w:lang w:val="en-US" w:eastAsia="zh-CN" w:bidi="ar"/>
              </w:rPr>
              <w:t>支持编号功能，对于所有设备可进行自动批量编号。</w:t>
            </w:r>
          </w:p>
          <w:p>
            <w:pPr>
              <w:widowControl/>
              <w:spacing w:line="440" w:lineRule="exact"/>
              <w:jc w:val="left"/>
              <w:textAlignment w:val="center"/>
              <w:rPr>
                <w:rFonts w:hint="default" w:ascii="宋体" w:hAnsi="宋体" w:eastAsia="宋体" w:cs="宋体"/>
                <w:color w:val="auto"/>
                <w:kern w:val="0"/>
                <w:szCs w:val="21"/>
                <w:lang w:val="en-US" w:eastAsia="zh-CN" w:bidi="ar"/>
              </w:rPr>
            </w:pPr>
            <w:r>
              <w:rPr>
                <w:rFonts w:hint="eastAsia" w:ascii="宋体" w:hAnsi="宋体" w:eastAsia="宋体" w:cs="宋体"/>
                <w:color w:val="auto"/>
                <w:kern w:val="0"/>
                <w:szCs w:val="21"/>
                <w:lang w:val="en-US" w:eastAsia="zh-CN" w:bidi="ar"/>
              </w:rPr>
              <w:t>2</w:t>
            </w:r>
            <w:r>
              <w:rPr>
                <w:rFonts w:hint="eastAsia" w:ascii="宋体" w:hAnsi="宋体" w:cs="宋体"/>
                <w:color w:val="auto"/>
                <w:kern w:val="0"/>
                <w:szCs w:val="21"/>
                <w:lang w:val="en-US" w:eastAsia="zh-CN" w:bidi="ar"/>
              </w:rPr>
              <w:t>4.</w:t>
            </w:r>
            <w:r>
              <w:rPr>
                <w:rFonts w:hint="eastAsia" w:ascii="宋体" w:hAnsi="宋体" w:eastAsia="宋体" w:cs="宋体"/>
                <w:color w:val="auto"/>
                <w:kern w:val="0"/>
                <w:szCs w:val="21"/>
                <w:lang w:val="en-US" w:eastAsia="zh-CN" w:bidi="ar"/>
              </w:rPr>
              <w:t xml:space="preserve">支持添加数据盘功能，对于有数据保存需求的用户，可以添加数据盘进行保存数据，在系统还原模式下，仍然可以保留个人相关数据。                                                                                    </w:t>
            </w:r>
          </w:p>
        </w:tc>
        <w:tc>
          <w:tcPr>
            <w:tcW w:w="756" w:type="dxa"/>
            <w:vAlign w:val="center"/>
          </w:tcPr>
          <w:p>
            <w:pPr>
              <w:pStyle w:val="137"/>
              <w:spacing w:line="440" w:lineRule="exact"/>
              <w:ind w:firstLine="0" w:firstLineChars="0"/>
              <w:jc w:val="center"/>
              <w:rPr>
                <w:rFonts w:hint="eastAsia" w:hAnsi="宋体" w:cs="宋体"/>
                <w:color w:val="auto"/>
                <w:sz w:val="21"/>
                <w:szCs w:val="21"/>
              </w:rPr>
            </w:pPr>
            <w:r>
              <w:rPr>
                <w:rFonts w:hint="eastAsia"/>
                <w:color w:val="auto"/>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pStyle w:val="137"/>
              <w:spacing w:line="440" w:lineRule="exact"/>
              <w:ind w:firstLine="0" w:firstLineChars="0"/>
              <w:jc w:val="center"/>
              <w:rPr>
                <w:rFonts w:hint="eastAsia" w:hAnsi="宋体" w:eastAsia="宋体" w:cs="宋体"/>
                <w:bCs/>
                <w:color w:val="auto"/>
                <w:sz w:val="21"/>
                <w:szCs w:val="21"/>
                <w:lang w:eastAsia="zh-CN" w:bidi="ar"/>
              </w:rPr>
            </w:pPr>
            <w:r>
              <w:rPr>
                <w:rFonts w:hint="eastAsia" w:hAnsi="宋体" w:cs="宋体"/>
                <w:color w:val="auto"/>
                <w:lang w:val="en-US" w:eastAsia="zh-CN" w:bidi="ar"/>
              </w:rPr>
              <w:t>3</w:t>
            </w:r>
          </w:p>
        </w:tc>
        <w:tc>
          <w:tcPr>
            <w:tcW w:w="797" w:type="dxa"/>
            <w:vAlign w:val="center"/>
          </w:tcPr>
          <w:p>
            <w:pPr>
              <w:autoSpaceDN w:val="0"/>
              <w:ind w:left="210" w:leftChars="0" w:hanging="210" w:hangingChars="100"/>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操作</w:t>
            </w:r>
          </w:p>
          <w:p>
            <w:pPr>
              <w:pStyle w:val="137"/>
              <w:spacing w:line="440" w:lineRule="exact"/>
              <w:ind w:firstLine="0" w:firstLineChars="0"/>
              <w:jc w:val="center"/>
              <w:rPr>
                <w:rFonts w:hint="eastAsia" w:hAnsi="宋体" w:cs="宋体"/>
                <w:bCs/>
                <w:color w:val="auto"/>
                <w:sz w:val="21"/>
                <w:szCs w:val="21"/>
                <w:lang w:bidi="ar"/>
              </w:rPr>
            </w:pPr>
            <w:r>
              <w:rPr>
                <w:rFonts w:hint="eastAsia" w:ascii="宋体" w:hAnsi="宋体" w:eastAsia="宋体" w:cs="宋体"/>
                <w:color w:val="auto"/>
                <w:sz w:val="21"/>
                <w:szCs w:val="21"/>
              </w:rPr>
              <w:t>系统</w:t>
            </w:r>
          </w:p>
        </w:tc>
        <w:tc>
          <w:tcPr>
            <w:tcW w:w="448" w:type="dxa"/>
            <w:vAlign w:val="center"/>
          </w:tcPr>
          <w:p>
            <w:pPr>
              <w:pStyle w:val="137"/>
              <w:spacing w:line="440" w:lineRule="exact"/>
              <w:ind w:firstLine="0" w:firstLineChars="0"/>
              <w:jc w:val="center"/>
              <w:rPr>
                <w:rFonts w:hint="eastAsia" w:hAnsi="宋体" w:eastAsia="宋体" w:cs="宋体"/>
                <w:bCs/>
                <w:color w:val="auto"/>
                <w:sz w:val="21"/>
                <w:szCs w:val="21"/>
                <w:lang w:eastAsia="zh-CN" w:bidi="ar"/>
              </w:rPr>
            </w:pPr>
            <w:r>
              <w:rPr>
                <w:rFonts w:hint="eastAsia" w:hAnsi="宋体" w:cs="宋体"/>
                <w:bCs/>
                <w:color w:val="auto"/>
                <w:sz w:val="21"/>
                <w:szCs w:val="21"/>
                <w:lang w:val="en-US" w:eastAsia="zh-CN" w:bidi="ar"/>
              </w:rPr>
              <w:t>套</w:t>
            </w:r>
          </w:p>
        </w:tc>
        <w:tc>
          <w:tcPr>
            <w:tcW w:w="735" w:type="dxa"/>
            <w:vAlign w:val="center"/>
          </w:tcPr>
          <w:p>
            <w:pPr>
              <w:pStyle w:val="137"/>
              <w:spacing w:line="440" w:lineRule="exact"/>
              <w:ind w:firstLine="0" w:firstLineChars="0"/>
              <w:jc w:val="center"/>
              <w:rPr>
                <w:rFonts w:hint="default" w:hAnsi="宋体" w:eastAsia="宋体" w:cs="宋体"/>
                <w:bCs/>
                <w:color w:val="auto"/>
                <w:sz w:val="21"/>
                <w:szCs w:val="21"/>
                <w:lang w:val="en-US" w:eastAsia="zh-CN" w:bidi="ar"/>
              </w:rPr>
            </w:pPr>
            <w:r>
              <w:rPr>
                <w:rFonts w:hint="eastAsia" w:hAnsi="宋体" w:cs="宋体"/>
                <w:bCs/>
                <w:color w:val="auto"/>
                <w:sz w:val="21"/>
                <w:szCs w:val="21"/>
                <w:lang w:val="en-US" w:eastAsia="zh-CN" w:bidi="ar"/>
              </w:rPr>
              <w:t>40</w:t>
            </w:r>
          </w:p>
        </w:tc>
        <w:tc>
          <w:tcPr>
            <w:tcW w:w="6540" w:type="dxa"/>
            <w:vAlign w:val="center"/>
          </w:tcPr>
          <w:p>
            <w:pPr>
              <w:widowControl/>
              <w:spacing w:line="440" w:lineRule="exact"/>
              <w:ind w:firstLine="210" w:firstLineChars="100"/>
              <w:jc w:val="left"/>
              <w:textAlignment w:val="center"/>
              <w:rPr>
                <w:rFonts w:hint="eastAsia"/>
                <w:lang w:val="en-US" w:eastAsia="zh-CN"/>
              </w:rPr>
            </w:pPr>
            <w:r>
              <w:rPr>
                <w:rFonts w:hint="eastAsia" w:ascii="宋体" w:hAnsi="宋体" w:cs="宋体"/>
                <w:color w:val="auto"/>
                <w:kern w:val="0"/>
                <w:sz w:val="21"/>
                <w:szCs w:val="21"/>
                <w:lang w:val="en-US" w:eastAsia="zh-CN" w:bidi="ar"/>
              </w:rPr>
              <w:t>本项产品为台式计算机配套使用</w:t>
            </w:r>
          </w:p>
          <w:p>
            <w:pPr>
              <w:widowControl/>
              <w:spacing w:line="440" w:lineRule="exact"/>
              <w:jc w:val="left"/>
              <w:textAlignment w:val="center"/>
              <w:rPr>
                <w:rFonts w:hint="eastAsia"/>
                <w:lang w:val="en-US" w:eastAsia="zh-CN"/>
              </w:rPr>
            </w:pPr>
            <w:r>
              <w:rPr>
                <w:rFonts w:hint="eastAsia"/>
                <w:lang w:val="en-US" w:eastAsia="zh-CN"/>
              </w:rPr>
              <w:t>1.操作系统产品提供分区管理、文件系统管理、系统监视器、备份还原、安全中心、系统更新等系统工具。</w:t>
            </w:r>
          </w:p>
          <w:p>
            <w:pPr>
              <w:widowControl/>
              <w:spacing w:line="440" w:lineRule="exact"/>
              <w:jc w:val="left"/>
              <w:textAlignment w:val="center"/>
              <w:rPr>
                <w:rFonts w:hint="eastAsia"/>
                <w:lang w:val="en-US" w:eastAsia="zh-CN"/>
              </w:rPr>
            </w:pPr>
            <w:r>
              <w:rPr>
                <w:rFonts w:hint="eastAsia"/>
                <w:lang w:val="en-US" w:eastAsia="zh-CN"/>
              </w:rPr>
              <w:t>2.CPU支持：支持AMD64.ARM64.Mips64.LoongArch等CPU架构;支持海光、兆芯、鲲鹏、海思麒麟、飞腾、龙芯、瑞芯微等CPU型号。</w:t>
            </w:r>
          </w:p>
          <w:p>
            <w:pPr>
              <w:widowControl/>
              <w:spacing w:line="440" w:lineRule="exact"/>
              <w:jc w:val="left"/>
              <w:textAlignment w:val="center"/>
              <w:rPr>
                <w:rFonts w:hint="eastAsia"/>
                <w:lang w:val="en-US" w:eastAsia="zh-CN"/>
              </w:rPr>
            </w:pPr>
            <w:r>
              <w:rPr>
                <w:rFonts w:hint="eastAsia"/>
                <w:lang w:val="en-US" w:eastAsia="zh-CN"/>
              </w:rPr>
              <w:t>3.产品需满足国家密码管理局商用密码检测中心《密码模块安全技术要求》第二级要求。</w:t>
            </w:r>
          </w:p>
          <w:p>
            <w:pPr>
              <w:widowControl/>
              <w:spacing w:line="440" w:lineRule="exact"/>
              <w:jc w:val="left"/>
              <w:textAlignment w:val="center"/>
              <w:rPr>
                <w:rFonts w:hint="eastAsia"/>
                <w:lang w:val="en-US" w:eastAsia="zh-CN"/>
              </w:rPr>
            </w:pPr>
            <w:r>
              <w:rPr>
                <w:rFonts w:hint="eastAsia"/>
                <w:lang w:val="en-US" w:eastAsia="zh-CN"/>
              </w:rPr>
              <w:t>4.产品操作系统在不同硬件平台提供自主研发的统一桌面环境，保障用户体验的一致性，桌面环境满足最新国家标准GB18030—2022《信息技术 中文编码字符集》字符集认证要求。</w:t>
            </w:r>
          </w:p>
          <w:p>
            <w:pPr>
              <w:widowControl/>
              <w:spacing w:line="440" w:lineRule="exact"/>
              <w:jc w:val="left"/>
              <w:textAlignment w:val="center"/>
              <w:rPr>
                <w:rFonts w:hint="eastAsia"/>
                <w:lang w:val="en-US" w:eastAsia="zh-CN"/>
              </w:rPr>
            </w:pPr>
            <w:r>
              <w:rPr>
                <w:rFonts w:hint="eastAsia"/>
                <w:lang w:val="en-US" w:eastAsia="zh-CN"/>
              </w:rPr>
              <w:t>5.青少年上网保护：支持通过自研浏览器上网，拦截网页中恶意弹窗，诱导点击跳转至不良内容、低俗庸俗等有害页面的行为，在线查阅拦截报表统计、用户举报。</w:t>
            </w:r>
          </w:p>
          <w:p>
            <w:pPr>
              <w:widowControl/>
              <w:spacing w:line="440" w:lineRule="exact"/>
              <w:jc w:val="left"/>
              <w:textAlignment w:val="center"/>
              <w:rPr>
                <w:rFonts w:hint="eastAsia"/>
                <w:lang w:val="en-US" w:eastAsia="zh-CN"/>
              </w:rPr>
            </w:pPr>
            <w:r>
              <w:rPr>
                <w:rFonts w:hint="eastAsia"/>
                <w:lang w:val="en-US" w:eastAsia="zh-CN"/>
              </w:rPr>
              <w:t>6.应用商店：操作系统产品具有应用商店，应用商店可针对教育行业提供教育专属应用，并可以提供各地方的智慧教育云平台应用。</w:t>
            </w:r>
          </w:p>
          <w:p>
            <w:pPr>
              <w:widowControl/>
              <w:spacing w:line="440" w:lineRule="exact"/>
              <w:jc w:val="left"/>
              <w:textAlignment w:val="center"/>
              <w:rPr>
                <w:rFonts w:hint="eastAsia"/>
                <w:lang w:val="en-US" w:eastAsia="zh-CN"/>
              </w:rPr>
            </w:pPr>
            <w:r>
              <w:rPr>
                <w:rFonts w:hint="eastAsia"/>
                <w:lang w:val="en-US" w:eastAsia="zh-CN"/>
              </w:rPr>
              <w:t>7.浏览器支持：为保障网页兼容性与网页应用兼容性，操作系统软件需预装原厂浏览器而非第三方浏览器。操作系统与预装浏览器需由一个厂商提供。同时支持360安全浏览器、奇安信可信浏览器、红莲花安全浏览器等浏览器等。</w:t>
            </w:r>
          </w:p>
          <w:p>
            <w:pPr>
              <w:widowControl/>
              <w:spacing w:line="440" w:lineRule="exact"/>
              <w:jc w:val="left"/>
              <w:textAlignment w:val="center"/>
              <w:rPr>
                <w:rFonts w:hint="eastAsia"/>
                <w:lang w:val="en-US" w:eastAsia="zh-CN"/>
              </w:rPr>
            </w:pPr>
            <w:r>
              <w:rPr>
                <w:rFonts w:hint="eastAsia"/>
                <w:lang w:val="en-US" w:eastAsia="zh-CN"/>
              </w:rPr>
              <w:t>8.为保障系统不被恶意软件破坏和保障系统安全，操作系统软件需支持开发者模式，用以限制root、sudo权限和安装未签名、未许可的软件；</w:t>
            </w:r>
          </w:p>
          <w:p>
            <w:pPr>
              <w:widowControl/>
              <w:spacing w:line="440" w:lineRule="exact"/>
              <w:jc w:val="left"/>
              <w:textAlignment w:val="center"/>
              <w:rPr>
                <w:rFonts w:hint="eastAsia"/>
                <w:lang w:val="en-US" w:eastAsia="zh-CN"/>
              </w:rPr>
            </w:pPr>
            <w:r>
              <w:rPr>
                <w:rFonts w:hint="eastAsia"/>
                <w:lang w:val="en-US" w:eastAsia="zh-CN"/>
              </w:rPr>
              <w:t>9.操作系统软件可以实现恢复出厂设置功能，保留原有用户数据。</w:t>
            </w:r>
          </w:p>
          <w:p>
            <w:pPr>
              <w:widowControl/>
              <w:spacing w:line="440" w:lineRule="exact"/>
              <w:jc w:val="left"/>
              <w:textAlignment w:val="center"/>
              <w:rPr>
                <w:rFonts w:hint="eastAsia"/>
                <w:lang w:val="en-US" w:eastAsia="zh-CN"/>
              </w:rPr>
            </w:pPr>
            <w:r>
              <w:rPr>
                <w:rFonts w:hint="eastAsia"/>
                <w:lang w:val="en-US" w:eastAsia="zh-CN"/>
              </w:rPr>
              <w:t>10.操作系统软件提供云同步功能，支持本机系统配置同步到云端。</w:t>
            </w:r>
          </w:p>
          <w:p>
            <w:pPr>
              <w:widowControl/>
              <w:spacing w:line="440" w:lineRule="exact"/>
              <w:jc w:val="left"/>
              <w:textAlignment w:val="center"/>
              <w:rPr>
                <w:rFonts w:hint="eastAsia"/>
                <w:lang w:val="en-US" w:eastAsia="zh-CN"/>
              </w:rPr>
            </w:pPr>
            <w:r>
              <w:rPr>
                <w:rFonts w:hint="eastAsia"/>
                <w:lang w:val="en-US" w:eastAsia="zh-CN"/>
              </w:rPr>
              <w:t>11.系统安全中心深度集成杀毒引擎，用户无需单独下载，至少提供两个杀毒库供用户自行选择。</w:t>
            </w:r>
          </w:p>
          <w:p>
            <w:pPr>
              <w:widowControl/>
              <w:spacing w:line="440" w:lineRule="exact"/>
              <w:jc w:val="left"/>
              <w:textAlignment w:val="center"/>
              <w:rPr>
                <w:rFonts w:hint="default"/>
                <w:lang w:val="en-US" w:eastAsia="zh-CN"/>
              </w:rPr>
            </w:pPr>
            <w:r>
              <w:rPr>
                <w:rFonts w:hint="eastAsia"/>
                <w:lang w:val="en-US" w:eastAsia="zh-CN"/>
              </w:rPr>
              <w:t>12.磁盘检查：系统支持磁盘健康检测、磁盘分区表错误检测、磁盘坏道修复检测。</w:t>
            </w:r>
          </w:p>
        </w:tc>
        <w:tc>
          <w:tcPr>
            <w:tcW w:w="756" w:type="dxa"/>
            <w:vAlign w:val="center"/>
          </w:tcPr>
          <w:p>
            <w:pPr>
              <w:widowControl/>
              <w:spacing w:line="440" w:lineRule="exact"/>
              <w:jc w:val="center"/>
              <w:textAlignment w:val="center"/>
              <w:rPr>
                <w:rFonts w:hint="eastAsia" w:ascii="宋体" w:hAnsi="宋体" w:cs="宋体"/>
                <w:color w:val="auto"/>
                <w:szCs w:val="21"/>
              </w:rPr>
            </w:pPr>
            <w:r>
              <w:rPr>
                <w:rFonts w:hint="eastAsia" w:hAnsi="宋体" w:cs="宋体"/>
                <w:color w:val="auto"/>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17" w:type="dxa"/>
            <w:gridSpan w:val="6"/>
            <w:vAlign w:val="center"/>
          </w:tcPr>
          <w:p>
            <w:pPr>
              <w:widowControl/>
              <w:spacing w:line="440" w:lineRule="exact"/>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b/>
                <w:bCs/>
                <w:color w:val="auto"/>
                <w:sz w:val="24"/>
                <w:szCs w:val="24"/>
                <w:vertAlign w:val="baseline"/>
                <w:lang w:val="en-US" w:eastAsia="zh-CN"/>
              </w:rPr>
              <w:t>（三）课桌椅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pStyle w:val="137"/>
              <w:spacing w:line="440" w:lineRule="exact"/>
              <w:ind w:firstLine="0" w:firstLineChars="0"/>
              <w:jc w:val="center"/>
              <w:rPr>
                <w:rFonts w:hint="eastAsia" w:hAnsi="宋体" w:eastAsia="宋体" w:cs="宋体"/>
                <w:bCs/>
                <w:color w:val="auto"/>
                <w:sz w:val="21"/>
                <w:szCs w:val="21"/>
                <w:lang w:val="en-US" w:eastAsia="zh-CN" w:bidi="ar"/>
              </w:rPr>
            </w:pPr>
            <w:r>
              <w:rPr>
                <w:rFonts w:hint="eastAsia" w:hAnsi="宋体" w:cs="宋体"/>
                <w:bCs/>
                <w:color w:val="auto"/>
                <w:sz w:val="21"/>
                <w:szCs w:val="21"/>
                <w:lang w:val="en-US" w:eastAsia="zh-CN" w:bidi="ar"/>
              </w:rPr>
              <w:t>1</w:t>
            </w:r>
          </w:p>
        </w:tc>
        <w:tc>
          <w:tcPr>
            <w:tcW w:w="797" w:type="dxa"/>
            <w:vAlign w:val="center"/>
          </w:tcPr>
          <w:p>
            <w:pPr>
              <w:pStyle w:val="137"/>
              <w:spacing w:line="440" w:lineRule="exact"/>
              <w:ind w:firstLine="0" w:firstLineChars="0"/>
              <w:jc w:val="center"/>
              <w:rPr>
                <w:rFonts w:hint="eastAsia" w:hAnsi="宋体" w:cs="宋体"/>
                <w:bCs/>
                <w:color w:val="auto"/>
                <w:sz w:val="21"/>
                <w:szCs w:val="21"/>
                <w:lang w:bidi="ar"/>
              </w:rPr>
            </w:pPr>
            <w:r>
              <w:rPr>
                <w:rFonts w:hint="eastAsia" w:ascii="宋体" w:hAnsi="宋体" w:eastAsia="宋体" w:cs="宋体"/>
                <w:i w:val="0"/>
                <w:iCs w:val="0"/>
                <w:color w:val="auto"/>
                <w:kern w:val="0"/>
                <w:sz w:val="21"/>
                <w:szCs w:val="21"/>
                <w:u w:val="none"/>
                <w:lang w:val="en-US" w:eastAsia="zh-CN" w:bidi="ar"/>
              </w:rPr>
              <w:t>课桌椅</w:t>
            </w:r>
          </w:p>
        </w:tc>
        <w:tc>
          <w:tcPr>
            <w:tcW w:w="448" w:type="dxa"/>
            <w:vAlign w:val="center"/>
          </w:tcPr>
          <w:p>
            <w:pPr>
              <w:pStyle w:val="137"/>
              <w:spacing w:line="440" w:lineRule="exact"/>
              <w:ind w:firstLine="0" w:firstLineChars="0"/>
              <w:jc w:val="center"/>
              <w:rPr>
                <w:rFonts w:hint="eastAsia" w:hAnsi="宋体" w:eastAsia="宋体" w:cs="宋体"/>
                <w:bCs/>
                <w:color w:val="auto"/>
                <w:sz w:val="21"/>
                <w:szCs w:val="21"/>
                <w:lang w:val="en-US" w:eastAsia="zh-CN" w:bidi="ar"/>
              </w:rPr>
            </w:pPr>
            <w:r>
              <w:rPr>
                <w:rFonts w:hint="eastAsia" w:hAnsi="宋体" w:cs="宋体"/>
                <w:bCs/>
                <w:color w:val="auto"/>
                <w:sz w:val="21"/>
                <w:szCs w:val="21"/>
                <w:lang w:val="en-US" w:eastAsia="zh-CN" w:bidi="ar"/>
              </w:rPr>
              <w:t>套</w:t>
            </w:r>
          </w:p>
        </w:tc>
        <w:tc>
          <w:tcPr>
            <w:tcW w:w="735" w:type="dxa"/>
            <w:vAlign w:val="center"/>
          </w:tcPr>
          <w:p>
            <w:pPr>
              <w:pStyle w:val="137"/>
              <w:spacing w:line="440" w:lineRule="exact"/>
              <w:ind w:firstLine="0" w:firstLineChars="0"/>
              <w:jc w:val="center"/>
              <w:rPr>
                <w:rFonts w:hint="default" w:hAnsi="宋体" w:eastAsia="宋体" w:cs="宋体"/>
                <w:bCs/>
                <w:color w:val="auto"/>
                <w:sz w:val="21"/>
                <w:szCs w:val="21"/>
                <w:lang w:val="en-US" w:eastAsia="zh-CN" w:bidi="ar"/>
              </w:rPr>
            </w:pPr>
            <w:r>
              <w:rPr>
                <w:rFonts w:hint="eastAsia" w:hAnsi="宋体" w:cs="宋体"/>
                <w:bCs/>
                <w:color w:val="auto"/>
                <w:sz w:val="21"/>
                <w:szCs w:val="21"/>
                <w:lang w:val="en-US" w:eastAsia="zh-CN" w:bidi="ar"/>
              </w:rPr>
              <w:t>2500</w:t>
            </w:r>
          </w:p>
        </w:tc>
        <w:tc>
          <w:tcPr>
            <w:tcW w:w="6540" w:type="dxa"/>
            <w:vAlign w:val="top"/>
          </w:tcPr>
          <w:p>
            <w:pPr>
              <w:widowControl/>
              <w:spacing w:line="440" w:lineRule="exact"/>
              <w:jc w:val="left"/>
              <w:textAlignment w:val="center"/>
              <w:rPr>
                <w:rFonts w:hint="eastAsia"/>
                <w:color w:val="auto"/>
                <w:lang w:val="en-US" w:eastAsia="zh-CN"/>
              </w:rPr>
            </w:pPr>
            <w:r>
              <w:rPr>
                <w:rFonts w:hint="eastAsia"/>
                <w:color w:val="auto"/>
                <w:lang w:val="en-US" w:eastAsia="zh-CN"/>
              </w:rPr>
              <w:t>一、单人课桌椅（每套包含课桌并配套单人椅1张）。</w:t>
            </w:r>
          </w:p>
          <w:p>
            <w:pPr>
              <w:widowControl/>
              <w:spacing w:line="440" w:lineRule="exact"/>
              <w:jc w:val="left"/>
              <w:textAlignment w:val="center"/>
              <w:rPr>
                <w:rFonts w:hint="eastAsia"/>
                <w:color w:val="auto"/>
                <w:lang w:val="en-US" w:eastAsia="zh-CN"/>
              </w:rPr>
            </w:pPr>
            <w:r>
              <w:rPr>
                <w:rFonts w:hint="eastAsia"/>
                <w:color w:val="auto"/>
                <w:lang w:val="en-US" w:eastAsia="zh-CN"/>
              </w:rPr>
              <w:t>二、型号规格要求</w:t>
            </w:r>
          </w:p>
          <w:p>
            <w:pPr>
              <w:widowControl/>
              <w:spacing w:line="440" w:lineRule="exact"/>
              <w:jc w:val="left"/>
              <w:textAlignment w:val="center"/>
              <w:rPr>
                <w:rFonts w:hint="eastAsia"/>
                <w:color w:val="auto"/>
                <w:lang w:val="en-US" w:eastAsia="zh-CN"/>
              </w:rPr>
            </w:pPr>
            <w:r>
              <w:rPr>
                <w:rFonts w:hint="eastAsia"/>
                <w:color w:val="auto"/>
                <w:lang w:val="en-US" w:eastAsia="zh-CN"/>
              </w:rPr>
              <w:t>（一）课桌椅的型号规格及结构应符合国家标准要求。</w:t>
            </w:r>
          </w:p>
          <w:p>
            <w:pPr>
              <w:widowControl/>
              <w:spacing w:line="440" w:lineRule="exact"/>
              <w:jc w:val="left"/>
              <w:textAlignment w:val="center"/>
              <w:rPr>
                <w:rFonts w:hint="eastAsia"/>
                <w:color w:val="auto"/>
                <w:lang w:val="en-US" w:eastAsia="zh-CN"/>
              </w:rPr>
            </w:pPr>
            <w:r>
              <w:rPr>
                <w:rFonts w:hint="eastAsia"/>
                <w:color w:val="auto"/>
                <w:lang w:val="en-US" w:eastAsia="zh-CN"/>
              </w:rPr>
              <w:t>（二）课桌：各型号规格的尺寸除本表中特别要求外，产品应符合国家标准GB/T 3976-2014《学校课桌椅功能尺寸》中的功能尺寸及技术要求。在课桌左右两侧面设置挂书包的挂钩或在课桌的后端下面设置放书包的装置，其尺寸范围不能超出国家标准的规定范围。</w:t>
            </w:r>
          </w:p>
          <w:p>
            <w:pPr>
              <w:widowControl/>
              <w:spacing w:line="440" w:lineRule="exact"/>
              <w:jc w:val="left"/>
              <w:textAlignment w:val="center"/>
              <w:rPr>
                <w:rFonts w:hint="eastAsia"/>
                <w:color w:val="auto"/>
                <w:lang w:val="en-US" w:eastAsia="zh-CN"/>
              </w:rPr>
            </w:pPr>
            <w:r>
              <w:rPr>
                <w:rFonts w:hint="eastAsia"/>
                <w:color w:val="auto"/>
                <w:lang w:val="en-US" w:eastAsia="zh-CN"/>
              </w:rPr>
              <w:t>（三）课椅：各型号规格的尺寸除本表中特别要求外，产品应符合国家标准GB/T 3976-2014《学校课桌椅功能尺寸》中的功能尺寸及技术要求。</w:t>
            </w:r>
          </w:p>
          <w:p>
            <w:pPr>
              <w:widowControl/>
              <w:spacing w:line="440" w:lineRule="exact"/>
              <w:jc w:val="left"/>
              <w:textAlignment w:val="center"/>
              <w:rPr>
                <w:rFonts w:hint="eastAsia"/>
                <w:color w:val="auto"/>
                <w:lang w:val="en-US" w:eastAsia="zh-CN"/>
              </w:rPr>
            </w:pPr>
            <w:r>
              <w:rPr>
                <w:rFonts w:hint="eastAsia"/>
                <w:color w:val="auto"/>
                <w:lang w:val="en-US" w:eastAsia="zh-CN"/>
              </w:rPr>
              <w:t>(四)型号规格</w:t>
            </w:r>
          </w:p>
          <w:p>
            <w:pPr>
              <w:widowControl/>
              <w:spacing w:line="440" w:lineRule="exact"/>
              <w:jc w:val="left"/>
              <w:textAlignment w:val="center"/>
              <w:rPr>
                <w:rFonts w:hint="eastAsia"/>
                <w:color w:val="auto"/>
                <w:lang w:val="en-US" w:eastAsia="zh-CN"/>
              </w:rPr>
            </w:pPr>
            <w:r>
              <w:rPr>
                <w:rFonts w:hint="eastAsia"/>
                <w:color w:val="auto"/>
                <w:lang w:val="en-US" w:eastAsia="zh-CN"/>
              </w:rPr>
              <w:t>1.课桌桌面板尺寸：不小于600mm×400mm；</w:t>
            </w:r>
          </w:p>
          <w:p>
            <w:pPr>
              <w:widowControl/>
              <w:spacing w:line="440" w:lineRule="exact"/>
              <w:jc w:val="left"/>
              <w:textAlignment w:val="center"/>
              <w:rPr>
                <w:rFonts w:hint="eastAsia"/>
                <w:color w:val="auto"/>
                <w:lang w:val="en-US" w:eastAsia="zh-CN"/>
              </w:rPr>
            </w:pPr>
            <w:r>
              <w:rPr>
                <w:rFonts w:hint="eastAsia"/>
                <w:color w:val="auto"/>
                <w:lang w:val="en-US" w:eastAsia="zh-CN"/>
              </w:rPr>
              <w:t>2.课桌高度：</w:t>
            </w:r>
          </w:p>
          <w:p>
            <w:pPr>
              <w:widowControl/>
              <w:spacing w:line="440" w:lineRule="exact"/>
              <w:jc w:val="left"/>
              <w:textAlignment w:val="center"/>
              <w:rPr>
                <w:rFonts w:hint="eastAsia"/>
                <w:color w:val="auto"/>
                <w:lang w:val="en-US" w:eastAsia="zh-CN"/>
              </w:rPr>
            </w:pPr>
            <w:r>
              <w:rPr>
                <w:rFonts w:hint="eastAsia"/>
                <w:color w:val="auto"/>
                <w:lang w:val="en-US" w:eastAsia="zh-CN"/>
              </w:rPr>
              <w:t>①大号课桌：可按以下高度进行调节升降：高度790mm（0号）、760mm（1号）、730mm（2号）、700mm（3号）；</w:t>
            </w:r>
          </w:p>
          <w:p>
            <w:pPr>
              <w:widowControl/>
              <w:spacing w:line="440" w:lineRule="exact"/>
              <w:jc w:val="left"/>
              <w:textAlignment w:val="center"/>
              <w:rPr>
                <w:rFonts w:hint="eastAsia"/>
                <w:color w:val="auto"/>
                <w:lang w:val="en-US" w:eastAsia="zh-CN"/>
              </w:rPr>
            </w:pPr>
            <w:r>
              <w:rPr>
                <w:rFonts w:hint="eastAsia"/>
                <w:color w:val="auto"/>
                <w:lang w:val="en-US" w:eastAsia="zh-CN"/>
              </w:rPr>
              <w:t>②中号课桌：可按以下高度进行调节升降：高度700 mm（3号）、670 mm（4号）、640 mm（5号）、610 mm（6号）；</w:t>
            </w:r>
          </w:p>
          <w:p>
            <w:pPr>
              <w:widowControl/>
              <w:spacing w:line="440" w:lineRule="exact"/>
              <w:jc w:val="left"/>
              <w:textAlignment w:val="center"/>
              <w:rPr>
                <w:rFonts w:hint="eastAsia"/>
                <w:color w:val="auto"/>
                <w:lang w:val="en-US" w:eastAsia="zh-CN"/>
              </w:rPr>
            </w:pPr>
            <w:r>
              <w:rPr>
                <w:rFonts w:hint="eastAsia"/>
                <w:color w:val="auto"/>
                <w:lang w:val="en-US" w:eastAsia="zh-CN"/>
              </w:rPr>
              <w:t>③小号课桌：可按以下高度进行调节升降：高度580 mm（7号）、550 mm（8号）、520mm（9号）、490 mm（10号）；</w:t>
            </w:r>
          </w:p>
          <w:p>
            <w:pPr>
              <w:widowControl/>
              <w:spacing w:line="440" w:lineRule="exact"/>
              <w:jc w:val="left"/>
              <w:textAlignment w:val="center"/>
              <w:rPr>
                <w:rFonts w:hint="eastAsia"/>
                <w:color w:val="auto"/>
                <w:lang w:val="en-US" w:eastAsia="zh-CN"/>
              </w:rPr>
            </w:pPr>
            <w:r>
              <w:rPr>
                <w:rFonts w:hint="eastAsia"/>
                <w:color w:val="auto"/>
                <w:lang w:val="en-US" w:eastAsia="zh-CN"/>
              </w:rPr>
              <w:t>3.课椅椅座面板尺寸：①大号课椅：宽度不小于380mm、深380mm(±2mm)；②中号课椅：宽度不小于340mm、深340mm(±2mm)；③小号课椅：宽度不小于290mm、深290mm(±2mm)；</w:t>
            </w:r>
          </w:p>
          <w:p>
            <w:pPr>
              <w:widowControl/>
              <w:spacing w:line="440" w:lineRule="exact"/>
              <w:jc w:val="left"/>
              <w:textAlignment w:val="center"/>
              <w:rPr>
                <w:rFonts w:hint="eastAsia"/>
                <w:color w:val="auto"/>
                <w:lang w:val="en-US" w:eastAsia="zh-CN"/>
              </w:rPr>
            </w:pPr>
            <w:r>
              <w:rPr>
                <w:rFonts w:hint="eastAsia"/>
                <w:color w:val="auto"/>
                <w:lang w:val="en-US" w:eastAsia="zh-CN"/>
              </w:rPr>
              <w:t>4.课椅椅靠背面板尺寸：①大号课椅：宽度不小于380mm、高度155mm(±2mm)；②中号课椅：宽度不小于340mm、高度135mm(±2mm)；③小号课椅：宽度不小于290mm、高度115mm(±2mm)；</w:t>
            </w:r>
          </w:p>
          <w:p>
            <w:pPr>
              <w:widowControl/>
              <w:spacing w:line="440" w:lineRule="exact"/>
              <w:jc w:val="left"/>
              <w:textAlignment w:val="center"/>
              <w:rPr>
                <w:rFonts w:hint="eastAsia"/>
                <w:color w:val="auto"/>
                <w:lang w:val="en-US" w:eastAsia="zh-CN"/>
              </w:rPr>
            </w:pPr>
            <w:r>
              <w:rPr>
                <w:rFonts w:hint="eastAsia"/>
                <w:color w:val="auto"/>
                <w:lang w:val="en-US" w:eastAsia="zh-CN"/>
              </w:rPr>
              <w:t>5.座面高度：</w:t>
            </w:r>
          </w:p>
          <w:p>
            <w:pPr>
              <w:widowControl/>
              <w:spacing w:line="440" w:lineRule="exact"/>
              <w:jc w:val="left"/>
              <w:textAlignment w:val="center"/>
              <w:rPr>
                <w:rFonts w:hint="eastAsia"/>
                <w:color w:val="auto"/>
                <w:lang w:val="en-US" w:eastAsia="zh-CN"/>
              </w:rPr>
            </w:pPr>
            <w:r>
              <w:rPr>
                <w:rFonts w:hint="eastAsia"/>
                <w:color w:val="auto"/>
                <w:lang w:val="en-US" w:eastAsia="zh-CN"/>
              </w:rPr>
              <w:t>①大号课椅：可按以下高度进行调节升降：高度460 mm（0号）、440 mm（1号）、420 mm（2号）、400 mm（3号）；</w:t>
            </w:r>
          </w:p>
          <w:p>
            <w:pPr>
              <w:widowControl/>
              <w:spacing w:line="440" w:lineRule="exact"/>
              <w:jc w:val="left"/>
              <w:textAlignment w:val="center"/>
              <w:rPr>
                <w:rFonts w:hint="eastAsia"/>
                <w:color w:val="auto"/>
                <w:lang w:val="en-US" w:eastAsia="zh-CN"/>
              </w:rPr>
            </w:pPr>
            <w:r>
              <w:rPr>
                <w:rFonts w:hint="eastAsia"/>
                <w:color w:val="auto"/>
                <w:lang w:val="en-US" w:eastAsia="zh-CN"/>
              </w:rPr>
              <w:t>②中号课椅：可按以下高度进行调节升降：高度400 mm（3号）、380mm（4号）、360mm（5号）、340mm（6号）；</w:t>
            </w:r>
          </w:p>
          <w:p>
            <w:pPr>
              <w:widowControl/>
              <w:spacing w:line="440" w:lineRule="exact"/>
              <w:jc w:val="left"/>
              <w:textAlignment w:val="center"/>
              <w:rPr>
                <w:rFonts w:hint="eastAsia"/>
                <w:color w:val="auto"/>
                <w:lang w:val="en-US" w:eastAsia="zh-CN"/>
              </w:rPr>
            </w:pPr>
            <w:r>
              <w:rPr>
                <w:rFonts w:hint="eastAsia"/>
                <w:color w:val="auto"/>
                <w:lang w:val="en-US" w:eastAsia="zh-CN"/>
              </w:rPr>
              <w:t>③小号课椅：可按以下高度进行调节升降：高度320 mm（7号）、300mm（8号）、280mm（9号）、260mm（10号）；</w:t>
            </w:r>
          </w:p>
          <w:p>
            <w:pPr>
              <w:widowControl/>
              <w:spacing w:line="440" w:lineRule="exact"/>
              <w:jc w:val="left"/>
              <w:textAlignment w:val="center"/>
              <w:rPr>
                <w:rFonts w:hint="eastAsia"/>
                <w:color w:val="auto"/>
                <w:lang w:val="en-US" w:eastAsia="zh-CN"/>
              </w:rPr>
            </w:pPr>
            <w:r>
              <w:rPr>
                <w:rFonts w:hint="eastAsia"/>
                <w:color w:val="auto"/>
                <w:lang w:val="en-US" w:eastAsia="zh-CN"/>
              </w:rPr>
              <w:t xml:space="preserve"> (五)结构要求：双柱升降调节。</w:t>
            </w:r>
          </w:p>
          <w:p>
            <w:pPr>
              <w:widowControl/>
              <w:spacing w:line="440" w:lineRule="exact"/>
              <w:jc w:val="left"/>
              <w:textAlignment w:val="center"/>
              <w:rPr>
                <w:rFonts w:hint="eastAsia"/>
                <w:color w:val="auto"/>
                <w:lang w:val="en-US" w:eastAsia="zh-CN"/>
              </w:rPr>
            </w:pPr>
            <w:r>
              <w:rPr>
                <w:rFonts w:hint="eastAsia"/>
                <w:color w:val="auto"/>
                <w:lang w:val="en-US" w:eastAsia="zh-CN"/>
              </w:rPr>
              <w:t>三、课桌椅的材料要求</w:t>
            </w:r>
          </w:p>
          <w:p>
            <w:pPr>
              <w:widowControl/>
              <w:spacing w:line="440" w:lineRule="exact"/>
              <w:jc w:val="left"/>
              <w:textAlignment w:val="center"/>
              <w:rPr>
                <w:rFonts w:hint="eastAsia"/>
                <w:color w:val="auto"/>
                <w:lang w:val="en-US" w:eastAsia="zh-CN"/>
              </w:rPr>
            </w:pPr>
            <w:r>
              <w:rPr>
                <w:rFonts w:hint="eastAsia"/>
                <w:color w:val="auto"/>
                <w:lang w:val="en-US" w:eastAsia="zh-CN"/>
              </w:rPr>
              <w:t>（一）金属件</w:t>
            </w:r>
          </w:p>
          <w:p>
            <w:pPr>
              <w:widowControl/>
              <w:spacing w:line="440" w:lineRule="exact"/>
              <w:jc w:val="left"/>
              <w:textAlignment w:val="center"/>
              <w:rPr>
                <w:rFonts w:hint="eastAsia"/>
                <w:color w:val="auto"/>
                <w:lang w:val="en-US" w:eastAsia="zh-CN"/>
              </w:rPr>
            </w:pPr>
            <w:r>
              <w:rPr>
                <w:rFonts w:hint="eastAsia"/>
                <w:color w:val="auto"/>
                <w:lang w:val="en-US" w:eastAsia="zh-CN"/>
              </w:rPr>
              <w:t>1.主体材料：课桌、课椅的金属管件采用公称尺寸不小于20mm×40mm的椭圆管，管壁公称厚度均不小于1.2mm，管材采用高频焊接而成；课桌的桌斗用公称厚度不小于0.6mm的优质冷轧钢板；立板采用优质冷轧板，课桌、课椅两侧可调高度的立板厚度不小于0.8mm；椅子靠背支架采用优质高频焊接（约20×20mm）方管，管壁厚度不小于1.0mm；课桌的挂钩挂钩采用不小于1.2mm冷轧钢板一次冲压成型制作，规格不小于50×25×20mm。采用双柱升降脚架。</w:t>
            </w:r>
          </w:p>
          <w:p>
            <w:pPr>
              <w:widowControl/>
              <w:spacing w:line="440" w:lineRule="exact"/>
              <w:jc w:val="left"/>
              <w:textAlignment w:val="center"/>
              <w:rPr>
                <w:rFonts w:hint="eastAsia"/>
                <w:color w:val="auto"/>
                <w:lang w:val="en-US" w:eastAsia="zh-CN"/>
              </w:rPr>
            </w:pPr>
            <w:r>
              <w:rPr>
                <w:rFonts w:hint="eastAsia"/>
                <w:color w:val="auto"/>
                <w:lang w:val="en-US" w:eastAsia="zh-CN"/>
              </w:rPr>
              <w:t>2.材料质量：金属管件外形的尺寸偏差、管壁厚度偏差和钢板厚度偏差以及金属材料的力学性能指标等质量技术参数，均应符合相应的国家标准的规定。不允许使用出现孔洞、缺口、开裂、尖角、裂缝、叠缝、腐蚀、离层、结疤、氧化皮等影响产品结构强度、外观和安全的材料。</w:t>
            </w:r>
          </w:p>
          <w:p>
            <w:pPr>
              <w:widowControl/>
              <w:spacing w:line="440" w:lineRule="exact"/>
              <w:jc w:val="left"/>
              <w:textAlignment w:val="center"/>
              <w:rPr>
                <w:rFonts w:hint="eastAsia"/>
                <w:color w:val="auto"/>
                <w:lang w:val="en-US" w:eastAsia="zh-CN"/>
              </w:rPr>
            </w:pPr>
            <w:r>
              <w:rPr>
                <w:rFonts w:hint="eastAsia"/>
                <w:color w:val="auto"/>
                <w:lang w:val="en-US" w:eastAsia="zh-CN"/>
              </w:rPr>
              <w:t>（二）木制件</w:t>
            </w:r>
          </w:p>
          <w:p>
            <w:pPr>
              <w:widowControl/>
              <w:spacing w:line="440" w:lineRule="exact"/>
              <w:jc w:val="left"/>
              <w:textAlignment w:val="center"/>
              <w:rPr>
                <w:rFonts w:hint="eastAsia"/>
                <w:color w:val="auto"/>
                <w:lang w:val="en-US" w:eastAsia="zh-CN"/>
              </w:rPr>
            </w:pPr>
            <w:r>
              <w:rPr>
                <w:rFonts w:hint="eastAsia"/>
                <w:color w:val="auto"/>
                <w:lang w:val="en-US" w:eastAsia="zh-CN"/>
              </w:rPr>
              <w:t>1.桌面板厚15mm，采用桉木基材的胶合板,双面饰面,甲醛释放量达到E1级控制指标，四周采用PE注塑成型，注塑边缘与桌面圆润连接，无突兀感；</w:t>
            </w:r>
          </w:p>
          <w:p>
            <w:pPr>
              <w:widowControl/>
              <w:spacing w:line="440" w:lineRule="exact"/>
              <w:jc w:val="left"/>
              <w:textAlignment w:val="center"/>
              <w:rPr>
                <w:rFonts w:hint="eastAsia"/>
                <w:color w:val="auto"/>
                <w:lang w:val="en-US" w:eastAsia="zh-CN"/>
              </w:rPr>
            </w:pPr>
            <w:r>
              <w:rPr>
                <w:rFonts w:hint="eastAsia"/>
                <w:color w:val="auto"/>
                <w:lang w:val="en-US" w:eastAsia="zh-CN"/>
              </w:rPr>
              <w:t>★2.投标时必须提供桌面板胶合板由具有合法检测资格的检测机构出具的合格产品检测报告复印件</w:t>
            </w:r>
            <w:r>
              <w:rPr>
                <w:rFonts w:hint="eastAsia"/>
                <w:color w:val="auto"/>
              </w:rPr>
              <w:t>(报告内容</w:t>
            </w:r>
            <w:r>
              <w:rPr>
                <w:rFonts w:hint="eastAsia"/>
                <w:color w:val="auto"/>
                <w:lang w:val="en-US" w:eastAsia="zh-CN"/>
              </w:rPr>
              <w:t>必须</w:t>
            </w:r>
            <w:r>
              <w:rPr>
                <w:rFonts w:hint="eastAsia"/>
                <w:color w:val="auto"/>
              </w:rPr>
              <w:t>包含</w:t>
            </w:r>
            <w:r>
              <w:rPr>
                <w:rFonts w:hint="eastAsia"/>
                <w:color w:val="auto"/>
                <w:lang w:val="en-US" w:eastAsia="zh-CN"/>
              </w:rPr>
              <w:t>但不限于以下内容</w:t>
            </w:r>
            <w:r>
              <w:rPr>
                <w:rFonts w:hint="eastAsia"/>
                <w:color w:val="auto"/>
              </w:rPr>
              <w:t>：甲醛释放量≤0.124</w:t>
            </w:r>
            <w:r>
              <w:rPr>
                <w:color w:val="auto"/>
              </w:rPr>
              <w:t>mg/m³</w:t>
            </w:r>
            <w:r>
              <w:rPr>
                <w:rFonts w:hint="eastAsia"/>
                <w:color w:val="auto"/>
              </w:rPr>
              <w:t>)。</w:t>
            </w:r>
          </w:p>
          <w:p>
            <w:pPr>
              <w:widowControl/>
              <w:spacing w:line="440" w:lineRule="exact"/>
              <w:jc w:val="left"/>
              <w:textAlignment w:val="center"/>
              <w:rPr>
                <w:rFonts w:hint="eastAsia"/>
                <w:color w:val="auto"/>
                <w:lang w:val="en-US" w:eastAsia="zh-CN"/>
              </w:rPr>
            </w:pPr>
            <w:r>
              <w:rPr>
                <w:rFonts w:hint="eastAsia"/>
                <w:color w:val="auto"/>
                <w:lang w:val="en-US" w:eastAsia="zh-CN"/>
              </w:rPr>
              <w:t>3.课椅座面板厚≥10mm，主体采用桉木基材的胶合板,座面板前端为圆弧结构，双面饰面，甲醛释放量达到E1级控制指标，符合人体工程学的设计。面板四周采用PE注塑成型，注塑边缘与座面圆润连接，无突兀感，增加舒适程度。</w:t>
            </w:r>
          </w:p>
          <w:p>
            <w:pPr>
              <w:widowControl/>
              <w:spacing w:line="440" w:lineRule="exact"/>
              <w:jc w:val="left"/>
              <w:textAlignment w:val="center"/>
              <w:rPr>
                <w:rFonts w:hint="eastAsia"/>
                <w:color w:val="auto"/>
                <w:lang w:val="en-US" w:eastAsia="zh-CN"/>
              </w:rPr>
            </w:pPr>
            <w:r>
              <w:rPr>
                <w:rFonts w:hint="eastAsia"/>
                <w:color w:val="auto"/>
                <w:lang w:val="en-US" w:eastAsia="zh-CN"/>
              </w:rPr>
              <w:t>4.课椅靠背要求是弧形的主体采用桉木基材的胶合板,双面饰面，面板厚≥10mm。靠背面板四周采用PE注塑成型，注塑边缘与座面圆润连接，无突兀感，增加舒适程度。</w:t>
            </w:r>
          </w:p>
          <w:p>
            <w:pPr>
              <w:widowControl/>
              <w:spacing w:line="440" w:lineRule="exact"/>
              <w:jc w:val="left"/>
              <w:textAlignment w:val="center"/>
              <w:rPr>
                <w:rFonts w:hint="eastAsia"/>
                <w:color w:val="auto"/>
                <w:lang w:val="en-US" w:eastAsia="zh-CN"/>
              </w:rPr>
            </w:pPr>
            <w:r>
              <w:rPr>
                <w:rFonts w:hint="eastAsia"/>
                <w:color w:val="auto"/>
                <w:lang w:val="en-US" w:eastAsia="zh-CN"/>
              </w:rPr>
              <w:t>5.含水率：课桌椅加工所用胶合板含水率应不高于16%。课桌椅产品出厂时木材含水率不高于16%。</w:t>
            </w:r>
          </w:p>
          <w:p>
            <w:pPr>
              <w:widowControl/>
              <w:spacing w:line="440" w:lineRule="exact"/>
              <w:jc w:val="left"/>
              <w:textAlignment w:val="center"/>
              <w:rPr>
                <w:rFonts w:hint="eastAsia"/>
                <w:color w:val="auto"/>
                <w:lang w:val="en-US" w:eastAsia="zh-CN"/>
              </w:rPr>
            </w:pPr>
            <w:r>
              <w:rPr>
                <w:rFonts w:hint="eastAsia"/>
                <w:color w:val="auto"/>
                <w:lang w:val="en-US" w:eastAsia="zh-CN"/>
              </w:rPr>
              <w:t>（三）其它材料</w:t>
            </w:r>
          </w:p>
          <w:p>
            <w:pPr>
              <w:widowControl/>
              <w:spacing w:line="440" w:lineRule="exact"/>
              <w:jc w:val="left"/>
              <w:textAlignment w:val="center"/>
              <w:rPr>
                <w:rFonts w:hint="eastAsia"/>
                <w:color w:val="auto"/>
                <w:lang w:val="en-US" w:eastAsia="zh-CN"/>
              </w:rPr>
            </w:pPr>
            <w:r>
              <w:rPr>
                <w:rFonts w:hint="eastAsia"/>
                <w:color w:val="auto"/>
                <w:lang w:val="en-US" w:eastAsia="zh-CN"/>
              </w:rPr>
              <w:t>桌脚和椅脚的脚套为采用优质PVC软塑料制作，每个脚套有倒钩技术功能，以防脱落。</w:t>
            </w:r>
          </w:p>
          <w:p>
            <w:pPr>
              <w:widowControl/>
              <w:spacing w:line="440" w:lineRule="exact"/>
              <w:jc w:val="left"/>
              <w:textAlignment w:val="center"/>
              <w:rPr>
                <w:rFonts w:hint="eastAsia"/>
                <w:color w:val="auto"/>
                <w:lang w:val="en-US" w:eastAsia="zh-CN"/>
              </w:rPr>
            </w:pPr>
            <w:r>
              <w:rPr>
                <w:rFonts w:hint="eastAsia"/>
                <w:color w:val="auto"/>
                <w:lang w:val="en-US" w:eastAsia="zh-CN"/>
              </w:rPr>
              <w:t>四、课桌椅的加工要求</w:t>
            </w:r>
          </w:p>
          <w:p>
            <w:pPr>
              <w:widowControl/>
              <w:spacing w:line="440" w:lineRule="exact"/>
              <w:jc w:val="left"/>
              <w:textAlignment w:val="center"/>
              <w:rPr>
                <w:rFonts w:hint="eastAsia"/>
                <w:color w:val="auto"/>
                <w:lang w:val="en-US" w:eastAsia="zh-CN"/>
              </w:rPr>
            </w:pPr>
            <w:r>
              <w:rPr>
                <w:rFonts w:hint="eastAsia"/>
                <w:color w:val="auto"/>
                <w:lang w:val="en-US" w:eastAsia="zh-CN"/>
              </w:rPr>
              <w:t>（一）金属件加工要求</w:t>
            </w:r>
          </w:p>
          <w:p>
            <w:pPr>
              <w:widowControl/>
              <w:spacing w:line="440" w:lineRule="exact"/>
              <w:jc w:val="left"/>
              <w:textAlignment w:val="center"/>
              <w:rPr>
                <w:rFonts w:hint="eastAsia"/>
                <w:color w:val="auto"/>
                <w:lang w:val="en-US" w:eastAsia="zh-CN"/>
              </w:rPr>
            </w:pPr>
            <w:r>
              <w:rPr>
                <w:rFonts w:hint="eastAsia"/>
                <w:color w:val="auto"/>
                <w:lang w:val="en-US" w:eastAsia="zh-CN"/>
              </w:rPr>
              <w:t>1.金属零、部件的连接方式采取焊接连接，不允许采用铆钉连接（铆接）和螺钉连接。焊接件焊接时采用二氧化碳保护焊接。焊接件焊接处应无脱焊、虚焊、焊穿、错位；焊接处应无夹渣、气孔、焊瘤、焊丝头、咬边、飞溅；焊疤表面波纹应均匀、高低之差应不大于1mm。</w:t>
            </w:r>
          </w:p>
          <w:p>
            <w:pPr>
              <w:widowControl/>
              <w:spacing w:line="440" w:lineRule="exact"/>
              <w:jc w:val="left"/>
              <w:textAlignment w:val="center"/>
              <w:rPr>
                <w:rFonts w:hint="eastAsia"/>
                <w:color w:val="auto"/>
                <w:lang w:val="en-US" w:eastAsia="zh-CN"/>
              </w:rPr>
            </w:pPr>
            <w:r>
              <w:rPr>
                <w:rFonts w:hint="eastAsia"/>
                <w:color w:val="auto"/>
                <w:lang w:val="en-US" w:eastAsia="zh-CN"/>
              </w:rPr>
              <w:t>2.冲压件应无脱层、裂缝。桌斗利用钢板由机器冲压一次成型，端口作卷边处理增强刚性，以防尖利边角对人体的伤害。桌斗前端处冲压不少于两条上凸的加强筋以增强桌斗刚性。课桌两侧立板边缘打磨平滑后再喷漆，以防尖毛边刮伤人体。</w:t>
            </w:r>
          </w:p>
          <w:p>
            <w:pPr>
              <w:widowControl/>
              <w:spacing w:line="440" w:lineRule="exact"/>
              <w:jc w:val="left"/>
              <w:textAlignment w:val="center"/>
              <w:rPr>
                <w:rFonts w:hint="eastAsia"/>
                <w:color w:val="auto"/>
                <w:lang w:val="en-US" w:eastAsia="zh-CN"/>
              </w:rPr>
            </w:pPr>
            <w:r>
              <w:rPr>
                <w:rFonts w:hint="eastAsia"/>
                <w:color w:val="auto"/>
                <w:lang w:val="en-US" w:eastAsia="zh-CN"/>
              </w:rPr>
              <w:t>（二）木制件加工要求</w:t>
            </w:r>
          </w:p>
          <w:p>
            <w:pPr>
              <w:widowControl/>
              <w:spacing w:line="440" w:lineRule="exact"/>
              <w:jc w:val="left"/>
              <w:textAlignment w:val="center"/>
              <w:rPr>
                <w:rFonts w:hint="eastAsia"/>
                <w:color w:val="auto"/>
                <w:lang w:val="en-US" w:eastAsia="zh-CN"/>
              </w:rPr>
            </w:pPr>
            <w:r>
              <w:rPr>
                <w:rFonts w:hint="eastAsia"/>
                <w:color w:val="auto"/>
                <w:lang w:val="en-US" w:eastAsia="zh-CN"/>
              </w:rPr>
              <w:t>木制件端面应进行精加工以便于涂饰处理。</w:t>
            </w:r>
          </w:p>
          <w:p>
            <w:pPr>
              <w:widowControl/>
              <w:spacing w:line="440" w:lineRule="exact"/>
              <w:jc w:val="left"/>
              <w:textAlignment w:val="center"/>
              <w:rPr>
                <w:rFonts w:hint="eastAsia"/>
                <w:color w:val="auto"/>
                <w:lang w:val="en-US" w:eastAsia="zh-CN"/>
              </w:rPr>
            </w:pPr>
            <w:r>
              <w:rPr>
                <w:rFonts w:hint="eastAsia"/>
                <w:color w:val="auto"/>
                <w:lang w:val="en-US" w:eastAsia="zh-CN"/>
              </w:rPr>
              <w:t>（三）木制件与金属件的连接</w:t>
            </w:r>
          </w:p>
          <w:p>
            <w:pPr>
              <w:widowControl/>
              <w:spacing w:line="440" w:lineRule="exact"/>
              <w:jc w:val="left"/>
              <w:textAlignment w:val="center"/>
              <w:rPr>
                <w:rFonts w:hint="eastAsia"/>
                <w:color w:val="auto"/>
                <w:lang w:val="en-US" w:eastAsia="zh-CN"/>
              </w:rPr>
            </w:pPr>
            <w:r>
              <w:rPr>
                <w:rFonts w:hint="eastAsia"/>
                <w:color w:val="auto"/>
                <w:lang w:val="en-US" w:eastAsia="zh-CN"/>
              </w:rPr>
              <w:t>1.课桌面板与钢架的连接采用自攻钉固定，面板与钢架连接的自攻钉不少于八颗。</w:t>
            </w:r>
          </w:p>
          <w:p>
            <w:pPr>
              <w:widowControl/>
              <w:spacing w:line="440" w:lineRule="exact"/>
              <w:jc w:val="left"/>
              <w:textAlignment w:val="center"/>
              <w:rPr>
                <w:rFonts w:hint="eastAsia"/>
                <w:color w:val="auto"/>
                <w:lang w:val="en-US" w:eastAsia="zh-CN"/>
              </w:rPr>
            </w:pPr>
            <w:r>
              <w:rPr>
                <w:rFonts w:hint="eastAsia"/>
                <w:color w:val="auto"/>
                <w:lang w:val="en-US" w:eastAsia="zh-CN"/>
              </w:rPr>
              <w:t>2.课椅面板、靠背板与钢架的连接采用抽芯钉连接，面板、靠背板与钢架连接的抽芯钉均不少于四根。</w:t>
            </w:r>
          </w:p>
          <w:p>
            <w:pPr>
              <w:widowControl/>
              <w:spacing w:line="440" w:lineRule="exact"/>
              <w:jc w:val="left"/>
              <w:textAlignment w:val="center"/>
              <w:rPr>
                <w:rFonts w:hint="eastAsia"/>
                <w:color w:val="auto"/>
                <w:lang w:val="en-US" w:eastAsia="zh-CN"/>
              </w:rPr>
            </w:pPr>
            <w:r>
              <w:rPr>
                <w:rFonts w:hint="eastAsia"/>
                <w:color w:val="auto"/>
                <w:lang w:val="en-US" w:eastAsia="zh-CN"/>
              </w:rPr>
              <w:t>3.抽芯铆钉钉体直径d不小于5mm，钉体材料为铝合金、钉芯材料为钢（表面镀锌），铆钉表面应无毛刺和有害缺陷，并有完整的头、杆形状。</w:t>
            </w:r>
          </w:p>
          <w:p>
            <w:pPr>
              <w:widowControl/>
              <w:spacing w:line="440" w:lineRule="exact"/>
              <w:jc w:val="left"/>
              <w:textAlignment w:val="center"/>
              <w:rPr>
                <w:rFonts w:hint="eastAsia"/>
                <w:color w:val="auto"/>
                <w:lang w:val="en-US" w:eastAsia="zh-CN"/>
              </w:rPr>
            </w:pPr>
            <w:r>
              <w:rPr>
                <w:rFonts w:hint="eastAsia"/>
                <w:color w:val="auto"/>
                <w:lang w:val="en-US" w:eastAsia="zh-CN"/>
              </w:rPr>
              <w:t>（四）课桌椅加工尺寸要求</w:t>
            </w:r>
          </w:p>
          <w:p>
            <w:pPr>
              <w:widowControl/>
              <w:spacing w:line="440" w:lineRule="exact"/>
              <w:jc w:val="left"/>
              <w:textAlignment w:val="center"/>
              <w:rPr>
                <w:rFonts w:hint="eastAsia"/>
                <w:color w:val="auto"/>
                <w:lang w:val="en-US" w:eastAsia="zh-CN"/>
              </w:rPr>
            </w:pPr>
            <w:r>
              <w:rPr>
                <w:rFonts w:hint="eastAsia"/>
                <w:color w:val="auto"/>
                <w:lang w:val="en-US" w:eastAsia="zh-CN"/>
              </w:rPr>
              <w:t>桌面高、椅座面高尺寸的允许误差范围按GB/T 3976-2014《学校课桌椅功能尺寸》的规定执行。</w:t>
            </w:r>
          </w:p>
          <w:p>
            <w:pPr>
              <w:widowControl/>
              <w:spacing w:line="440" w:lineRule="exact"/>
              <w:jc w:val="left"/>
              <w:textAlignment w:val="center"/>
              <w:rPr>
                <w:rFonts w:hint="eastAsia"/>
                <w:color w:val="auto"/>
                <w:lang w:val="en-US" w:eastAsia="zh-CN"/>
              </w:rPr>
            </w:pPr>
            <w:r>
              <w:rPr>
                <w:rFonts w:hint="eastAsia"/>
                <w:color w:val="auto"/>
                <w:lang w:val="en-US" w:eastAsia="zh-CN"/>
              </w:rPr>
              <w:t>五、课桌椅的涂饰要求</w:t>
            </w:r>
          </w:p>
          <w:p>
            <w:pPr>
              <w:widowControl/>
              <w:spacing w:line="440" w:lineRule="exact"/>
              <w:jc w:val="left"/>
              <w:textAlignment w:val="center"/>
              <w:rPr>
                <w:rFonts w:hint="eastAsia"/>
                <w:color w:val="auto"/>
                <w:lang w:val="en-US" w:eastAsia="zh-CN"/>
              </w:rPr>
            </w:pPr>
            <w:r>
              <w:rPr>
                <w:rFonts w:hint="eastAsia"/>
                <w:color w:val="auto"/>
                <w:lang w:val="en-US" w:eastAsia="zh-CN"/>
              </w:rPr>
              <w:t>（一）涂饰要求</w:t>
            </w:r>
          </w:p>
          <w:p>
            <w:pPr>
              <w:widowControl/>
              <w:spacing w:line="440" w:lineRule="exact"/>
              <w:jc w:val="left"/>
              <w:textAlignment w:val="center"/>
              <w:rPr>
                <w:rFonts w:hint="eastAsia"/>
                <w:color w:val="auto"/>
                <w:lang w:val="en-US" w:eastAsia="zh-CN"/>
              </w:rPr>
            </w:pPr>
            <w:r>
              <w:rPr>
                <w:rFonts w:hint="eastAsia"/>
                <w:color w:val="auto"/>
                <w:lang w:val="en-US" w:eastAsia="zh-CN"/>
              </w:rPr>
              <w:t>1.涂饰前课桌椅零、部件的表面应光滑、平整，不得有飞边、尖角、毛刺等可能造成机械伤害的缺陷。金属件应无开裂、脱焊、漏焊、焊渣等缺陷。</w:t>
            </w:r>
          </w:p>
          <w:p>
            <w:pPr>
              <w:widowControl/>
              <w:spacing w:line="440" w:lineRule="exact"/>
              <w:jc w:val="left"/>
              <w:textAlignment w:val="center"/>
              <w:rPr>
                <w:rFonts w:hint="eastAsia"/>
                <w:color w:val="auto"/>
                <w:lang w:val="en-US" w:eastAsia="zh-CN"/>
              </w:rPr>
            </w:pPr>
            <w:r>
              <w:rPr>
                <w:rFonts w:hint="eastAsia"/>
                <w:color w:val="auto"/>
                <w:lang w:val="en-US" w:eastAsia="zh-CN"/>
              </w:rPr>
              <w:t>2.涂饰前金属件零、部件表面进行预备处理，采用除锈、防锈处理工艺，除去锈迹等其他污迹后进行涂装打底磷化处理。预备处理后表面不得有氧化皮、锈蚀、粘砂等其他杂质，磷化层达到工艺要求，预备处理后应及时进行涂饰。</w:t>
            </w:r>
          </w:p>
          <w:p>
            <w:pPr>
              <w:widowControl/>
              <w:spacing w:line="440" w:lineRule="exact"/>
              <w:jc w:val="left"/>
              <w:textAlignment w:val="center"/>
              <w:rPr>
                <w:rFonts w:hint="eastAsia"/>
                <w:color w:val="auto"/>
                <w:lang w:val="en-US" w:eastAsia="zh-CN"/>
              </w:rPr>
            </w:pPr>
            <w:r>
              <w:rPr>
                <w:rFonts w:hint="eastAsia"/>
                <w:color w:val="auto"/>
                <w:lang w:val="en-US" w:eastAsia="zh-CN"/>
              </w:rPr>
              <w:t>3.课桌椅所有木制件的外表面（使用面）均应装饰处理；非使用面涂清漆。木制件端面应进行涂饰处理。</w:t>
            </w:r>
          </w:p>
          <w:p>
            <w:pPr>
              <w:widowControl/>
              <w:spacing w:line="440" w:lineRule="exact"/>
              <w:jc w:val="left"/>
              <w:textAlignment w:val="center"/>
              <w:rPr>
                <w:rFonts w:hint="eastAsia"/>
                <w:color w:val="auto"/>
                <w:lang w:val="en-US" w:eastAsia="zh-CN"/>
              </w:rPr>
            </w:pPr>
            <w:r>
              <w:rPr>
                <w:rFonts w:hint="eastAsia"/>
                <w:color w:val="auto"/>
                <w:lang w:val="en-US" w:eastAsia="zh-CN"/>
              </w:rPr>
              <w:t>（二）涂饰层外观</w:t>
            </w:r>
          </w:p>
          <w:p>
            <w:pPr>
              <w:widowControl/>
              <w:spacing w:line="440" w:lineRule="exact"/>
              <w:jc w:val="left"/>
              <w:textAlignment w:val="center"/>
              <w:rPr>
                <w:rFonts w:hint="eastAsia"/>
                <w:color w:val="auto"/>
                <w:lang w:val="en-US" w:eastAsia="zh-CN"/>
              </w:rPr>
            </w:pPr>
            <w:r>
              <w:rPr>
                <w:rFonts w:hint="eastAsia"/>
                <w:color w:val="auto"/>
                <w:lang w:val="en-US" w:eastAsia="zh-CN"/>
              </w:rPr>
              <w:t>1.金属件涂层应无漏喷、锈蚀；应光滑均匀，色泽一致，应无流挂、疙瘩、皱皮、飞漆等缺陷。</w:t>
            </w:r>
          </w:p>
          <w:p>
            <w:pPr>
              <w:widowControl/>
              <w:spacing w:line="440" w:lineRule="exact"/>
              <w:jc w:val="left"/>
              <w:textAlignment w:val="center"/>
              <w:rPr>
                <w:rFonts w:hint="eastAsia"/>
                <w:color w:val="auto"/>
                <w:lang w:val="en-US" w:eastAsia="zh-CN"/>
              </w:rPr>
            </w:pPr>
            <w:r>
              <w:rPr>
                <w:rFonts w:hint="eastAsia"/>
                <w:color w:val="auto"/>
                <w:lang w:val="en-US" w:eastAsia="zh-CN"/>
              </w:rPr>
              <w:t>2.木制件表面装饰层应手感光滑，无划痕、压痕、雾光、白楞、白斑、鼓泡、流挂、刷毛、积粉和杂渣、皱皮、发粘、漏漆现象。薄木材料贴面不允许有明显透胶、脱胶、凹陷、压痕、鼓泡、胶迹。</w:t>
            </w:r>
          </w:p>
          <w:p>
            <w:pPr>
              <w:widowControl/>
              <w:spacing w:line="440" w:lineRule="exact"/>
              <w:jc w:val="left"/>
              <w:textAlignment w:val="center"/>
              <w:rPr>
                <w:rFonts w:hint="eastAsia"/>
                <w:color w:val="auto"/>
                <w:lang w:val="en-US" w:eastAsia="zh-CN"/>
              </w:rPr>
            </w:pPr>
            <w:r>
              <w:rPr>
                <w:rFonts w:hint="eastAsia"/>
                <w:color w:val="auto"/>
                <w:lang w:val="en-US" w:eastAsia="zh-CN"/>
              </w:rPr>
              <w:t>3.每批产品（含课桌、课椅）不允许有明显色差。</w:t>
            </w:r>
          </w:p>
          <w:p>
            <w:pPr>
              <w:widowControl/>
              <w:spacing w:line="440" w:lineRule="exact"/>
              <w:jc w:val="left"/>
              <w:textAlignment w:val="center"/>
              <w:rPr>
                <w:rFonts w:hint="eastAsia"/>
                <w:color w:val="auto"/>
                <w:lang w:val="en-US" w:eastAsia="zh-CN"/>
              </w:rPr>
            </w:pPr>
            <w:r>
              <w:rPr>
                <w:rFonts w:hint="eastAsia"/>
                <w:color w:val="auto"/>
                <w:lang w:val="en-US" w:eastAsia="zh-CN"/>
              </w:rPr>
              <w:t>4.产品上的五金配件应做防锈处理。</w:t>
            </w:r>
          </w:p>
          <w:p>
            <w:pPr>
              <w:widowControl/>
              <w:spacing w:line="440" w:lineRule="exact"/>
              <w:jc w:val="left"/>
              <w:textAlignment w:val="center"/>
              <w:rPr>
                <w:rFonts w:hint="eastAsia"/>
                <w:color w:val="auto"/>
                <w:lang w:val="en-US" w:eastAsia="zh-CN"/>
              </w:rPr>
            </w:pPr>
            <w:r>
              <w:rPr>
                <w:rFonts w:hint="eastAsia"/>
                <w:color w:val="auto"/>
                <w:lang w:val="en-US" w:eastAsia="zh-CN"/>
              </w:rPr>
              <w:t>★六、投标时必须提供1号学生课桌椅、4号学生课桌椅、7号学生课桌椅的左视图、正视图、俯视图。</w:t>
            </w:r>
          </w:p>
          <w:p>
            <w:pPr>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1号学生课桌椅</w:t>
            </w:r>
          </w:p>
          <w:p>
            <w:pPr>
              <w:rPr>
                <w:rFonts w:hint="default" w:ascii="仿宋" w:hAnsi="仿宋" w:eastAsia="仿宋" w:cs="仿宋"/>
                <w:b/>
                <w:bCs/>
                <w:color w:val="auto"/>
                <w:kern w:val="0"/>
                <w:sz w:val="30"/>
                <w:szCs w:val="30"/>
                <w:highlight w:val="none"/>
                <w:lang w:val="en-US" w:eastAsia="zh-CN" w:bidi="ar"/>
              </w:rPr>
            </w:pPr>
            <w:r>
              <w:rPr>
                <w:rFonts w:hint="eastAsia" w:ascii="仿宋" w:hAnsi="仿宋" w:eastAsia="仿宋" w:cs="仿宋"/>
                <w:b/>
                <w:bCs/>
                <w:color w:val="auto"/>
                <w:sz w:val="30"/>
                <w:szCs w:val="30"/>
                <w:lang w:val="en-US" w:eastAsia="zh-CN"/>
              </w:rPr>
              <w:t>桌子</w:t>
            </w:r>
            <w:r>
              <w:rPr>
                <w:rFonts w:hint="eastAsia" w:ascii="仿宋" w:hAnsi="仿宋" w:eastAsia="仿宋" w:cs="仿宋"/>
                <w:b/>
                <w:bCs/>
                <w:color w:val="auto"/>
                <w:kern w:val="0"/>
                <w:sz w:val="30"/>
                <w:szCs w:val="30"/>
                <w:highlight w:val="none"/>
                <w:lang w:val="en-US" w:eastAsia="zh-CN" w:bidi="ar"/>
              </w:rPr>
              <w:t xml:space="preserve">左视图：                  </w:t>
            </w:r>
            <w:r>
              <w:rPr>
                <w:rFonts w:hint="eastAsia" w:ascii="仿宋" w:hAnsi="仿宋" w:eastAsia="仿宋" w:cs="仿宋"/>
                <w:b/>
                <w:bCs/>
                <w:color w:val="auto"/>
                <w:sz w:val="30"/>
                <w:szCs w:val="30"/>
                <w:lang w:val="en-US" w:eastAsia="zh-CN"/>
              </w:rPr>
              <w:t>桌子</w:t>
            </w:r>
            <w:r>
              <w:rPr>
                <w:rFonts w:hint="eastAsia" w:ascii="仿宋" w:hAnsi="仿宋" w:eastAsia="仿宋" w:cs="仿宋"/>
                <w:b/>
                <w:bCs/>
                <w:color w:val="auto"/>
                <w:kern w:val="0"/>
                <w:sz w:val="30"/>
                <w:szCs w:val="30"/>
                <w:highlight w:val="none"/>
                <w:lang w:val="en-US" w:eastAsia="zh-CN" w:bidi="ar"/>
              </w:rPr>
              <w:t xml:space="preserve">正视图：       </w:t>
            </w:r>
          </w:p>
          <w:p>
            <w:pPr>
              <w:rPr>
                <w:rFonts w:hint="default" w:ascii="仿宋" w:hAnsi="仿宋" w:eastAsia="仿宋" w:cs="仿宋"/>
                <w:b/>
                <w:bCs/>
                <w:color w:val="auto"/>
                <w:kern w:val="0"/>
                <w:sz w:val="30"/>
                <w:szCs w:val="30"/>
                <w:highlight w:val="none"/>
                <w:lang w:val="en-US" w:eastAsia="zh-CN" w:bidi="ar"/>
              </w:rPr>
            </w:pPr>
            <w:r>
              <w:rPr>
                <w:rFonts w:hint="default" w:ascii="仿宋" w:hAnsi="仿宋" w:eastAsia="仿宋" w:cs="仿宋"/>
                <w:b/>
                <w:bCs/>
                <w:color w:val="auto"/>
                <w:kern w:val="0"/>
                <w:sz w:val="30"/>
                <w:szCs w:val="30"/>
                <w:highlight w:val="none"/>
                <w:lang w:val="en-US" w:eastAsia="zh-CN" w:bidi="ar"/>
              </w:rPr>
              <w:drawing>
                <wp:anchor distT="0" distB="0" distL="114300" distR="114300" simplePos="0" relativeHeight="251663360" behindDoc="0" locked="0" layoutInCell="1" allowOverlap="1">
                  <wp:simplePos x="0" y="0"/>
                  <wp:positionH relativeFrom="column">
                    <wp:posOffset>2084070</wp:posOffset>
                  </wp:positionH>
                  <wp:positionV relativeFrom="paragraph">
                    <wp:posOffset>109855</wp:posOffset>
                  </wp:positionV>
                  <wp:extent cx="1811020" cy="2079625"/>
                  <wp:effectExtent l="0" t="0" r="17780" b="15875"/>
                  <wp:wrapSquare wrapText="bothSides"/>
                  <wp:docPr id="2" name="图片 2" descr="1桌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桌正"/>
                          <pic:cNvPicPr>
                            <a:picLocks noChangeAspect="1"/>
                          </pic:cNvPicPr>
                        </pic:nvPicPr>
                        <pic:blipFill>
                          <a:blip r:embed="rId8"/>
                          <a:stretch>
                            <a:fillRect/>
                          </a:stretch>
                        </pic:blipFill>
                        <pic:spPr>
                          <a:xfrm>
                            <a:off x="0" y="0"/>
                            <a:ext cx="1811020" cy="2079625"/>
                          </a:xfrm>
                          <a:prstGeom prst="rect">
                            <a:avLst/>
                          </a:prstGeom>
                        </pic:spPr>
                      </pic:pic>
                    </a:graphicData>
                  </a:graphic>
                </wp:anchor>
              </w:drawing>
            </w:r>
            <w:r>
              <w:rPr>
                <w:rFonts w:hint="default" w:ascii="仿宋" w:hAnsi="仿宋" w:eastAsia="仿宋" w:cs="仿宋"/>
                <w:b/>
                <w:bCs/>
                <w:color w:val="auto"/>
                <w:kern w:val="0"/>
                <w:sz w:val="30"/>
                <w:szCs w:val="30"/>
                <w:highlight w:val="none"/>
                <w:lang w:val="en-US" w:eastAsia="zh-CN" w:bidi="ar"/>
              </w:rPr>
              <w:drawing>
                <wp:anchor distT="0" distB="0" distL="114300" distR="114300" simplePos="0" relativeHeight="251661312" behindDoc="0" locked="0" layoutInCell="1" allowOverlap="1">
                  <wp:simplePos x="0" y="0"/>
                  <wp:positionH relativeFrom="column">
                    <wp:posOffset>169545</wp:posOffset>
                  </wp:positionH>
                  <wp:positionV relativeFrom="paragraph">
                    <wp:posOffset>123190</wp:posOffset>
                  </wp:positionV>
                  <wp:extent cx="1279525" cy="2039620"/>
                  <wp:effectExtent l="0" t="0" r="15875" b="17780"/>
                  <wp:wrapSquare wrapText="bothSides"/>
                  <wp:docPr id="5" name="图片 5" descr="1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左"/>
                          <pic:cNvPicPr>
                            <a:picLocks noChangeAspect="1"/>
                          </pic:cNvPicPr>
                        </pic:nvPicPr>
                        <pic:blipFill>
                          <a:blip r:embed="rId9"/>
                          <a:stretch>
                            <a:fillRect/>
                          </a:stretch>
                        </pic:blipFill>
                        <pic:spPr>
                          <a:xfrm>
                            <a:off x="0" y="0"/>
                            <a:ext cx="1279525" cy="2039620"/>
                          </a:xfrm>
                          <a:prstGeom prst="rect">
                            <a:avLst/>
                          </a:prstGeom>
                        </pic:spPr>
                      </pic:pic>
                    </a:graphicData>
                  </a:graphic>
                </wp:anchor>
              </w:drawing>
            </w:r>
          </w:p>
          <w:p>
            <w:pPr>
              <w:rPr>
                <w:rFonts w:hint="default" w:ascii="仿宋" w:hAnsi="仿宋" w:eastAsia="仿宋" w:cs="仿宋"/>
                <w:b/>
                <w:bCs/>
                <w:color w:val="auto"/>
                <w:kern w:val="0"/>
                <w:sz w:val="30"/>
                <w:szCs w:val="30"/>
                <w:highlight w:val="none"/>
                <w:lang w:val="en-US" w:eastAsia="zh-CN" w:bidi="ar"/>
              </w:rPr>
            </w:pPr>
          </w:p>
          <w:p>
            <w:pPr>
              <w:rPr>
                <w:rFonts w:hint="default" w:ascii="仿宋" w:hAnsi="仿宋" w:eastAsia="仿宋" w:cs="仿宋"/>
                <w:b/>
                <w:bCs/>
                <w:color w:val="auto"/>
                <w:kern w:val="0"/>
                <w:sz w:val="30"/>
                <w:szCs w:val="30"/>
                <w:highlight w:val="none"/>
                <w:lang w:val="en-US" w:eastAsia="zh-CN" w:bidi="ar"/>
              </w:rPr>
            </w:pPr>
          </w:p>
          <w:p>
            <w:pPr>
              <w:rPr>
                <w:rFonts w:hint="default" w:ascii="仿宋" w:hAnsi="仿宋" w:eastAsia="仿宋" w:cs="仿宋"/>
                <w:b/>
                <w:bCs/>
                <w:color w:val="auto"/>
                <w:kern w:val="0"/>
                <w:sz w:val="30"/>
                <w:szCs w:val="30"/>
                <w:highlight w:val="none"/>
                <w:lang w:val="en-US" w:eastAsia="zh-CN" w:bidi="ar"/>
              </w:rPr>
            </w:pPr>
          </w:p>
          <w:p>
            <w:pPr>
              <w:rPr>
                <w:rFonts w:hint="eastAsia" w:ascii="仿宋" w:hAnsi="仿宋" w:eastAsia="仿宋" w:cs="仿宋"/>
                <w:b/>
                <w:bCs/>
                <w:color w:val="auto"/>
                <w:kern w:val="0"/>
                <w:sz w:val="30"/>
                <w:szCs w:val="30"/>
                <w:highlight w:val="none"/>
                <w:lang w:val="en-US" w:eastAsia="zh-CN" w:bidi="ar"/>
              </w:rPr>
            </w:pPr>
            <w:r>
              <w:rPr>
                <w:rFonts w:hint="eastAsia" w:ascii="仿宋" w:hAnsi="仿宋" w:eastAsia="仿宋" w:cs="仿宋"/>
                <w:b/>
                <w:bCs/>
                <w:color w:val="auto"/>
                <w:kern w:val="0"/>
                <w:sz w:val="30"/>
                <w:szCs w:val="30"/>
                <w:highlight w:val="none"/>
                <w:lang w:val="en-US" w:eastAsia="zh-CN" w:bidi="ar"/>
              </w:rPr>
              <w:t xml:space="preserve"> </w:t>
            </w:r>
          </w:p>
          <w:p>
            <w:pPr>
              <w:rPr>
                <w:rFonts w:hint="eastAsia" w:ascii="仿宋" w:hAnsi="仿宋" w:eastAsia="仿宋" w:cs="仿宋"/>
                <w:b/>
                <w:bCs/>
                <w:color w:val="auto"/>
                <w:sz w:val="30"/>
                <w:szCs w:val="30"/>
                <w:lang w:val="en-US" w:eastAsia="zh-CN"/>
              </w:rPr>
            </w:pPr>
          </w:p>
          <w:p>
            <w:pPr>
              <w:rPr>
                <w:rFonts w:hint="eastAsia" w:ascii="仿宋" w:hAnsi="仿宋" w:eastAsia="仿宋" w:cs="仿宋"/>
                <w:b/>
                <w:bCs/>
                <w:color w:val="auto"/>
                <w:kern w:val="0"/>
                <w:sz w:val="30"/>
                <w:szCs w:val="30"/>
                <w:highlight w:val="none"/>
                <w:lang w:val="en-US" w:eastAsia="zh-CN" w:bidi="ar"/>
              </w:rPr>
            </w:pPr>
            <w:r>
              <w:rPr>
                <w:rFonts w:hint="eastAsia" w:ascii="仿宋" w:hAnsi="仿宋" w:eastAsia="仿宋" w:cs="仿宋"/>
                <w:b/>
                <w:bCs/>
                <w:color w:val="auto"/>
                <w:sz w:val="30"/>
                <w:szCs w:val="30"/>
                <w:lang w:val="en-US" w:eastAsia="zh-CN"/>
              </w:rPr>
              <w:t>桌子</w:t>
            </w:r>
            <w:r>
              <w:rPr>
                <w:rFonts w:hint="eastAsia" w:ascii="仿宋" w:hAnsi="仿宋" w:eastAsia="仿宋" w:cs="仿宋"/>
                <w:b/>
                <w:bCs/>
                <w:color w:val="auto"/>
                <w:kern w:val="0"/>
                <w:sz w:val="30"/>
                <w:szCs w:val="30"/>
                <w:highlight w:val="none"/>
                <w:lang w:val="en-US" w:eastAsia="zh-CN" w:bidi="ar"/>
              </w:rPr>
              <w:t>俯视图：</w:t>
            </w:r>
          </w:p>
          <w:p>
            <w:pP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drawing>
                <wp:anchor distT="0" distB="0" distL="114300" distR="114300" simplePos="0" relativeHeight="251664384" behindDoc="0" locked="0" layoutInCell="1" allowOverlap="1">
                  <wp:simplePos x="0" y="0"/>
                  <wp:positionH relativeFrom="column">
                    <wp:posOffset>1941195</wp:posOffset>
                  </wp:positionH>
                  <wp:positionV relativeFrom="paragraph">
                    <wp:posOffset>133350</wp:posOffset>
                  </wp:positionV>
                  <wp:extent cx="1834515" cy="1187450"/>
                  <wp:effectExtent l="0" t="0" r="13335" b="12700"/>
                  <wp:wrapSquare wrapText="bothSides"/>
                  <wp:docPr id="6" name="图片 6" descr="1桌俯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桌俯B"/>
                          <pic:cNvPicPr>
                            <a:picLocks noChangeAspect="1"/>
                          </pic:cNvPicPr>
                        </pic:nvPicPr>
                        <pic:blipFill>
                          <a:blip r:embed="rId10"/>
                          <a:stretch>
                            <a:fillRect/>
                          </a:stretch>
                        </pic:blipFill>
                        <pic:spPr>
                          <a:xfrm>
                            <a:off x="0" y="0"/>
                            <a:ext cx="1834515" cy="1187450"/>
                          </a:xfrm>
                          <a:prstGeom prst="rect">
                            <a:avLst/>
                          </a:prstGeom>
                        </pic:spPr>
                      </pic:pic>
                    </a:graphicData>
                  </a:graphic>
                </wp:anchor>
              </w:drawing>
            </w:r>
            <w:r>
              <w:rPr>
                <w:rFonts w:hint="eastAsia" w:ascii="宋体" w:hAnsi="宋体" w:eastAsia="宋体" w:cs="宋体"/>
                <w:b/>
                <w:bCs/>
                <w:color w:val="auto"/>
                <w:kern w:val="0"/>
                <w:sz w:val="21"/>
                <w:szCs w:val="21"/>
                <w:highlight w:val="none"/>
                <w:lang w:val="en-US" w:eastAsia="zh-CN" w:bidi="ar"/>
              </w:rPr>
              <w:drawing>
                <wp:anchor distT="0" distB="0" distL="114300" distR="114300" simplePos="0" relativeHeight="251662336" behindDoc="0" locked="0" layoutInCell="1" allowOverlap="1">
                  <wp:simplePos x="0" y="0"/>
                  <wp:positionH relativeFrom="column">
                    <wp:posOffset>-40005</wp:posOffset>
                  </wp:positionH>
                  <wp:positionV relativeFrom="paragraph">
                    <wp:posOffset>132080</wp:posOffset>
                  </wp:positionV>
                  <wp:extent cx="1797685" cy="1179195"/>
                  <wp:effectExtent l="0" t="0" r="12065" b="1905"/>
                  <wp:wrapSquare wrapText="bothSides"/>
                  <wp:docPr id="7" name="图片 7" descr="1桌俯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桌俯A"/>
                          <pic:cNvPicPr>
                            <a:picLocks noChangeAspect="1"/>
                          </pic:cNvPicPr>
                        </pic:nvPicPr>
                        <pic:blipFill>
                          <a:blip r:embed="rId11"/>
                          <a:stretch>
                            <a:fillRect/>
                          </a:stretch>
                        </pic:blipFill>
                        <pic:spPr>
                          <a:xfrm>
                            <a:off x="0" y="0"/>
                            <a:ext cx="1797685" cy="1179195"/>
                          </a:xfrm>
                          <a:prstGeom prst="rect">
                            <a:avLst/>
                          </a:prstGeom>
                        </pic:spPr>
                      </pic:pic>
                    </a:graphicData>
                  </a:graphic>
                </wp:anchor>
              </w:drawing>
            </w:r>
            <w:r>
              <w:rPr>
                <w:rFonts w:hint="eastAsia" w:ascii="宋体" w:hAnsi="宋体" w:eastAsia="宋体" w:cs="宋体"/>
                <w:color w:val="auto"/>
                <w:kern w:val="0"/>
                <w:sz w:val="21"/>
                <w:szCs w:val="21"/>
                <w:highlight w:val="none"/>
                <w:lang w:val="en-US" w:eastAsia="zh-CN" w:bidi="ar"/>
              </w:rPr>
              <w:t>1、课桌桌面板尺寸：不小于600mm×400mm</w:t>
            </w:r>
          </w:p>
          <w:p>
            <w:pPr>
              <w:numPr>
                <w:ilvl w:val="0"/>
                <w:numId w:val="0"/>
              </w:numPr>
              <w:rPr>
                <w:rFonts w:hint="default" w:ascii="仿宋" w:hAnsi="仿宋" w:eastAsia="仿宋" w:cs="仿宋"/>
                <w:b/>
                <w:bCs/>
                <w:color w:val="auto"/>
                <w:kern w:val="0"/>
                <w:sz w:val="30"/>
                <w:szCs w:val="30"/>
                <w:highlight w:val="none"/>
                <w:lang w:val="en-US" w:eastAsia="zh-CN" w:bidi="ar"/>
              </w:rPr>
            </w:pPr>
            <w:r>
              <w:rPr>
                <w:rFonts w:hint="eastAsia" w:ascii="宋体" w:hAnsi="宋体" w:eastAsia="宋体" w:cs="宋体"/>
                <w:color w:val="auto"/>
                <w:kern w:val="0"/>
                <w:sz w:val="21"/>
                <w:szCs w:val="21"/>
                <w:highlight w:val="none"/>
                <w:lang w:val="en-US" w:eastAsia="zh-CN" w:bidi="ar"/>
              </w:rPr>
              <w:t>2、课桌高度760mm（1号）</w:t>
            </w:r>
            <w:r>
              <w:rPr>
                <w:rFonts w:hint="default" w:ascii="仿宋" w:hAnsi="仿宋" w:eastAsia="仿宋" w:cs="仿宋"/>
                <w:b/>
                <w:bCs/>
                <w:color w:val="auto"/>
                <w:kern w:val="0"/>
                <w:sz w:val="30"/>
                <w:szCs w:val="30"/>
                <w:highlight w:val="none"/>
                <w:lang w:val="en-US" w:eastAsia="zh-CN" w:bidi="ar"/>
              </w:rPr>
              <w:br w:type="page"/>
            </w:r>
          </w:p>
          <w:p>
            <w:pPr>
              <w:keepNext w:val="0"/>
              <w:keepLines w:val="0"/>
              <w:pageBreakBefore w:val="0"/>
              <w:widowControl w:val="0"/>
              <w:kinsoku/>
              <w:wordWrap w:val="0"/>
              <w:overflowPunct/>
              <w:topLinePunct w:val="0"/>
              <w:autoSpaceDE/>
              <w:autoSpaceDN/>
              <w:bidi w:val="0"/>
              <w:adjustRightInd/>
              <w:snapToGrid/>
              <w:ind w:left="0" w:hanging="6023" w:hangingChars="2000"/>
              <w:textAlignment w:val="auto"/>
              <w:rPr>
                <w:rFonts w:hint="eastAsia" w:ascii="仿宋" w:hAnsi="仿宋" w:eastAsia="仿宋" w:cs="仿宋"/>
                <w:b/>
                <w:bCs/>
                <w:color w:val="auto"/>
                <w:kern w:val="0"/>
                <w:sz w:val="30"/>
                <w:szCs w:val="30"/>
                <w:highlight w:val="none"/>
                <w:lang w:val="en-US" w:eastAsia="zh-CN" w:bidi="ar"/>
              </w:rPr>
            </w:pPr>
            <w:r>
              <w:rPr>
                <w:rFonts w:hint="eastAsia" w:ascii="仿宋" w:hAnsi="仿宋" w:eastAsia="仿宋" w:cs="仿宋"/>
                <w:b/>
                <w:bCs/>
                <w:color w:val="auto"/>
                <w:kern w:val="0"/>
                <w:sz w:val="30"/>
                <w:szCs w:val="30"/>
                <w:highlight w:val="none"/>
                <w:lang w:val="en-US" w:eastAsia="zh-CN" w:bidi="ar"/>
              </w:rPr>
              <w:drawing>
                <wp:anchor distT="0" distB="0" distL="114300" distR="114300" simplePos="0" relativeHeight="251666432" behindDoc="0" locked="0" layoutInCell="1" allowOverlap="1">
                  <wp:simplePos x="0" y="0"/>
                  <wp:positionH relativeFrom="column">
                    <wp:posOffset>2265045</wp:posOffset>
                  </wp:positionH>
                  <wp:positionV relativeFrom="paragraph">
                    <wp:posOffset>609600</wp:posOffset>
                  </wp:positionV>
                  <wp:extent cx="1586230" cy="2602865"/>
                  <wp:effectExtent l="0" t="0" r="13970" b="6985"/>
                  <wp:wrapSquare wrapText="bothSides"/>
                  <wp:docPr id="8" name="图片 8" descr="1椅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椅正"/>
                          <pic:cNvPicPr>
                            <a:picLocks noChangeAspect="1"/>
                          </pic:cNvPicPr>
                        </pic:nvPicPr>
                        <pic:blipFill>
                          <a:blip r:embed="rId12"/>
                          <a:stretch>
                            <a:fillRect/>
                          </a:stretch>
                        </pic:blipFill>
                        <pic:spPr>
                          <a:xfrm>
                            <a:off x="0" y="0"/>
                            <a:ext cx="1586230" cy="2602865"/>
                          </a:xfrm>
                          <a:prstGeom prst="rect">
                            <a:avLst/>
                          </a:prstGeom>
                        </pic:spPr>
                      </pic:pic>
                    </a:graphicData>
                  </a:graphic>
                </wp:anchor>
              </w:drawing>
            </w:r>
            <w:r>
              <w:rPr>
                <w:rFonts w:hint="eastAsia" w:ascii="仿宋" w:hAnsi="仿宋" w:eastAsia="仿宋" w:cs="仿宋"/>
                <w:b/>
                <w:bCs/>
                <w:color w:val="auto"/>
                <w:kern w:val="0"/>
                <w:sz w:val="30"/>
                <w:szCs w:val="30"/>
                <w:highlight w:val="none"/>
                <w:lang w:val="en-US" w:eastAsia="zh-CN" w:bidi="ar"/>
              </w:rPr>
              <w:drawing>
                <wp:anchor distT="0" distB="0" distL="114300" distR="114300" simplePos="0" relativeHeight="251665408" behindDoc="0" locked="0" layoutInCell="1" allowOverlap="1">
                  <wp:simplePos x="0" y="0"/>
                  <wp:positionH relativeFrom="column">
                    <wp:posOffset>-8890</wp:posOffset>
                  </wp:positionH>
                  <wp:positionV relativeFrom="paragraph">
                    <wp:posOffset>638175</wp:posOffset>
                  </wp:positionV>
                  <wp:extent cx="1559560" cy="2578735"/>
                  <wp:effectExtent l="0" t="0" r="2540" b="12065"/>
                  <wp:wrapSquare wrapText="bothSides"/>
                  <wp:docPr id="9" name="图片 9" descr="1椅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椅左"/>
                          <pic:cNvPicPr>
                            <a:picLocks noChangeAspect="1"/>
                          </pic:cNvPicPr>
                        </pic:nvPicPr>
                        <pic:blipFill>
                          <a:blip r:embed="rId13"/>
                          <a:stretch>
                            <a:fillRect/>
                          </a:stretch>
                        </pic:blipFill>
                        <pic:spPr>
                          <a:xfrm>
                            <a:off x="0" y="0"/>
                            <a:ext cx="1559560" cy="2578735"/>
                          </a:xfrm>
                          <a:prstGeom prst="rect">
                            <a:avLst/>
                          </a:prstGeom>
                        </pic:spPr>
                      </pic:pic>
                    </a:graphicData>
                  </a:graphic>
                </wp:anchor>
              </w:drawing>
            </w:r>
            <w:r>
              <w:rPr>
                <w:rFonts w:hint="eastAsia" w:ascii="仿宋" w:hAnsi="仿宋" w:eastAsia="仿宋" w:cs="仿宋"/>
                <w:b/>
                <w:bCs/>
                <w:color w:val="auto"/>
                <w:kern w:val="0"/>
                <w:sz w:val="30"/>
                <w:szCs w:val="30"/>
                <w:highlight w:val="none"/>
                <w:lang w:val="en-US" w:eastAsia="zh-CN" w:bidi="ar"/>
              </w:rPr>
              <w:t xml:space="preserve">椅子左视图：                  椅子正视图         </w:t>
            </w:r>
          </w:p>
          <w:p>
            <w:pPr>
              <w:rPr>
                <w:rFonts w:hint="eastAsia" w:ascii="仿宋" w:hAnsi="仿宋" w:eastAsia="仿宋" w:cs="仿宋"/>
                <w:b/>
                <w:bCs/>
                <w:color w:val="auto"/>
                <w:kern w:val="0"/>
                <w:sz w:val="30"/>
                <w:szCs w:val="30"/>
                <w:highlight w:val="none"/>
                <w:lang w:val="en-US" w:eastAsia="zh-CN" w:bidi="ar"/>
              </w:rPr>
            </w:pPr>
          </w:p>
          <w:p>
            <w:pPr>
              <w:rPr>
                <w:rFonts w:hint="eastAsia" w:ascii="仿宋" w:hAnsi="仿宋" w:eastAsia="仿宋" w:cs="仿宋"/>
                <w:b/>
                <w:bCs/>
                <w:color w:val="auto"/>
                <w:kern w:val="0"/>
                <w:sz w:val="30"/>
                <w:szCs w:val="30"/>
                <w:highlight w:val="none"/>
                <w:lang w:val="en-US" w:eastAsia="zh-CN" w:bidi="ar"/>
              </w:rPr>
            </w:pPr>
          </w:p>
          <w:p>
            <w:pPr>
              <w:rPr>
                <w:rFonts w:hint="eastAsia" w:ascii="仿宋" w:hAnsi="仿宋" w:eastAsia="仿宋" w:cs="仿宋"/>
                <w:b/>
                <w:bCs/>
                <w:color w:val="auto"/>
                <w:kern w:val="0"/>
                <w:sz w:val="30"/>
                <w:szCs w:val="30"/>
                <w:highlight w:val="none"/>
                <w:lang w:val="en-US" w:eastAsia="zh-CN" w:bidi="ar"/>
              </w:rPr>
            </w:pPr>
          </w:p>
          <w:p>
            <w:pPr>
              <w:rPr>
                <w:rFonts w:hint="eastAsia" w:ascii="仿宋" w:hAnsi="仿宋" w:eastAsia="仿宋" w:cs="仿宋"/>
                <w:b/>
                <w:bCs/>
                <w:color w:val="auto"/>
                <w:kern w:val="0"/>
                <w:sz w:val="30"/>
                <w:szCs w:val="30"/>
                <w:highlight w:val="none"/>
                <w:lang w:val="en-US" w:eastAsia="zh-CN" w:bidi="ar"/>
              </w:rPr>
            </w:pPr>
          </w:p>
          <w:p>
            <w:pPr>
              <w:rPr>
                <w:rFonts w:hint="eastAsia" w:ascii="仿宋" w:hAnsi="仿宋" w:eastAsia="仿宋" w:cs="仿宋"/>
                <w:b/>
                <w:bCs/>
                <w:color w:val="auto"/>
                <w:kern w:val="0"/>
                <w:sz w:val="30"/>
                <w:szCs w:val="30"/>
                <w:highlight w:val="none"/>
                <w:lang w:val="en-US" w:eastAsia="zh-CN" w:bidi="ar"/>
              </w:rPr>
            </w:pPr>
          </w:p>
          <w:p>
            <w:pPr>
              <w:rPr>
                <w:rFonts w:hint="eastAsia" w:ascii="仿宋" w:hAnsi="仿宋" w:eastAsia="仿宋" w:cs="仿宋"/>
                <w:b/>
                <w:bCs/>
                <w:color w:val="auto"/>
                <w:kern w:val="0"/>
                <w:sz w:val="30"/>
                <w:szCs w:val="30"/>
                <w:highlight w:val="none"/>
                <w:lang w:val="en-US" w:eastAsia="zh-CN" w:bidi="ar"/>
              </w:rPr>
            </w:pPr>
          </w:p>
          <w:p>
            <w:pPr>
              <w:rPr>
                <w:rFonts w:hint="eastAsia" w:ascii="仿宋" w:hAnsi="仿宋" w:eastAsia="仿宋" w:cs="仿宋"/>
                <w:b/>
                <w:bCs/>
                <w:color w:val="auto"/>
                <w:kern w:val="0"/>
                <w:sz w:val="30"/>
                <w:szCs w:val="30"/>
                <w:highlight w:val="none"/>
                <w:lang w:val="en-US" w:eastAsia="zh-CN" w:bidi="ar"/>
              </w:rPr>
            </w:pPr>
            <w:r>
              <w:rPr>
                <w:rFonts w:hint="eastAsia" w:ascii="仿宋" w:hAnsi="仿宋" w:eastAsia="仿宋" w:cs="仿宋"/>
                <w:b/>
                <w:bCs/>
                <w:color w:val="auto"/>
                <w:kern w:val="0"/>
                <w:sz w:val="30"/>
                <w:szCs w:val="30"/>
                <w:highlight w:val="none"/>
                <w:lang w:val="en-US" w:eastAsia="zh-CN" w:bidi="ar"/>
              </w:rPr>
              <w:t>椅子俯视图：</w:t>
            </w:r>
          </w:p>
          <w:p>
            <w:pPr>
              <w:rPr>
                <w:rFonts w:hint="eastAsia" w:ascii="仿宋" w:hAnsi="仿宋" w:eastAsia="仿宋" w:cs="仿宋"/>
                <w:b/>
                <w:bCs/>
                <w:color w:val="auto"/>
                <w:kern w:val="0"/>
                <w:sz w:val="30"/>
                <w:szCs w:val="30"/>
                <w:highlight w:val="none"/>
                <w:lang w:val="en-US" w:eastAsia="zh-CN" w:bidi="ar"/>
              </w:rPr>
            </w:pPr>
            <w:r>
              <w:rPr>
                <w:rFonts w:hint="default" w:ascii="仿宋" w:hAnsi="仿宋" w:eastAsia="仿宋" w:cs="仿宋"/>
                <w:b/>
                <w:bCs/>
                <w:color w:val="auto"/>
                <w:kern w:val="0"/>
                <w:sz w:val="30"/>
                <w:szCs w:val="30"/>
                <w:highlight w:val="none"/>
                <w:lang w:val="en-US" w:eastAsia="zh-CN" w:bidi="ar"/>
              </w:rPr>
              <w:drawing>
                <wp:anchor distT="0" distB="0" distL="114300" distR="114300" simplePos="0" relativeHeight="251668480" behindDoc="0" locked="0" layoutInCell="1" allowOverlap="1">
                  <wp:simplePos x="0" y="0"/>
                  <wp:positionH relativeFrom="column">
                    <wp:posOffset>2094230</wp:posOffset>
                  </wp:positionH>
                  <wp:positionV relativeFrom="paragraph">
                    <wp:posOffset>149225</wp:posOffset>
                  </wp:positionV>
                  <wp:extent cx="1913255" cy="2185035"/>
                  <wp:effectExtent l="0" t="0" r="10795" b="5715"/>
                  <wp:wrapSquare wrapText="bothSides"/>
                  <wp:docPr id="10" name="图片 10" descr="1椅俯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椅俯B"/>
                          <pic:cNvPicPr>
                            <a:picLocks noChangeAspect="1"/>
                          </pic:cNvPicPr>
                        </pic:nvPicPr>
                        <pic:blipFill>
                          <a:blip r:embed="rId14"/>
                          <a:stretch>
                            <a:fillRect/>
                          </a:stretch>
                        </pic:blipFill>
                        <pic:spPr>
                          <a:xfrm>
                            <a:off x="0" y="0"/>
                            <a:ext cx="1913255" cy="2185035"/>
                          </a:xfrm>
                          <a:prstGeom prst="rect">
                            <a:avLst/>
                          </a:prstGeom>
                        </pic:spPr>
                      </pic:pic>
                    </a:graphicData>
                  </a:graphic>
                </wp:anchor>
              </w:drawing>
            </w:r>
            <w:r>
              <w:rPr>
                <w:rFonts w:hint="eastAsia" w:ascii="仿宋" w:hAnsi="仿宋" w:eastAsia="仿宋" w:cs="仿宋"/>
                <w:b/>
                <w:bCs/>
                <w:color w:val="auto"/>
                <w:kern w:val="0"/>
                <w:sz w:val="30"/>
                <w:szCs w:val="30"/>
                <w:highlight w:val="none"/>
                <w:lang w:val="en-US" w:eastAsia="zh-CN" w:bidi="ar"/>
              </w:rPr>
              <w:drawing>
                <wp:anchor distT="0" distB="0" distL="114300" distR="114300" simplePos="0" relativeHeight="251667456" behindDoc="0" locked="0" layoutInCell="1" allowOverlap="1">
                  <wp:simplePos x="0" y="0"/>
                  <wp:positionH relativeFrom="column">
                    <wp:posOffset>-205105</wp:posOffset>
                  </wp:positionH>
                  <wp:positionV relativeFrom="paragraph">
                    <wp:posOffset>263525</wp:posOffset>
                  </wp:positionV>
                  <wp:extent cx="2167890" cy="1895475"/>
                  <wp:effectExtent l="0" t="0" r="9525" b="3810"/>
                  <wp:wrapSquare wrapText="bothSides"/>
                  <wp:docPr id="11" name="图片 11" descr="1椅俯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椅俯A"/>
                          <pic:cNvPicPr>
                            <a:picLocks noChangeAspect="1"/>
                          </pic:cNvPicPr>
                        </pic:nvPicPr>
                        <pic:blipFill>
                          <a:blip r:embed="rId15"/>
                          <a:stretch>
                            <a:fillRect/>
                          </a:stretch>
                        </pic:blipFill>
                        <pic:spPr>
                          <a:xfrm rot="16200000">
                            <a:off x="0" y="0"/>
                            <a:ext cx="2167890" cy="1895475"/>
                          </a:xfrm>
                          <a:prstGeom prst="rect">
                            <a:avLst/>
                          </a:prstGeom>
                        </pic:spPr>
                      </pic:pic>
                    </a:graphicData>
                  </a:graphic>
                </wp:anchor>
              </w:drawing>
            </w:r>
          </w:p>
          <w:p>
            <w:pPr>
              <w:keepNext w:val="0"/>
              <w:keepLines w:val="0"/>
              <w:pageBreakBefore w:val="0"/>
              <w:widowControl w:val="0"/>
              <w:numPr>
                <w:ilvl w:val="0"/>
                <w:numId w:val="4"/>
              </w:numPr>
              <w:kinsoku/>
              <w:wordWrap/>
              <w:overflowPunct/>
              <w:topLinePunct w:val="0"/>
              <w:autoSpaceDE/>
              <w:autoSpaceDN/>
              <w:bidi w:val="0"/>
              <w:adjustRightInd/>
              <w:snapToGrid/>
              <w:spacing w:line="460" w:lineRule="exac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课椅椅座面板尺寸：①大号课椅：宽度不小于380mm、深380mm(±2mm)</w:t>
            </w:r>
          </w:p>
          <w:p>
            <w:pPr>
              <w:keepNext w:val="0"/>
              <w:keepLines w:val="0"/>
              <w:pageBreakBefore w:val="0"/>
              <w:widowControl w:val="0"/>
              <w:numPr>
                <w:ilvl w:val="0"/>
                <w:numId w:val="4"/>
              </w:numPr>
              <w:kinsoku/>
              <w:wordWrap/>
              <w:overflowPunct/>
              <w:topLinePunct w:val="0"/>
              <w:autoSpaceDE/>
              <w:autoSpaceDN/>
              <w:bidi w:val="0"/>
              <w:adjustRightInd/>
              <w:snapToGrid/>
              <w:spacing w:line="460" w:lineRule="exac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课椅椅靠背面板尺寸：①大号课椅：宽度不小于380mm、高度155mm(±2mm)</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textAlignment w:val="auto"/>
              <w:rPr>
                <w:rFonts w:hint="eastAsia" w:ascii="仿宋" w:hAnsi="仿宋" w:eastAsia="仿宋" w:cs="仿宋"/>
                <w:color w:val="auto"/>
                <w:kern w:val="0"/>
                <w:sz w:val="30"/>
                <w:szCs w:val="30"/>
                <w:highlight w:val="none"/>
                <w:lang w:val="en-US" w:eastAsia="zh-CN" w:bidi="ar"/>
              </w:rPr>
            </w:pPr>
            <w:r>
              <w:rPr>
                <w:rFonts w:hint="eastAsia" w:ascii="宋体" w:hAnsi="宋体" w:eastAsia="宋体" w:cs="宋体"/>
                <w:color w:val="auto"/>
                <w:kern w:val="0"/>
                <w:sz w:val="21"/>
                <w:szCs w:val="21"/>
                <w:highlight w:val="none"/>
                <w:lang w:val="en-US" w:eastAsia="zh-CN" w:bidi="ar"/>
              </w:rPr>
              <w:t>3.座面高度：440 mm（1号）</w:t>
            </w:r>
            <w:r>
              <w:rPr>
                <w:rFonts w:hint="eastAsia" w:ascii="仿宋" w:hAnsi="仿宋" w:eastAsia="仿宋" w:cs="仿宋"/>
                <w:color w:val="auto"/>
                <w:kern w:val="0"/>
                <w:sz w:val="30"/>
                <w:szCs w:val="30"/>
                <w:highlight w:val="none"/>
                <w:lang w:val="en-US" w:eastAsia="zh-CN" w:bidi="ar"/>
              </w:rPr>
              <w:br w:type="page"/>
            </w:r>
          </w:p>
          <w:p>
            <w:pPr>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4号学生课桌椅</w:t>
            </w:r>
          </w:p>
          <w:p>
            <w:pPr>
              <w:rPr>
                <w:rFonts w:hint="eastAsia" w:ascii="仿宋" w:hAnsi="仿宋" w:eastAsia="仿宋" w:cs="仿宋"/>
                <w:b/>
                <w:bCs/>
                <w:color w:val="auto"/>
                <w:sz w:val="30"/>
                <w:szCs w:val="30"/>
                <w:lang w:val="en-US" w:eastAsia="zh-CN"/>
              </w:rPr>
            </w:pPr>
            <w:r>
              <w:rPr>
                <w:rFonts w:hint="eastAsia" w:ascii="仿宋" w:hAnsi="仿宋" w:eastAsia="仿宋" w:cs="仿宋"/>
                <w:b/>
                <w:bCs/>
                <w:color w:val="auto"/>
                <w:sz w:val="30"/>
                <w:szCs w:val="30"/>
                <w:lang w:val="en-US" w:eastAsia="zh-CN"/>
              </w:rPr>
              <w:t>桌子</w:t>
            </w:r>
            <w:r>
              <w:rPr>
                <w:rFonts w:hint="eastAsia" w:ascii="仿宋" w:hAnsi="仿宋" w:eastAsia="仿宋" w:cs="仿宋"/>
                <w:b/>
                <w:bCs/>
                <w:color w:val="auto"/>
                <w:kern w:val="0"/>
                <w:sz w:val="30"/>
                <w:szCs w:val="30"/>
                <w:highlight w:val="none"/>
                <w:lang w:val="en-US" w:eastAsia="zh-CN" w:bidi="ar"/>
              </w:rPr>
              <w:t xml:space="preserve">左视图：                  </w:t>
            </w:r>
            <w:r>
              <w:rPr>
                <w:rFonts w:hint="eastAsia" w:ascii="仿宋" w:hAnsi="仿宋" w:eastAsia="仿宋" w:cs="仿宋"/>
                <w:b/>
                <w:bCs/>
                <w:color w:val="auto"/>
                <w:sz w:val="30"/>
                <w:szCs w:val="30"/>
                <w:lang w:val="en-US" w:eastAsia="zh-CN"/>
              </w:rPr>
              <w:t>桌子</w:t>
            </w:r>
            <w:r>
              <w:rPr>
                <w:rFonts w:hint="eastAsia" w:ascii="仿宋" w:hAnsi="仿宋" w:eastAsia="仿宋" w:cs="仿宋"/>
                <w:b/>
                <w:bCs/>
                <w:color w:val="auto"/>
                <w:kern w:val="0"/>
                <w:sz w:val="30"/>
                <w:szCs w:val="30"/>
                <w:highlight w:val="none"/>
                <w:lang w:val="en-US" w:eastAsia="zh-CN" w:bidi="ar"/>
              </w:rPr>
              <w:t xml:space="preserve">正视图： </w:t>
            </w:r>
            <w:r>
              <w:rPr>
                <w:rFonts w:hint="eastAsia" w:ascii="仿宋" w:hAnsi="仿宋" w:eastAsia="仿宋" w:cs="仿宋"/>
                <w:b/>
                <w:bCs/>
                <w:color w:val="auto"/>
                <w:kern w:val="0"/>
                <w:sz w:val="30"/>
                <w:szCs w:val="30"/>
                <w:highlight w:val="none"/>
                <w:lang w:val="en-US" w:eastAsia="zh-CN" w:bidi="ar"/>
              </w:rPr>
              <w:drawing>
                <wp:anchor distT="0" distB="0" distL="114300" distR="114300" simplePos="0" relativeHeight="251675648" behindDoc="0" locked="0" layoutInCell="1" allowOverlap="1">
                  <wp:simplePos x="0" y="0"/>
                  <wp:positionH relativeFrom="column">
                    <wp:posOffset>1977390</wp:posOffset>
                  </wp:positionH>
                  <wp:positionV relativeFrom="paragraph">
                    <wp:posOffset>203200</wp:posOffset>
                  </wp:positionV>
                  <wp:extent cx="1952625" cy="2100580"/>
                  <wp:effectExtent l="0" t="0" r="9525" b="13970"/>
                  <wp:wrapSquare wrapText="bothSides"/>
                  <wp:docPr id="38" name="图片 38" descr="4桌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4桌正"/>
                          <pic:cNvPicPr>
                            <a:picLocks noChangeAspect="1"/>
                          </pic:cNvPicPr>
                        </pic:nvPicPr>
                        <pic:blipFill>
                          <a:blip r:embed="rId16"/>
                          <a:stretch>
                            <a:fillRect/>
                          </a:stretch>
                        </pic:blipFill>
                        <pic:spPr>
                          <a:xfrm>
                            <a:off x="0" y="0"/>
                            <a:ext cx="1952625" cy="2100580"/>
                          </a:xfrm>
                          <a:prstGeom prst="rect">
                            <a:avLst/>
                          </a:prstGeom>
                        </pic:spPr>
                      </pic:pic>
                    </a:graphicData>
                  </a:graphic>
                </wp:anchor>
              </w:drawing>
            </w:r>
            <w:r>
              <w:rPr>
                <w:rFonts w:hint="eastAsia" w:eastAsiaTheme="minorEastAsia"/>
                <w:color w:val="auto"/>
                <w:lang w:eastAsia="zh-CN"/>
              </w:rPr>
              <w:drawing>
                <wp:anchor distT="0" distB="0" distL="114300" distR="114300" simplePos="0" relativeHeight="251684864" behindDoc="0" locked="0" layoutInCell="1" allowOverlap="1">
                  <wp:simplePos x="0" y="0"/>
                  <wp:positionH relativeFrom="column">
                    <wp:posOffset>120015</wp:posOffset>
                  </wp:positionH>
                  <wp:positionV relativeFrom="paragraph">
                    <wp:posOffset>217805</wp:posOffset>
                  </wp:positionV>
                  <wp:extent cx="1441450" cy="2067560"/>
                  <wp:effectExtent l="0" t="0" r="6350" b="8890"/>
                  <wp:wrapSquare wrapText="bothSides"/>
                  <wp:docPr id="49" name="图片 49" descr="4桌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4桌左"/>
                          <pic:cNvPicPr>
                            <a:picLocks noChangeAspect="1"/>
                          </pic:cNvPicPr>
                        </pic:nvPicPr>
                        <pic:blipFill>
                          <a:blip r:embed="rId17"/>
                          <a:stretch>
                            <a:fillRect/>
                          </a:stretch>
                        </pic:blipFill>
                        <pic:spPr>
                          <a:xfrm>
                            <a:off x="0" y="0"/>
                            <a:ext cx="1441450" cy="2067560"/>
                          </a:xfrm>
                          <a:prstGeom prst="rect">
                            <a:avLst/>
                          </a:prstGeom>
                        </pic:spPr>
                      </pic:pic>
                    </a:graphicData>
                  </a:graphic>
                </wp:anchor>
              </w:drawing>
            </w:r>
          </w:p>
          <w:p>
            <w:pPr>
              <w:rPr>
                <w:rFonts w:hint="eastAsia" w:ascii="仿宋" w:hAnsi="仿宋" w:eastAsia="仿宋" w:cs="仿宋"/>
                <w:b/>
                <w:bCs/>
                <w:color w:val="auto"/>
                <w:kern w:val="0"/>
                <w:sz w:val="30"/>
                <w:szCs w:val="30"/>
                <w:highlight w:val="none"/>
                <w:lang w:val="en-US" w:eastAsia="zh-CN" w:bidi="ar"/>
              </w:rPr>
            </w:pPr>
            <w:r>
              <w:rPr>
                <w:rFonts w:hint="eastAsia" w:ascii="仿宋" w:hAnsi="仿宋" w:eastAsia="仿宋" w:cs="仿宋"/>
                <w:b/>
                <w:bCs/>
                <w:color w:val="auto"/>
                <w:sz w:val="30"/>
                <w:szCs w:val="30"/>
                <w:lang w:val="en-US" w:eastAsia="zh-CN"/>
              </w:rPr>
              <w:t>桌子</w:t>
            </w:r>
            <w:r>
              <w:rPr>
                <w:rFonts w:hint="eastAsia" w:ascii="仿宋" w:hAnsi="仿宋" w:eastAsia="仿宋" w:cs="仿宋"/>
                <w:b/>
                <w:bCs/>
                <w:color w:val="auto"/>
                <w:kern w:val="0"/>
                <w:sz w:val="30"/>
                <w:szCs w:val="30"/>
                <w:highlight w:val="none"/>
                <w:lang w:val="en-US" w:eastAsia="zh-CN" w:bidi="ar"/>
              </w:rPr>
              <w:t>俯视图：</w:t>
            </w:r>
          </w:p>
          <w:p>
            <w:pPr>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bCs/>
                <w:color w:val="auto"/>
                <w:sz w:val="21"/>
                <w:szCs w:val="21"/>
                <w:lang w:val="en-US" w:eastAsia="zh-CN"/>
              </w:rPr>
              <w:drawing>
                <wp:anchor distT="0" distB="0" distL="114300" distR="114300" simplePos="0" relativeHeight="251677696" behindDoc="0" locked="0" layoutInCell="1" allowOverlap="1">
                  <wp:simplePos x="0" y="0"/>
                  <wp:positionH relativeFrom="column">
                    <wp:posOffset>2450465</wp:posOffset>
                  </wp:positionH>
                  <wp:positionV relativeFrom="paragraph">
                    <wp:posOffset>-89535</wp:posOffset>
                  </wp:positionV>
                  <wp:extent cx="1141095" cy="1664335"/>
                  <wp:effectExtent l="0" t="0" r="12065" b="1905"/>
                  <wp:wrapSquare wrapText="bothSides"/>
                  <wp:docPr id="40" name="图片 40" descr="4桌俯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4桌俯B"/>
                          <pic:cNvPicPr>
                            <a:picLocks noChangeAspect="1"/>
                          </pic:cNvPicPr>
                        </pic:nvPicPr>
                        <pic:blipFill>
                          <a:blip r:embed="rId18"/>
                          <a:stretch>
                            <a:fillRect/>
                          </a:stretch>
                        </pic:blipFill>
                        <pic:spPr>
                          <a:xfrm rot="16200000">
                            <a:off x="0" y="0"/>
                            <a:ext cx="1141095" cy="1664335"/>
                          </a:xfrm>
                          <a:prstGeom prst="rect">
                            <a:avLst/>
                          </a:prstGeom>
                        </pic:spPr>
                      </pic:pic>
                    </a:graphicData>
                  </a:graphic>
                </wp:anchor>
              </w:drawing>
            </w:r>
            <w:r>
              <w:rPr>
                <w:rFonts w:hint="eastAsia" w:ascii="宋体" w:hAnsi="宋体" w:eastAsia="宋体" w:cs="宋体"/>
                <w:b/>
                <w:bCs/>
                <w:color w:val="auto"/>
                <w:kern w:val="0"/>
                <w:sz w:val="21"/>
                <w:szCs w:val="21"/>
                <w:highlight w:val="none"/>
                <w:lang w:val="en-US" w:eastAsia="zh-CN" w:bidi="ar"/>
              </w:rPr>
              <w:drawing>
                <wp:anchor distT="0" distB="0" distL="114300" distR="114300" simplePos="0" relativeHeight="251676672" behindDoc="0" locked="0" layoutInCell="1" allowOverlap="1">
                  <wp:simplePos x="0" y="0"/>
                  <wp:positionH relativeFrom="column">
                    <wp:posOffset>331470</wp:posOffset>
                  </wp:positionH>
                  <wp:positionV relativeFrom="paragraph">
                    <wp:posOffset>-156210</wp:posOffset>
                  </wp:positionV>
                  <wp:extent cx="1272540" cy="1939290"/>
                  <wp:effectExtent l="0" t="0" r="3810" b="3810"/>
                  <wp:wrapSquare wrapText="bothSides"/>
                  <wp:docPr id="39" name="图片 39" descr="4桌俯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4桌俯A"/>
                          <pic:cNvPicPr>
                            <a:picLocks noChangeAspect="1"/>
                          </pic:cNvPicPr>
                        </pic:nvPicPr>
                        <pic:blipFill>
                          <a:blip r:embed="rId19"/>
                          <a:stretch>
                            <a:fillRect/>
                          </a:stretch>
                        </pic:blipFill>
                        <pic:spPr>
                          <a:xfrm rot="16200000">
                            <a:off x="0" y="0"/>
                            <a:ext cx="1272540" cy="1939290"/>
                          </a:xfrm>
                          <a:prstGeom prst="rect">
                            <a:avLst/>
                          </a:prstGeom>
                        </pic:spPr>
                      </pic:pic>
                    </a:graphicData>
                  </a:graphic>
                </wp:anchor>
              </w:drawing>
            </w:r>
            <w:r>
              <w:rPr>
                <w:rFonts w:hint="eastAsia" w:ascii="宋体" w:hAnsi="宋体" w:eastAsia="宋体" w:cs="宋体"/>
                <w:b w:val="0"/>
                <w:bCs w:val="0"/>
                <w:color w:val="auto"/>
                <w:kern w:val="0"/>
                <w:sz w:val="21"/>
                <w:szCs w:val="21"/>
                <w:highlight w:val="none"/>
                <w:lang w:val="en-US" w:eastAsia="zh-CN" w:bidi="ar"/>
              </w:rPr>
              <w:t>1、课桌桌面板尺寸：不小于600mm×400mm</w:t>
            </w:r>
          </w:p>
          <w:p>
            <w:pPr>
              <w:rPr>
                <w:rFonts w:hint="eastAsia"/>
                <w:color w:val="auto"/>
                <w:lang w:val="en-US" w:eastAsia="zh-CN"/>
              </w:rPr>
            </w:pPr>
            <w:r>
              <w:rPr>
                <w:rFonts w:hint="eastAsia" w:ascii="宋体" w:hAnsi="宋体" w:eastAsia="宋体" w:cs="宋体"/>
                <w:b w:val="0"/>
                <w:bCs w:val="0"/>
                <w:color w:val="auto"/>
                <w:kern w:val="0"/>
                <w:sz w:val="21"/>
                <w:szCs w:val="21"/>
                <w:highlight w:val="none"/>
                <w:lang w:val="en-US" w:eastAsia="zh-CN" w:bidi="ar"/>
              </w:rPr>
              <w:t>2、高度670mm （4号）</w:t>
            </w:r>
            <w:r>
              <w:rPr>
                <w:rFonts w:hint="eastAsia" w:ascii="仿宋" w:hAnsi="仿宋" w:eastAsia="仿宋" w:cs="仿宋"/>
                <w:color w:val="auto"/>
                <w:kern w:val="0"/>
                <w:sz w:val="30"/>
                <w:szCs w:val="30"/>
                <w:highlight w:val="none"/>
                <w:lang w:val="en-US" w:eastAsia="zh-CN" w:bidi="ar"/>
              </w:rPr>
              <w:br w:type="page"/>
            </w:r>
          </w:p>
          <w:p>
            <w:pPr>
              <w:ind w:left="4518" w:hanging="4518" w:hangingChars="1500"/>
              <w:rPr>
                <w:rFonts w:hint="eastAsia" w:ascii="仿宋" w:hAnsi="仿宋" w:eastAsia="仿宋" w:cs="仿宋"/>
                <w:b/>
                <w:bCs/>
                <w:color w:val="auto"/>
                <w:kern w:val="0"/>
                <w:sz w:val="30"/>
                <w:szCs w:val="30"/>
                <w:highlight w:val="none"/>
                <w:lang w:val="en-US" w:eastAsia="zh-CN" w:bidi="ar"/>
              </w:rPr>
            </w:pPr>
            <w:r>
              <w:rPr>
                <w:rFonts w:hint="eastAsia" w:ascii="仿宋" w:hAnsi="仿宋" w:eastAsia="仿宋" w:cs="仿宋"/>
                <w:b/>
                <w:bCs/>
                <w:color w:val="auto"/>
                <w:kern w:val="0"/>
                <w:sz w:val="30"/>
                <w:szCs w:val="30"/>
                <w:highlight w:val="none"/>
                <w:lang w:val="en-US" w:eastAsia="zh-CN" w:bidi="ar"/>
              </w:rPr>
              <w:t>椅子左视图：                  椅子正视图：</w:t>
            </w:r>
          </w:p>
          <w:p>
            <w:pPr>
              <w:ind w:left="4518" w:hanging="4518" w:hangingChars="1500"/>
              <w:rPr>
                <w:rFonts w:hint="eastAsia" w:ascii="仿宋" w:hAnsi="仿宋" w:eastAsia="仿宋" w:cs="仿宋"/>
                <w:b/>
                <w:bCs/>
                <w:color w:val="auto"/>
                <w:kern w:val="0"/>
                <w:sz w:val="30"/>
                <w:szCs w:val="30"/>
                <w:highlight w:val="none"/>
                <w:lang w:val="en-US" w:eastAsia="zh-CN" w:bidi="ar"/>
              </w:rPr>
            </w:pPr>
            <w:r>
              <w:rPr>
                <w:rFonts w:hint="eastAsia" w:ascii="仿宋" w:hAnsi="仿宋" w:eastAsia="仿宋" w:cs="仿宋"/>
                <w:b/>
                <w:bCs/>
                <w:color w:val="auto"/>
                <w:kern w:val="0"/>
                <w:sz w:val="30"/>
                <w:szCs w:val="30"/>
                <w:highlight w:val="none"/>
                <w:lang w:val="en-US" w:eastAsia="zh-CN" w:bidi="ar"/>
              </w:rPr>
              <w:drawing>
                <wp:anchor distT="0" distB="0" distL="114300" distR="114300" simplePos="0" relativeHeight="251678720" behindDoc="0" locked="0" layoutInCell="1" allowOverlap="1">
                  <wp:simplePos x="0" y="0"/>
                  <wp:positionH relativeFrom="column">
                    <wp:posOffset>-274955</wp:posOffset>
                  </wp:positionH>
                  <wp:positionV relativeFrom="paragraph">
                    <wp:posOffset>20955</wp:posOffset>
                  </wp:positionV>
                  <wp:extent cx="2040890" cy="3041650"/>
                  <wp:effectExtent l="0" t="0" r="16510" b="6350"/>
                  <wp:wrapSquare wrapText="bothSides"/>
                  <wp:docPr id="41" name="图片 41" descr="4椅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4椅左"/>
                          <pic:cNvPicPr>
                            <a:picLocks noChangeAspect="1"/>
                          </pic:cNvPicPr>
                        </pic:nvPicPr>
                        <pic:blipFill>
                          <a:blip r:embed="rId20"/>
                          <a:stretch>
                            <a:fillRect/>
                          </a:stretch>
                        </pic:blipFill>
                        <pic:spPr>
                          <a:xfrm>
                            <a:off x="0" y="0"/>
                            <a:ext cx="2040890" cy="3041650"/>
                          </a:xfrm>
                          <a:prstGeom prst="rect">
                            <a:avLst/>
                          </a:prstGeom>
                        </pic:spPr>
                      </pic:pic>
                    </a:graphicData>
                  </a:graphic>
                </wp:anchor>
              </w:drawing>
            </w:r>
            <w:r>
              <w:rPr>
                <w:rFonts w:hint="eastAsia" w:ascii="仿宋" w:hAnsi="仿宋" w:eastAsia="仿宋" w:cs="仿宋"/>
                <w:b/>
                <w:bCs/>
                <w:color w:val="auto"/>
                <w:kern w:val="0"/>
                <w:sz w:val="30"/>
                <w:szCs w:val="30"/>
                <w:highlight w:val="none"/>
                <w:lang w:val="en-US" w:eastAsia="zh-CN" w:bidi="ar"/>
              </w:rPr>
              <w:drawing>
                <wp:anchor distT="0" distB="0" distL="114300" distR="114300" simplePos="0" relativeHeight="251679744" behindDoc="0" locked="0" layoutInCell="1" allowOverlap="1">
                  <wp:simplePos x="0" y="0"/>
                  <wp:positionH relativeFrom="column">
                    <wp:posOffset>2994025</wp:posOffset>
                  </wp:positionH>
                  <wp:positionV relativeFrom="paragraph">
                    <wp:posOffset>75565</wp:posOffset>
                  </wp:positionV>
                  <wp:extent cx="1753235" cy="3114040"/>
                  <wp:effectExtent l="0" t="0" r="18415" b="10160"/>
                  <wp:wrapSquare wrapText="bothSides"/>
                  <wp:docPr id="42" name="图片 42" descr="4椅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4椅正"/>
                          <pic:cNvPicPr>
                            <a:picLocks noChangeAspect="1"/>
                          </pic:cNvPicPr>
                        </pic:nvPicPr>
                        <pic:blipFill>
                          <a:blip r:embed="rId21"/>
                          <a:stretch>
                            <a:fillRect/>
                          </a:stretch>
                        </pic:blipFill>
                        <pic:spPr>
                          <a:xfrm>
                            <a:off x="0" y="0"/>
                            <a:ext cx="1753235" cy="3114040"/>
                          </a:xfrm>
                          <a:prstGeom prst="rect">
                            <a:avLst/>
                          </a:prstGeom>
                        </pic:spPr>
                      </pic:pic>
                    </a:graphicData>
                  </a:graphic>
                </wp:anchor>
              </w:drawing>
            </w:r>
            <w:r>
              <w:rPr>
                <w:rFonts w:hint="eastAsia" w:ascii="仿宋" w:hAnsi="仿宋" w:eastAsia="仿宋" w:cs="仿宋"/>
                <w:b/>
                <w:bCs/>
                <w:color w:val="auto"/>
                <w:kern w:val="0"/>
                <w:sz w:val="30"/>
                <w:szCs w:val="30"/>
                <w:highlight w:val="none"/>
                <w:lang w:val="en-US" w:eastAsia="zh-CN" w:bidi="ar"/>
              </w:rPr>
              <w:t xml:space="preserve">          </w:t>
            </w:r>
          </w:p>
          <w:p>
            <w:pPr>
              <w:ind w:left="4518" w:hanging="4518" w:hangingChars="1500"/>
              <w:rPr>
                <w:rFonts w:hint="eastAsia" w:ascii="仿宋" w:hAnsi="仿宋" w:eastAsia="仿宋" w:cs="仿宋"/>
                <w:b/>
                <w:bCs/>
                <w:color w:val="auto"/>
                <w:kern w:val="0"/>
                <w:sz w:val="30"/>
                <w:szCs w:val="30"/>
                <w:highlight w:val="none"/>
                <w:lang w:val="en-US" w:eastAsia="zh-CN" w:bidi="ar"/>
              </w:rPr>
            </w:pPr>
            <w:r>
              <w:rPr>
                <w:rFonts w:hint="eastAsia" w:ascii="仿宋" w:hAnsi="仿宋" w:eastAsia="仿宋" w:cs="仿宋"/>
                <w:b/>
                <w:bCs/>
                <w:color w:val="auto"/>
                <w:sz w:val="30"/>
                <w:szCs w:val="30"/>
                <w:lang w:val="en-US" w:eastAsia="zh-CN"/>
              </w:rPr>
              <w:t>椅子</w:t>
            </w:r>
            <w:r>
              <w:rPr>
                <w:rFonts w:hint="eastAsia" w:ascii="仿宋" w:hAnsi="仿宋" w:eastAsia="仿宋" w:cs="仿宋"/>
                <w:b/>
                <w:bCs/>
                <w:color w:val="auto"/>
                <w:kern w:val="0"/>
                <w:sz w:val="30"/>
                <w:szCs w:val="30"/>
                <w:highlight w:val="none"/>
                <w:lang w:val="en-US" w:eastAsia="zh-CN" w:bidi="ar"/>
              </w:rPr>
              <w:t xml:space="preserve">俯视图：  </w:t>
            </w:r>
          </w:p>
          <w:p>
            <w:pPr>
              <w:rPr>
                <w:rFonts w:hint="eastAsia" w:ascii="仿宋" w:hAnsi="仿宋" w:eastAsia="仿宋" w:cs="仿宋"/>
                <w:color w:val="auto"/>
                <w:kern w:val="0"/>
                <w:sz w:val="30"/>
                <w:szCs w:val="30"/>
                <w:highlight w:val="none"/>
                <w:lang w:val="en-US" w:eastAsia="zh-CN" w:bidi="ar"/>
              </w:rPr>
            </w:pPr>
            <w:r>
              <w:rPr>
                <w:rFonts w:hint="eastAsia" w:ascii="仿宋" w:hAnsi="仿宋" w:eastAsia="仿宋" w:cs="仿宋"/>
                <w:b/>
                <w:bCs/>
                <w:color w:val="auto"/>
                <w:sz w:val="32"/>
                <w:szCs w:val="32"/>
                <w:lang w:val="en-US" w:eastAsia="zh-CN"/>
              </w:rPr>
              <w:drawing>
                <wp:anchor distT="0" distB="0" distL="114300" distR="114300" simplePos="0" relativeHeight="251681792" behindDoc="0" locked="0" layoutInCell="1" allowOverlap="1">
                  <wp:simplePos x="0" y="0"/>
                  <wp:positionH relativeFrom="column">
                    <wp:posOffset>2207895</wp:posOffset>
                  </wp:positionH>
                  <wp:positionV relativeFrom="paragraph">
                    <wp:posOffset>92075</wp:posOffset>
                  </wp:positionV>
                  <wp:extent cx="1859915" cy="1999615"/>
                  <wp:effectExtent l="0" t="0" r="6985" b="635"/>
                  <wp:wrapSquare wrapText="bothSides"/>
                  <wp:docPr id="45" name="图片 45" descr="4椅俯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4椅俯B"/>
                          <pic:cNvPicPr>
                            <a:picLocks noChangeAspect="1"/>
                          </pic:cNvPicPr>
                        </pic:nvPicPr>
                        <pic:blipFill>
                          <a:blip r:embed="rId22"/>
                          <a:stretch>
                            <a:fillRect/>
                          </a:stretch>
                        </pic:blipFill>
                        <pic:spPr>
                          <a:xfrm>
                            <a:off x="0" y="0"/>
                            <a:ext cx="1859915" cy="1999615"/>
                          </a:xfrm>
                          <a:prstGeom prst="rect">
                            <a:avLst/>
                          </a:prstGeom>
                        </pic:spPr>
                      </pic:pic>
                    </a:graphicData>
                  </a:graphic>
                </wp:anchor>
              </w:drawing>
            </w:r>
            <w:r>
              <w:rPr>
                <w:rFonts w:hint="eastAsia" w:ascii="仿宋" w:hAnsi="仿宋" w:eastAsia="仿宋" w:cs="仿宋"/>
                <w:b/>
                <w:bCs/>
                <w:color w:val="auto"/>
                <w:sz w:val="32"/>
                <w:szCs w:val="32"/>
                <w:lang w:val="en-US" w:eastAsia="zh-CN"/>
              </w:rPr>
              <w:drawing>
                <wp:anchor distT="0" distB="0" distL="114300" distR="114300" simplePos="0" relativeHeight="251680768" behindDoc="0" locked="0" layoutInCell="1" allowOverlap="1">
                  <wp:simplePos x="0" y="0"/>
                  <wp:positionH relativeFrom="column">
                    <wp:posOffset>-94615</wp:posOffset>
                  </wp:positionH>
                  <wp:positionV relativeFrom="paragraph">
                    <wp:posOffset>86360</wp:posOffset>
                  </wp:positionV>
                  <wp:extent cx="1992630" cy="2016760"/>
                  <wp:effectExtent l="0" t="0" r="7620" b="2540"/>
                  <wp:wrapSquare wrapText="bothSides"/>
                  <wp:docPr id="44" name="图片 44" descr="4椅俯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4椅俯A"/>
                          <pic:cNvPicPr>
                            <a:picLocks noChangeAspect="1"/>
                          </pic:cNvPicPr>
                        </pic:nvPicPr>
                        <pic:blipFill>
                          <a:blip r:embed="rId23"/>
                          <a:stretch>
                            <a:fillRect/>
                          </a:stretch>
                        </pic:blipFill>
                        <pic:spPr>
                          <a:xfrm>
                            <a:off x="0" y="0"/>
                            <a:ext cx="1992630" cy="2016760"/>
                          </a:xfrm>
                          <a:prstGeom prst="rect">
                            <a:avLst/>
                          </a:prstGeom>
                        </pic:spPr>
                      </pic:pic>
                    </a:graphicData>
                  </a:graphic>
                </wp:anchor>
              </w:drawing>
            </w:r>
            <w:r>
              <w:rPr>
                <w:rFonts w:hint="eastAsia" w:ascii="仿宋" w:hAnsi="仿宋" w:eastAsia="仿宋" w:cs="仿宋"/>
                <w:b/>
                <w:bCs/>
                <w:color w:val="auto"/>
                <w:kern w:val="0"/>
                <w:sz w:val="30"/>
                <w:szCs w:val="30"/>
                <w:highlight w:val="none"/>
                <w:lang w:val="en-US" w:eastAsia="zh-CN" w:bidi="ar"/>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1、课椅椅座面板尺寸：②中号课椅：宽度不小于340mm、深340mm(±2mm)</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2、课椅椅靠背面板尺寸：②中号课椅：宽度不小于340mm、高度135mm(±2mm)</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3、座面高度：380mm（4号）</w:t>
            </w:r>
          </w:p>
          <w:p>
            <w:pPr>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7号学生课桌椅</w:t>
            </w:r>
          </w:p>
          <w:p>
            <w:pPr>
              <w:rPr>
                <w:rFonts w:hint="eastAsia" w:ascii="仿宋" w:hAnsi="仿宋" w:eastAsia="仿宋" w:cs="仿宋"/>
                <w:b/>
                <w:bCs/>
                <w:color w:val="auto"/>
                <w:kern w:val="0"/>
                <w:sz w:val="30"/>
                <w:szCs w:val="30"/>
                <w:highlight w:val="none"/>
                <w:lang w:val="en-US" w:eastAsia="zh-CN" w:bidi="ar"/>
              </w:rPr>
            </w:pPr>
            <w:r>
              <w:rPr>
                <w:rFonts w:hint="eastAsia" w:ascii="仿宋" w:hAnsi="仿宋" w:eastAsia="仿宋" w:cs="仿宋"/>
                <w:b/>
                <w:bCs/>
                <w:color w:val="auto"/>
                <w:sz w:val="30"/>
                <w:szCs w:val="30"/>
                <w:lang w:val="en-US" w:eastAsia="zh-CN"/>
              </w:rPr>
              <w:t>桌子</w:t>
            </w:r>
            <w:r>
              <w:rPr>
                <w:rFonts w:hint="eastAsia" w:ascii="仿宋" w:hAnsi="仿宋" w:eastAsia="仿宋" w:cs="仿宋"/>
                <w:b/>
                <w:bCs/>
                <w:color w:val="auto"/>
                <w:kern w:val="0"/>
                <w:sz w:val="30"/>
                <w:szCs w:val="30"/>
                <w:highlight w:val="none"/>
                <w:lang w:val="en-US" w:eastAsia="zh-CN" w:bidi="ar"/>
              </w:rPr>
              <w:t xml:space="preserve">左视图：                </w:t>
            </w:r>
            <w:r>
              <w:rPr>
                <w:rFonts w:hint="eastAsia" w:ascii="仿宋" w:hAnsi="仿宋" w:eastAsia="仿宋" w:cs="仿宋"/>
                <w:b/>
                <w:bCs/>
                <w:color w:val="auto"/>
                <w:sz w:val="30"/>
                <w:szCs w:val="30"/>
                <w:lang w:val="en-US" w:eastAsia="zh-CN"/>
              </w:rPr>
              <w:t>桌子</w:t>
            </w:r>
            <w:r>
              <w:rPr>
                <w:rFonts w:hint="eastAsia" w:ascii="仿宋" w:hAnsi="仿宋" w:eastAsia="仿宋" w:cs="仿宋"/>
                <w:b/>
                <w:bCs/>
                <w:color w:val="auto"/>
                <w:kern w:val="0"/>
                <w:sz w:val="30"/>
                <w:szCs w:val="30"/>
                <w:highlight w:val="none"/>
                <w:lang w:val="en-US" w:eastAsia="zh-CN" w:bidi="ar"/>
              </w:rPr>
              <w:t xml:space="preserve">正视图： </w:t>
            </w:r>
          </w:p>
          <w:p>
            <w:pPr>
              <w:rPr>
                <w:rFonts w:hint="eastAsia" w:ascii="仿宋" w:hAnsi="仿宋" w:eastAsia="仿宋" w:cs="仿宋"/>
                <w:b/>
                <w:bCs/>
                <w:color w:val="auto"/>
                <w:kern w:val="0"/>
                <w:sz w:val="30"/>
                <w:szCs w:val="30"/>
                <w:highlight w:val="none"/>
                <w:lang w:val="en-US" w:eastAsia="zh-CN" w:bidi="ar"/>
              </w:rPr>
            </w:pPr>
            <w:r>
              <w:rPr>
                <w:rFonts w:hint="eastAsia" w:ascii="仿宋" w:hAnsi="仿宋" w:eastAsia="仿宋" w:cs="仿宋"/>
                <w:b/>
                <w:bCs/>
                <w:color w:val="auto"/>
                <w:kern w:val="0"/>
                <w:sz w:val="30"/>
                <w:szCs w:val="30"/>
                <w:highlight w:val="none"/>
                <w:lang w:val="en-US" w:eastAsia="zh-CN" w:bidi="ar"/>
              </w:rPr>
              <w:drawing>
                <wp:anchor distT="0" distB="0" distL="114300" distR="114300" simplePos="0" relativeHeight="251682816" behindDoc="0" locked="0" layoutInCell="1" allowOverlap="1">
                  <wp:simplePos x="0" y="0"/>
                  <wp:positionH relativeFrom="column">
                    <wp:posOffset>1678305</wp:posOffset>
                  </wp:positionH>
                  <wp:positionV relativeFrom="paragraph">
                    <wp:posOffset>90170</wp:posOffset>
                  </wp:positionV>
                  <wp:extent cx="2362200" cy="2314575"/>
                  <wp:effectExtent l="0" t="0" r="0" b="9525"/>
                  <wp:wrapSquare wrapText="bothSides"/>
                  <wp:docPr id="46" name="图片 46" descr="7桌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7桌正"/>
                          <pic:cNvPicPr>
                            <a:picLocks noChangeAspect="1"/>
                          </pic:cNvPicPr>
                        </pic:nvPicPr>
                        <pic:blipFill>
                          <a:blip r:embed="rId24"/>
                          <a:stretch>
                            <a:fillRect/>
                          </a:stretch>
                        </pic:blipFill>
                        <pic:spPr>
                          <a:xfrm>
                            <a:off x="0" y="0"/>
                            <a:ext cx="2362200" cy="2314575"/>
                          </a:xfrm>
                          <a:prstGeom prst="rect">
                            <a:avLst/>
                          </a:prstGeom>
                        </pic:spPr>
                      </pic:pic>
                    </a:graphicData>
                  </a:graphic>
                </wp:anchor>
              </w:drawing>
            </w:r>
            <w:r>
              <w:rPr>
                <w:rFonts w:hint="eastAsia" w:ascii="仿宋" w:hAnsi="仿宋" w:eastAsia="仿宋" w:cs="仿宋"/>
                <w:b/>
                <w:bCs/>
                <w:color w:val="auto"/>
                <w:kern w:val="0"/>
                <w:sz w:val="30"/>
                <w:szCs w:val="30"/>
                <w:highlight w:val="none"/>
                <w:lang w:val="en-US" w:eastAsia="zh-CN" w:bidi="ar"/>
              </w:rPr>
              <w:drawing>
                <wp:anchor distT="0" distB="0" distL="114300" distR="114300" simplePos="0" relativeHeight="251669504" behindDoc="0" locked="0" layoutInCell="1" allowOverlap="1">
                  <wp:simplePos x="0" y="0"/>
                  <wp:positionH relativeFrom="column">
                    <wp:posOffset>-198120</wp:posOffset>
                  </wp:positionH>
                  <wp:positionV relativeFrom="paragraph">
                    <wp:posOffset>80010</wp:posOffset>
                  </wp:positionV>
                  <wp:extent cx="1683385" cy="2344420"/>
                  <wp:effectExtent l="0" t="0" r="12065" b="17780"/>
                  <wp:wrapSquare wrapText="bothSides"/>
                  <wp:docPr id="26" name="图片 26" descr="7桌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7桌左"/>
                          <pic:cNvPicPr>
                            <a:picLocks noChangeAspect="1"/>
                          </pic:cNvPicPr>
                        </pic:nvPicPr>
                        <pic:blipFill>
                          <a:blip r:embed="rId25"/>
                          <a:stretch>
                            <a:fillRect/>
                          </a:stretch>
                        </pic:blipFill>
                        <pic:spPr>
                          <a:xfrm>
                            <a:off x="0" y="0"/>
                            <a:ext cx="1683385" cy="2344420"/>
                          </a:xfrm>
                          <a:prstGeom prst="rect">
                            <a:avLst/>
                          </a:prstGeom>
                        </pic:spPr>
                      </pic:pic>
                    </a:graphicData>
                  </a:graphic>
                </wp:anchor>
              </w:drawing>
            </w:r>
            <w:r>
              <w:rPr>
                <w:rFonts w:hint="eastAsia" w:ascii="仿宋" w:hAnsi="仿宋" w:eastAsia="仿宋" w:cs="仿宋"/>
                <w:b/>
                <w:bCs/>
                <w:color w:val="auto"/>
                <w:sz w:val="30"/>
                <w:szCs w:val="30"/>
                <w:lang w:val="en-US" w:eastAsia="zh-CN"/>
              </w:rPr>
              <w:t>桌子</w:t>
            </w:r>
            <w:r>
              <w:rPr>
                <w:rFonts w:hint="eastAsia" w:ascii="仿宋" w:hAnsi="仿宋" w:eastAsia="仿宋" w:cs="仿宋"/>
                <w:b/>
                <w:bCs/>
                <w:color w:val="auto"/>
                <w:kern w:val="0"/>
                <w:sz w:val="30"/>
                <w:szCs w:val="30"/>
                <w:highlight w:val="none"/>
                <w:lang w:val="en-US" w:eastAsia="zh-CN" w:bidi="ar"/>
              </w:rPr>
              <w:t>俯视图：</w:t>
            </w:r>
          </w:p>
          <w:p>
            <w:pPr>
              <w:rPr>
                <w:rFonts w:hint="eastAsia" w:ascii="仿宋" w:hAnsi="仿宋" w:eastAsia="仿宋" w:cs="仿宋"/>
                <w:b w:val="0"/>
                <w:bCs w:val="0"/>
                <w:color w:val="auto"/>
                <w:kern w:val="0"/>
                <w:sz w:val="30"/>
                <w:szCs w:val="30"/>
                <w:highlight w:val="none"/>
                <w:lang w:val="en-US" w:eastAsia="zh-CN" w:bidi="ar"/>
              </w:rPr>
            </w:pPr>
            <w:r>
              <w:rPr>
                <w:rFonts w:hint="eastAsia" w:ascii="仿宋" w:hAnsi="仿宋" w:eastAsia="仿宋" w:cs="仿宋"/>
                <w:b/>
                <w:bCs/>
                <w:color w:val="auto"/>
                <w:kern w:val="0"/>
                <w:sz w:val="30"/>
                <w:szCs w:val="30"/>
                <w:highlight w:val="none"/>
                <w:lang w:val="en-US" w:eastAsia="zh-CN" w:bidi="ar"/>
              </w:rPr>
              <w:drawing>
                <wp:anchor distT="0" distB="0" distL="114300" distR="114300" simplePos="0" relativeHeight="251671552" behindDoc="0" locked="0" layoutInCell="1" allowOverlap="1">
                  <wp:simplePos x="0" y="0"/>
                  <wp:positionH relativeFrom="column">
                    <wp:posOffset>1941195</wp:posOffset>
                  </wp:positionH>
                  <wp:positionV relativeFrom="paragraph">
                    <wp:posOffset>1270</wp:posOffset>
                  </wp:positionV>
                  <wp:extent cx="1741170" cy="1202690"/>
                  <wp:effectExtent l="0" t="0" r="11430" b="16510"/>
                  <wp:wrapSquare wrapText="bothSides"/>
                  <wp:docPr id="30" name="图片 30" descr="7桌俯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7桌俯B"/>
                          <pic:cNvPicPr>
                            <a:picLocks noChangeAspect="1"/>
                          </pic:cNvPicPr>
                        </pic:nvPicPr>
                        <pic:blipFill>
                          <a:blip r:embed="rId26"/>
                          <a:stretch>
                            <a:fillRect/>
                          </a:stretch>
                        </pic:blipFill>
                        <pic:spPr>
                          <a:xfrm>
                            <a:off x="0" y="0"/>
                            <a:ext cx="1741170" cy="1202690"/>
                          </a:xfrm>
                          <a:prstGeom prst="rect">
                            <a:avLst/>
                          </a:prstGeom>
                        </pic:spPr>
                      </pic:pic>
                    </a:graphicData>
                  </a:graphic>
                </wp:anchor>
              </w:drawing>
            </w:r>
            <w:r>
              <w:rPr>
                <w:rFonts w:hint="eastAsia" w:ascii="仿宋" w:hAnsi="仿宋" w:eastAsia="仿宋" w:cs="仿宋"/>
                <w:b/>
                <w:bCs/>
                <w:color w:val="auto"/>
                <w:kern w:val="0"/>
                <w:sz w:val="30"/>
                <w:szCs w:val="30"/>
                <w:highlight w:val="none"/>
                <w:lang w:val="en-US" w:eastAsia="zh-CN" w:bidi="ar"/>
              </w:rPr>
              <w:drawing>
                <wp:anchor distT="0" distB="0" distL="114300" distR="114300" simplePos="0" relativeHeight="251670528" behindDoc="0" locked="0" layoutInCell="1" allowOverlap="1">
                  <wp:simplePos x="0" y="0"/>
                  <wp:positionH relativeFrom="column">
                    <wp:posOffset>245745</wp:posOffset>
                  </wp:positionH>
                  <wp:positionV relativeFrom="paragraph">
                    <wp:posOffset>-268605</wp:posOffset>
                  </wp:positionV>
                  <wp:extent cx="1206500" cy="1778000"/>
                  <wp:effectExtent l="0" t="0" r="12700" b="12700"/>
                  <wp:wrapSquare wrapText="bothSides"/>
                  <wp:docPr id="29" name="图片 29" descr="7桌俯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7桌俯A"/>
                          <pic:cNvPicPr>
                            <a:picLocks noChangeAspect="1"/>
                          </pic:cNvPicPr>
                        </pic:nvPicPr>
                        <pic:blipFill>
                          <a:blip r:embed="rId27"/>
                          <a:stretch>
                            <a:fillRect/>
                          </a:stretch>
                        </pic:blipFill>
                        <pic:spPr>
                          <a:xfrm rot="16200000">
                            <a:off x="0" y="0"/>
                            <a:ext cx="1206500" cy="1778000"/>
                          </a:xfrm>
                          <a:prstGeom prst="rect">
                            <a:avLst/>
                          </a:prstGeom>
                        </pic:spPr>
                      </pic:pic>
                    </a:graphicData>
                  </a:graphic>
                </wp:anchor>
              </w:drawing>
            </w:r>
            <w:r>
              <w:rPr>
                <w:rFonts w:hint="eastAsia" w:ascii="仿宋" w:hAnsi="仿宋" w:eastAsia="仿宋" w:cs="仿宋"/>
                <w:b/>
                <w:bCs/>
                <w:color w:val="auto"/>
                <w:kern w:val="0"/>
                <w:sz w:val="30"/>
                <w:szCs w:val="30"/>
                <w:highlight w:val="none"/>
                <w:lang w:val="en-US" w:eastAsia="zh-CN" w:bidi="ar"/>
              </w:rPr>
              <w:t xml:space="preserve">   </w:t>
            </w:r>
          </w:p>
          <w:p>
            <w:pPr>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1、课桌桌面板尺寸：不小于600mm×400mm</w:t>
            </w:r>
          </w:p>
          <w:p>
            <w:pPr>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2、高度580mm （7号）</w:t>
            </w:r>
          </w:p>
          <w:p>
            <w:pPr>
              <w:ind w:left="5421" w:hanging="5421" w:hangingChars="1800"/>
              <w:rPr>
                <w:rFonts w:hint="eastAsia" w:ascii="仿宋" w:hAnsi="仿宋" w:eastAsia="仿宋" w:cs="仿宋"/>
                <w:b/>
                <w:bCs/>
                <w:color w:val="auto"/>
                <w:kern w:val="0"/>
                <w:sz w:val="30"/>
                <w:szCs w:val="30"/>
                <w:highlight w:val="none"/>
                <w:lang w:val="en-US" w:eastAsia="zh-CN" w:bidi="ar"/>
              </w:rPr>
            </w:pPr>
            <w:r>
              <w:rPr>
                <w:rFonts w:hint="eastAsia" w:ascii="仿宋" w:hAnsi="仿宋" w:eastAsia="仿宋" w:cs="仿宋"/>
                <w:b/>
                <w:bCs/>
                <w:color w:val="auto"/>
                <w:kern w:val="0"/>
                <w:sz w:val="30"/>
                <w:szCs w:val="30"/>
                <w:highlight w:val="none"/>
                <w:lang w:val="en-US" w:eastAsia="zh-CN" w:bidi="ar"/>
              </w:rPr>
              <w:t xml:space="preserve">椅子左视图：                椅子正视图：       </w:t>
            </w:r>
          </w:p>
          <w:p>
            <w:pPr>
              <w:rPr>
                <w:rFonts w:hint="eastAsia" w:ascii="仿宋" w:hAnsi="仿宋" w:eastAsia="仿宋" w:cs="仿宋"/>
                <w:b/>
                <w:bCs/>
                <w:color w:val="auto"/>
                <w:kern w:val="0"/>
                <w:sz w:val="30"/>
                <w:szCs w:val="30"/>
                <w:highlight w:val="none"/>
                <w:lang w:val="en-US" w:eastAsia="zh-CN" w:bidi="ar"/>
              </w:rPr>
            </w:pPr>
            <w:r>
              <w:rPr>
                <w:rFonts w:hint="eastAsia" w:ascii="仿宋" w:hAnsi="仿宋" w:eastAsia="仿宋" w:cs="仿宋"/>
                <w:b/>
                <w:bCs/>
                <w:color w:val="auto"/>
                <w:kern w:val="0"/>
                <w:sz w:val="30"/>
                <w:szCs w:val="30"/>
                <w:highlight w:val="none"/>
                <w:lang w:val="en-US" w:eastAsia="zh-CN" w:bidi="ar"/>
              </w:rPr>
              <w:drawing>
                <wp:anchor distT="0" distB="0" distL="114300" distR="114300" simplePos="0" relativeHeight="251672576" behindDoc="0" locked="0" layoutInCell="1" allowOverlap="1">
                  <wp:simplePos x="0" y="0"/>
                  <wp:positionH relativeFrom="column">
                    <wp:posOffset>-144145</wp:posOffset>
                  </wp:positionH>
                  <wp:positionV relativeFrom="paragraph">
                    <wp:posOffset>55880</wp:posOffset>
                  </wp:positionV>
                  <wp:extent cx="1878965" cy="3051810"/>
                  <wp:effectExtent l="0" t="0" r="6985" b="15240"/>
                  <wp:wrapSquare wrapText="bothSides"/>
                  <wp:docPr id="31" name="图片 31" descr="7椅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7椅左"/>
                          <pic:cNvPicPr>
                            <a:picLocks noChangeAspect="1"/>
                          </pic:cNvPicPr>
                        </pic:nvPicPr>
                        <pic:blipFill>
                          <a:blip r:embed="rId28"/>
                          <a:stretch>
                            <a:fillRect/>
                          </a:stretch>
                        </pic:blipFill>
                        <pic:spPr>
                          <a:xfrm>
                            <a:off x="0" y="0"/>
                            <a:ext cx="1878965" cy="3051810"/>
                          </a:xfrm>
                          <a:prstGeom prst="rect">
                            <a:avLst/>
                          </a:prstGeom>
                        </pic:spPr>
                      </pic:pic>
                    </a:graphicData>
                  </a:graphic>
                </wp:anchor>
              </w:drawing>
            </w:r>
            <w:r>
              <w:rPr>
                <w:rFonts w:hint="eastAsia" w:ascii="仿宋" w:hAnsi="仿宋" w:eastAsia="仿宋" w:cs="仿宋"/>
                <w:b/>
                <w:bCs/>
                <w:color w:val="auto"/>
                <w:kern w:val="0"/>
                <w:sz w:val="30"/>
                <w:szCs w:val="30"/>
                <w:highlight w:val="none"/>
                <w:lang w:val="en-US" w:eastAsia="zh-CN" w:bidi="ar"/>
              </w:rPr>
              <w:drawing>
                <wp:anchor distT="0" distB="0" distL="114300" distR="114300" simplePos="0" relativeHeight="251673600" behindDoc="0" locked="0" layoutInCell="1" allowOverlap="1">
                  <wp:simplePos x="0" y="0"/>
                  <wp:positionH relativeFrom="column">
                    <wp:posOffset>3146425</wp:posOffset>
                  </wp:positionH>
                  <wp:positionV relativeFrom="paragraph">
                    <wp:posOffset>42545</wp:posOffset>
                  </wp:positionV>
                  <wp:extent cx="1850390" cy="3105150"/>
                  <wp:effectExtent l="0" t="0" r="16510" b="0"/>
                  <wp:wrapSquare wrapText="bothSides"/>
                  <wp:docPr id="32" name="图片 32" descr="7椅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7椅正"/>
                          <pic:cNvPicPr>
                            <a:picLocks noChangeAspect="1"/>
                          </pic:cNvPicPr>
                        </pic:nvPicPr>
                        <pic:blipFill>
                          <a:blip r:embed="rId29"/>
                          <a:stretch>
                            <a:fillRect/>
                          </a:stretch>
                        </pic:blipFill>
                        <pic:spPr>
                          <a:xfrm>
                            <a:off x="0" y="0"/>
                            <a:ext cx="1850390" cy="3105150"/>
                          </a:xfrm>
                          <a:prstGeom prst="rect">
                            <a:avLst/>
                          </a:prstGeom>
                        </pic:spPr>
                      </pic:pic>
                    </a:graphicData>
                  </a:graphic>
                </wp:anchor>
              </w:drawing>
            </w:r>
            <w:r>
              <w:rPr>
                <w:rFonts w:hint="eastAsia" w:ascii="仿宋" w:hAnsi="仿宋" w:eastAsia="仿宋" w:cs="仿宋"/>
                <w:b/>
                <w:bCs/>
                <w:color w:val="auto"/>
                <w:kern w:val="0"/>
                <w:sz w:val="30"/>
                <w:szCs w:val="30"/>
                <w:highlight w:val="none"/>
                <w:lang w:val="en-US" w:eastAsia="zh-CN" w:bidi="ar"/>
              </w:rPr>
              <w:t>椅子俯视图：</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textAlignment w:val="auto"/>
              <w:rPr>
                <w:rFonts w:hint="eastAsia" w:ascii="仿宋" w:hAnsi="仿宋" w:eastAsia="仿宋" w:cs="仿宋"/>
                <w:color w:val="auto"/>
                <w:kern w:val="0"/>
                <w:sz w:val="30"/>
                <w:szCs w:val="30"/>
                <w:highlight w:val="none"/>
                <w:lang w:val="en-US" w:eastAsia="zh-CN" w:bidi="ar"/>
              </w:rPr>
            </w:pPr>
            <w:r>
              <w:rPr>
                <w:rFonts w:hint="eastAsia" w:ascii="仿宋" w:hAnsi="仿宋" w:eastAsia="仿宋" w:cs="仿宋"/>
                <w:b/>
                <w:bCs/>
                <w:color w:val="auto"/>
                <w:kern w:val="0"/>
                <w:sz w:val="30"/>
                <w:szCs w:val="30"/>
                <w:highlight w:val="none"/>
                <w:lang w:val="en-US" w:eastAsia="zh-CN" w:bidi="ar"/>
              </w:rPr>
              <w:drawing>
                <wp:anchor distT="0" distB="0" distL="114300" distR="114300" simplePos="0" relativeHeight="251683840" behindDoc="0" locked="0" layoutInCell="1" allowOverlap="1">
                  <wp:simplePos x="0" y="0"/>
                  <wp:positionH relativeFrom="column">
                    <wp:posOffset>1960245</wp:posOffset>
                  </wp:positionH>
                  <wp:positionV relativeFrom="paragraph">
                    <wp:posOffset>153035</wp:posOffset>
                  </wp:positionV>
                  <wp:extent cx="1905635" cy="2004060"/>
                  <wp:effectExtent l="0" t="0" r="18415" b="15240"/>
                  <wp:wrapSquare wrapText="bothSides"/>
                  <wp:docPr id="47" name="图片 47" descr="7椅俯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7椅俯B"/>
                          <pic:cNvPicPr>
                            <a:picLocks noChangeAspect="1"/>
                          </pic:cNvPicPr>
                        </pic:nvPicPr>
                        <pic:blipFill>
                          <a:blip r:embed="rId30"/>
                          <a:stretch>
                            <a:fillRect/>
                          </a:stretch>
                        </pic:blipFill>
                        <pic:spPr>
                          <a:xfrm>
                            <a:off x="0" y="0"/>
                            <a:ext cx="1905635" cy="2004060"/>
                          </a:xfrm>
                          <a:prstGeom prst="rect">
                            <a:avLst/>
                          </a:prstGeom>
                        </pic:spPr>
                      </pic:pic>
                    </a:graphicData>
                  </a:graphic>
                </wp:anchor>
              </w:drawing>
            </w:r>
            <w:r>
              <w:rPr>
                <w:rFonts w:hint="eastAsia" w:ascii="仿宋" w:hAnsi="仿宋" w:eastAsia="仿宋" w:cs="仿宋"/>
                <w:b/>
                <w:bCs/>
                <w:color w:val="auto"/>
                <w:kern w:val="0"/>
                <w:sz w:val="30"/>
                <w:szCs w:val="30"/>
                <w:highlight w:val="none"/>
                <w:lang w:val="en-US" w:eastAsia="zh-CN" w:bidi="ar"/>
              </w:rPr>
              <w:drawing>
                <wp:anchor distT="0" distB="0" distL="114300" distR="114300" simplePos="0" relativeHeight="251674624" behindDoc="0" locked="0" layoutInCell="1" allowOverlap="1">
                  <wp:simplePos x="0" y="0"/>
                  <wp:positionH relativeFrom="column">
                    <wp:posOffset>-157480</wp:posOffset>
                  </wp:positionH>
                  <wp:positionV relativeFrom="paragraph">
                    <wp:posOffset>176530</wp:posOffset>
                  </wp:positionV>
                  <wp:extent cx="1810385" cy="1995170"/>
                  <wp:effectExtent l="0" t="0" r="18415" b="5080"/>
                  <wp:wrapSquare wrapText="bothSides"/>
                  <wp:docPr id="33" name="图片 33" descr="7椅俯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7椅俯A"/>
                          <pic:cNvPicPr>
                            <a:picLocks noChangeAspect="1"/>
                          </pic:cNvPicPr>
                        </pic:nvPicPr>
                        <pic:blipFill>
                          <a:blip r:embed="rId31"/>
                          <a:stretch>
                            <a:fillRect/>
                          </a:stretch>
                        </pic:blipFill>
                        <pic:spPr>
                          <a:xfrm>
                            <a:off x="0" y="0"/>
                            <a:ext cx="1810385" cy="1995170"/>
                          </a:xfrm>
                          <a:prstGeom prst="rect">
                            <a:avLst/>
                          </a:prstGeom>
                        </pic:spPr>
                      </pic:pic>
                    </a:graphicData>
                  </a:graphic>
                </wp:anchor>
              </w:drawing>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1、课椅椅座面板尺寸：③小号课椅：宽度不小于290mm、深290mm(±2mm)；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2、课椅椅靠背面板尺寸：③小号课椅：宽度不小于290mm、高度115mm(±2mm)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color w:val="auto"/>
                <w:lang w:val="en-US" w:eastAsia="zh-CN"/>
              </w:rPr>
            </w:pPr>
            <w:r>
              <w:rPr>
                <w:rFonts w:hint="eastAsia" w:ascii="宋体" w:hAnsi="宋体" w:eastAsia="宋体" w:cs="宋体"/>
                <w:color w:val="auto"/>
                <w:kern w:val="0"/>
                <w:sz w:val="21"/>
                <w:szCs w:val="21"/>
                <w:highlight w:val="none"/>
                <w:lang w:val="en-US" w:eastAsia="zh-CN" w:bidi="ar"/>
              </w:rPr>
              <w:t>3、座面高度：高度320 mm（7号）</w:t>
            </w:r>
          </w:p>
        </w:tc>
        <w:tc>
          <w:tcPr>
            <w:tcW w:w="756" w:type="dxa"/>
            <w:vAlign w:val="center"/>
          </w:tcPr>
          <w:p>
            <w:pPr>
              <w:widowControl/>
              <w:spacing w:line="440" w:lineRule="exact"/>
              <w:jc w:val="center"/>
              <w:textAlignment w:val="center"/>
              <w:rPr>
                <w:rFonts w:hint="eastAsia" w:ascii="宋体" w:hAnsi="宋体" w:cs="宋体"/>
                <w:color w:val="auto"/>
                <w:szCs w:val="21"/>
              </w:rPr>
            </w:pPr>
            <w:r>
              <w:rPr>
                <w:rFonts w:hint="eastAsia" w:hAnsi="宋体" w:cs="宋体"/>
                <w:color w:val="auto"/>
                <w:sz w:val="21"/>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17" w:type="dxa"/>
            <w:gridSpan w:val="6"/>
            <w:vAlign w:val="center"/>
          </w:tcPr>
          <w:p>
            <w:pPr>
              <w:widowControl/>
              <w:spacing w:line="440" w:lineRule="exact"/>
              <w:jc w:val="left"/>
              <w:textAlignment w:val="center"/>
              <w:rPr>
                <w:rFonts w:hint="default" w:ascii="宋体" w:hAnsi="宋体" w:cs="宋体"/>
                <w:color w:val="auto"/>
                <w:szCs w:val="21"/>
                <w:lang w:val="en-US"/>
              </w:rPr>
            </w:pPr>
            <w:r>
              <w:rPr>
                <w:rFonts w:hint="eastAsia" w:ascii="宋体" w:hAnsi="宋体" w:cs="宋体"/>
                <w:b/>
                <w:bCs/>
                <w:color w:val="auto"/>
                <w:szCs w:val="21"/>
              </w:rPr>
              <w:t>（</w:t>
            </w:r>
            <w:r>
              <w:rPr>
                <w:rFonts w:hint="eastAsia" w:ascii="宋体" w:hAnsi="宋体" w:cs="宋体"/>
                <w:b/>
                <w:bCs/>
                <w:color w:val="auto"/>
                <w:szCs w:val="21"/>
                <w:lang w:val="en-US" w:eastAsia="zh-CN"/>
              </w:rPr>
              <w:t>四</w:t>
            </w:r>
            <w:r>
              <w:rPr>
                <w:rFonts w:hint="eastAsia" w:ascii="宋体" w:hAnsi="宋体" w:cs="宋体"/>
                <w:b/>
                <w:bCs/>
                <w:color w:val="auto"/>
                <w:szCs w:val="21"/>
              </w:rPr>
              <w:t>）</w:t>
            </w:r>
            <w:r>
              <w:rPr>
                <w:rFonts w:hint="eastAsia" w:ascii="宋体" w:hAnsi="宋体" w:eastAsia="宋体" w:cs="宋体"/>
                <w:b/>
                <w:bCs/>
                <w:color w:val="auto"/>
                <w:sz w:val="24"/>
                <w:szCs w:val="24"/>
                <w:vertAlign w:val="baseline"/>
                <w:lang w:val="en-US" w:eastAsia="zh-CN"/>
              </w:rPr>
              <w:t>校园广</w:t>
            </w:r>
            <w:bookmarkStart w:id="41" w:name="OLE_LINK26"/>
            <w:r>
              <w:rPr>
                <w:rFonts w:hint="eastAsia" w:ascii="宋体" w:hAnsi="宋体" w:eastAsia="宋体" w:cs="宋体"/>
                <w:b/>
                <w:bCs/>
                <w:color w:val="auto"/>
                <w:sz w:val="24"/>
                <w:szCs w:val="24"/>
                <w:vertAlign w:val="baseline"/>
                <w:lang w:val="en-US" w:eastAsia="zh-CN"/>
              </w:rPr>
              <w:t>播系统</w:t>
            </w:r>
            <w:bookmarkEnd w:id="41"/>
            <w:r>
              <w:rPr>
                <w:rFonts w:hint="eastAsia" w:ascii="宋体" w:hAnsi="宋体" w:eastAsia="宋体" w:cs="宋体"/>
                <w:b/>
                <w:bCs/>
                <w:color w:val="auto"/>
                <w:sz w:val="24"/>
                <w:szCs w:val="24"/>
                <w:vertAlign w:val="baseline"/>
                <w:lang w:val="en-US" w:eastAsia="zh-CN"/>
              </w:rPr>
              <w:t>（48间）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17" w:type="dxa"/>
            <w:gridSpan w:val="6"/>
            <w:vAlign w:val="center"/>
          </w:tcPr>
          <w:p>
            <w:pPr>
              <w:widowControl/>
              <w:spacing w:line="440" w:lineRule="exact"/>
              <w:jc w:val="left"/>
              <w:textAlignment w:val="center"/>
              <w:rPr>
                <w:rFonts w:hint="eastAsia" w:ascii="宋体" w:hAnsi="宋体" w:cs="宋体"/>
                <w:color w:val="auto"/>
                <w:szCs w:val="21"/>
              </w:rPr>
            </w:pPr>
            <w:r>
              <w:rPr>
                <w:rFonts w:hint="eastAsia" w:ascii="宋体" w:hAnsi="宋体" w:eastAsia="宋体" w:cs="宋体"/>
                <w:b/>
                <w:bCs/>
                <w:color w:val="auto"/>
                <w:sz w:val="24"/>
                <w:szCs w:val="24"/>
                <w:vertAlign w:val="baseline"/>
                <w:lang w:val="en-US" w:eastAsia="zh-CN"/>
              </w:rPr>
              <w:t>（1）机房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pStyle w:val="137"/>
              <w:spacing w:line="440" w:lineRule="exact"/>
              <w:ind w:firstLine="0" w:firstLineChars="0"/>
              <w:jc w:val="center"/>
              <w:rPr>
                <w:rFonts w:hint="default" w:hAnsi="宋体" w:cs="宋体"/>
                <w:bCs/>
                <w:color w:val="auto"/>
                <w:sz w:val="21"/>
                <w:szCs w:val="21"/>
                <w:lang w:val="en-US" w:eastAsia="zh-CN" w:bidi="ar"/>
              </w:rPr>
            </w:pPr>
            <w:r>
              <w:rPr>
                <w:rFonts w:hint="eastAsia" w:hAnsi="宋体" w:cs="宋体"/>
                <w:bCs/>
                <w:color w:val="auto"/>
                <w:sz w:val="21"/>
                <w:szCs w:val="21"/>
                <w:lang w:val="en-US" w:eastAsia="zh-CN" w:bidi="ar"/>
              </w:rPr>
              <w:t>1</w:t>
            </w:r>
          </w:p>
        </w:tc>
        <w:tc>
          <w:tcPr>
            <w:tcW w:w="797"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智能中心机</w:t>
            </w:r>
          </w:p>
        </w:tc>
        <w:tc>
          <w:tcPr>
            <w:tcW w:w="448"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台</w:t>
            </w:r>
          </w:p>
        </w:tc>
        <w:tc>
          <w:tcPr>
            <w:tcW w:w="735"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1</w:t>
            </w:r>
          </w:p>
        </w:tc>
        <w:tc>
          <w:tcPr>
            <w:tcW w:w="6540" w:type="dxa"/>
            <w:vAlign w:val="center"/>
          </w:tcPr>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标准2U高度机柜式设计，192×64带背光点阵屏，采用高性能处理芯片，实现超强的编程自动控制，人性化的设计，操作简单方便。设有快捷键，轻松实现手动播音音源选择功能。</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1路话筒接口，带48V幻象供电，面板有话筒音量调节旋钮，带话筒默音旋钮，可以调节默音深度。</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1路市话输入RCA接口、1路辅助输入RCA接口，1路线路RCA输出，1路录音RCA输出。</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面板上有高低音调节旋钮，MP</w:t>
            </w:r>
            <w:r>
              <w:rPr>
                <w:rFonts w:hint="eastAsia" w:ascii="宋体" w:hAnsi="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FM音量调节，手动播音切换按键，带USB接口和外接SD卡（标配16G）。</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具有一键式紧急广播功能；具有短路信号和24V信号触发全区报警功能。</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内置收音机模块，可存储40个FM电台。</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自带六分区，可外接分区器，实现十六路分区。</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8.</w:t>
            </w:r>
            <w:r>
              <w:rPr>
                <w:rFonts w:hint="eastAsia" w:ascii="宋体" w:hAnsi="宋体" w:eastAsia="宋体" w:cs="宋体"/>
                <w:color w:val="auto"/>
                <w:kern w:val="0"/>
                <w:sz w:val="21"/>
                <w:szCs w:val="21"/>
                <w:highlight w:val="none"/>
                <w:lang w:val="en-US" w:eastAsia="zh-CN" w:bidi="ar"/>
              </w:rPr>
              <w:t>三路电源管理；可外接电源时序器，实现十六路电源控制。</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9.</w:t>
            </w:r>
            <w:r>
              <w:rPr>
                <w:rFonts w:hint="eastAsia" w:ascii="宋体" w:hAnsi="宋体" w:eastAsia="宋体" w:cs="宋体"/>
                <w:color w:val="auto"/>
                <w:kern w:val="0"/>
                <w:sz w:val="21"/>
                <w:szCs w:val="21"/>
                <w:highlight w:val="none"/>
                <w:lang w:val="en-US" w:eastAsia="zh-CN" w:bidi="ar"/>
              </w:rPr>
              <w:t>话筒输入灵敏度：-36±1dBu；线路输入灵敏度(单通道输入) ：-6±1dBu。</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0.</w:t>
            </w:r>
            <w:r>
              <w:rPr>
                <w:rFonts w:hint="eastAsia" w:ascii="宋体" w:hAnsi="宋体" w:eastAsia="宋体" w:cs="宋体"/>
                <w:color w:val="auto"/>
                <w:kern w:val="0"/>
                <w:sz w:val="21"/>
                <w:szCs w:val="21"/>
                <w:highlight w:val="none"/>
                <w:lang w:val="en-US" w:eastAsia="zh-CN" w:bidi="ar"/>
              </w:rPr>
              <w:t>辅助输入频率响应：40Hz-18KHz ±3dB；话筒输入频率响应：100Hz-15KHz ±3dB。</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总谐波失真：≤0.1%。</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线路/录音输出：775mV±40mV。</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信噪比：&gt;80dB(A计权)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AC150V~AC250V/50Hz。</w:t>
            </w:r>
          </w:p>
        </w:tc>
        <w:tc>
          <w:tcPr>
            <w:tcW w:w="756" w:type="dxa"/>
            <w:vAlign w:val="center"/>
          </w:tcPr>
          <w:p>
            <w:pPr>
              <w:widowControl/>
              <w:spacing w:line="440" w:lineRule="exact"/>
              <w:jc w:val="center"/>
              <w:textAlignment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pStyle w:val="137"/>
              <w:spacing w:line="440" w:lineRule="exact"/>
              <w:ind w:firstLine="0" w:firstLineChars="0"/>
              <w:jc w:val="center"/>
              <w:rPr>
                <w:rFonts w:hint="default" w:hAnsi="宋体" w:cs="宋体"/>
                <w:bCs/>
                <w:color w:val="auto"/>
                <w:sz w:val="21"/>
                <w:szCs w:val="21"/>
                <w:lang w:val="en-US" w:eastAsia="zh-CN" w:bidi="ar"/>
              </w:rPr>
            </w:pPr>
            <w:r>
              <w:rPr>
                <w:rFonts w:hint="eastAsia" w:hAnsi="宋体" w:cs="宋体"/>
                <w:bCs/>
                <w:color w:val="auto"/>
                <w:sz w:val="21"/>
                <w:szCs w:val="21"/>
                <w:lang w:val="en-US" w:eastAsia="zh-CN" w:bidi="ar"/>
              </w:rPr>
              <w:t>2</w:t>
            </w:r>
          </w:p>
        </w:tc>
        <w:tc>
          <w:tcPr>
            <w:tcW w:w="797"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前置放大器</w:t>
            </w:r>
          </w:p>
        </w:tc>
        <w:tc>
          <w:tcPr>
            <w:tcW w:w="448"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台</w:t>
            </w:r>
          </w:p>
        </w:tc>
        <w:tc>
          <w:tcPr>
            <w:tcW w:w="735"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1</w:t>
            </w:r>
          </w:p>
        </w:tc>
        <w:tc>
          <w:tcPr>
            <w:tcW w:w="6540" w:type="dxa"/>
            <w:vAlign w:val="center"/>
          </w:tcPr>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专业2 U高度机柜式设计。</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w:t>
            </w:r>
            <w:r>
              <w:rPr>
                <w:rFonts w:hint="eastAsia" w:ascii="宋体" w:hAnsi="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 xml:space="preserve"> 13路输入通道： 包括常规话筒输入：TRS6 .35×5， 紧急话筒输入：TRS6 .35×2，消防信号输入：TRS6 .35×1，双声道标准线路输入：RCA×5，消防控制接口：工业接线端子×2；输出通道：TRS6 .35×</w:t>
            </w:r>
            <w:r>
              <w:rPr>
                <w:rFonts w:hint="eastAsia" w:ascii="宋体" w:hAnsi="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RCA×1。</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消防信号输入具有最高优先级，消防控制接口被两路短路或两路D C 2 4 V任意一路触发后，将输出信号强切为消防输入接口的信号。</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紧急话筒输入为第二级优先。</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话筒1具有第三级优先。</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 xml:space="preserve">话筒（M I C </w:t>
            </w:r>
            <w:r>
              <w:rPr>
                <w:rFonts w:hint="eastAsia" w:ascii="宋体" w:hAnsi="宋体" w:cs="宋体"/>
                <w:color w:val="auto"/>
                <w:kern w:val="0"/>
                <w:sz w:val="21"/>
                <w:szCs w:val="21"/>
                <w:highlight w:val="none"/>
                <w:lang w:val="en-US" w:eastAsia="zh-CN" w:bidi="ar"/>
              </w:rPr>
              <w:t>2.3.4.</w:t>
            </w:r>
            <w:r>
              <w:rPr>
                <w:rFonts w:hint="eastAsia" w:ascii="宋体" w:hAnsi="宋体" w:eastAsia="宋体" w:cs="宋体"/>
                <w:color w:val="auto"/>
                <w:kern w:val="0"/>
                <w:sz w:val="21"/>
                <w:szCs w:val="21"/>
                <w:highlight w:val="none"/>
                <w:lang w:val="en-US" w:eastAsia="zh-CN" w:bidi="ar"/>
              </w:rPr>
              <w:t xml:space="preserve">5）与线路（A U X </w:t>
            </w:r>
            <w:r>
              <w:rPr>
                <w:rFonts w:hint="eastAsia" w:ascii="宋体" w:hAnsi="宋体" w:cs="宋体"/>
                <w:color w:val="auto"/>
                <w:kern w:val="0"/>
                <w:sz w:val="21"/>
                <w:szCs w:val="21"/>
                <w:highlight w:val="none"/>
                <w:lang w:val="en-US" w:eastAsia="zh-CN" w:bidi="ar"/>
              </w:rPr>
              <w:t>1.2.</w:t>
            </w:r>
            <w:r>
              <w:rPr>
                <w:rFonts w:hint="eastAsia" w:ascii="宋体" w:hAnsi="宋体" w:eastAsia="宋体" w:cs="宋体"/>
                <w:color w:val="auto"/>
                <w:kern w:val="0"/>
                <w:sz w:val="21"/>
                <w:szCs w:val="21"/>
                <w:highlight w:val="none"/>
                <w:lang w:val="en-US" w:eastAsia="zh-CN" w:bidi="ar"/>
              </w:rPr>
              <w:t>3）输入为第四级； 带5路拨码开关，分别控制5路常规话筒输入的4 8 V幻象供电。</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每一路话筒都可独立调节音量、高音 ( T R E B L E )、低音（B A S S）；5路线路输入每一路都可独立调节音量、高音 ( T R E B L E )、低音（B A S S）。</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8.</w:t>
            </w:r>
            <w:r>
              <w:rPr>
                <w:rFonts w:hint="eastAsia" w:ascii="宋体" w:hAnsi="宋体" w:eastAsia="宋体" w:cs="宋体"/>
                <w:color w:val="auto"/>
                <w:kern w:val="0"/>
                <w:sz w:val="21"/>
                <w:szCs w:val="21"/>
                <w:highlight w:val="none"/>
                <w:lang w:val="en-US" w:eastAsia="zh-CN" w:bidi="ar"/>
              </w:rPr>
              <w:t>总共有20个音调调节旋钮，分别调节5路线路输入，5路话筒输入的高音和低音。</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9.</w:t>
            </w:r>
            <w:r>
              <w:rPr>
                <w:rFonts w:hint="eastAsia" w:ascii="宋体" w:hAnsi="宋体" w:eastAsia="宋体" w:cs="宋体"/>
                <w:color w:val="auto"/>
                <w:kern w:val="0"/>
                <w:sz w:val="21"/>
                <w:szCs w:val="21"/>
                <w:highlight w:val="none"/>
                <w:lang w:val="en-US" w:eastAsia="zh-CN" w:bidi="ar"/>
              </w:rPr>
              <w:t>带总音量集中控制。</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0.</w:t>
            </w:r>
            <w:r>
              <w:rPr>
                <w:rFonts w:hint="eastAsia" w:ascii="宋体" w:hAnsi="宋体" w:eastAsia="宋体" w:cs="宋体"/>
                <w:color w:val="auto"/>
                <w:kern w:val="0"/>
                <w:sz w:val="21"/>
                <w:szCs w:val="21"/>
                <w:highlight w:val="none"/>
                <w:lang w:val="en-US" w:eastAsia="zh-CN" w:bidi="ar"/>
              </w:rPr>
              <w:t>带L E D信号输入指示灯；5段L E D灯指示输出信号强度。</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话筒1（M I C 1）具有默音功能，并且默音深度可调功能。</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带钟声提示功能，且钟声音量可调。</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输入灵敏度 ：线路及报警：-8dB（300mV）；话筒：-36dB（13mV）；紧急话筒：-34dB（15mV）。</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输出电压：线路输出：0db（775mV）±1dB/620Ω；录音输出：0db（775mV）±1dB/10KΩ。</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 xml:space="preserve"> 应急话筒启控阀值：5mV。</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 xml:space="preserve"> 输入阻抗：＞10KΩ。</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音调特性：低音100Hz（±10dB ±2dB）；高音 10KHz（±10dB ±2dB）。</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8.</w:t>
            </w:r>
            <w:r>
              <w:rPr>
                <w:rFonts w:hint="eastAsia" w:ascii="宋体" w:hAnsi="宋体" w:eastAsia="宋体" w:cs="宋体"/>
                <w:color w:val="auto"/>
                <w:kern w:val="0"/>
                <w:sz w:val="21"/>
                <w:szCs w:val="21"/>
                <w:highlight w:val="none"/>
                <w:lang w:val="en-US" w:eastAsia="zh-CN" w:bidi="ar"/>
              </w:rPr>
              <w:t>频率响应：线路：30Hz—20KHz  ±4dB；话筒：40Hz—16KHz  ±4dB。</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9.</w:t>
            </w:r>
            <w:r>
              <w:rPr>
                <w:rFonts w:hint="eastAsia" w:ascii="宋体" w:hAnsi="宋体" w:eastAsia="宋体" w:cs="宋体"/>
                <w:color w:val="auto"/>
                <w:kern w:val="0"/>
                <w:sz w:val="21"/>
                <w:szCs w:val="21"/>
                <w:highlight w:val="none"/>
                <w:lang w:val="en-US" w:eastAsia="zh-CN" w:bidi="ar"/>
              </w:rPr>
              <w:t xml:space="preserve">总谐波失真：40Hz — 16KHz  ≤1%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w:t>
            </w:r>
            <w:r>
              <w:rPr>
                <w:rFonts w:hint="eastAsia" w:ascii="宋体" w:hAnsi="宋体" w:cs="宋体"/>
                <w:color w:val="auto"/>
                <w:kern w:val="0"/>
                <w:sz w:val="21"/>
                <w:szCs w:val="21"/>
                <w:highlight w:val="none"/>
                <w:lang w:val="en-US" w:eastAsia="zh-CN" w:bidi="ar"/>
              </w:rPr>
              <w:t>0.</w:t>
            </w:r>
            <w:r>
              <w:rPr>
                <w:rFonts w:hint="eastAsia" w:ascii="宋体" w:hAnsi="宋体" w:eastAsia="宋体" w:cs="宋体"/>
                <w:color w:val="auto"/>
                <w:kern w:val="0"/>
                <w:sz w:val="21"/>
                <w:szCs w:val="21"/>
                <w:highlight w:val="none"/>
                <w:lang w:val="en-US" w:eastAsia="zh-CN" w:bidi="ar"/>
              </w:rPr>
              <w:t>噪声： ≤0．5mV(整机) A计权</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w:t>
            </w: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信噪比：话筒 ≥70dB；线路 ≥80dB</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w:t>
            </w:r>
            <w:r>
              <w:rPr>
                <w:rFonts w:hint="eastAsia" w:ascii="宋体" w:hAnsi="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电源电压范围：180V～240V　50Hz</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w:t>
            </w:r>
            <w:r>
              <w:rPr>
                <w:rFonts w:hint="eastAsia" w:ascii="宋体" w:hAnsi="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 xml:space="preserve"> 整机尺寸：480×100×280mm</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w:t>
            </w:r>
            <w:r>
              <w:rPr>
                <w:rFonts w:hint="eastAsia" w:ascii="宋体" w:hAnsi="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 xml:space="preserve"> 机器重量：3.5Kg。</w:t>
            </w:r>
          </w:p>
        </w:tc>
        <w:tc>
          <w:tcPr>
            <w:tcW w:w="756" w:type="dxa"/>
            <w:vAlign w:val="center"/>
          </w:tcPr>
          <w:p>
            <w:pPr>
              <w:widowControl/>
              <w:spacing w:line="440" w:lineRule="exact"/>
              <w:jc w:val="center"/>
              <w:textAlignment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pStyle w:val="137"/>
              <w:spacing w:line="440" w:lineRule="exact"/>
              <w:ind w:firstLine="0" w:firstLineChars="0"/>
              <w:jc w:val="center"/>
              <w:rPr>
                <w:rFonts w:hint="default" w:hAnsi="宋体" w:cs="宋体"/>
                <w:bCs/>
                <w:color w:val="auto"/>
                <w:sz w:val="21"/>
                <w:szCs w:val="21"/>
                <w:lang w:val="en-US" w:eastAsia="zh-CN" w:bidi="ar"/>
              </w:rPr>
            </w:pPr>
            <w:r>
              <w:rPr>
                <w:rFonts w:hint="eastAsia" w:hAnsi="宋体" w:cs="宋体"/>
                <w:bCs/>
                <w:color w:val="auto"/>
                <w:sz w:val="21"/>
                <w:szCs w:val="21"/>
                <w:lang w:val="en-US" w:eastAsia="zh-CN" w:bidi="ar"/>
              </w:rPr>
              <w:t>3</w:t>
            </w:r>
          </w:p>
        </w:tc>
        <w:tc>
          <w:tcPr>
            <w:tcW w:w="797"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播放器</w:t>
            </w:r>
          </w:p>
        </w:tc>
        <w:tc>
          <w:tcPr>
            <w:tcW w:w="448"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1"/>
                <w:szCs w:val="21"/>
                <w:u w:val="none"/>
                <w:lang w:val="en-US" w:eastAsia="zh-CN" w:bidi="ar"/>
              </w:rPr>
              <w:t>台</w:t>
            </w:r>
          </w:p>
        </w:tc>
        <w:tc>
          <w:tcPr>
            <w:tcW w:w="735"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1</w:t>
            </w:r>
          </w:p>
        </w:tc>
        <w:tc>
          <w:tcPr>
            <w:tcW w:w="6540" w:type="dxa"/>
            <w:vAlign w:val="center"/>
          </w:tcPr>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标准机架式超薄1U设计，配置机架安装挂件，黑色机箱，铝合金面板。</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音频输出：立体声（R/L），5.1声道，同轴，光纤。</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视频输出：S端子，高清（HDMI），分量（Y Cb/Pb Cr/ Pr），VGA。</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支持断电记忆续播功能、选时及循环播放功能、电子相册功能。</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超强的纠错能力，电子抗震技术让播放更流畅 ，高清视频输出HDMI（支持1080P）绝佳画质。</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USB播放功能支持WAV、MP3等各种无损格式。</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具有蓝牙接收功能、FM收音功能，</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8.</w:t>
            </w:r>
            <w:r>
              <w:rPr>
                <w:rFonts w:hint="eastAsia" w:ascii="宋体" w:hAnsi="宋体" w:eastAsia="宋体" w:cs="宋体"/>
                <w:color w:val="auto"/>
                <w:kern w:val="0"/>
                <w:sz w:val="21"/>
                <w:szCs w:val="21"/>
                <w:highlight w:val="none"/>
                <w:lang w:val="en-US" w:eastAsia="zh-CN" w:bidi="ar"/>
              </w:rPr>
              <w:t xml:space="preserve">全面兼容DVD/VCD/EVD/SVCD/CD/HDCD/MP3/WAV/JPEG/DVD±R/DVD±RW/CD-G等不同格式碟片。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9.</w:t>
            </w:r>
            <w:r>
              <w:rPr>
                <w:rFonts w:hint="eastAsia" w:ascii="宋体" w:hAnsi="宋体" w:eastAsia="宋体" w:cs="宋体"/>
                <w:color w:val="auto"/>
                <w:kern w:val="0"/>
                <w:sz w:val="21"/>
                <w:szCs w:val="21"/>
                <w:highlight w:val="none"/>
                <w:lang w:val="en-US" w:eastAsia="zh-CN" w:bidi="ar"/>
              </w:rPr>
              <w:t>机器前面板具有物理按键功能：播放/暂停、停止、下一曲、上一曲、快进、快退、出仓/进仓、FM/蓝牙、选时、重复、声道、返回、标题、数字直选等。</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0.</w:t>
            </w:r>
            <w:r>
              <w:rPr>
                <w:rFonts w:hint="eastAsia" w:ascii="宋体" w:hAnsi="宋体" w:eastAsia="宋体" w:cs="宋体"/>
                <w:color w:val="auto"/>
                <w:kern w:val="0"/>
                <w:sz w:val="21"/>
                <w:szCs w:val="21"/>
                <w:highlight w:val="none"/>
                <w:lang w:val="en-US" w:eastAsia="zh-CN" w:bidi="ar"/>
              </w:rPr>
              <w:t xml:space="preserve">配置全功能遥控器，操作方便。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输入电源：AC220V/50Hz</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最大消耗功率：25W</w:t>
            </w:r>
          </w:p>
        </w:tc>
        <w:tc>
          <w:tcPr>
            <w:tcW w:w="756" w:type="dxa"/>
            <w:vAlign w:val="center"/>
          </w:tcPr>
          <w:p>
            <w:pPr>
              <w:widowControl/>
              <w:spacing w:line="440" w:lineRule="exact"/>
              <w:jc w:val="center"/>
              <w:textAlignment w:val="center"/>
              <w:rPr>
                <w:rFonts w:hint="eastAsia" w:ascii="宋体" w:hAnsi="宋体" w:cs="宋体"/>
                <w:color w:val="auto"/>
                <w:szCs w:val="21"/>
              </w:rPr>
            </w:pPr>
            <w:r>
              <w:rPr>
                <w:rFonts w:hint="eastAsia" w:ascii="宋体" w:hAnsi="宋体" w:cs="宋体"/>
                <w:color w:val="auto"/>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pStyle w:val="137"/>
              <w:spacing w:line="440" w:lineRule="exact"/>
              <w:ind w:firstLine="0" w:firstLineChars="0"/>
              <w:jc w:val="center"/>
              <w:rPr>
                <w:rFonts w:hint="default" w:hAnsi="宋体" w:cs="宋体"/>
                <w:bCs/>
                <w:color w:val="auto"/>
                <w:sz w:val="21"/>
                <w:szCs w:val="21"/>
                <w:lang w:val="en-US" w:eastAsia="zh-CN" w:bidi="ar"/>
              </w:rPr>
            </w:pPr>
            <w:r>
              <w:rPr>
                <w:rFonts w:hint="eastAsia" w:hAnsi="宋体" w:cs="宋体"/>
                <w:bCs/>
                <w:color w:val="auto"/>
                <w:sz w:val="21"/>
                <w:szCs w:val="21"/>
                <w:lang w:val="en-US" w:eastAsia="zh-CN" w:bidi="ar"/>
              </w:rPr>
              <w:t>4</w:t>
            </w:r>
          </w:p>
        </w:tc>
        <w:tc>
          <w:tcPr>
            <w:tcW w:w="797"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电源时序控制器</w:t>
            </w:r>
          </w:p>
        </w:tc>
        <w:tc>
          <w:tcPr>
            <w:tcW w:w="448"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1"/>
                <w:szCs w:val="21"/>
                <w:u w:val="none"/>
                <w:lang w:val="en-US" w:eastAsia="zh-CN" w:bidi="ar"/>
              </w:rPr>
              <w:t>台</w:t>
            </w:r>
          </w:p>
        </w:tc>
        <w:tc>
          <w:tcPr>
            <w:tcW w:w="735"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1</w:t>
            </w:r>
          </w:p>
        </w:tc>
        <w:tc>
          <w:tcPr>
            <w:tcW w:w="6540" w:type="dxa"/>
            <w:vAlign w:val="center"/>
          </w:tcPr>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标准2U高度机柜式设计。</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16路电源输出。时序开关控制，顺序开启，反序关闭。</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时序控制增加控制口，短路信号输入，可将时序开关外接，方便与其他系统联动，使用更加灵活。</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可按键单独开启和关闭每一路电源输出；一个RS232串口和两个RS422数据接口。提供电源裸线端子接入市电。根据任务需求自动打开和关闭，实现无人化自动值守。</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时序间隔时间：1秒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单路最大电源电流：10A；16路电源总电流：40A。</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硬件接口：RS232控制口×1；RS422数据接口×2。</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8.</w:t>
            </w:r>
            <w:r>
              <w:rPr>
                <w:rFonts w:hint="eastAsia" w:ascii="宋体" w:hAnsi="宋体" w:eastAsia="宋体" w:cs="宋体"/>
                <w:color w:val="auto"/>
                <w:kern w:val="0"/>
                <w:sz w:val="21"/>
                <w:szCs w:val="21"/>
                <w:highlight w:val="none"/>
                <w:lang w:val="en-US" w:eastAsia="zh-CN" w:bidi="ar"/>
              </w:rPr>
              <w:t>适用电压：220V±10%</w:t>
            </w:r>
          </w:p>
        </w:tc>
        <w:tc>
          <w:tcPr>
            <w:tcW w:w="756" w:type="dxa"/>
            <w:vAlign w:val="center"/>
          </w:tcPr>
          <w:p>
            <w:pPr>
              <w:widowControl/>
              <w:spacing w:line="440" w:lineRule="exact"/>
              <w:jc w:val="center"/>
              <w:textAlignment w:val="center"/>
              <w:rPr>
                <w:rFonts w:hint="eastAsia" w:ascii="宋体" w:hAnsi="宋体" w:cs="宋体"/>
                <w:color w:val="auto"/>
                <w:szCs w:val="21"/>
              </w:rPr>
            </w:pPr>
            <w:r>
              <w:rPr>
                <w:rFonts w:hint="eastAsia" w:ascii="宋体" w:hAnsi="宋体" w:cs="宋体"/>
                <w:color w:val="auto"/>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pStyle w:val="137"/>
              <w:spacing w:line="440" w:lineRule="exact"/>
              <w:ind w:firstLine="0" w:firstLineChars="0"/>
              <w:jc w:val="center"/>
              <w:rPr>
                <w:rFonts w:hint="default" w:hAnsi="宋体" w:cs="宋体"/>
                <w:bCs/>
                <w:color w:val="auto"/>
                <w:sz w:val="21"/>
                <w:szCs w:val="21"/>
                <w:lang w:val="en-US" w:eastAsia="zh-CN" w:bidi="ar"/>
              </w:rPr>
            </w:pPr>
            <w:r>
              <w:rPr>
                <w:rFonts w:hint="eastAsia" w:hAnsi="宋体" w:cs="宋体"/>
                <w:bCs/>
                <w:color w:val="auto"/>
                <w:sz w:val="21"/>
                <w:szCs w:val="21"/>
                <w:lang w:val="en-US" w:eastAsia="zh-CN" w:bidi="ar"/>
              </w:rPr>
              <w:t>5</w:t>
            </w:r>
          </w:p>
        </w:tc>
        <w:tc>
          <w:tcPr>
            <w:tcW w:w="797"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一拖二无线麦克风</w:t>
            </w:r>
          </w:p>
        </w:tc>
        <w:tc>
          <w:tcPr>
            <w:tcW w:w="448"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1"/>
                <w:szCs w:val="21"/>
                <w:u w:val="none"/>
                <w:lang w:val="en-US" w:eastAsia="zh-CN" w:bidi="ar"/>
              </w:rPr>
              <w:t>台</w:t>
            </w:r>
          </w:p>
        </w:tc>
        <w:tc>
          <w:tcPr>
            <w:tcW w:w="735"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1</w:t>
            </w:r>
          </w:p>
        </w:tc>
        <w:tc>
          <w:tcPr>
            <w:tcW w:w="6540" w:type="dxa"/>
            <w:vAlign w:val="center"/>
          </w:tcPr>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 xml:space="preserve">采用金属机箱，具有坚固的结构、散热及隔离谐波干扰极佳的专业质量。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 xml:space="preserve">RF高动态范围及第三代中频电路，大幅提升互不干扰的频道数及抗干扰特性。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预设群组，第1-4组预设16个互不干扰频率，第5－8预设24个互不干扰频率，第U组为用户自定义组，最多可提供2000频率供客户自定义选择使用。</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 xml:space="preserve">采用天线分集式接收及数字导音，杂音锁定双重静音控制，接收距离远，消除接收断音及不稳的缺失。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黑色金属面板，LED段码显示器，可同时显示群组、频率、电池电量、静音位准、电子音量等相关信息；LED灯柱显示RF/AF强度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采用飞梭旋钮取代传统复杂的按键，操作快速方便。</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天线接口采用50Ω/TNC，保持天线可靠连接的同时。并支持天线环路输出，支持8套同型产品射频级联。</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8.</w:t>
            </w:r>
            <w:r>
              <w:rPr>
                <w:rFonts w:hint="eastAsia" w:ascii="宋体" w:hAnsi="宋体" w:eastAsia="宋体" w:cs="宋体"/>
                <w:color w:val="auto"/>
                <w:kern w:val="0"/>
                <w:sz w:val="21"/>
                <w:szCs w:val="21"/>
                <w:highlight w:val="none"/>
                <w:lang w:val="en-US" w:eastAsia="zh-CN" w:bidi="ar"/>
              </w:rPr>
              <w:t>各频道可单独或混合输出，可切换两段输出的音量，具有MIC/LINE输出开关：LINE比MIC输出约大10dBu。</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9.</w:t>
            </w:r>
            <w:r>
              <w:rPr>
                <w:rFonts w:hint="eastAsia" w:ascii="宋体" w:hAnsi="宋体" w:eastAsia="宋体" w:cs="宋体"/>
                <w:color w:val="auto"/>
                <w:kern w:val="0"/>
                <w:sz w:val="21"/>
                <w:szCs w:val="21"/>
                <w:highlight w:val="none"/>
                <w:lang w:val="en-US" w:eastAsia="zh-CN" w:bidi="ar"/>
              </w:rPr>
              <w:t xml:space="preserve">天线座提供强波器偏压，可以连接天线系统，增加接收距离及稳定的接收效果。 </w:t>
            </w:r>
          </w:p>
          <w:p>
            <w:pPr>
              <w:widowControl/>
              <w:spacing w:line="440" w:lineRule="exact"/>
              <w:jc w:val="left"/>
              <w:textAlignment w:val="center"/>
              <w:rPr>
                <w:color w:val="auto"/>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0.</w:t>
            </w:r>
            <w:r>
              <w:rPr>
                <w:rFonts w:hint="eastAsia" w:ascii="宋体" w:hAnsi="宋体" w:eastAsia="宋体" w:cs="宋体"/>
                <w:color w:val="auto"/>
                <w:kern w:val="0"/>
                <w:sz w:val="21"/>
                <w:szCs w:val="21"/>
                <w:highlight w:val="none"/>
                <w:lang w:val="en-US" w:eastAsia="zh-CN" w:bidi="ar"/>
              </w:rPr>
              <w:t>100-240V,内置AC电源板。保持系统稳定，且支持AC电源环路输出。</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技术参数：</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载波频段: UHF530-690.000MHZ（常规：640.000MHZ-690.000MHZ）</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 xml:space="preserve">单机频带宽度 :50 MHz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单机频道数量：2000个</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频率间隔：25KHz</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音频灵敏度: -48±3dB</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综合S/N比 : &gt;100dB(A)</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 xml:space="preserve">指向性频响曲线：300-2000Hz≤-8dB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8.</w:t>
            </w:r>
            <w:r>
              <w:rPr>
                <w:rFonts w:hint="eastAsia" w:ascii="宋体" w:hAnsi="宋体" w:eastAsia="宋体" w:cs="宋体"/>
                <w:color w:val="auto"/>
                <w:kern w:val="0"/>
                <w:sz w:val="21"/>
                <w:szCs w:val="21"/>
                <w:highlight w:val="none"/>
                <w:lang w:val="en-US" w:eastAsia="zh-CN" w:bidi="ar"/>
              </w:rPr>
              <w:t xml:space="preserve">综合T.H.D. :&lt;0.5%@1kHz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9.</w:t>
            </w:r>
            <w:r>
              <w:rPr>
                <w:rFonts w:hint="eastAsia" w:ascii="宋体" w:hAnsi="宋体" w:eastAsia="宋体" w:cs="宋体"/>
                <w:color w:val="auto"/>
                <w:kern w:val="0"/>
                <w:sz w:val="21"/>
                <w:szCs w:val="21"/>
                <w:highlight w:val="none"/>
                <w:lang w:val="en-US" w:eastAsia="zh-CN" w:bidi="ar"/>
              </w:rPr>
              <w:t xml:space="preserve">频率响应 : 65Hz-15kHz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0.</w:t>
            </w:r>
            <w:r>
              <w:rPr>
                <w:rFonts w:hint="eastAsia" w:ascii="宋体" w:hAnsi="宋体" w:eastAsia="宋体" w:cs="宋体"/>
                <w:color w:val="auto"/>
                <w:kern w:val="0"/>
                <w:sz w:val="21"/>
                <w:szCs w:val="21"/>
                <w:highlight w:val="none"/>
                <w:lang w:val="en-US" w:eastAsia="zh-CN" w:bidi="ar"/>
              </w:rPr>
              <w:t>天线：50Ω/TNC，支持天线环路输出</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发射器拾音头：动圈式</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发射器供电方式：两节AA电池</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电池寿命：约8小时（发射器功率为高功率）</w:t>
            </w:r>
          </w:p>
        </w:tc>
        <w:tc>
          <w:tcPr>
            <w:tcW w:w="756" w:type="dxa"/>
            <w:vAlign w:val="center"/>
          </w:tcPr>
          <w:p>
            <w:pPr>
              <w:widowControl/>
              <w:spacing w:line="440" w:lineRule="exact"/>
              <w:jc w:val="center"/>
              <w:textAlignment w:val="center"/>
              <w:rPr>
                <w:rFonts w:hint="eastAsia" w:ascii="宋体" w:hAnsi="宋体" w:cs="宋体"/>
                <w:color w:val="auto"/>
                <w:szCs w:val="21"/>
              </w:rPr>
            </w:pPr>
            <w:r>
              <w:rPr>
                <w:rFonts w:hint="eastAsia" w:ascii="宋体" w:hAnsi="宋体" w:cs="宋体"/>
                <w:color w:val="auto"/>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pStyle w:val="137"/>
              <w:spacing w:line="440" w:lineRule="exact"/>
              <w:ind w:firstLine="0" w:firstLineChars="0"/>
              <w:jc w:val="center"/>
              <w:rPr>
                <w:rFonts w:hint="default" w:hAnsi="宋体" w:cs="宋体"/>
                <w:bCs/>
                <w:color w:val="auto"/>
                <w:sz w:val="21"/>
                <w:szCs w:val="21"/>
                <w:lang w:val="en-US" w:eastAsia="zh-CN" w:bidi="ar"/>
              </w:rPr>
            </w:pPr>
            <w:r>
              <w:rPr>
                <w:rFonts w:hint="eastAsia" w:hAnsi="宋体" w:cs="宋体"/>
                <w:bCs/>
                <w:color w:val="auto"/>
                <w:sz w:val="21"/>
                <w:szCs w:val="21"/>
                <w:lang w:val="en-US" w:eastAsia="zh-CN" w:bidi="ar"/>
              </w:rPr>
              <w:t>6</w:t>
            </w:r>
          </w:p>
        </w:tc>
        <w:tc>
          <w:tcPr>
            <w:tcW w:w="797"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播音麦克风</w:t>
            </w:r>
          </w:p>
        </w:tc>
        <w:tc>
          <w:tcPr>
            <w:tcW w:w="448"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1"/>
                <w:szCs w:val="21"/>
                <w:u w:val="none"/>
                <w:lang w:val="en-US" w:eastAsia="zh-CN" w:bidi="ar"/>
              </w:rPr>
              <w:t>只</w:t>
            </w:r>
          </w:p>
        </w:tc>
        <w:tc>
          <w:tcPr>
            <w:tcW w:w="735"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1</w:t>
            </w:r>
          </w:p>
        </w:tc>
        <w:tc>
          <w:tcPr>
            <w:tcW w:w="6540" w:type="dxa"/>
            <w:vAlign w:val="center"/>
          </w:tcPr>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带音乐前奏音功能，提前吸引听者注意；</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金属外壳设计，可有效屏蔽射频干扰；</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轻触式开关，手感舒适，外观设计新颖，品质卓越；</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红色工作指示光环灯，工作状态一目了然；</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优质驻极体心形指向音头，配以高保真外围电路，声音纯真；</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配3C认证电源，或9V层叠电池供电，任意选择；</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适用于商场，超市，车站，码头、银行等使用环境。</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技术参数：</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换能方式： 电容式</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指 向 性： 心型指向</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频率响应： 40Hz-18KHz</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输出阻抗:  600Ω±30%</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MIC灵敏度：-39dB±3dB</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供电电压： DC12V(外置电源)或9V(层叠电池)</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前奏提示音：有</w:t>
            </w:r>
          </w:p>
        </w:tc>
        <w:tc>
          <w:tcPr>
            <w:tcW w:w="756" w:type="dxa"/>
            <w:vAlign w:val="center"/>
          </w:tcPr>
          <w:p>
            <w:pPr>
              <w:widowControl/>
              <w:spacing w:line="440" w:lineRule="exact"/>
              <w:jc w:val="center"/>
              <w:textAlignment w:val="center"/>
              <w:rPr>
                <w:rFonts w:hint="eastAsia" w:ascii="宋体" w:hAnsi="宋体" w:cs="宋体"/>
                <w:color w:val="auto"/>
                <w:szCs w:val="21"/>
              </w:rPr>
            </w:pPr>
            <w:r>
              <w:rPr>
                <w:rFonts w:hint="eastAsia" w:ascii="宋体" w:hAnsi="宋体" w:cs="宋体"/>
                <w:color w:val="auto"/>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pStyle w:val="137"/>
              <w:spacing w:line="440" w:lineRule="exact"/>
              <w:ind w:firstLine="0" w:firstLineChars="0"/>
              <w:jc w:val="center"/>
              <w:rPr>
                <w:rFonts w:hint="default" w:hAnsi="宋体" w:cs="宋体"/>
                <w:bCs/>
                <w:color w:val="auto"/>
                <w:sz w:val="21"/>
                <w:szCs w:val="21"/>
                <w:lang w:val="en-US" w:eastAsia="zh-CN" w:bidi="ar"/>
              </w:rPr>
            </w:pPr>
            <w:r>
              <w:rPr>
                <w:rFonts w:hint="eastAsia" w:hAnsi="宋体" w:cs="宋体"/>
                <w:bCs/>
                <w:color w:val="auto"/>
                <w:sz w:val="21"/>
                <w:szCs w:val="21"/>
                <w:lang w:val="en-US" w:eastAsia="zh-CN" w:bidi="ar"/>
              </w:rPr>
              <w:t>7</w:t>
            </w:r>
          </w:p>
        </w:tc>
        <w:tc>
          <w:tcPr>
            <w:tcW w:w="797"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对数周期天线</w:t>
            </w:r>
          </w:p>
        </w:tc>
        <w:tc>
          <w:tcPr>
            <w:tcW w:w="448"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1"/>
                <w:szCs w:val="21"/>
                <w:u w:val="none"/>
                <w:lang w:val="en-US" w:eastAsia="zh-CN" w:bidi="ar"/>
              </w:rPr>
              <w:t>只</w:t>
            </w:r>
          </w:p>
        </w:tc>
        <w:tc>
          <w:tcPr>
            <w:tcW w:w="735"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2</w:t>
            </w:r>
          </w:p>
        </w:tc>
        <w:tc>
          <w:tcPr>
            <w:tcW w:w="6540" w:type="dxa"/>
            <w:vAlign w:val="center"/>
          </w:tcPr>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采用对数周期偶极振子阵列，能够在面向所需的覆盖区域时提供最佳接收效果。集成式放大器具有28档位增益设置，用于补偿同轴缆线的插入损失。</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配有内螺纹用于安装，可将该天线固定在话筒支架上，也可将其悬挂在天花板上，或者使用集成式可旋转适配器固定在墙壁上。</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可与无线接收机和天线分配器搭配使用，该天线为有源对数周期天线，需要接收机能够提供 8–12 伏直流偏压。</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该天线为单指向性天线，对需要特定方位使用的环境有非常好的效果。</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技术参数：</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适用频宽范围： 500MHz  ─ 850MHz</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步进增益 总增益量：0 ─ 18dB ±2dB 步进量：±1dB</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 xml:space="preserve">步进衰减 总衰减量：0 ─ 9dB  ±2dB 步进量：±1dB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天线阻抗 :50Ω</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天线增益：3-5dB</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驻波比：≤2.5:1</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接收模式(3 dB 波束宽度)：65°（垂直角）,120°(水平面）</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8.</w:t>
            </w:r>
            <w:r>
              <w:rPr>
                <w:rFonts w:hint="eastAsia" w:ascii="宋体" w:hAnsi="宋体" w:eastAsia="宋体" w:cs="宋体"/>
                <w:color w:val="auto"/>
                <w:kern w:val="0"/>
                <w:sz w:val="21"/>
                <w:szCs w:val="21"/>
                <w:highlight w:val="none"/>
                <w:lang w:val="en-US" w:eastAsia="zh-CN" w:bidi="ar"/>
              </w:rPr>
              <w:t>连接插座 :TNC母座×1</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9.</w:t>
            </w:r>
            <w:r>
              <w:rPr>
                <w:rFonts w:hint="eastAsia" w:ascii="宋体" w:hAnsi="宋体" w:eastAsia="宋体" w:cs="宋体"/>
                <w:color w:val="auto"/>
                <w:kern w:val="0"/>
                <w:sz w:val="21"/>
                <w:szCs w:val="21"/>
                <w:highlight w:val="none"/>
                <w:lang w:val="en-US" w:eastAsia="zh-CN" w:bidi="ar"/>
              </w:rPr>
              <w:t>电流消耗 :约60mA/DC 8V</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0.</w:t>
            </w:r>
            <w:r>
              <w:rPr>
                <w:rFonts w:hint="eastAsia" w:ascii="宋体" w:hAnsi="宋体" w:eastAsia="宋体" w:cs="宋体"/>
                <w:color w:val="auto"/>
                <w:kern w:val="0"/>
                <w:sz w:val="21"/>
                <w:szCs w:val="21"/>
                <w:highlight w:val="none"/>
                <w:lang w:val="en-US" w:eastAsia="zh-CN" w:bidi="ar"/>
              </w:rPr>
              <w:t>电源 :TNC母座须提供偏压电源DC 6—10V</w:t>
            </w:r>
          </w:p>
        </w:tc>
        <w:tc>
          <w:tcPr>
            <w:tcW w:w="756" w:type="dxa"/>
            <w:vAlign w:val="center"/>
          </w:tcPr>
          <w:p>
            <w:pPr>
              <w:widowControl/>
              <w:spacing w:line="440" w:lineRule="exact"/>
              <w:jc w:val="center"/>
              <w:textAlignment w:val="center"/>
              <w:rPr>
                <w:rFonts w:hint="eastAsia" w:ascii="宋体" w:hAnsi="宋体" w:cs="宋体"/>
                <w:color w:val="auto"/>
                <w:szCs w:val="21"/>
              </w:rPr>
            </w:pPr>
            <w:r>
              <w:rPr>
                <w:rFonts w:hint="eastAsia" w:ascii="宋体" w:hAnsi="宋体" w:cs="宋体"/>
                <w:color w:val="auto"/>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pStyle w:val="137"/>
              <w:spacing w:line="440" w:lineRule="exact"/>
              <w:ind w:firstLine="0" w:firstLineChars="0"/>
              <w:jc w:val="center"/>
              <w:rPr>
                <w:rFonts w:hint="default" w:hAnsi="宋体" w:cs="宋体"/>
                <w:bCs/>
                <w:color w:val="auto"/>
                <w:sz w:val="21"/>
                <w:szCs w:val="21"/>
                <w:lang w:val="en-US" w:eastAsia="zh-CN" w:bidi="ar"/>
              </w:rPr>
            </w:pPr>
            <w:r>
              <w:rPr>
                <w:rFonts w:hint="eastAsia" w:hAnsi="宋体" w:cs="宋体"/>
                <w:bCs/>
                <w:color w:val="auto"/>
                <w:sz w:val="21"/>
                <w:szCs w:val="21"/>
                <w:lang w:val="en-US" w:eastAsia="zh-CN" w:bidi="ar"/>
              </w:rPr>
              <w:t>8</w:t>
            </w:r>
          </w:p>
        </w:tc>
        <w:tc>
          <w:tcPr>
            <w:tcW w:w="797"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天线放大器</w:t>
            </w:r>
          </w:p>
        </w:tc>
        <w:tc>
          <w:tcPr>
            <w:tcW w:w="448"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1"/>
                <w:szCs w:val="21"/>
                <w:u w:val="none"/>
                <w:lang w:val="en-US" w:eastAsia="zh-CN" w:bidi="ar"/>
              </w:rPr>
              <w:t>只</w:t>
            </w:r>
          </w:p>
        </w:tc>
        <w:tc>
          <w:tcPr>
            <w:tcW w:w="735"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2</w:t>
            </w:r>
          </w:p>
        </w:tc>
        <w:tc>
          <w:tcPr>
            <w:tcW w:w="6540" w:type="dxa"/>
            <w:vAlign w:val="center"/>
          </w:tcPr>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1.适用于500MHz ─850MHz频段外接天线，搭配可调增益信号放大、衰减线路，用户可根据实际使用环境调整增益大小。</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配置电源适配器，能提供放大器内建放大线路的电源，也能为远端外接天线放大器供电，使长距离的天线缆线能实现多级增益调节。</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3.搭配锌合金外壳的优异散热特性，达到持续稳定的电路特性与DC 8 V的输出电压。</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技术参数：</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适用频宽范围： 500MHz  ─ 850MHz</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步进增益 总增益量：0 ～ +18dB±2dB 步进量：±1dB</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步进衰减 总衰减量：0 ～ 9dB±2dB 步进量：±1dB</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系统阻抗 :50 Ω</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 xml:space="preserve">外接电源输入: 12 ～18V DC / min. 350mA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电源稳压输出 :8V DC / max. 250mA</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电流消耗 :约60mA/12V DC Input</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8.</w:t>
            </w:r>
            <w:r>
              <w:rPr>
                <w:rFonts w:hint="eastAsia" w:ascii="宋体" w:hAnsi="宋体" w:eastAsia="宋体" w:cs="宋体"/>
                <w:color w:val="auto"/>
                <w:kern w:val="0"/>
                <w:sz w:val="21"/>
                <w:szCs w:val="21"/>
                <w:highlight w:val="none"/>
                <w:lang w:val="en-US" w:eastAsia="zh-CN" w:bidi="ar"/>
              </w:rPr>
              <w:t>连接座:TNC插座×2，2.0 mm DC插座×1</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9.</w:t>
            </w:r>
            <w:r>
              <w:rPr>
                <w:rFonts w:hint="eastAsia" w:ascii="宋体" w:hAnsi="宋体" w:eastAsia="宋体" w:cs="宋体"/>
                <w:color w:val="auto"/>
                <w:kern w:val="0"/>
                <w:sz w:val="21"/>
                <w:szCs w:val="21"/>
                <w:highlight w:val="none"/>
                <w:lang w:val="en-US" w:eastAsia="zh-CN" w:bidi="ar"/>
              </w:rPr>
              <w:t>尺寸: 92mm(长) ×74mm(宽) ×21mm(高)</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0.</w:t>
            </w:r>
            <w:r>
              <w:rPr>
                <w:rFonts w:hint="eastAsia" w:ascii="宋体" w:hAnsi="宋体" w:eastAsia="宋体" w:cs="宋体"/>
                <w:color w:val="auto"/>
                <w:kern w:val="0"/>
                <w:sz w:val="21"/>
                <w:szCs w:val="21"/>
                <w:highlight w:val="none"/>
                <w:lang w:val="en-US" w:eastAsia="zh-CN" w:bidi="ar"/>
              </w:rPr>
              <w:t>重量:约 210g</w:t>
            </w:r>
          </w:p>
        </w:tc>
        <w:tc>
          <w:tcPr>
            <w:tcW w:w="756" w:type="dxa"/>
            <w:vAlign w:val="center"/>
          </w:tcPr>
          <w:p>
            <w:pPr>
              <w:widowControl/>
              <w:spacing w:line="440" w:lineRule="exact"/>
              <w:jc w:val="center"/>
              <w:textAlignment w:val="center"/>
              <w:rPr>
                <w:rFonts w:hint="eastAsia" w:ascii="宋体" w:hAnsi="宋体" w:cs="宋体"/>
                <w:color w:val="auto"/>
                <w:szCs w:val="21"/>
              </w:rPr>
            </w:pPr>
            <w:r>
              <w:rPr>
                <w:rFonts w:hint="eastAsia" w:ascii="宋体" w:hAnsi="宋体" w:cs="宋体"/>
                <w:color w:val="auto"/>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17" w:type="dxa"/>
            <w:gridSpan w:val="6"/>
            <w:vAlign w:val="center"/>
          </w:tcPr>
          <w:p>
            <w:pPr>
              <w:widowControl/>
              <w:spacing w:line="440" w:lineRule="exact"/>
              <w:jc w:val="left"/>
              <w:textAlignment w:val="center"/>
              <w:rPr>
                <w:rFonts w:hint="default" w:ascii="宋体" w:hAnsi="宋体" w:cs="宋体"/>
                <w:color w:val="auto"/>
                <w:szCs w:val="21"/>
                <w:lang w:val="en-US"/>
              </w:rPr>
            </w:pPr>
            <w:r>
              <w:rPr>
                <w:rFonts w:hint="eastAsia" w:ascii="宋体" w:hAnsi="宋体" w:eastAsia="宋体" w:cs="宋体"/>
                <w:b/>
                <w:bCs/>
                <w:color w:val="auto"/>
                <w:sz w:val="24"/>
                <w:szCs w:val="24"/>
                <w:vertAlign w:val="baseline"/>
                <w:lang w:val="en-US" w:eastAsia="zh-CN"/>
              </w:rPr>
              <w:t>（</w:t>
            </w:r>
            <w:r>
              <w:rPr>
                <w:rFonts w:hint="eastAsia" w:ascii="宋体" w:hAnsi="宋体" w:cs="宋体"/>
                <w:b/>
                <w:bCs/>
                <w:color w:val="auto"/>
                <w:sz w:val="24"/>
                <w:szCs w:val="24"/>
                <w:vertAlign w:val="baseline"/>
                <w:lang w:val="en-US" w:eastAsia="zh-CN"/>
              </w:rPr>
              <w:t>2</w:t>
            </w:r>
            <w:r>
              <w:rPr>
                <w:rFonts w:hint="eastAsia" w:ascii="宋体" w:hAnsi="宋体" w:eastAsia="宋体" w:cs="宋体"/>
                <w:b/>
                <w:bCs/>
                <w:color w:val="auto"/>
                <w:sz w:val="24"/>
                <w:szCs w:val="24"/>
                <w:vertAlign w:val="baseline"/>
                <w:lang w:val="en-US" w:eastAsia="zh-CN"/>
              </w:rPr>
              <w:t>）</w:t>
            </w:r>
            <w:r>
              <w:rPr>
                <w:rFonts w:hint="eastAsia" w:ascii="宋体" w:hAnsi="宋体" w:cs="宋体"/>
                <w:b/>
                <w:bCs/>
                <w:color w:val="auto"/>
                <w:sz w:val="24"/>
                <w:szCs w:val="24"/>
                <w:vertAlign w:val="baseline"/>
                <w:lang w:val="en-US" w:eastAsia="zh-CN"/>
              </w:rPr>
              <w:t>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keepNext w:val="0"/>
              <w:keepLines w:val="0"/>
              <w:widowControl/>
              <w:suppressLineNumbers w:val="0"/>
              <w:jc w:val="center"/>
              <w:textAlignment w:val="center"/>
              <w:rPr>
                <w:rFonts w:hint="default"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9</w:t>
            </w:r>
          </w:p>
        </w:tc>
        <w:tc>
          <w:tcPr>
            <w:tcW w:w="797"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定压功率放大器（室外）</w:t>
            </w:r>
          </w:p>
        </w:tc>
        <w:tc>
          <w:tcPr>
            <w:tcW w:w="448"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1"/>
                <w:szCs w:val="21"/>
                <w:u w:val="none"/>
                <w:lang w:val="en-US" w:eastAsia="zh-CN" w:bidi="ar"/>
              </w:rPr>
              <w:t>台</w:t>
            </w:r>
          </w:p>
        </w:tc>
        <w:tc>
          <w:tcPr>
            <w:tcW w:w="735"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1</w:t>
            </w:r>
          </w:p>
        </w:tc>
        <w:tc>
          <w:tcPr>
            <w:tcW w:w="6540" w:type="dxa"/>
            <w:vAlign w:val="center"/>
          </w:tcPr>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D类数字功率放大器。</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RS485远程监控。通过广播管理系统主机可监控功放的工作模式、工作温度、输出电平、保护状态、工作电流等工作状态。</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可选配插卡式网络模块NET-212/VOA-221，让功放成为IP网络功放，整机设计采用插槽式设计理念，即插即用。</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输出功率：1100W（100V定压输出）。</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频率响应：100Hz~16kHz (+2/-6dB)；</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信噪比：≥90dB（A计权）；</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输入灵敏度：775mV±50mV；</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8.</w:t>
            </w:r>
            <w:r>
              <w:rPr>
                <w:rFonts w:hint="eastAsia" w:ascii="宋体" w:hAnsi="宋体" w:eastAsia="宋体" w:cs="宋体"/>
                <w:color w:val="auto"/>
                <w:kern w:val="0"/>
                <w:sz w:val="21"/>
                <w:szCs w:val="21"/>
                <w:highlight w:val="none"/>
                <w:lang w:val="en-US" w:eastAsia="zh-CN" w:bidi="ar"/>
              </w:rPr>
              <w:t>总谐波失真：1KHz&lt;1%；</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9.</w:t>
            </w:r>
            <w:r>
              <w:rPr>
                <w:rFonts w:hint="eastAsia" w:ascii="宋体" w:hAnsi="宋体" w:eastAsia="宋体" w:cs="宋体"/>
                <w:color w:val="auto"/>
                <w:kern w:val="0"/>
                <w:sz w:val="21"/>
                <w:szCs w:val="21"/>
                <w:highlight w:val="none"/>
                <w:lang w:val="en-US" w:eastAsia="zh-CN" w:bidi="ar"/>
              </w:rPr>
              <w:t>电源：交流220V/50Hz   ±10%。</w:t>
            </w:r>
          </w:p>
        </w:tc>
        <w:tc>
          <w:tcPr>
            <w:tcW w:w="756" w:type="dxa"/>
            <w:vAlign w:val="center"/>
          </w:tcPr>
          <w:p>
            <w:pPr>
              <w:widowControl/>
              <w:spacing w:line="440" w:lineRule="exact"/>
              <w:jc w:val="center"/>
              <w:textAlignment w:val="center"/>
              <w:rPr>
                <w:rFonts w:hint="eastAsia" w:ascii="宋体" w:hAnsi="宋体" w:cs="宋体"/>
                <w:color w:val="auto"/>
                <w:szCs w:val="21"/>
              </w:rPr>
            </w:pPr>
            <w:r>
              <w:rPr>
                <w:rFonts w:hint="eastAsia" w:ascii="宋体" w:hAnsi="宋体" w:cs="宋体"/>
                <w:color w:val="auto"/>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10</w:t>
            </w:r>
          </w:p>
        </w:tc>
        <w:tc>
          <w:tcPr>
            <w:tcW w:w="797"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定压功率放大器（室外）</w:t>
            </w:r>
          </w:p>
        </w:tc>
        <w:tc>
          <w:tcPr>
            <w:tcW w:w="448"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1"/>
                <w:szCs w:val="21"/>
                <w:u w:val="none"/>
                <w:lang w:val="en-US" w:eastAsia="zh-CN" w:bidi="ar"/>
              </w:rPr>
              <w:t>台</w:t>
            </w:r>
          </w:p>
        </w:tc>
        <w:tc>
          <w:tcPr>
            <w:tcW w:w="735"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3</w:t>
            </w:r>
          </w:p>
        </w:tc>
        <w:tc>
          <w:tcPr>
            <w:tcW w:w="6540" w:type="dxa"/>
            <w:vAlign w:val="center"/>
          </w:tcPr>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产品特点：</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 xml:space="preserve">强劲的功率输出：采用了开关电源、数字功率放大器及风道式强制散热。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 xml:space="preserve">输入连接器：一个孔形卡侬和一个二芯插口，这样能方便地进行并机使用，并能与前级放大器和调音台方便连接。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 xml:space="preserve">输出方式：定压输出 100V。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 xml:space="preserve">面板有14颗LED指示灯：1颗电源指示灯；1颗保护指示灯；1颗削峰指示灯；1颗信号指示灯；1颗网络/待机状态指示灯，功放待机时绿灯常亮，本地输出绿灯闪烁；网络播音输出，红灯闪烁；网络报警输出，红绿灯交替闪烁；5颗电流指示灯；5颗电压指示灯。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 xml:space="preserve">完善可靠的保护电路：设置了包括开机延时静噪、断电瞬时关机、扬声器短路保护、过温输出保护在内的多种保护电路，使您尽可放心使用。机器输出短路连续保护多次后会锁定，需要重新拔出电源插头再上电恢复。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 xml:space="preserve">机械强度：能够承受运输中的剧烈振动，标准结构的前面板可以安装于标准的 19 吋机架。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高稳定性：能连续输出强劲功率，失真极低，高阻尼系数减低了扬声器音圈的过冲，使得低频响应结实而清晰。</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8.</w:t>
            </w:r>
            <w:r>
              <w:rPr>
                <w:rFonts w:hint="eastAsia" w:ascii="宋体" w:hAnsi="宋体" w:eastAsia="宋体" w:cs="宋体"/>
                <w:color w:val="auto"/>
                <w:kern w:val="0"/>
                <w:sz w:val="21"/>
                <w:szCs w:val="21"/>
                <w:highlight w:val="none"/>
                <w:lang w:val="en-US" w:eastAsia="zh-CN" w:bidi="ar"/>
              </w:rPr>
              <w:t>选配插卡式网络解码板，秒变IP解码功放。</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9.</w:t>
            </w:r>
            <w:r>
              <w:rPr>
                <w:rFonts w:hint="eastAsia" w:ascii="宋体" w:hAnsi="宋体" w:eastAsia="宋体" w:cs="宋体"/>
                <w:color w:val="auto"/>
                <w:kern w:val="0"/>
                <w:sz w:val="21"/>
                <w:szCs w:val="21"/>
                <w:highlight w:val="none"/>
                <w:lang w:val="en-US" w:eastAsia="zh-CN" w:bidi="ar"/>
              </w:rPr>
              <w:t>带RS485远程监控功能，通过广播管理系统主机可监控功放的工作模式、工作温度、输出电平、保护状态、工作电流等工作状态。</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技术参数：</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 xml:space="preserve">输出功率：500W/100V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 xml:space="preserve">频率响应：100Hz~16KHz+2/-6dB；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 xml:space="preserve">信噪比：≥90dB（A 计权）；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 xml:space="preserve">输入灵敏度：775mV±50mV；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 xml:space="preserve">总谐波失真：80Hz-16KHz&lt;2%；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 xml:space="preserve">电源：交流 220V/50Hz ±10%：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 xml:space="preserve">过载源电动势与额定源电动势之比：≥14dB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8.</w:t>
            </w:r>
            <w:r>
              <w:rPr>
                <w:rFonts w:hint="eastAsia" w:ascii="宋体" w:hAnsi="宋体" w:eastAsia="宋体" w:cs="宋体"/>
                <w:color w:val="auto"/>
                <w:kern w:val="0"/>
                <w:sz w:val="21"/>
                <w:szCs w:val="21"/>
                <w:highlight w:val="none"/>
                <w:lang w:val="en-US" w:eastAsia="zh-CN" w:bidi="ar"/>
              </w:rPr>
              <w:t>调整率：400HZ ≤2；4KHZ ≤2.5</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9.</w:t>
            </w:r>
            <w:r>
              <w:rPr>
                <w:rFonts w:hint="eastAsia" w:ascii="宋体" w:hAnsi="宋体" w:eastAsia="宋体" w:cs="宋体"/>
                <w:color w:val="auto"/>
                <w:kern w:val="0"/>
                <w:sz w:val="21"/>
                <w:szCs w:val="21"/>
                <w:highlight w:val="none"/>
                <w:lang w:val="en-US" w:eastAsia="zh-CN" w:bidi="ar"/>
              </w:rPr>
              <w:t>消耗功率：600W</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0.</w:t>
            </w:r>
            <w:r>
              <w:rPr>
                <w:rFonts w:hint="eastAsia" w:ascii="宋体" w:hAnsi="宋体" w:eastAsia="宋体" w:cs="宋体"/>
                <w:color w:val="auto"/>
                <w:kern w:val="0"/>
                <w:sz w:val="21"/>
                <w:szCs w:val="21"/>
                <w:highlight w:val="none"/>
                <w:lang w:val="en-US" w:eastAsia="zh-CN" w:bidi="ar"/>
              </w:rPr>
              <w:t>尺寸：483*340*44mm±2mm</w:t>
            </w:r>
          </w:p>
        </w:tc>
        <w:tc>
          <w:tcPr>
            <w:tcW w:w="756" w:type="dxa"/>
            <w:vAlign w:val="center"/>
          </w:tcPr>
          <w:p>
            <w:pPr>
              <w:widowControl/>
              <w:spacing w:line="440" w:lineRule="exact"/>
              <w:jc w:val="center"/>
              <w:textAlignment w:val="center"/>
              <w:rPr>
                <w:rFonts w:hint="eastAsia" w:ascii="宋体" w:hAnsi="宋体" w:cs="宋体"/>
                <w:color w:val="auto"/>
                <w:szCs w:val="21"/>
              </w:rPr>
            </w:pPr>
            <w:r>
              <w:rPr>
                <w:rFonts w:hint="eastAsia" w:ascii="宋体" w:hAnsi="宋体" w:cs="宋体"/>
                <w:color w:val="auto"/>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11</w:t>
            </w:r>
          </w:p>
        </w:tc>
        <w:tc>
          <w:tcPr>
            <w:tcW w:w="797"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室外豪华型防水声柱</w:t>
            </w:r>
          </w:p>
        </w:tc>
        <w:tc>
          <w:tcPr>
            <w:tcW w:w="448"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1"/>
                <w:szCs w:val="21"/>
                <w:u w:val="none"/>
                <w:lang w:val="en-US" w:eastAsia="zh-CN" w:bidi="ar"/>
              </w:rPr>
              <w:t>条</w:t>
            </w:r>
          </w:p>
        </w:tc>
        <w:tc>
          <w:tcPr>
            <w:tcW w:w="735"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4</w:t>
            </w:r>
          </w:p>
        </w:tc>
        <w:tc>
          <w:tcPr>
            <w:tcW w:w="6540" w:type="dxa"/>
            <w:vAlign w:val="center"/>
          </w:tcPr>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外壳采用铝合金材料，</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专业的表面处理工艺，防水防锈，全天候设计，</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选用防水单元，室内外均宜，寿命长，灵敏度高，声音清晰、明亮。</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配有安装支架，安装便捷。</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扬声器单元通过IP56防水等级认证。</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额定功率：120W。</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输入电压：100V。</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8.</w:t>
            </w:r>
            <w:r>
              <w:rPr>
                <w:rFonts w:hint="eastAsia" w:ascii="宋体" w:hAnsi="宋体" w:eastAsia="宋体" w:cs="宋体"/>
                <w:color w:val="auto"/>
                <w:kern w:val="0"/>
                <w:sz w:val="21"/>
                <w:szCs w:val="21"/>
                <w:highlight w:val="none"/>
                <w:lang w:val="en-US" w:eastAsia="zh-CN" w:bidi="ar"/>
              </w:rPr>
              <w:t>灵敏度：92dB±3dB。</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9.</w:t>
            </w:r>
            <w:r>
              <w:rPr>
                <w:rFonts w:hint="eastAsia" w:ascii="宋体" w:hAnsi="宋体" w:eastAsia="宋体" w:cs="宋体"/>
                <w:color w:val="auto"/>
                <w:kern w:val="0"/>
                <w:sz w:val="21"/>
                <w:szCs w:val="21"/>
                <w:highlight w:val="none"/>
                <w:lang w:val="en-US" w:eastAsia="zh-CN" w:bidi="ar"/>
              </w:rPr>
              <w:t>频率响应：70Hz-19KHz（±15%）。</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0.</w:t>
            </w:r>
            <w:r>
              <w:rPr>
                <w:rFonts w:hint="eastAsia" w:ascii="宋体" w:hAnsi="宋体" w:eastAsia="宋体" w:cs="宋体"/>
                <w:color w:val="auto"/>
                <w:kern w:val="0"/>
                <w:sz w:val="21"/>
                <w:szCs w:val="21"/>
                <w:highlight w:val="none"/>
                <w:lang w:val="en-US" w:eastAsia="zh-CN" w:bidi="ar"/>
              </w:rPr>
              <w:t>喇叭单元：LF6.5"×3；HF:3"×1。</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外形尺寸(W×D× H)：240×200×870mm±5mm。</w:t>
            </w:r>
          </w:p>
        </w:tc>
        <w:tc>
          <w:tcPr>
            <w:tcW w:w="756" w:type="dxa"/>
            <w:vAlign w:val="center"/>
          </w:tcPr>
          <w:p>
            <w:pPr>
              <w:widowControl/>
              <w:spacing w:line="440" w:lineRule="exact"/>
              <w:jc w:val="center"/>
              <w:textAlignment w:val="center"/>
              <w:rPr>
                <w:rFonts w:hint="eastAsia" w:ascii="宋体" w:hAnsi="宋体" w:cs="宋体"/>
                <w:color w:val="auto"/>
                <w:szCs w:val="21"/>
              </w:rPr>
            </w:pPr>
            <w:r>
              <w:rPr>
                <w:rFonts w:hint="eastAsia" w:ascii="宋体" w:hAnsi="宋体" w:cs="宋体"/>
                <w:color w:val="auto"/>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12</w:t>
            </w:r>
          </w:p>
        </w:tc>
        <w:tc>
          <w:tcPr>
            <w:tcW w:w="797"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室外豪华型防水声柱</w:t>
            </w:r>
          </w:p>
        </w:tc>
        <w:tc>
          <w:tcPr>
            <w:tcW w:w="448"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1"/>
                <w:szCs w:val="21"/>
                <w:u w:val="none"/>
                <w:lang w:val="en-US" w:eastAsia="zh-CN" w:bidi="ar"/>
              </w:rPr>
              <w:t>条</w:t>
            </w:r>
          </w:p>
        </w:tc>
        <w:tc>
          <w:tcPr>
            <w:tcW w:w="735"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8</w:t>
            </w:r>
          </w:p>
        </w:tc>
        <w:tc>
          <w:tcPr>
            <w:tcW w:w="6540" w:type="dxa"/>
            <w:vAlign w:val="center"/>
          </w:tcPr>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外壳采用铝合金材料，</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专业的表面处理工艺，防水防锈，全天候设计，</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选用防水单元，室内外均宜，寿命长，灵敏度高，声音清晰、明亮。</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配有安装支架，安装便捷。</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扬声器单元通过IP56防尘防水等级认证。</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额定功率：80W。</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输入电压：100V。</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8.</w:t>
            </w:r>
            <w:r>
              <w:rPr>
                <w:rFonts w:hint="eastAsia" w:ascii="宋体" w:hAnsi="宋体" w:eastAsia="宋体" w:cs="宋体"/>
                <w:color w:val="auto"/>
                <w:kern w:val="0"/>
                <w:sz w:val="21"/>
                <w:szCs w:val="21"/>
                <w:highlight w:val="none"/>
                <w:lang w:val="en-US" w:eastAsia="zh-CN" w:bidi="ar"/>
              </w:rPr>
              <w:t>灵敏度：90±3dB，</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9.</w:t>
            </w:r>
            <w:r>
              <w:rPr>
                <w:rFonts w:hint="eastAsia" w:ascii="宋体" w:hAnsi="宋体" w:eastAsia="宋体" w:cs="宋体"/>
                <w:color w:val="auto"/>
                <w:kern w:val="0"/>
                <w:sz w:val="21"/>
                <w:szCs w:val="21"/>
                <w:highlight w:val="none"/>
                <w:lang w:val="en-US" w:eastAsia="zh-CN" w:bidi="ar"/>
              </w:rPr>
              <w:t>频率响应：110Hz-18KHz（±15%）。</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0.</w:t>
            </w:r>
            <w:r>
              <w:rPr>
                <w:rFonts w:hint="eastAsia" w:ascii="宋体" w:hAnsi="宋体" w:eastAsia="宋体" w:cs="宋体"/>
                <w:color w:val="auto"/>
                <w:kern w:val="0"/>
                <w:sz w:val="21"/>
                <w:szCs w:val="21"/>
                <w:highlight w:val="none"/>
                <w:lang w:val="en-US" w:eastAsia="zh-CN" w:bidi="ar"/>
              </w:rPr>
              <w:t>喇叭单元：LF:5.25"×4；HF:3"×1。</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外形尺寸(W×D× H)：200×140×880mm±5mm。</w:t>
            </w:r>
          </w:p>
        </w:tc>
        <w:tc>
          <w:tcPr>
            <w:tcW w:w="756" w:type="dxa"/>
            <w:vAlign w:val="center"/>
          </w:tcPr>
          <w:p>
            <w:pPr>
              <w:widowControl/>
              <w:spacing w:line="440" w:lineRule="exact"/>
              <w:jc w:val="center"/>
              <w:textAlignment w:val="center"/>
              <w:rPr>
                <w:rFonts w:hint="eastAsia" w:ascii="宋体" w:hAnsi="宋体" w:cs="宋体"/>
                <w:color w:val="auto"/>
                <w:szCs w:val="21"/>
              </w:rPr>
            </w:pPr>
            <w:r>
              <w:rPr>
                <w:rFonts w:hint="eastAsia" w:ascii="宋体" w:hAnsi="宋体" w:cs="宋体"/>
                <w:color w:val="auto"/>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17" w:type="dxa"/>
            <w:gridSpan w:val="6"/>
            <w:vAlign w:val="center"/>
          </w:tcPr>
          <w:p>
            <w:pPr>
              <w:widowControl/>
              <w:spacing w:line="440" w:lineRule="exact"/>
              <w:jc w:val="left"/>
              <w:textAlignment w:val="center"/>
              <w:rPr>
                <w:rFonts w:hint="eastAsia" w:ascii="宋体" w:hAnsi="宋体" w:cs="宋体"/>
                <w:color w:val="auto"/>
                <w:szCs w:val="21"/>
              </w:rPr>
            </w:pPr>
            <w:r>
              <w:rPr>
                <w:rFonts w:hint="eastAsia" w:ascii="宋体" w:hAnsi="宋体" w:cs="宋体"/>
                <w:color w:val="auto"/>
                <w:szCs w:val="21"/>
                <w:lang w:eastAsia="zh-CN"/>
              </w:rPr>
              <w:t>（</w:t>
            </w:r>
            <w:r>
              <w:rPr>
                <w:rFonts w:hint="eastAsia" w:ascii="宋体" w:hAnsi="宋体" w:cs="宋体"/>
                <w:color w:val="auto"/>
                <w:szCs w:val="21"/>
                <w:lang w:val="en-US" w:eastAsia="zh-CN"/>
              </w:rPr>
              <w:t>3</w:t>
            </w:r>
            <w:r>
              <w:rPr>
                <w:rFonts w:hint="eastAsia" w:ascii="宋体" w:hAnsi="宋体" w:cs="宋体"/>
                <w:color w:val="auto"/>
                <w:szCs w:val="21"/>
                <w:lang w:eastAsia="zh-CN"/>
              </w:rPr>
              <w:t>）</w:t>
            </w:r>
            <w:r>
              <w:rPr>
                <w:rFonts w:hint="eastAsia" w:ascii="宋体" w:hAnsi="宋体" w:cs="宋体"/>
                <w:color w:val="auto"/>
                <w:szCs w:val="21"/>
              </w:rPr>
              <w:t>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13</w:t>
            </w:r>
          </w:p>
        </w:tc>
        <w:tc>
          <w:tcPr>
            <w:tcW w:w="797"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定压功率放大器（教室）</w:t>
            </w:r>
          </w:p>
        </w:tc>
        <w:tc>
          <w:tcPr>
            <w:tcW w:w="448"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1"/>
                <w:szCs w:val="21"/>
                <w:u w:val="none"/>
                <w:lang w:val="en-US" w:eastAsia="zh-CN" w:bidi="ar"/>
              </w:rPr>
              <w:t>台</w:t>
            </w:r>
          </w:p>
        </w:tc>
        <w:tc>
          <w:tcPr>
            <w:tcW w:w="735"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1</w:t>
            </w:r>
          </w:p>
        </w:tc>
        <w:tc>
          <w:tcPr>
            <w:tcW w:w="6540" w:type="dxa"/>
            <w:vAlign w:val="center"/>
          </w:tcPr>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产品特点：</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 xml:space="preserve">强劲的功率输出：采用了开关电源、数字功率放大器及风道式强制散热。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 xml:space="preserve">输入连接器：一个孔形卡侬和一个二芯插口，这样能方便地进行并机使用，并能与前级放大器和调音台方便连接。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 xml:space="preserve">输出方式：定压输出 100V。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 xml:space="preserve">面板有14颗LED指示灯：1颗电源指示灯；1颗保护指示灯；1颗削峰指示灯；1颗信号指示灯；1颗网络/待机状态指示灯，功放待机时绿灯常亮，本地输出绿灯闪烁；网络播音输出，红灯闪烁；网络报警输出，红绿灯交替闪烁；5颗电流指示灯；5颗电压指示灯。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 xml:space="preserve">完善可靠的保护电路：设置了包括开机延时静噪、断电瞬时关机、扬声器短路保护、过温输出保护在内的多种保护电路，使您尽可放心使用。机器输出短路连续保护多次后会锁定，需要重新拔出电源插头再上电恢复。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 xml:space="preserve">机械强度：能够承受运输中的剧烈振动，标准结构的前面板可以安装于标准的 19 吋机架。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高稳定性：能连续输出强劲功率，失真极低，高阻尼系数减低了扬声器音圈的过冲，使得低频响应结实而清晰。</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8.</w:t>
            </w:r>
            <w:r>
              <w:rPr>
                <w:rFonts w:hint="eastAsia" w:ascii="宋体" w:hAnsi="宋体" w:eastAsia="宋体" w:cs="宋体"/>
                <w:color w:val="auto"/>
                <w:kern w:val="0"/>
                <w:sz w:val="21"/>
                <w:szCs w:val="21"/>
                <w:highlight w:val="none"/>
                <w:lang w:val="en-US" w:eastAsia="zh-CN" w:bidi="ar"/>
              </w:rPr>
              <w:t>选配插卡式网络解码板，秒变IP解码功放。</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9.</w:t>
            </w:r>
            <w:r>
              <w:rPr>
                <w:rFonts w:hint="eastAsia" w:ascii="宋体" w:hAnsi="宋体" w:eastAsia="宋体" w:cs="宋体"/>
                <w:color w:val="auto"/>
                <w:kern w:val="0"/>
                <w:sz w:val="21"/>
                <w:szCs w:val="21"/>
                <w:highlight w:val="none"/>
                <w:lang w:val="en-US" w:eastAsia="zh-CN" w:bidi="ar"/>
              </w:rPr>
              <w:t>带RS485远程监控功能，通过广播管理系统主机可监控功放的工作模式、工作温度、输出电平、保护状态、工作电流等工作状态。</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技术参数：</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 xml:space="preserve">输出功率：700W/100V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 xml:space="preserve">频率响应：100Hz~16KHz+2/-6dB；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 xml:space="preserve">信噪比：≥90dB（A 计权）；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 xml:space="preserve">输入灵敏度：775mV±50mV；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 xml:space="preserve">总谐波失真：80Hz-16KHz&lt;2%；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 xml:space="preserve">电源：交流 220V/50Hz ±10%：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 xml:space="preserve">过载源电动势与额定源电动势之比：≥14dB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8.</w:t>
            </w:r>
            <w:r>
              <w:rPr>
                <w:rFonts w:hint="eastAsia" w:ascii="宋体" w:hAnsi="宋体" w:eastAsia="宋体" w:cs="宋体"/>
                <w:color w:val="auto"/>
                <w:kern w:val="0"/>
                <w:sz w:val="21"/>
                <w:szCs w:val="21"/>
                <w:highlight w:val="none"/>
                <w:lang w:val="en-US" w:eastAsia="zh-CN" w:bidi="ar"/>
              </w:rPr>
              <w:t>调整率：400HZ ≤2；4KHZ ≤2.5</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9.</w:t>
            </w:r>
            <w:r>
              <w:rPr>
                <w:rFonts w:hint="eastAsia" w:ascii="宋体" w:hAnsi="宋体" w:eastAsia="宋体" w:cs="宋体"/>
                <w:color w:val="auto"/>
                <w:kern w:val="0"/>
                <w:sz w:val="21"/>
                <w:szCs w:val="21"/>
                <w:highlight w:val="none"/>
                <w:lang w:val="en-US" w:eastAsia="zh-CN" w:bidi="ar"/>
              </w:rPr>
              <w:t>消耗功率：1000W</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0.</w:t>
            </w:r>
            <w:r>
              <w:rPr>
                <w:rFonts w:hint="eastAsia" w:ascii="宋体" w:hAnsi="宋体" w:eastAsia="宋体" w:cs="宋体"/>
                <w:color w:val="auto"/>
                <w:kern w:val="0"/>
                <w:sz w:val="21"/>
                <w:szCs w:val="21"/>
                <w:highlight w:val="none"/>
                <w:lang w:val="en-US" w:eastAsia="zh-CN" w:bidi="ar"/>
              </w:rPr>
              <w:t>尺寸：483*340*44mm±2mm</w:t>
            </w:r>
          </w:p>
        </w:tc>
        <w:tc>
          <w:tcPr>
            <w:tcW w:w="756" w:type="dxa"/>
            <w:vAlign w:val="center"/>
          </w:tcPr>
          <w:p>
            <w:pPr>
              <w:widowControl/>
              <w:spacing w:line="440" w:lineRule="exact"/>
              <w:jc w:val="center"/>
              <w:textAlignment w:val="center"/>
              <w:rPr>
                <w:rFonts w:hint="eastAsia" w:ascii="宋体" w:hAnsi="宋体" w:cs="宋体"/>
                <w:color w:val="auto"/>
                <w:szCs w:val="21"/>
              </w:rPr>
            </w:pPr>
            <w:r>
              <w:rPr>
                <w:rFonts w:hint="eastAsia" w:ascii="宋体" w:hAnsi="宋体" w:cs="宋体"/>
                <w:color w:val="auto"/>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14</w:t>
            </w:r>
          </w:p>
        </w:tc>
        <w:tc>
          <w:tcPr>
            <w:tcW w:w="797"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壁挂扬声器</w:t>
            </w:r>
          </w:p>
        </w:tc>
        <w:tc>
          <w:tcPr>
            <w:tcW w:w="448" w:type="dxa"/>
            <w:vAlign w:val="center"/>
          </w:tcPr>
          <w:p>
            <w:pPr>
              <w:pStyle w:val="137"/>
              <w:spacing w:line="440" w:lineRule="exact"/>
              <w:ind w:firstLine="0" w:firstLineChars="0"/>
              <w:jc w:val="center"/>
              <w:rPr>
                <w:rFonts w:hint="default" w:hAnsi="宋体" w:cs="宋体"/>
                <w:bCs/>
                <w:color w:val="auto"/>
                <w:sz w:val="21"/>
                <w:szCs w:val="21"/>
                <w:lang w:val="en-US" w:eastAsia="zh-CN" w:bidi="ar"/>
              </w:rPr>
            </w:pPr>
            <w:r>
              <w:rPr>
                <w:rFonts w:hint="eastAsia" w:hAnsi="宋体" w:cs="宋体"/>
                <w:bCs/>
                <w:color w:val="auto"/>
                <w:sz w:val="21"/>
                <w:szCs w:val="21"/>
                <w:lang w:val="en-US" w:eastAsia="zh-CN" w:bidi="ar"/>
              </w:rPr>
              <w:t>只</w:t>
            </w:r>
          </w:p>
        </w:tc>
        <w:tc>
          <w:tcPr>
            <w:tcW w:w="735" w:type="dxa"/>
            <w:vAlign w:val="center"/>
          </w:tcPr>
          <w:p>
            <w:pPr>
              <w:pStyle w:val="137"/>
              <w:spacing w:line="440" w:lineRule="exact"/>
              <w:ind w:firstLine="0" w:firstLineChars="0"/>
              <w:jc w:val="center"/>
              <w:rPr>
                <w:rFonts w:hint="default" w:hAnsi="宋体" w:cs="宋体"/>
                <w:bCs/>
                <w:color w:val="auto"/>
                <w:sz w:val="21"/>
                <w:szCs w:val="21"/>
                <w:lang w:val="en-US" w:eastAsia="zh-CN" w:bidi="ar"/>
              </w:rPr>
            </w:pPr>
            <w:r>
              <w:rPr>
                <w:rFonts w:hint="eastAsia" w:hAnsi="宋体" w:cs="宋体"/>
                <w:bCs/>
                <w:color w:val="auto"/>
                <w:sz w:val="21"/>
                <w:szCs w:val="21"/>
                <w:lang w:val="en-US" w:eastAsia="zh-CN" w:bidi="ar"/>
              </w:rPr>
              <w:t>48</w:t>
            </w:r>
          </w:p>
        </w:tc>
        <w:tc>
          <w:tcPr>
            <w:tcW w:w="6540" w:type="dxa"/>
            <w:vAlign w:val="center"/>
          </w:tcPr>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木质音箱，外饰PVC皮。</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采用一只优质4.5吋中低音和一只高音揚声器，二单元二分频。</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具有外型美观，安装方便，可靠性高，传输距离远，保真度高，使用方便等特点。</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安装方式为壁挂式安装，</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可广泛应用于学校，车站，码头，宾馆，机场及体育馆等播音场所。</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输入电压：100V。</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 xml:space="preserve">  额定功率：10W。</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8.</w:t>
            </w:r>
            <w:r>
              <w:rPr>
                <w:rFonts w:hint="eastAsia" w:ascii="宋体" w:hAnsi="宋体" w:eastAsia="宋体" w:cs="宋体"/>
                <w:color w:val="auto"/>
                <w:kern w:val="0"/>
                <w:sz w:val="21"/>
                <w:szCs w:val="21"/>
                <w:highlight w:val="none"/>
                <w:lang w:val="en-US" w:eastAsia="zh-CN" w:bidi="ar"/>
              </w:rPr>
              <w:t>频率范围：130Hz-17KHz ±10%。</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9.</w:t>
            </w:r>
            <w:r>
              <w:rPr>
                <w:rFonts w:hint="eastAsia" w:ascii="宋体" w:hAnsi="宋体" w:eastAsia="宋体" w:cs="宋体"/>
                <w:color w:val="auto"/>
                <w:kern w:val="0"/>
                <w:sz w:val="21"/>
                <w:szCs w:val="21"/>
                <w:highlight w:val="none"/>
                <w:lang w:val="en-US" w:eastAsia="zh-CN" w:bidi="ar"/>
              </w:rPr>
              <w:t>灵敏度：88dB ±3dB。</w:t>
            </w:r>
          </w:p>
        </w:tc>
        <w:tc>
          <w:tcPr>
            <w:tcW w:w="756" w:type="dxa"/>
            <w:vAlign w:val="center"/>
          </w:tcPr>
          <w:p>
            <w:pPr>
              <w:widowControl/>
              <w:spacing w:line="440" w:lineRule="exact"/>
              <w:jc w:val="center"/>
              <w:textAlignment w:val="center"/>
              <w:rPr>
                <w:rFonts w:hint="eastAsia" w:ascii="宋体" w:hAnsi="宋体" w:cs="宋体"/>
                <w:color w:val="auto"/>
                <w:szCs w:val="21"/>
              </w:rPr>
            </w:pPr>
            <w:r>
              <w:rPr>
                <w:rFonts w:hint="eastAsia" w:ascii="宋体" w:hAnsi="宋体" w:cs="宋体"/>
                <w:color w:val="auto"/>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17" w:type="dxa"/>
            <w:gridSpan w:val="6"/>
            <w:vAlign w:val="center"/>
          </w:tcPr>
          <w:p>
            <w:pPr>
              <w:widowControl/>
              <w:spacing w:line="440" w:lineRule="exact"/>
              <w:jc w:val="left"/>
              <w:textAlignment w:val="center"/>
              <w:rPr>
                <w:rFonts w:hint="eastAsia" w:ascii="宋体" w:hAnsi="宋体" w:cs="宋体"/>
                <w:color w:val="auto"/>
                <w:szCs w:val="21"/>
              </w:rPr>
            </w:pPr>
            <w:r>
              <w:rPr>
                <w:rFonts w:hint="eastAsia" w:ascii="宋体" w:hAnsi="宋体" w:cs="宋体"/>
                <w:b/>
                <w:bCs/>
                <w:color w:val="auto"/>
                <w:szCs w:val="21"/>
                <w:lang w:eastAsia="zh-CN"/>
              </w:rPr>
              <w:t>（</w:t>
            </w:r>
            <w:r>
              <w:rPr>
                <w:rFonts w:hint="eastAsia" w:ascii="宋体" w:hAnsi="宋体" w:cs="宋体"/>
                <w:b/>
                <w:bCs/>
                <w:color w:val="auto"/>
                <w:szCs w:val="21"/>
                <w:lang w:val="en-US" w:eastAsia="zh-CN"/>
              </w:rPr>
              <w:t>4</w:t>
            </w:r>
            <w:r>
              <w:rPr>
                <w:rFonts w:hint="eastAsia" w:ascii="宋体" w:hAnsi="宋体" w:cs="宋体"/>
                <w:b/>
                <w:bCs/>
                <w:color w:val="auto"/>
                <w:szCs w:val="21"/>
                <w:lang w:eastAsia="zh-CN"/>
              </w:rPr>
              <w:t>）</w:t>
            </w:r>
            <w:r>
              <w:rPr>
                <w:rFonts w:hint="eastAsia" w:ascii="宋体" w:hAnsi="宋体" w:cs="宋体"/>
                <w:b/>
                <w:bCs/>
                <w:color w:val="auto"/>
                <w:szCs w:val="21"/>
              </w:rPr>
              <w:t>会议扩声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15</w:t>
            </w:r>
          </w:p>
        </w:tc>
        <w:tc>
          <w:tcPr>
            <w:tcW w:w="797"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会议音箱</w:t>
            </w:r>
          </w:p>
        </w:tc>
        <w:tc>
          <w:tcPr>
            <w:tcW w:w="448" w:type="dxa"/>
            <w:vAlign w:val="center"/>
          </w:tcPr>
          <w:p>
            <w:pPr>
              <w:pStyle w:val="137"/>
              <w:spacing w:line="440" w:lineRule="exact"/>
              <w:ind w:firstLine="0" w:firstLineChars="0"/>
              <w:jc w:val="center"/>
              <w:rPr>
                <w:rFonts w:hint="default" w:hAnsi="宋体" w:cs="宋体"/>
                <w:bCs/>
                <w:color w:val="auto"/>
                <w:sz w:val="21"/>
                <w:szCs w:val="21"/>
                <w:lang w:val="en-US" w:eastAsia="zh-CN" w:bidi="ar"/>
              </w:rPr>
            </w:pPr>
            <w:r>
              <w:rPr>
                <w:rFonts w:hint="eastAsia" w:hAnsi="宋体" w:cs="宋体"/>
                <w:bCs/>
                <w:color w:val="auto"/>
                <w:sz w:val="21"/>
                <w:szCs w:val="21"/>
                <w:lang w:val="en-US" w:eastAsia="zh-CN" w:bidi="ar"/>
              </w:rPr>
              <w:t>只</w:t>
            </w:r>
          </w:p>
        </w:tc>
        <w:tc>
          <w:tcPr>
            <w:tcW w:w="735" w:type="dxa"/>
            <w:vAlign w:val="center"/>
          </w:tcPr>
          <w:p>
            <w:pPr>
              <w:pStyle w:val="137"/>
              <w:spacing w:line="440" w:lineRule="exact"/>
              <w:ind w:firstLine="0" w:firstLineChars="0"/>
              <w:jc w:val="center"/>
              <w:rPr>
                <w:rFonts w:hint="default" w:hAnsi="宋体" w:cs="宋体"/>
                <w:bCs/>
                <w:color w:val="auto"/>
                <w:sz w:val="21"/>
                <w:szCs w:val="21"/>
                <w:lang w:val="en-US" w:eastAsia="zh-CN" w:bidi="ar"/>
              </w:rPr>
            </w:pPr>
            <w:r>
              <w:rPr>
                <w:rFonts w:hint="eastAsia" w:hAnsi="宋体" w:cs="宋体"/>
                <w:bCs/>
                <w:color w:val="auto"/>
                <w:sz w:val="21"/>
                <w:szCs w:val="21"/>
                <w:lang w:val="en-US" w:eastAsia="zh-CN" w:bidi="ar"/>
              </w:rPr>
              <w:t>2</w:t>
            </w:r>
          </w:p>
        </w:tc>
        <w:tc>
          <w:tcPr>
            <w:tcW w:w="6540" w:type="dxa"/>
            <w:vAlign w:val="center"/>
          </w:tcPr>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功能特点：</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音箱采用15mm优质中纤板制作，坚实牢靠；</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高音采用过流过压过温保护，使用更加可靠；</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多个M8螺丝吊装孔位，可横竖吊挂，安装灵活，操作方便快捷；</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底部有一个φ36mm标准支撑座。</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技术参数：</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1.额定功率： 250W/1000W (Peak)</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2.额定阻抗： 8Ω</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3.特性灵敏度（±2dB）： 96dB/W/m</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4.输出声压级（±2dB）： 120dB（Continues）126dB（Peak）</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5.额定频率范围： 60~20000Hz</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6.覆盖角度 HxV： 90°×60°</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7.扬声器单元： 10英寸×1;1.35英寸×1</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8.输入接口： 2×Speakon NL4MP</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9.吊挂： 多个M8螺丝吊装孔位</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10.支撑座： φ36mm标准支撑座</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11.箱体材料： 15mm中纤板</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12.音箱尺寸（mm）：HxWxD 523×326×331</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13.系统重量（kg）： 17</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14.标准成品色： 黑色</w:t>
            </w:r>
          </w:p>
        </w:tc>
        <w:tc>
          <w:tcPr>
            <w:tcW w:w="756" w:type="dxa"/>
            <w:vAlign w:val="center"/>
          </w:tcPr>
          <w:p>
            <w:pPr>
              <w:widowControl/>
              <w:spacing w:line="440" w:lineRule="exact"/>
              <w:jc w:val="center"/>
              <w:textAlignment w:val="center"/>
              <w:rPr>
                <w:rFonts w:hint="eastAsia" w:ascii="宋体" w:hAnsi="宋体" w:cs="宋体"/>
                <w:color w:val="auto"/>
                <w:szCs w:val="21"/>
              </w:rPr>
            </w:pPr>
            <w:r>
              <w:rPr>
                <w:rFonts w:hint="eastAsia" w:ascii="宋体" w:hAnsi="宋体" w:cs="宋体"/>
                <w:color w:val="auto"/>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16</w:t>
            </w:r>
          </w:p>
        </w:tc>
        <w:tc>
          <w:tcPr>
            <w:tcW w:w="797"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功放</w:t>
            </w:r>
          </w:p>
        </w:tc>
        <w:tc>
          <w:tcPr>
            <w:tcW w:w="448" w:type="dxa"/>
            <w:vAlign w:val="center"/>
          </w:tcPr>
          <w:p>
            <w:pPr>
              <w:pStyle w:val="137"/>
              <w:spacing w:line="440" w:lineRule="exact"/>
              <w:ind w:firstLine="0" w:firstLineChars="0"/>
              <w:jc w:val="center"/>
              <w:rPr>
                <w:rFonts w:hint="default" w:hAnsi="宋体" w:cs="宋体"/>
                <w:bCs/>
                <w:color w:val="auto"/>
                <w:sz w:val="21"/>
                <w:szCs w:val="21"/>
                <w:lang w:val="en-US" w:eastAsia="zh-CN" w:bidi="ar"/>
              </w:rPr>
            </w:pPr>
            <w:r>
              <w:rPr>
                <w:rFonts w:hint="eastAsia" w:hAnsi="宋体" w:cs="宋体"/>
                <w:bCs/>
                <w:color w:val="auto"/>
                <w:sz w:val="21"/>
                <w:szCs w:val="21"/>
                <w:lang w:val="en-US" w:eastAsia="zh-CN" w:bidi="ar"/>
              </w:rPr>
              <w:t>台</w:t>
            </w:r>
          </w:p>
        </w:tc>
        <w:tc>
          <w:tcPr>
            <w:tcW w:w="735" w:type="dxa"/>
            <w:vAlign w:val="center"/>
          </w:tcPr>
          <w:p>
            <w:pPr>
              <w:pStyle w:val="137"/>
              <w:spacing w:line="440" w:lineRule="exact"/>
              <w:ind w:firstLine="0" w:firstLineChars="0"/>
              <w:jc w:val="center"/>
              <w:rPr>
                <w:rFonts w:hint="default" w:hAnsi="宋体" w:cs="宋体"/>
                <w:bCs/>
                <w:color w:val="auto"/>
                <w:sz w:val="21"/>
                <w:szCs w:val="21"/>
                <w:lang w:val="en-US" w:eastAsia="zh-CN" w:bidi="ar"/>
              </w:rPr>
            </w:pPr>
            <w:r>
              <w:rPr>
                <w:rFonts w:hint="eastAsia" w:hAnsi="宋体" w:cs="宋体"/>
                <w:bCs/>
                <w:color w:val="auto"/>
                <w:sz w:val="21"/>
                <w:szCs w:val="21"/>
                <w:lang w:val="en-US" w:eastAsia="zh-CN" w:bidi="ar"/>
              </w:rPr>
              <w:t>1</w:t>
            </w:r>
          </w:p>
        </w:tc>
        <w:tc>
          <w:tcPr>
            <w:tcW w:w="6540" w:type="dxa"/>
            <w:vAlign w:val="center"/>
          </w:tcPr>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功能特点：</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 xml:space="preserve">19英寸工业造型模具面板和坚固的整体结构，突出专业与耐用；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开机软启动，避免浪涌产生而干扰其它用电设备；</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完善可靠的安全保护措施和工作状态指示，让用户倍感放心；</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标准XLR平衡输入/输出接口，体现简洁与实用并重；</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智能控制强制散热设计，风机噪音小，散热效率高；</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三档输入灵敏度选择，轻松接纳宽范围信号输入；</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高品质变压器和低阻大容量滤波电容，保证大态工作应付自如；</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8.</w:t>
            </w:r>
            <w:r>
              <w:rPr>
                <w:rFonts w:hint="eastAsia" w:ascii="宋体" w:hAnsi="宋体" w:eastAsia="宋体" w:cs="宋体"/>
                <w:color w:val="auto"/>
                <w:kern w:val="0"/>
                <w:sz w:val="21"/>
                <w:szCs w:val="21"/>
                <w:highlight w:val="none"/>
                <w:lang w:val="en-US" w:eastAsia="zh-CN" w:bidi="ar"/>
              </w:rPr>
              <w:t>智能削峰限幅器，控制功率模块及扬声器系统在安全范围内工作；</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9.</w:t>
            </w:r>
            <w:r>
              <w:rPr>
                <w:rFonts w:hint="eastAsia" w:ascii="宋体" w:hAnsi="宋体" w:eastAsia="宋体" w:cs="宋体"/>
                <w:color w:val="auto"/>
                <w:kern w:val="0"/>
                <w:sz w:val="21"/>
                <w:szCs w:val="21"/>
                <w:highlight w:val="none"/>
                <w:lang w:val="en-US" w:eastAsia="zh-CN" w:bidi="ar"/>
              </w:rPr>
              <w:t>适应不同场合所需，可选立体声、桥接和并行三种工作模式。</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技术参数：</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1.额定功率： 2*500W/8Ω；2*750W/4Ω；1500W/8Ω桥接</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2.频率响应： 20Hz-20KHZ±0.5dB</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3.额定输入灵敏度： 0.775v/1.0v/32dB</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4.输入阻抗： 平衡20KΩ，非平衡10KΩ</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5.失真度： ≤0.05%</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6.信噪比（A计权）： ≥96dB</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7.面板高度 ：2U</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8.额定电源电压流： 220V/50Hz</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9.净尺寸（宽×高×深）mm： 483×89×402.5</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10.净重（Kg）： 18.4</w:t>
            </w:r>
          </w:p>
        </w:tc>
        <w:tc>
          <w:tcPr>
            <w:tcW w:w="756" w:type="dxa"/>
            <w:vAlign w:val="center"/>
          </w:tcPr>
          <w:p>
            <w:pPr>
              <w:widowControl/>
              <w:spacing w:line="440" w:lineRule="exact"/>
              <w:jc w:val="center"/>
              <w:textAlignment w:val="center"/>
              <w:rPr>
                <w:rFonts w:hint="eastAsia" w:ascii="宋体" w:hAnsi="宋体" w:cs="宋体"/>
                <w:color w:val="auto"/>
                <w:szCs w:val="21"/>
              </w:rPr>
            </w:pPr>
            <w:r>
              <w:rPr>
                <w:rFonts w:hint="eastAsia" w:ascii="宋体" w:hAnsi="宋体" w:cs="宋体"/>
                <w:color w:val="auto"/>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17</w:t>
            </w:r>
          </w:p>
        </w:tc>
        <w:tc>
          <w:tcPr>
            <w:tcW w:w="797"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数字效果器</w:t>
            </w:r>
          </w:p>
        </w:tc>
        <w:tc>
          <w:tcPr>
            <w:tcW w:w="448" w:type="dxa"/>
            <w:vAlign w:val="center"/>
          </w:tcPr>
          <w:p>
            <w:pPr>
              <w:pStyle w:val="137"/>
              <w:spacing w:line="440" w:lineRule="exact"/>
              <w:ind w:firstLine="0" w:firstLineChars="0"/>
              <w:jc w:val="center"/>
              <w:rPr>
                <w:rFonts w:hint="default" w:hAnsi="宋体" w:cs="宋体"/>
                <w:bCs/>
                <w:color w:val="auto"/>
                <w:sz w:val="21"/>
                <w:szCs w:val="21"/>
                <w:lang w:val="en-US" w:eastAsia="zh-CN" w:bidi="ar"/>
              </w:rPr>
            </w:pPr>
            <w:r>
              <w:rPr>
                <w:rFonts w:hint="eastAsia" w:hAnsi="宋体" w:cs="宋体"/>
                <w:bCs/>
                <w:color w:val="auto"/>
                <w:sz w:val="21"/>
                <w:szCs w:val="21"/>
                <w:lang w:val="en-US" w:eastAsia="zh-CN" w:bidi="ar"/>
              </w:rPr>
              <w:t>台</w:t>
            </w:r>
          </w:p>
        </w:tc>
        <w:tc>
          <w:tcPr>
            <w:tcW w:w="735" w:type="dxa"/>
            <w:vAlign w:val="center"/>
          </w:tcPr>
          <w:p>
            <w:pPr>
              <w:pStyle w:val="137"/>
              <w:spacing w:line="440" w:lineRule="exact"/>
              <w:ind w:firstLine="0" w:firstLineChars="0"/>
              <w:jc w:val="center"/>
              <w:rPr>
                <w:rFonts w:hint="default" w:hAnsi="宋体" w:cs="宋体"/>
                <w:bCs/>
                <w:color w:val="auto"/>
                <w:sz w:val="21"/>
                <w:szCs w:val="21"/>
                <w:lang w:val="en-US" w:eastAsia="zh-CN" w:bidi="ar"/>
              </w:rPr>
            </w:pPr>
            <w:r>
              <w:rPr>
                <w:rFonts w:hint="eastAsia" w:hAnsi="宋体" w:cs="宋体"/>
                <w:bCs/>
                <w:color w:val="auto"/>
                <w:sz w:val="21"/>
                <w:szCs w:val="21"/>
                <w:lang w:val="en-US" w:eastAsia="zh-CN" w:bidi="ar"/>
              </w:rPr>
              <w:t>1</w:t>
            </w:r>
          </w:p>
        </w:tc>
        <w:tc>
          <w:tcPr>
            <w:tcW w:w="6540" w:type="dxa"/>
            <w:vAlign w:val="center"/>
          </w:tcPr>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2寸LCD彩色液晶屏，全中文显示；</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2组立体声输入，支持模拟或者光纤同轴/蓝牙数字输入；</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2路麦克风输入，带独立增益调节；</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音乐15段PEQ，麦克风双路独立15段PEQ，外加高低通调节;</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效果回声、混响独立设有高、低通/5段PEQ,混响3种模式可选择；</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所有输出通道分别设12段参量均衡(PEQ),高低通，输入选择及混合比例极性、增益、压限、延时、静音功能；</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采用专业级第四代SHARC高速450 MHZ DSP处理器，32bit/768kHz D/A转换器及24位线性PCM/216kHz采样率的A/D转换器；</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8.</w:t>
            </w:r>
            <w:r>
              <w:rPr>
                <w:rFonts w:hint="eastAsia" w:ascii="宋体" w:hAnsi="宋体" w:eastAsia="宋体" w:cs="宋体"/>
                <w:color w:val="auto"/>
                <w:kern w:val="0"/>
                <w:sz w:val="21"/>
                <w:szCs w:val="21"/>
                <w:highlight w:val="none"/>
                <w:lang w:val="en-US" w:eastAsia="zh-CN" w:bidi="ar"/>
              </w:rPr>
              <w:t>配有专业PC设备管理控制软件来操作，提供USB免驱接口可连接电脑:支持RS485中控端口；</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9.</w:t>
            </w:r>
            <w:r>
              <w:rPr>
                <w:rFonts w:hint="eastAsia" w:ascii="宋体" w:hAnsi="宋体" w:eastAsia="宋体" w:cs="宋体"/>
                <w:color w:val="auto"/>
                <w:kern w:val="0"/>
                <w:sz w:val="21"/>
                <w:szCs w:val="21"/>
                <w:highlight w:val="none"/>
                <w:lang w:val="en-US" w:eastAsia="zh-CN" w:bidi="ar"/>
              </w:rPr>
              <w:t>可保存21组场景，支持数据导入导出功能；</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技术指标：</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频率响应：20Hz-20kHz；</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总谐波失真：≤0.01%；</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信噪比（A计权）：≥90dB；</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最大输入电平：18dBu；</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最大输出电平：17dBu；</w:t>
            </w:r>
          </w:p>
        </w:tc>
        <w:tc>
          <w:tcPr>
            <w:tcW w:w="756" w:type="dxa"/>
            <w:vAlign w:val="center"/>
          </w:tcPr>
          <w:p>
            <w:pPr>
              <w:widowControl/>
              <w:spacing w:line="440" w:lineRule="exact"/>
              <w:jc w:val="center"/>
              <w:textAlignment w:val="center"/>
              <w:rPr>
                <w:rFonts w:hint="eastAsia" w:ascii="宋体" w:hAnsi="宋体" w:cs="宋体"/>
                <w:color w:val="auto"/>
                <w:szCs w:val="21"/>
              </w:rPr>
            </w:pPr>
            <w:r>
              <w:rPr>
                <w:rFonts w:hint="eastAsia" w:ascii="宋体" w:hAnsi="宋体" w:cs="宋体"/>
                <w:color w:val="auto"/>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18</w:t>
            </w:r>
          </w:p>
        </w:tc>
        <w:tc>
          <w:tcPr>
            <w:tcW w:w="797"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电源时序器</w:t>
            </w:r>
          </w:p>
        </w:tc>
        <w:tc>
          <w:tcPr>
            <w:tcW w:w="448" w:type="dxa"/>
            <w:vAlign w:val="center"/>
          </w:tcPr>
          <w:p>
            <w:pPr>
              <w:pStyle w:val="137"/>
              <w:spacing w:line="440" w:lineRule="exact"/>
              <w:ind w:firstLine="0" w:firstLineChars="0"/>
              <w:jc w:val="center"/>
              <w:rPr>
                <w:rFonts w:hint="default" w:hAnsi="宋体" w:cs="宋体"/>
                <w:bCs/>
                <w:color w:val="auto"/>
                <w:sz w:val="21"/>
                <w:szCs w:val="21"/>
                <w:lang w:val="en-US" w:eastAsia="zh-CN" w:bidi="ar"/>
              </w:rPr>
            </w:pPr>
            <w:r>
              <w:rPr>
                <w:rFonts w:hint="eastAsia" w:hAnsi="宋体" w:cs="宋体"/>
                <w:bCs/>
                <w:color w:val="auto"/>
                <w:sz w:val="21"/>
                <w:szCs w:val="21"/>
                <w:lang w:val="en-US" w:eastAsia="zh-CN" w:bidi="ar"/>
              </w:rPr>
              <w:t>台</w:t>
            </w:r>
          </w:p>
        </w:tc>
        <w:tc>
          <w:tcPr>
            <w:tcW w:w="735" w:type="dxa"/>
            <w:vAlign w:val="center"/>
          </w:tcPr>
          <w:p>
            <w:pPr>
              <w:pStyle w:val="137"/>
              <w:spacing w:line="440" w:lineRule="exact"/>
              <w:ind w:firstLine="0" w:firstLineChars="0"/>
              <w:jc w:val="center"/>
              <w:rPr>
                <w:rFonts w:hint="default" w:hAnsi="宋体" w:cs="宋体"/>
                <w:bCs/>
                <w:color w:val="auto"/>
                <w:sz w:val="21"/>
                <w:szCs w:val="21"/>
                <w:lang w:val="en-US" w:eastAsia="zh-CN" w:bidi="ar"/>
              </w:rPr>
            </w:pPr>
            <w:r>
              <w:rPr>
                <w:rFonts w:hint="eastAsia" w:hAnsi="宋体" w:cs="宋体"/>
                <w:bCs/>
                <w:color w:val="auto"/>
                <w:sz w:val="21"/>
                <w:szCs w:val="21"/>
                <w:lang w:val="en-US" w:eastAsia="zh-CN" w:bidi="ar"/>
              </w:rPr>
              <w:t>1</w:t>
            </w:r>
          </w:p>
        </w:tc>
        <w:tc>
          <w:tcPr>
            <w:tcW w:w="6540" w:type="dxa"/>
            <w:vAlign w:val="center"/>
          </w:tcPr>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2寸彩色液晶屏，显示当前电压、时间、通道状态；</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定时开关机功能，内置时钟芯片，可设定日期、时间，无需人工操作；</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8组设备开关场景数据保存/调用，场景管理应用简单便捷；</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支持多台设备级联控制，级联状态可自动检测及设置；</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配置RS232接口，支持外部中控设备控制；</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可实现远程集中控制，每台设备自带设备编码ID检测和设置；</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支持面板Lock锁定功能，防止误操作</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8.</w:t>
            </w:r>
            <w:r>
              <w:rPr>
                <w:rFonts w:hint="eastAsia" w:ascii="宋体" w:hAnsi="宋体" w:eastAsia="宋体" w:cs="宋体"/>
                <w:color w:val="auto"/>
                <w:kern w:val="0"/>
                <w:sz w:val="21"/>
                <w:szCs w:val="21"/>
                <w:highlight w:val="none"/>
                <w:lang w:val="en-US" w:eastAsia="zh-CN" w:bidi="ar"/>
              </w:rPr>
              <w:t>内置高性能滤波器，有效防止市电对设备干扰</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9.</w:t>
            </w:r>
            <w:r>
              <w:rPr>
                <w:rFonts w:hint="eastAsia" w:ascii="宋体" w:hAnsi="宋体" w:eastAsia="宋体" w:cs="宋体"/>
                <w:color w:val="auto"/>
                <w:kern w:val="0"/>
                <w:sz w:val="21"/>
                <w:szCs w:val="21"/>
                <w:highlight w:val="none"/>
                <w:lang w:val="en-US" w:eastAsia="zh-CN" w:bidi="ar"/>
              </w:rPr>
              <w:t>采用新国标电源插座，安全有保障</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技术指标：</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可控电源路数: 8路（另有2路辅助通道）；</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每路可控时间: 0～999秒；</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通道额定输出电流：1-4路10A，5-8路16A</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辅助通道输出电流：10A(不受时序控制）；</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整机额定总输出电流: 30A；</w:t>
            </w:r>
          </w:p>
        </w:tc>
        <w:tc>
          <w:tcPr>
            <w:tcW w:w="756" w:type="dxa"/>
            <w:vAlign w:val="center"/>
          </w:tcPr>
          <w:p>
            <w:pPr>
              <w:widowControl/>
              <w:spacing w:line="440" w:lineRule="exact"/>
              <w:jc w:val="center"/>
              <w:textAlignment w:val="center"/>
              <w:rPr>
                <w:rFonts w:hint="eastAsia" w:ascii="宋体" w:hAnsi="宋体" w:cs="宋体"/>
                <w:color w:val="auto"/>
                <w:szCs w:val="21"/>
              </w:rPr>
            </w:pPr>
            <w:r>
              <w:rPr>
                <w:rFonts w:hint="eastAsia" w:ascii="宋体" w:hAnsi="宋体" w:cs="宋体"/>
                <w:color w:val="auto"/>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19</w:t>
            </w:r>
          </w:p>
        </w:tc>
        <w:tc>
          <w:tcPr>
            <w:tcW w:w="797"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一拖二无线麦克风</w:t>
            </w:r>
          </w:p>
        </w:tc>
        <w:tc>
          <w:tcPr>
            <w:tcW w:w="448" w:type="dxa"/>
            <w:vAlign w:val="center"/>
          </w:tcPr>
          <w:p>
            <w:pPr>
              <w:pStyle w:val="137"/>
              <w:spacing w:line="440" w:lineRule="exact"/>
              <w:ind w:firstLine="0" w:firstLineChars="0"/>
              <w:jc w:val="center"/>
              <w:rPr>
                <w:rFonts w:hint="default" w:hAnsi="宋体" w:cs="宋体"/>
                <w:bCs/>
                <w:color w:val="auto"/>
                <w:sz w:val="21"/>
                <w:szCs w:val="21"/>
                <w:lang w:val="en-US" w:eastAsia="zh-CN" w:bidi="ar"/>
              </w:rPr>
            </w:pPr>
            <w:r>
              <w:rPr>
                <w:rFonts w:hint="eastAsia" w:hAnsi="宋体" w:cs="宋体"/>
                <w:bCs/>
                <w:color w:val="auto"/>
                <w:sz w:val="21"/>
                <w:szCs w:val="21"/>
                <w:lang w:val="en-US" w:eastAsia="zh-CN" w:bidi="ar"/>
              </w:rPr>
              <w:t>台</w:t>
            </w:r>
          </w:p>
        </w:tc>
        <w:tc>
          <w:tcPr>
            <w:tcW w:w="735" w:type="dxa"/>
            <w:vAlign w:val="center"/>
          </w:tcPr>
          <w:p>
            <w:pPr>
              <w:pStyle w:val="137"/>
              <w:spacing w:line="440" w:lineRule="exact"/>
              <w:ind w:firstLine="0" w:firstLineChars="0"/>
              <w:jc w:val="center"/>
              <w:rPr>
                <w:rFonts w:hint="default" w:hAnsi="宋体" w:cs="宋体"/>
                <w:bCs/>
                <w:color w:val="auto"/>
                <w:sz w:val="21"/>
                <w:szCs w:val="21"/>
                <w:lang w:val="en-US" w:eastAsia="zh-CN" w:bidi="ar"/>
              </w:rPr>
            </w:pPr>
            <w:r>
              <w:rPr>
                <w:rFonts w:hint="eastAsia" w:hAnsi="宋体" w:cs="宋体"/>
                <w:bCs/>
                <w:color w:val="auto"/>
                <w:sz w:val="21"/>
                <w:szCs w:val="21"/>
                <w:lang w:val="en-US" w:eastAsia="zh-CN" w:bidi="ar"/>
              </w:rPr>
              <w:t>1</w:t>
            </w:r>
          </w:p>
        </w:tc>
        <w:tc>
          <w:tcPr>
            <w:tcW w:w="6540" w:type="dxa"/>
            <w:vAlign w:val="center"/>
          </w:tcPr>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 xml:space="preserve">采用金属机箱，具有坚固的结构、散热及隔离谐波干扰极佳的专业质量。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 xml:space="preserve">RF高动态范围及第三代中频电路，大幅提升互不干扰的频道数及抗干扰特性。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预设群组，第1-4组预设16个互不干扰频率，第5－8预设24个互不干扰频率，第U组为用户自定义组，最多可提供2000频率供客户自定义选择使用。</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 xml:space="preserve">采用天线分集式接收及数字导音，杂音锁定双重静音控制，接收距离远，消除接收断音及不稳的缺失。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黑色金属面板，LED段码显示器，可同时显示群组、频率、电池电量、静音位准、电子音量等相关信息；LED灯柱显示RF/AF强度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采用飞梭旋钮取代传统复杂的按键，操作快速方便。</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天线接口采用50Ω/TNC，保持天线可靠连接的同时。并支持天线环路输出，支持8套同型产品射频级联。</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8.</w:t>
            </w:r>
            <w:r>
              <w:rPr>
                <w:rFonts w:hint="eastAsia" w:ascii="宋体" w:hAnsi="宋体" w:eastAsia="宋体" w:cs="宋体"/>
                <w:color w:val="auto"/>
                <w:kern w:val="0"/>
                <w:sz w:val="21"/>
                <w:szCs w:val="21"/>
                <w:highlight w:val="none"/>
                <w:lang w:val="en-US" w:eastAsia="zh-CN" w:bidi="ar"/>
              </w:rPr>
              <w:t>各频道可单独或混合输出，可切换两段输出的音量，具有MIC/LINE输出开关：LINE比MIC输出约大10dBu。</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9.</w:t>
            </w:r>
            <w:r>
              <w:rPr>
                <w:rFonts w:hint="eastAsia" w:ascii="宋体" w:hAnsi="宋体" w:eastAsia="宋体" w:cs="宋体"/>
                <w:color w:val="auto"/>
                <w:kern w:val="0"/>
                <w:sz w:val="21"/>
                <w:szCs w:val="21"/>
                <w:highlight w:val="none"/>
                <w:lang w:val="en-US" w:eastAsia="zh-CN" w:bidi="ar"/>
              </w:rPr>
              <w:t xml:space="preserve">天线座提供强波器偏压，可以连接天线系统，增加接收距离及稳定的接收效果。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0.</w:t>
            </w:r>
            <w:r>
              <w:rPr>
                <w:rFonts w:hint="eastAsia" w:ascii="宋体" w:hAnsi="宋体" w:eastAsia="宋体" w:cs="宋体"/>
                <w:color w:val="auto"/>
                <w:kern w:val="0"/>
                <w:sz w:val="21"/>
                <w:szCs w:val="21"/>
                <w:highlight w:val="none"/>
                <w:lang w:val="en-US" w:eastAsia="zh-CN" w:bidi="ar"/>
              </w:rPr>
              <w:t>100-240V,内置AC电源板。保持系统稳定，且支持AC电源环路输出。</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技术参数：</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载波频段: UHF530-690.000MHZ（常规：640.000MHZ-690.000MHZ）</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 xml:space="preserve">单机频带宽度 :50 MHz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单机频道数量：2000个</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频率间隔：25KHz</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音频灵敏度: -48±3dB</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综合S/N比 : &gt;100dB(A)</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 xml:space="preserve">指向性频响曲线：300-2000Hz≤-8dB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8.</w:t>
            </w:r>
            <w:r>
              <w:rPr>
                <w:rFonts w:hint="eastAsia" w:ascii="宋体" w:hAnsi="宋体" w:eastAsia="宋体" w:cs="宋体"/>
                <w:color w:val="auto"/>
                <w:kern w:val="0"/>
                <w:sz w:val="21"/>
                <w:szCs w:val="21"/>
                <w:highlight w:val="none"/>
                <w:lang w:val="en-US" w:eastAsia="zh-CN" w:bidi="ar"/>
              </w:rPr>
              <w:t xml:space="preserve">综合T.H.D. :&lt;0.5%@1kHz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9.</w:t>
            </w:r>
            <w:r>
              <w:rPr>
                <w:rFonts w:hint="eastAsia" w:ascii="宋体" w:hAnsi="宋体" w:eastAsia="宋体" w:cs="宋体"/>
                <w:color w:val="auto"/>
                <w:kern w:val="0"/>
                <w:sz w:val="21"/>
                <w:szCs w:val="21"/>
                <w:highlight w:val="none"/>
                <w:lang w:val="en-US" w:eastAsia="zh-CN" w:bidi="ar"/>
              </w:rPr>
              <w:t xml:space="preserve">频率响应 : 65Hz-15kHz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0.</w:t>
            </w:r>
            <w:r>
              <w:rPr>
                <w:rFonts w:hint="eastAsia" w:ascii="宋体" w:hAnsi="宋体" w:eastAsia="宋体" w:cs="宋体"/>
                <w:color w:val="auto"/>
                <w:kern w:val="0"/>
                <w:sz w:val="21"/>
                <w:szCs w:val="21"/>
                <w:highlight w:val="none"/>
                <w:lang w:val="en-US" w:eastAsia="zh-CN" w:bidi="ar"/>
              </w:rPr>
              <w:t>天线：50Ω/TNC，支持天线环路输出</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发射器拾音头：动圈式</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发射器供电方式：两节AA电池</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电池寿命：约8小时（发射器功率为高功率）</w:t>
            </w:r>
          </w:p>
        </w:tc>
        <w:tc>
          <w:tcPr>
            <w:tcW w:w="756" w:type="dxa"/>
            <w:vAlign w:val="center"/>
          </w:tcPr>
          <w:p>
            <w:pPr>
              <w:widowControl/>
              <w:spacing w:line="440" w:lineRule="exact"/>
              <w:jc w:val="center"/>
              <w:textAlignment w:val="center"/>
              <w:rPr>
                <w:rFonts w:hint="eastAsia" w:ascii="宋体" w:hAnsi="宋体" w:cs="宋体"/>
                <w:color w:val="auto"/>
                <w:szCs w:val="21"/>
              </w:rPr>
            </w:pPr>
            <w:r>
              <w:rPr>
                <w:rFonts w:hint="eastAsia" w:ascii="宋体" w:hAnsi="宋体" w:cs="宋体"/>
                <w:color w:val="auto"/>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17" w:type="dxa"/>
            <w:gridSpan w:val="6"/>
            <w:vAlign w:val="center"/>
          </w:tcPr>
          <w:p>
            <w:pPr>
              <w:widowControl/>
              <w:spacing w:line="440" w:lineRule="exact"/>
              <w:jc w:val="left"/>
              <w:textAlignment w:val="center"/>
              <w:rPr>
                <w:rFonts w:hint="eastAsia" w:ascii="宋体" w:hAnsi="宋体" w:cs="宋体"/>
                <w:color w:val="auto"/>
                <w:szCs w:val="21"/>
              </w:rPr>
            </w:pPr>
            <w:r>
              <w:rPr>
                <w:rFonts w:hint="eastAsia" w:ascii="宋体" w:hAnsi="宋体" w:cs="宋体"/>
                <w:b/>
                <w:bCs/>
                <w:color w:val="auto"/>
                <w:szCs w:val="21"/>
                <w:lang w:eastAsia="zh-CN"/>
              </w:rPr>
              <w:t>（</w:t>
            </w:r>
            <w:r>
              <w:rPr>
                <w:rFonts w:hint="eastAsia" w:ascii="宋体" w:hAnsi="宋体" w:cs="宋体"/>
                <w:b/>
                <w:bCs/>
                <w:color w:val="auto"/>
                <w:szCs w:val="21"/>
                <w:lang w:val="en-US" w:eastAsia="zh-CN"/>
              </w:rPr>
              <w:t>5</w:t>
            </w:r>
            <w:r>
              <w:rPr>
                <w:rFonts w:hint="eastAsia" w:ascii="宋体" w:hAnsi="宋体" w:cs="宋体"/>
                <w:b/>
                <w:bCs/>
                <w:color w:val="auto"/>
                <w:szCs w:val="21"/>
                <w:lang w:eastAsia="zh-CN"/>
              </w:rPr>
              <w:t>）</w:t>
            </w:r>
            <w:r>
              <w:rPr>
                <w:rFonts w:hint="eastAsia" w:ascii="宋体" w:hAnsi="宋体" w:cs="宋体"/>
                <w:b/>
                <w:bCs/>
                <w:color w:val="auto"/>
                <w:szCs w:val="21"/>
              </w:rPr>
              <w:t>安装及辅材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20</w:t>
            </w:r>
          </w:p>
        </w:tc>
        <w:tc>
          <w:tcPr>
            <w:tcW w:w="797"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播音电脑</w:t>
            </w:r>
          </w:p>
        </w:tc>
        <w:tc>
          <w:tcPr>
            <w:tcW w:w="448" w:type="dxa"/>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套</w:t>
            </w:r>
          </w:p>
        </w:tc>
        <w:tc>
          <w:tcPr>
            <w:tcW w:w="735" w:type="dxa"/>
            <w:vAlign w:val="center"/>
          </w:tcPr>
          <w:p>
            <w:pPr>
              <w:keepNext w:val="0"/>
              <w:keepLines w:val="0"/>
              <w:widowControl/>
              <w:suppressLineNumbers w:val="0"/>
              <w:jc w:val="center"/>
              <w:textAlignment w:val="center"/>
              <w:rPr>
                <w:rFonts w:hint="default" w:ascii="宋体" w:hAnsi="宋体" w:eastAsia="宋体" w:cs="宋体"/>
                <w:bCs/>
                <w:color w:val="auto"/>
                <w:kern w:val="0"/>
                <w:sz w:val="21"/>
                <w:szCs w:val="21"/>
                <w:lang w:val="en-US" w:eastAsia="zh-CN" w:bidi="ar"/>
              </w:rPr>
            </w:pPr>
            <w:r>
              <w:rPr>
                <w:rFonts w:hint="eastAsia" w:ascii="宋体" w:hAnsi="宋体" w:cs="宋体"/>
                <w:bCs/>
                <w:color w:val="auto"/>
                <w:kern w:val="0"/>
                <w:sz w:val="21"/>
                <w:szCs w:val="21"/>
                <w:lang w:val="en-US" w:eastAsia="zh-CN" w:bidi="ar"/>
              </w:rPr>
              <w:t>1</w:t>
            </w:r>
          </w:p>
        </w:tc>
        <w:tc>
          <w:tcPr>
            <w:tcW w:w="6540" w:type="dxa"/>
            <w:vAlign w:val="center"/>
          </w:tcPr>
          <w:p>
            <w:pPr>
              <w:widowControl/>
              <w:spacing w:line="440" w:lineRule="exact"/>
              <w:ind w:firstLine="420" w:firstLineChars="200"/>
              <w:jc w:val="left"/>
              <w:textAlignment w:val="center"/>
              <w:rPr>
                <w:rFonts w:hint="eastAsia"/>
                <w:color w:val="auto"/>
                <w:lang w:val="en-US" w:eastAsia="zh-CN"/>
              </w:rPr>
            </w:pPr>
            <w:r>
              <w:rPr>
                <w:rFonts w:hint="eastAsia"/>
                <w:color w:val="auto"/>
                <w:lang w:val="en-US" w:eastAsia="zh-CN"/>
              </w:rPr>
              <w:t>根据深化安全可靠应用政府采购相关政策要求，本项产品的CPU、操作系统必须符合安全可靠测评要求，否则响应无效。</w:t>
            </w:r>
          </w:p>
          <w:p>
            <w:pPr>
              <w:widowControl/>
              <w:spacing w:line="440" w:lineRule="exact"/>
              <w:jc w:val="left"/>
              <w:textAlignment w:val="center"/>
              <w:rPr>
                <w:rFonts w:hint="eastAsia"/>
                <w:color w:val="auto"/>
                <w:lang w:val="en-US" w:eastAsia="zh-CN"/>
              </w:rPr>
            </w:pPr>
            <w:r>
              <w:rPr>
                <w:rFonts w:hint="eastAsia"/>
                <w:color w:val="auto"/>
                <w:lang w:val="en-US" w:eastAsia="zh-CN"/>
              </w:rPr>
              <w:t>一、参数要求：</w:t>
            </w:r>
          </w:p>
          <w:p>
            <w:pPr>
              <w:widowControl/>
              <w:spacing w:line="440" w:lineRule="exact"/>
              <w:jc w:val="left"/>
              <w:textAlignment w:val="center"/>
              <w:rPr>
                <w:rFonts w:hint="eastAsia"/>
                <w:color w:val="auto"/>
                <w:lang w:val="en-US" w:eastAsia="zh-CN"/>
              </w:rPr>
            </w:pPr>
            <w:r>
              <w:rPr>
                <w:rFonts w:hint="eastAsia"/>
                <w:color w:val="auto"/>
                <w:lang w:val="en-US" w:eastAsia="zh-CN"/>
              </w:rPr>
              <w:t>★1.</w:t>
            </w:r>
            <w:r>
              <w:rPr>
                <w:rFonts w:hint="eastAsia"/>
                <w:color w:val="auto"/>
              </w:rPr>
              <w:t>配置海光C86-3G高性能8核心（X86架构，处理器主频≥3.0GHz）或</w:t>
            </w:r>
            <w:r>
              <w:rPr>
                <w:rFonts w:hint="eastAsia"/>
                <w:color w:val="auto"/>
                <w:lang w:val="en-US" w:eastAsia="zh-CN"/>
              </w:rPr>
              <w:t>同等档次性能以上</w:t>
            </w:r>
            <w:r>
              <w:rPr>
                <w:rFonts w:hint="eastAsia"/>
                <w:color w:val="auto"/>
              </w:rPr>
              <w:t>处理器</w:t>
            </w:r>
            <w:r>
              <w:rPr>
                <w:rFonts w:hint="eastAsia"/>
                <w:color w:val="auto"/>
                <w:lang w:val="en-US" w:eastAsia="zh-CN"/>
              </w:rPr>
              <w:t>；</w:t>
            </w:r>
          </w:p>
          <w:p>
            <w:pPr>
              <w:widowControl/>
              <w:spacing w:line="440" w:lineRule="exact"/>
              <w:jc w:val="left"/>
              <w:textAlignment w:val="center"/>
              <w:rPr>
                <w:rFonts w:hint="eastAsia"/>
                <w:color w:val="auto"/>
                <w:lang w:val="en-US" w:eastAsia="zh-CN"/>
              </w:rPr>
            </w:pPr>
            <w:r>
              <w:rPr>
                <w:rFonts w:hint="eastAsia"/>
                <w:color w:val="auto"/>
                <w:lang w:val="en-US" w:eastAsia="zh-CN"/>
              </w:rPr>
              <w:t>2.内存：配置≥8GB DDR4内存，内存读写速率≥3200MT/s，不少于4根内存插槽，内存插槽满配时提供的最高内存容量≥128GB；</w:t>
            </w:r>
          </w:p>
          <w:p>
            <w:pPr>
              <w:widowControl/>
              <w:spacing w:line="440" w:lineRule="exact"/>
              <w:jc w:val="left"/>
              <w:textAlignment w:val="center"/>
              <w:rPr>
                <w:rFonts w:hint="eastAsia"/>
                <w:color w:val="auto"/>
                <w:lang w:val="en-US" w:eastAsia="zh-CN"/>
              </w:rPr>
            </w:pPr>
            <w:r>
              <w:rPr>
                <w:rFonts w:hint="eastAsia"/>
                <w:color w:val="auto"/>
                <w:lang w:val="en-US" w:eastAsia="zh-CN"/>
              </w:rPr>
              <w:t>3.硬盘：≥512GB  SSD固态硬盘，支持混合硬盘，最大可扩展至1T SSD+2T机械硬盘，支持硬盘减震功能；</w:t>
            </w:r>
          </w:p>
          <w:p>
            <w:pPr>
              <w:widowControl/>
              <w:spacing w:line="440" w:lineRule="exact"/>
              <w:jc w:val="left"/>
              <w:textAlignment w:val="center"/>
              <w:rPr>
                <w:rFonts w:hint="eastAsia"/>
                <w:color w:val="auto"/>
                <w:lang w:val="en-US" w:eastAsia="zh-CN"/>
              </w:rPr>
            </w:pPr>
            <w:r>
              <w:rPr>
                <w:rFonts w:hint="eastAsia"/>
                <w:color w:val="auto"/>
                <w:lang w:val="en-US" w:eastAsia="zh-CN"/>
              </w:rPr>
              <w:t>4.显卡：配置独立显卡，显存容量≥2GB，至少支持 VGA、HDMI、DVI、DP、 Type-C 中 2种显示接口，并与显示器接口相匹配；</w:t>
            </w:r>
          </w:p>
          <w:p>
            <w:pPr>
              <w:widowControl/>
              <w:spacing w:line="440" w:lineRule="exact"/>
              <w:jc w:val="left"/>
              <w:textAlignment w:val="center"/>
              <w:rPr>
                <w:rFonts w:hint="eastAsia"/>
                <w:color w:val="auto"/>
                <w:lang w:val="en-US" w:eastAsia="zh-CN"/>
              </w:rPr>
            </w:pPr>
            <w:r>
              <w:rPr>
                <w:rFonts w:hint="eastAsia"/>
                <w:color w:val="auto"/>
                <w:lang w:val="en-US" w:eastAsia="zh-CN"/>
              </w:rPr>
              <w:t>5.主板接口：配置≥2个PCIe x16, ≥1个PCIe x8, ≥1个PCIe x1；配置USB总数≥11个，其中USB3.0接口≥9个，≥1个M.2接口 PCIE4.0协议，≥4个SATA 接口；主板集成10/100M/1000M 自适应以太网卡，原厂可配置同品牌网络防雷器，有网络端口防雷功能；</w:t>
            </w:r>
          </w:p>
          <w:p>
            <w:pPr>
              <w:widowControl/>
              <w:spacing w:line="440" w:lineRule="exact"/>
              <w:jc w:val="left"/>
              <w:textAlignment w:val="center"/>
              <w:rPr>
                <w:rFonts w:hint="eastAsia"/>
                <w:color w:val="auto"/>
                <w:lang w:val="en-US" w:eastAsia="zh-CN"/>
              </w:rPr>
            </w:pPr>
            <w:r>
              <w:rPr>
                <w:rFonts w:hint="eastAsia"/>
                <w:color w:val="auto"/>
                <w:lang w:val="en-US" w:eastAsia="zh-CN"/>
              </w:rPr>
              <w:t>6.显示器：显示屏尺寸≥23.8英寸，显示屏屏占比≥85%，显示屏像素密度≥90像素/英寸，显示屏可视角度水平≥178°，显示屏防蓝光支持防蓝光模式，蓝光加权辐射亮度比应≤0.0012W/(·cd·sr)（瓦每坎特拉每球面度），显示屏低频闪显示屏应支持低频闪≤-35dB，显示屏防炫目显示屏镜面反射率≤10%，显示屏刷新率≥75Hz，显示屏位深≥8 位，显示屏色域≥99%  sRGB，显示屏色准△E≤4，显示屏响应时间≤8ms，显示屏亮度≥250 尼特，显示屏亮度一致性≥75%，显示屏对比度≥1000：1；</w:t>
            </w:r>
          </w:p>
          <w:p>
            <w:pPr>
              <w:widowControl/>
              <w:spacing w:line="440" w:lineRule="exact"/>
              <w:jc w:val="left"/>
              <w:textAlignment w:val="center"/>
              <w:rPr>
                <w:rFonts w:hint="eastAsia"/>
                <w:color w:val="auto"/>
                <w:lang w:val="en-US" w:eastAsia="zh-CN"/>
              </w:rPr>
            </w:pPr>
            <w:r>
              <w:rPr>
                <w:rFonts w:hint="eastAsia"/>
                <w:color w:val="auto"/>
                <w:lang w:val="en-US" w:eastAsia="zh-CN"/>
              </w:rPr>
              <w:t>7.键鼠：同品牌USB光电鼠标、键盘，键盘防水且自带导水孔；</w:t>
            </w:r>
          </w:p>
          <w:p>
            <w:pPr>
              <w:widowControl/>
              <w:spacing w:line="440" w:lineRule="exact"/>
              <w:jc w:val="left"/>
              <w:textAlignment w:val="center"/>
              <w:rPr>
                <w:rFonts w:hint="eastAsia"/>
                <w:color w:val="auto"/>
                <w:lang w:val="en-US" w:eastAsia="zh-CN"/>
              </w:rPr>
            </w:pPr>
            <w:r>
              <w:rPr>
                <w:rFonts w:hint="eastAsia"/>
                <w:color w:val="auto"/>
                <w:lang w:val="en-US" w:eastAsia="zh-CN"/>
              </w:rPr>
              <w:t>8.机箱：具备顶置提手，方便搬运；机箱前置至少具备1个网络故障灯，以便于快速诊断网路通畅情况，机型体积不小于15L；整机防尘等级不低于国际标准IP5X级；</w:t>
            </w:r>
          </w:p>
          <w:p>
            <w:pPr>
              <w:widowControl/>
              <w:spacing w:line="440" w:lineRule="exact"/>
              <w:jc w:val="left"/>
              <w:textAlignment w:val="center"/>
              <w:rPr>
                <w:rFonts w:hint="eastAsia"/>
                <w:color w:val="auto"/>
                <w:lang w:val="en-US" w:eastAsia="zh-CN"/>
              </w:rPr>
            </w:pPr>
            <w:r>
              <w:rPr>
                <w:rFonts w:hint="eastAsia"/>
                <w:color w:val="auto"/>
                <w:lang w:val="en-US" w:eastAsia="zh-CN"/>
              </w:rPr>
              <w:t>9.电源：≥200W节能电源；                                                                                                                                                                                                                                                                                                                                                                                                                  10.操作系统：支持统信UOS、麒麟、windows等主流操作系统；</w:t>
            </w:r>
          </w:p>
          <w:p>
            <w:pPr>
              <w:widowControl/>
              <w:spacing w:line="440" w:lineRule="exact"/>
              <w:jc w:val="left"/>
              <w:textAlignment w:val="center"/>
              <w:rPr>
                <w:rFonts w:hint="eastAsia"/>
                <w:color w:val="auto"/>
                <w:lang w:val="en-US" w:eastAsia="zh-CN"/>
              </w:rPr>
            </w:pPr>
            <w:r>
              <w:rPr>
                <w:rFonts w:hint="eastAsia" w:ascii="宋体" w:hAnsi="宋体" w:eastAsia="宋体" w:cs="宋体"/>
                <w:color w:val="auto"/>
                <w:kern w:val="0"/>
                <w:szCs w:val="21"/>
                <w:lang w:val="en-US" w:eastAsia="zh-CN" w:bidi="ar"/>
              </w:rPr>
              <w:t>★</w:t>
            </w:r>
            <w:r>
              <w:rPr>
                <w:rFonts w:hint="eastAsia" w:ascii="宋体" w:hAnsi="宋体" w:cs="宋体"/>
                <w:color w:val="auto"/>
                <w:kern w:val="0"/>
                <w:szCs w:val="21"/>
                <w:lang w:val="en-US" w:eastAsia="zh-CN" w:bidi="ar"/>
              </w:rPr>
              <w:t>11. 投标文件中必须提供该产品由国家确定的认证机构出具的处于有效期之内的节能产品认证、3C认证证书扫描件（加盖供应商公章）</w:t>
            </w:r>
          </w:p>
        </w:tc>
        <w:tc>
          <w:tcPr>
            <w:tcW w:w="756" w:type="dxa"/>
            <w:vAlign w:val="center"/>
          </w:tcPr>
          <w:p>
            <w:pPr>
              <w:widowControl/>
              <w:spacing w:line="440" w:lineRule="exact"/>
              <w:jc w:val="center"/>
              <w:textAlignment w:val="center"/>
              <w:rPr>
                <w:rFonts w:hint="eastAsia" w:ascii="宋体" w:hAnsi="宋体" w:cs="宋体"/>
                <w:color w:val="auto"/>
                <w:szCs w:val="21"/>
              </w:rPr>
            </w:pPr>
            <w:r>
              <w:rPr>
                <w:rFonts w:hint="eastAsia" w:ascii="宋体" w:hAnsi="宋体" w:cs="宋体"/>
                <w:color w:val="auto"/>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2</w:t>
            </w:r>
            <w:r>
              <w:rPr>
                <w:rFonts w:hint="eastAsia" w:ascii="宋体" w:hAnsi="宋体" w:cs="宋体"/>
                <w:i w:val="0"/>
                <w:iCs w:val="0"/>
                <w:color w:val="auto"/>
                <w:kern w:val="0"/>
                <w:sz w:val="24"/>
                <w:szCs w:val="24"/>
                <w:u w:val="none"/>
                <w:lang w:val="en-US" w:eastAsia="zh-CN" w:bidi="ar"/>
              </w:rPr>
              <w:t>1</w:t>
            </w:r>
          </w:p>
        </w:tc>
        <w:tc>
          <w:tcPr>
            <w:tcW w:w="797"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融合桌面云平台管理软件</w:t>
            </w:r>
          </w:p>
        </w:tc>
        <w:tc>
          <w:tcPr>
            <w:tcW w:w="448"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1"/>
                <w:szCs w:val="21"/>
                <w:u w:val="none"/>
                <w:lang w:val="en-US" w:eastAsia="zh-CN" w:bidi="ar"/>
              </w:rPr>
              <w:t>套</w:t>
            </w:r>
          </w:p>
        </w:tc>
        <w:tc>
          <w:tcPr>
            <w:tcW w:w="735"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bCs/>
                <w:color w:val="auto"/>
                <w:kern w:val="0"/>
                <w:sz w:val="21"/>
                <w:szCs w:val="21"/>
                <w:lang w:val="en-US" w:eastAsia="zh-CN" w:bidi="ar"/>
              </w:rPr>
              <w:t>1</w:t>
            </w:r>
          </w:p>
        </w:tc>
        <w:tc>
          <w:tcPr>
            <w:tcW w:w="6540" w:type="dxa"/>
            <w:vAlign w:val="center"/>
          </w:tcPr>
          <w:p>
            <w:pPr>
              <w:widowControl/>
              <w:spacing w:line="440" w:lineRule="exact"/>
              <w:jc w:val="left"/>
              <w:textAlignment w:val="center"/>
              <w:rPr>
                <w:rFonts w:hint="eastAsia" w:ascii="宋体" w:hAnsi="宋体" w:eastAsia="宋体" w:cs="宋体"/>
                <w:color w:val="auto"/>
                <w:kern w:val="0"/>
                <w:szCs w:val="21"/>
                <w:lang w:val="en-US" w:eastAsia="zh-CN" w:bidi="ar"/>
              </w:rPr>
            </w:pPr>
            <w:r>
              <w:rPr>
                <w:rFonts w:hint="eastAsia" w:ascii="宋体" w:hAnsi="宋体" w:cs="宋体"/>
                <w:color w:val="auto"/>
                <w:kern w:val="0"/>
                <w:szCs w:val="21"/>
                <w:lang w:val="en-US" w:eastAsia="zh-CN" w:bidi="ar"/>
              </w:rPr>
              <w:t>1.</w:t>
            </w:r>
            <w:r>
              <w:rPr>
                <w:rFonts w:hint="eastAsia" w:ascii="宋体" w:hAnsi="宋体" w:eastAsia="宋体" w:cs="宋体"/>
                <w:color w:val="auto"/>
                <w:kern w:val="0"/>
                <w:szCs w:val="21"/>
                <w:lang w:val="en-US" w:eastAsia="zh-CN" w:bidi="ar"/>
              </w:rPr>
              <w:t>支持系统环境的批量部署，可根据不同专业的教学、考试要求，快速创建多套教学环境，使用时开放，不使用时随时回收。</w:t>
            </w:r>
          </w:p>
          <w:p>
            <w:pPr>
              <w:widowControl/>
              <w:spacing w:line="440" w:lineRule="exact"/>
              <w:jc w:val="left"/>
              <w:textAlignment w:val="center"/>
              <w:rPr>
                <w:rFonts w:hint="eastAsia" w:ascii="宋体" w:hAnsi="宋体" w:eastAsia="宋体" w:cs="宋体"/>
                <w:color w:val="auto"/>
                <w:kern w:val="0"/>
                <w:szCs w:val="21"/>
                <w:lang w:val="en-US" w:eastAsia="zh-CN" w:bidi="ar"/>
              </w:rPr>
            </w:pPr>
            <w:r>
              <w:rPr>
                <w:rFonts w:hint="eastAsia" w:ascii="宋体" w:hAnsi="宋体" w:cs="宋体"/>
                <w:color w:val="auto"/>
                <w:kern w:val="0"/>
                <w:szCs w:val="21"/>
                <w:lang w:val="en-US" w:eastAsia="zh-CN" w:bidi="ar"/>
              </w:rPr>
              <w:t>2.</w:t>
            </w:r>
            <w:r>
              <w:rPr>
                <w:rFonts w:hint="eastAsia" w:ascii="宋体" w:hAnsi="宋体" w:eastAsia="宋体" w:cs="宋体"/>
                <w:color w:val="auto"/>
                <w:kern w:val="0"/>
                <w:szCs w:val="21"/>
                <w:lang w:val="en-US" w:eastAsia="zh-CN" w:bidi="ar"/>
              </w:rPr>
              <w:t>需支持用户桌面在需要帮助的时候，云桌面管理平台可以直接向需要帮助的用户桌面发起帮助，进行这一项操作时不需要借助第三方软件。</w:t>
            </w:r>
          </w:p>
          <w:p>
            <w:pPr>
              <w:widowControl/>
              <w:spacing w:line="440" w:lineRule="exact"/>
              <w:jc w:val="left"/>
              <w:textAlignment w:val="center"/>
              <w:rPr>
                <w:rFonts w:hint="eastAsia" w:ascii="宋体" w:hAnsi="宋体" w:eastAsia="宋体" w:cs="宋体"/>
                <w:color w:val="auto"/>
                <w:kern w:val="0"/>
                <w:szCs w:val="21"/>
                <w:lang w:val="en-US" w:eastAsia="zh-CN" w:bidi="ar"/>
              </w:rPr>
            </w:pPr>
            <w:r>
              <w:rPr>
                <w:rFonts w:hint="eastAsia" w:ascii="宋体" w:hAnsi="宋体" w:cs="宋体"/>
                <w:color w:val="auto"/>
                <w:kern w:val="0"/>
                <w:szCs w:val="21"/>
                <w:lang w:val="en-US" w:eastAsia="zh-CN" w:bidi="ar"/>
              </w:rPr>
              <w:t>3.</w:t>
            </w:r>
            <w:r>
              <w:rPr>
                <w:rFonts w:hint="eastAsia" w:ascii="宋体" w:hAnsi="宋体" w:eastAsia="宋体" w:cs="宋体"/>
                <w:color w:val="auto"/>
                <w:kern w:val="0"/>
                <w:szCs w:val="21"/>
                <w:lang w:val="en-US" w:eastAsia="zh-CN" w:bidi="ar"/>
              </w:rPr>
              <w:t>支持开机logo自定义，可以自定义设备开机登录页面logo及文字定制，便于学校进行资产管理。</w:t>
            </w:r>
          </w:p>
          <w:p>
            <w:pPr>
              <w:widowControl/>
              <w:spacing w:line="440" w:lineRule="exact"/>
              <w:jc w:val="left"/>
              <w:textAlignment w:val="center"/>
              <w:rPr>
                <w:rFonts w:hint="eastAsia" w:ascii="宋体" w:hAnsi="宋体" w:eastAsia="宋体" w:cs="宋体"/>
                <w:color w:val="auto"/>
                <w:kern w:val="0"/>
                <w:szCs w:val="21"/>
                <w:lang w:val="en-US" w:eastAsia="zh-CN" w:bidi="ar"/>
              </w:rPr>
            </w:pPr>
            <w:r>
              <w:rPr>
                <w:rFonts w:hint="eastAsia" w:ascii="宋体" w:hAnsi="宋体" w:cs="宋体"/>
                <w:color w:val="auto"/>
                <w:kern w:val="0"/>
                <w:szCs w:val="21"/>
                <w:lang w:val="en-US" w:eastAsia="zh-CN" w:bidi="ar"/>
              </w:rPr>
              <w:t>4.</w:t>
            </w:r>
            <w:r>
              <w:rPr>
                <w:rFonts w:hint="eastAsia" w:ascii="宋体" w:hAnsi="宋体" w:eastAsia="宋体" w:cs="宋体"/>
                <w:color w:val="auto"/>
                <w:kern w:val="0"/>
                <w:szCs w:val="21"/>
                <w:lang w:val="en-US" w:eastAsia="zh-CN" w:bidi="ar"/>
              </w:rPr>
              <w:t>为简化运维和管理工作，云桌面需要提供系统垃圾清理功能，保障机房电脑能高效运行，稳定使用。</w:t>
            </w:r>
          </w:p>
          <w:p>
            <w:pPr>
              <w:widowControl/>
              <w:spacing w:line="440" w:lineRule="exact"/>
              <w:jc w:val="left"/>
              <w:textAlignment w:val="center"/>
              <w:rPr>
                <w:rFonts w:hint="eastAsia" w:ascii="宋体" w:hAnsi="宋体" w:eastAsia="宋体" w:cs="宋体"/>
                <w:color w:val="auto"/>
                <w:kern w:val="0"/>
                <w:szCs w:val="21"/>
                <w:lang w:val="en-US" w:eastAsia="zh-CN" w:bidi="ar"/>
              </w:rPr>
            </w:pPr>
            <w:r>
              <w:rPr>
                <w:rFonts w:hint="eastAsia" w:ascii="宋体" w:hAnsi="宋体" w:eastAsia="宋体" w:cs="宋体"/>
                <w:color w:val="auto"/>
                <w:kern w:val="0"/>
                <w:szCs w:val="21"/>
                <w:lang w:val="en-US" w:eastAsia="zh-CN" w:bidi="ar"/>
              </w:rPr>
              <w:t>★</w:t>
            </w:r>
            <w:r>
              <w:rPr>
                <w:rFonts w:hint="eastAsia" w:ascii="宋体" w:hAnsi="宋体" w:cs="宋体"/>
                <w:color w:val="auto"/>
                <w:kern w:val="0"/>
                <w:szCs w:val="21"/>
                <w:lang w:val="en-US" w:eastAsia="zh-CN" w:bidi="ar"/>
              </w:rPr>
              <w:t>5.</w:t>
            </w:r>
            <w:r>
              <w:rPr>
                <w:rFonts w:hint="eastAsia" w:ascii="宋体" w:hAnsi="宋体" w:eastAsia="宋体" w:cs="宋体"/>
                <w:color w:val="auto"/>
                <w:kern w:val="0"/>
                <w:szCs w:val="21"/>
                <w:lang w:val="en-US" w:eastAsia="zh-CN" w:bidi="ar"/>
              </w:rPr>
              <w:t>能够单独设定桌面系统盘/数据盘的还原属性，支持每天还原、每周还原、每月还原，支持自动更新桌面。</w:t>
            </w:r>
            <w:r>
              <w:rPr>
                <w:rFonts w:hint="eastAsia" w:ascii="宋体" w:hAnsi="宋体" w:cs="宋体"/>
                <w:color w:val="auto"/>
                <w:kern w:val="0"/>
                <w:szCs w:val="21"/>
                <w:lang w:eastAsia="zh-CN" w:bidi="ar"/>
              </w:rPr>
              <w:t>（提供证明材料：包括但不限于厂家证明或功能截图或国家认可的第三方检测报告并加盖供应商公章）</w:t>
            </w:r>
          </w:p>
          <w:p>
            <w:pPr>
              <w:widowControl/>
              <w:spacing w:line="440" w:lineRule="exact"/>
              <w:jc w:val="left"/>
              <w:textAlignment w:val="center"/>
              <w:rPr>
                <w:rFonts w:hint="eastAsia" w:ascii="宋体" w:hAnsi="宋体" w:eastAsia="宋体" w:cs="宋体"/>
                <w:color w:val="auto"/>
                <w:kern w:val="0"/>
                <w:szCs w:val="21"/>
                <w:lang w:val="en-US" w:eastAsia="zh-CN" w:bidi="ar"/>
              </w:rPr>
            </w:pPr>
            <w:r>
              <w:rPr>
                <w:rFonts w:hint="eastAsia" w:ascii="宋体" w:hAnsi="宋体" w:cs="宋体"/>
                <w:color w:val="auto"/>
                <w:kern w:val="0"/>
                <w:szCs w:val="21"/>
                <w:lang w:val="en-US" w:eastAsia="zh-CN" w:bidi="ar"/>
              </w:rPr>
              <w:t>6.</w:t>
            </w:r>
            <w:r>
              <w:rPr>
                <w:rFonts w:hint="eastAsia" w:ascii="宋体" w:hAnsi="宋体" w:eastAsia="宋体" w:cs="宋体"/>
                <w:color w:val="auto"/>
                <w:kern w:val="0"/>
                <w:szCs w:val="21"/>
                <w:lang w:val="en-US" w:eastAsia="zh-CN" w:bidi="ar"/>
              </w:rPr>
              <w:t>为满足多种使用需求，需支持多种系统镜像例如Win</w:t>
            </w:r>
            <w:r>
              <w:rPr>
                <w:rFonts w:hint="eastAsia" w:ascii="宋体" w:hAnsi="宋体" w:cs="宋体"/>
                <w:color w:val="auto"/>
                <w:kern w:val="0"/>
                <w:szCs w:val="21"/>
                <w:lang w:val="en-US" w:eastAsia="zh-CN" w:bidi="ar"/>
              </w:rPr>
              <w:t>7.</w:t>
            </w:r>
            <w:r>
              <w:rPr>
                <w:rFonts w:hint="eastAsia" w:ascii="宋体" w:hAnsi="宋体" w:eastAsia="宋体" w:cs="宋体"/>
                <w:color w:val="auto"/>
                <w:kern w:val="0"/>
                <w:szCs w:val="21"/>
                <w:lang w:val="en-US" w:eastAsia="zh-CN" w:bidi="ar"/>
              </w:rPr>
              <w:t>Win1</w:t>
            </w:r>
            <w:r>
              <w:rPr>
                <w:rFonts w:hint="eastAsia" w:ascii="宋体" w:hAnsi="宋体" w:cs="宋体"/>
                <w:color w:val="auto"/>
                <w:kern w:val="0"/>
                <w:szCs w:val="21"/>
                <w:lang w:val="en-US" w:eastAsia="zh-CN" w:bidi="ar"/>
              </w:rPr>
              <w:t>0.</w:t>
            </w:r>
            <w:r>
              <w:rPr>
                <w:rFonts w:hint="eastAsia" w:ascii="宋体" w:hAnsi="宋体" w:eastAsia="宋体" w:cs="宋体"/>
                <w:color w:val="auto"/>
                <w:kern w:val="0"/>
                <w:szCs w:val="21"/>
                <w:lang w:val="en-US" w:eastAsia="zh-CN" w:bidi="ar"/>
              </w:rPr>
              <w:t>Win1</w:t>
            </w:r>
            <w:r>
              <w:rPr>
                <w:rFonts w:hint="eastAsia" w:ascii="宋体" w:hAnsi="宋体" w:cs="宋体"/>
                <w:color w:val="auto"/>
                <w:kern w:val="0"/>
                <w:szCs w:val="21"/>
                <w:lang w:val="en-US" w:eastAsia="zh-CN" w:bidi="ar"/>
              </w:rPr>
              <w:t>1.</w:t>
            </w:r>
            <w:r>
              <w:rPr>
                <w:rFonts w:hint="eastAsia" w:ascii="宋体" w:hAnsi="宋体" w:eastAsia="宋体" w:cs="宋体"/>
                <w:color w:val="auto"/>
                <w:kern w:val="0"/>
                <w:szCs w:val="21"/>
                <w:lang w:val="en-US" w:eastAsia="zh-CN" w:bidi="ar"/>
              </w:rPr>
              <w:t>UOS、麒麟、中科方德等主流镜像，为降低使用复杂度要求云桌面管理系统软件可以进行一键切换系统镜像。</w:t>
            </w:r>
          </w:p>
          <w:p>
            <w:pPr>
              <w:widowControl/>
              <w:spacing w:line="440" w:lineRule="exact"/>
              <w:jc w:val="left"/>
              <w:textAlignment w:val="center"/>
              <w:rPr>
                <w:rFonts w:hint="eastAsia" w:ascii="宋体" w:hAnsi="宋体" w:eastAsia="宋体" w:cs="宋体"/>
                <w:color w:val="auto"/>
                <w:kern w:val="0"/>
                <w:szCs w:val="21"/>
                <w:lang w:val="en-US" w:eastAsia="zh-CN" w:bidi="ar"/>
              </w:rPr>
            </w:pPr>
            <w:r>
              <w:rPr>
                <w:rFonts w:hint="eastAsia" w:ascii="宋体" w:hAnsi="宋体" w:cs="宋体"/>
                <w:color w:val="auto"/>
                <w:kern w:val="0"/>
                <w:szCs w:val="21"/>
                <w:lang w:val="en-US" w:eastAsia="zh-CN" w:bidi="ar"/>
              </w:rPr>
              <w:t>7.</w:t>
            </w:r>
            <w:r>
              <w:rPr>
                <w:rFonts w:hint="eastAsia" w:ascii="宋体" w:hAnsi="宋体" w:eastAsia="宋体" w:cs="宋体"/>
                <w:color w:val="auto"/>
                <w:kern w:val="0"/>
                <w:szCs w:val="21"/>
                <w:lang w:val="en-US" w:eastAsia="zh-CN" w:bidi="ar"/>
              </w:rPr>
              <w:t>云桌面系统软件支持系统同传，为保障同传传输速度，需支持BT传输。</w:t>
            </w:r>
          </w:p>
          <w:p>
            <w:pPr>
              <w:widowControl/>
              <w:spacing w:line="440" w:lineRule="exact"/>
              <w:jc w:val="left"/>
              <w:textAlignment w:val="center"/>
              <w:rPr>
                <w:rFonts w:hint="eastAsia" w:ascii="宋体" w:hAnsi="宋体" w:eastAsia="宋体" w:cs="宋体"/>
                <w:color w:val="auto"/>
                <w:kern w:val="0"/>
                <w:szCs w:val="21"/>
                <w:lang w:val="en-US" w:eastAsia="zh-CN" w:bidi="ar"/>
              </w:rPr>
            </w:pPr>
            <w:r>
              <w:rPr>
                <w:rFonts w:hint="eastAsia" w:ascii="宋体" w:hAnsi="宋体" w:cs="宋体"/>
                <w:color w:val="auto"/>
                <w:kern w:val="0"/>
                <w:szCs w:val="21"/>
                <w:lang w:val="en-US" w:eastAsia="zh-CN" w:bidi="ar"/>
              </w:rPr>
              <w:t>8.</w:t>
            </w:r>
            <w:r>
              <w:rPr>
                <w:rFonts w:hint="eastAsia" w:ascii="宋体" w:hAnsi="宋体" w:eastAsia="宋体" w:cs="宋体"/>
                <w:color w:val="auto"/>
                <w:kern w:val="0"/>
                <w:szCs w:val="21"/>
                <w:lang w:val="en-US" w:eastAsia="zh-CN" w:bidi="ar"/>
              </w:rPr>
              <w:t>云桌面系统支持获取所有设备的状态、设备编号、设备IP、设备MAC、CPU信息、内存使用率、运行时间、磁盘信息等信息，便于管理员统计已纳管的设备资产情况。</w:t>
            </w:r>
          </w:p>
          <w:p>
            <w:pPr>
              <w:widowControl/>
              <w:spacing w:line="440" w:lineRule="exact"/>
              <w:jc w:val="left"/>
              <w:textAlignment w:val="center"/>
              <w:rPr>
                <w:rFonts w:hint="eastAsia" w:ascii="宋体" w:hAnsi="宋体" w:eastAsia="宋体" w:cs="宋体"/>
                <w:color w:val="auto"/>
                <w:kern w:val="0"/>
                <w:szCs w:val="21"/>
                <w:lang w:val="en-US" w:eastAsia="zh-CN" w:bidi="ar"/>
              </w:rPr>
            </w:pPr>
            <w:r>
              <w:rPr>
                <w:rFonts w:hint="eastAsia" w:ascii="宋体" w:hAnsi="宋体" w:cs="宋体"/>
                <w:color w:val="auto"/>
                <w:kern w:val="0"/>
                <w:szCs w:val="21"/>
                <w:lang w:val="en-US" w:eastAsia="zh-CN" w:bidi="ar"/>
              </w:rPr>
              <w:t>9.</w:t>
            </w:r>
            <w:r>
              <w:rPr>
                <w:rFonts w:hint="eastAsia" w:ascii="宋体" w:hAnsi="宋体" w:eastAsia="宋体" w:cs="宋体"/>
                <w:color w:val="auto"/>
                <w:kern w:val="0"/>
                <w:szCs w:val="21"/>
                <w:lang w:val="en-US" w:eastAsia="zh-CN" w:bidi="ar"/>
              </w:rPr>
              <w:t>为提供更加良好的桌面使用环境，需提供广告弹窗拦截功能，开启后系统自动拦截用户设备桌面弹窗广告，净化桌面环境。</w:t>
            </w:r>
          </w:p>
          <w:p>
            <w:pPr>
              <w:widowControl/>
              <w:spacing w:line="440" w:lineRule="exact"/>
              <w:jc w:val="left"/>
              <w:textAlignment w:val="center"/>
              <w:rPr>
                <w:rFonts w:hint="eastAsia" w:ascii="宋体" w:hAnsi="宋体" w:eastAsia="宋体" w:cs="宋体"/>
                <w:color w:val="auto"/>
                <w:kern w:val="0"/>
                <w:szCs w:val="21"/>
                <w:lang w:val="en-US" w:eastAsia="zh-CN" w:bidi="ar"/>
              </w:rPr>
            </w:pPr>
            <w:r>
              <w:rPr>
                <w:rFonts w:hint="eastAsia" w:ascii="宋体" w:hAnsi="宋体" w:eastAsia="宋体" w:cs="宋体"/>
                <w:color w:val="auto"/>
                <w:kern w:val="0"/>
                <w:szCs w:val="21"/>
                <w:lang w:val="en-US" w:eastAsia="zh-CN" w:bidi="ar"/>
              </w:rPr>
              <w:t>1</w:t>
            </w:r>
            <w:r>
              <w:rPr>
                <w:rFonts w:hint="eastAsia" w:ascii="宋体" w:hAnsi="宋体" w:cs="宋体"/>
                <w:color w:val="auto"/>
                <w:kern w:val="0"/>
                <w:szCs w:val="21"/>
                <w:lang w:val="en-US" w:eastAsia="zh-CN" w:bidi="ar"/>
              </w:rPr>
              <w:t>0.</w:t>
            </w:r>
            <w:r>
              <w:rPr>
                <w:rFonts w:hint="eastAsia" w:ascii="宋体" w:hAnsi="宋体" w:eastAsia="宋体" w:cs="宋体"/>
                <w:color w:val="auto"/>
                <w:kern w:val="0"/>
                <w:szCs w:val="21"/>
                <w:lang w:val="en-US" w:eastAsia="zh-CN" w:bidi="ar"/>
              </w:rPr>
              <w:t>提供环境监测功能，针对用户正在使用的桌面系统环境进行巡检，监测内容以列表形式呈现内容包含但不限于电脑名称、系统版本、IP、内存、硬盘等状态。如出现网络连接中断、USB未连接、未知盘符，均会进行告警。</w:t>
            </w:r>
          </w:p>
          <w:p>
            <w:pPr>
              <w:widowControl/>
              <w:spacing w:line="440" w:lineRule="exact"/>
              <w:jc w:val="left"/>
              <w:textAlignment w:val="center"/>
              <w:rPr>
                <w:rFonts w:hint="eastAsia" w:ascii="宋体" w:hAnsi="宋体" w:eastAsia="宋体" w:cs="宋体"/>
                <w:color w:val="auto"/>
                <w:kern w:val="0"/>
                <w:szCs w:val="21"/>
                <w:lang w:val="en-US" w:eastAsia="zh-CN" w:bidi="ar"/>
              </w:rPr>
            </w:pPr>
            <w:r>
              <w:rPr>
                <w:rFonts w:hint="eastAsia" w:ascii="宋体" w:hAnsi="宋体" w:eastAsia="宋体" w:cs="宋体"/>
                <w:color w:val="auto"/>
                <w:kern w:val="0"/>
                <w:szCs w:val="21"/>
                <w:lang w:val="en-US" w:eastAsia="zh-CN" w:bidi="ar"/>
              </w:rPr>
              <w:t>1</w:t>
            </w:r>
            <w:r>
              <w:rPr>
                <w:rFonts w:hint="eastAsia" w:ascii="宋体" w:hAnsi="宋体" w:cs="宋体"/>
                <w:color w:val="auto"/>
                <w:kern w:val="0"/>
                <w:szCs w:val="21"/>
                <w:lang w:val="en-US" w:eastAsia="zh-CN" w:bidi="ar"/>
              </w:rPr>
              <w:t>1.</w:t>
            </w:r>
            <w:r>
              <w:rPr>
                <w:rFonts w:hint="eastAsia" w:ascii="宋体" w:hAnsi="宋体" w:eastAsia="宋体" w:cs="宋体"/>
                <w:color w:val="auto"/>
                <w:kern w:val="0"/>
                <w:szCs w:val="21"/>
                <w:lang w:val="en-US" w:eastAsia="zh-CN" w:bidi="ar"/>
              </w:rPr>
              <w:t>支持静默更新功能，要求不影响用户设备日常使用的情况下对用户支持进行更新操作，服务端发送过来的更新镜像文件用户设备后台可进行静默接收，且桌面会有弹窗提示，待用户空闲时间重启即可自动更新。</w:t>
            </w:r>
          </w:p>
          <w:p>
            <w:pPr>
              <w:widowControl/>
              <w:spacing w:line="440" w:lineRule="exact"/>
              <w:jc w:val="left"/>
              <w:textAlignment w:val="center"/>
              <w:rPr>
                <w:rFonts w:hint="eastAsia" w:ascii="宋体" w:hAnsi="宋体" w:eastAsia="宋体" w:cs="宋体"/>
                <w:color w:val="auto"/>
                <w:kern w:val="0"/>
                <w:szCs w:val="21"/>
                <w:lang w:val="en-US" w:eastAsia="zh-CN" w:bidi="ar"/>
              </w:rPr>
            </w:pPr>
            <w:r>
              <w:rPr>
                <w:rFonts w:hint="eastAsia" w:ascii="宋体" w:hAnsi="宋体" w:eastAsia="宋体" w:cs="宋体"/>
                <w:color w:val="auto"/>
                <w:kern w:val="0"/>
                <w:szCs w:val="21"/>
                <w:lang w:val="en-US" w:eastAsia="zh-CN" w:bidi="ar"/>
              </w:rPr>
              <w:t>1</w:t>
            </w:r>
            <w:r>
              <w:rPr>
                <w:rFonts w:hint="eastAsia" w:ascii="宋体" w:hAnsi="宋体" w:cs="宋体"/>
                <w:color w:val="auto"/>
                <w:kern w:val="0"/>
                <w:szCs w:val="21"/>
                <w:lang w:val="en-US" w:eastAsia="zh-CN" w:bidi="ar"/>
              </w:rPr>
              <w:t>2.</w:t>
            </w:r>
            <w:r>
              <w:rPr>
                <w:rFonts w:hint="eastAsia" w:ascii="宋体" w:hAnsi="宋体" w:eastAsia="宋体" w:cs="宋体"/>
                <w:color w:val="auto"/>
                <w:kern w:val="0"/>
                <w:szCs w:val="21"/>
                <w:lang w:val="en-US" w:eastAsia="zh-CN" w:bidi="ar"/>
              </w:rPr>
              <w:t>为了便于管理员排查网络故障，需提供网络修复功能，可全面检测网络服务是否正常。</w:t>
            </w:r>
          </w:p>
          <w:p>
            <w:pPr>
              <w:widowControl/>
              <w:spacing w:line="440" w:lineRule="exact"/>
              <w:jc w:val="left"/>
              <w:textAlignment w:val="center"/>
              <w:rPr>
                <w:rFonts w:hint="eastAsia" w:ascii="宋体" w:hAnsi="宋体" w:eastAsia="宋体" w:cs="宋体"/>
                <w:color w:val="auto"/>
                <w:kern w:val="0"/>
                <w:szCs w:val="21"/>
                <w:lang w:val="en-US" w:eastAsia="zh-CN" w:bidi="ar"/>
              </w:rPr>
            </w:pPr>
            <w:r>
              <w:rPr>
                <w:rFonts w:hint="eastAsia" w:ascii="宋体" w:hAnsi="宋体" w:eastAsia="宋体" w:cs="宋体"/>
                <w:color w:val="auto"/>
                <w:kern w:val="0"/>
                <w:szCs w:val="21"/>
                <w:lang w:val="en-US" w:eastAsia="zh-CN" w:bidi="ar"/>
              </w:rPr>
              <w:t>1</w:t>
            </w:r>
            <w:r>
              <w:rPr>
                <w:rFonts w:hint="eastAsia" w:ascii="宋体" w:hAnsi="宋体" w:cs="宋体"/>
                <w:color w:val="auto"/>
                <w:kern w:val="0"/>
                <w:szCs w:val="21"/>
                <w:lang w:val="en-US" w:eastAsia="zh-CN" w:bidi="ar"/>
              </w:rPr>
              <w:t>3.</w:t>
            </w:r>
            <w:r>
              <w:rPr>
                <w:rFonts w:hint="eastAsia" w:ascii="宋体" w:hAnsi="宋体" w:eastAsia="宋体" w:cs="宋体"/>
                <w:color w:val="auto"/>
                <w:kern w:val="0"/>
                <w:szCs w:val="21"/>
                <w:lang w:val="en-US" w:eastAsia="zh-CN" w:bidi="ar"/>
              </w:rPr>
              <w:t>云桌面软件需支持流量监控功能，可检测设备机目前进程的流量接收与发送的情况。</w:t>
            </w:r>
          </w:p>
          <w:p>
            <w:pPr>
              <w:widowControl/>
              <w:spacing w:line="440" w:lineRule="exact"/>
              <w:jc w:val="left"/>
              <w:textAlignment w:val="center"/>
              <w:rPr>
                <w:rFonts w:hint="eastAsia" w:ascii="宋体" w:hAnsi="宋体" w:eastAsia="宋体" w:cs="宋体"/>
                <w:color w:val="auto"/>
                <w:kern w:val="0"/>
                <w:szCs w:val="21"/>
                <w:lang w:val="en-US" w:eastAsia="zh-CN" w:bidi="ar"/>
              </w:rPr>
            </w:pPr>
            <w:r>
              <w:rPr>
                <w:rFonts w:hint="eastAsia" w:ascii="宋体" w:hAnsi="宋体" w:eastAsia="宋体" w:cs="宋体"/>
                <w:color w:val="auto"/>
                <w:kern w:val="0"/>
                <w:szCs w:val="21"/>
                <w:lang w:val="en-US" w:eastAsia="zh-CN" w:bidi="ar"/>
              </w:rPr>
              <w:t>1</w:t>
            </w:r>
            <w:r>
              <w:rPr>
                <w:rFonts w:hint="eastAsia" w:ascii="宋体" w:hAnsi="宋体" w:cs="宋体"/>
                <w:color w:val="auto"/>
                <w:kern w:val="0"/>
                <w:szCs w:val="21"/>
                <w:lang w:val="en-US" w:eastAsia="zh-CN" w:bidi="ar"/>
              </w:rPr>
              <w:t>4.</w:t>
            </w:r>
            <w:r>
              <w:rPr>
                <w:rFonts w:hint="eastAsia" w:ascii="宋体" w:hAnsi="宋体" w:eastAsia="宋体" w:cs="宋体"/>
                <w:color w:val="auto"/>
                <w:kern w:val="0"/>
                <w:szCs w:val="21"/>
                <w:lang w:val="en-US" w:eastAsia="zh-CN" w:bidi="ar"/>
              </w:rPr>
              <w:t>支持远程打开管理平台，进行远程操作，无需管理员进行来回奔走。</w:t>
            </w:r>
          </w:p>
          <w:p>
            <w:pPr>
              <w:widowControl/>
              <w:spacing w:line="440" w:lineRule="exact"/>
              <w:jc w:val="left"/>
              <w:textAlignment w:val="center"/>
              <w:rPr>
                <w:rFonts w:hint="eastAsia" w:ascii="宋体" w:hAnsi="宋体" w:eastAsia="宋体" w:cs="宋体"/>
                <w:color w:val="auto"/>
                <w:kern w:val="0"/>
                <w:szCs w:val="21"/>
                <w:lang w:val="en-US" w:eastAsia="zh-CN" w:bidi="ar"/>
              </w:rPr>
            </w:pPr>
            <w:r>
              <w:rPr>
                <w:rFonts w:hint="eastAsia" w:ascii="宋体" w:hAnsi="宋体" w:eastAsia="宋体" w:cs="宋体"/>
                <w:color w:val="auto"/>
                <w:kern w:val="0"/>
                <w:szCs w:val="21"/>
                <w:lang w:val="en-US" w:eastAsia="zh-CN" w:bidi="ar"/>
              </w:rPr>
              <w:t>1</w:t>
            </w:r>
            <w:r>
              <w:rPr>
                <w:rFonts w:hint="eastAsia" w:ascii="宋体" w:hAnsi="宋体" w:cs="宋体"/>
                <w:color w:val="auto"/>
                <w:kern w:val="0"/>
                <w:szCs w:val="21"/>
                <w:lang w:val="en-US" w:eastAsia="zh-CN" w:bidi="ar"/>
              </w:rPr>
              <w:t>5.</w:t>
            </w:r>
            <w:r>
              <w:rPr>
                <w:rFonts w:hint="eastAsia" w:ascii="宋体" w:hAnsi="宋体" w:eastAsia="宋体" w:cs="宋体"/>
                <w:color w:val="auto"/>
                <w:kern w:val="0"/>
                <w:szCs w:val="21"/>
                <w:lang w:val="en-US" w:eastAsia="zh-CN" w:bidi="ar"/>
              </w:rPr>
              <w:t>为便于管理员可以给不同的课程制作不同的镜像，支持子镜像功能，在基础镜像的基础上安装不同课程的软件成为不同子镜像，分配给不同的课程。</w:t>
            </w:r>
          </w:p>
          <w:p>
            <w:pPr>
              <w:widowControl/>
              <w:spacing w:line="440" w:lineRule="exact"/>
              <w:jc w:val="left"/>
              <w:textAlignment w:val="center"/>
              <w:rPr>
                <w:rFonts w:hint="eastAsia" w:ascii="宋体" w:hAnsi="宋体" w:eastAsia="宋体" w:cs="宋体"/>
                <w:color w:val="auto"/>
                <w:kern w:val="0"/>
                <w:szCs w:val="21"/>
                <w:lang w:val="en-US" w:eastAsia="zh-CN" w:bidi="ar"/>
              </w:rPr>
            </w:pPr>
            <w:r>
              <w:rPr>
                <w:rFonts w:hint="eastAsia" w:ascii="宋体" w:hAnsi="宋体" w:eastAsia="宋体" w:cs="宋体"/>
                <w:color w:val="auto"/>
                <w:kern w:val="0"/>
                <w:szCs w:val="21"/>
                <w:lang w:val="en-US" w:eastAsia="zh-CN" w:bidi="ar"/>
              </w:rPr>
              <w:t>1</w:t>
            </w:r>
            <w:r>
              <w:rPr>
                <w:rFonts w:hint="eastAsia" w:ascii="宋体" w:hAnsi="宋体" w:cs="宋体"/>
                <w:color w:val="auto"/>
                <w:kern w:val="0"/>
                <w:szCs w:val="21"/>
                <w:lang w:val="en-US" w:eastAsia="zh-CN" w:bidi="ar"/>
              </w:rPr>
              <w:t>6.</w:t>
            </w:r>
            <w:r>
              <w:rPr>
                <w:rFonts w:hint="eastAsia" w:ascii="宋体" w:hAnsi="宋体" w:eastAsia="宋体" w:cs="宋体"/>
                <w:color w:val="auto"/>
                <w:kern w:val="0"/>
                <w:szCs w:val="21"/>
                <w:lang w:val="en-US" w:eastAsia="zh-CN" w:bidi="ar"/>
              </w:rPr>
              <w:t>为加速后期文件以及软件的下发速度，软件需支持增量下发功能，只下发差异数据，速度更快。</w:t>
            </w:r>
          </w:p>
          <w:p>
            <w:pPr>
              <w:widowControl/>
              <w:spacing w:line="440" w:lineRule="exact"/>
              <w:jc w:val="left"/>
              <w:textAlignment w:val="center"/>
              <w:rPr>
                <w:rFonts w:hint="eastAsia" w:ascii="宋体" w:hAnsi="宋体" w:eastAsia="宋体" w:cs="宋体"/>
                <w:color w:val="auto"/>
                <w:kern w:val="0"/>
                <w:szCs w:val="21"/>
                <w:lang w:val="en-US" w:eastAsia="zh-CN" w:bidi="ar"/>
              </w:rPr>
            </w:pPr>
            <w:r>
              <w:rPr>
                <w:rFonts w:hint="eastAsia" w:ascii="宋体" w:hAnsi="宋体" w:eastAsia="宋体" w:cs="宋体"/>
                <w:color w:val="auto"/>
                <w:kern w:val="0"/>
                <w:szCs w:val="21"/>
                <w:lang w:val="en-US" w:eastAsia="zh-CN" w:bidi="ar"/>
              </w:rPr>
              <w:t>1</w:t>
            </w:r>
            <w:r>
              <w:rPr>
                <w:rFonts w:hint="eastAsia" w:ascii="宋体" w:hAnsi="宋体" w:cs="宋体"/>
                <w:color w:val="auto"/>
                <w:kern w:val="0"/>
                <w:szCs w:val="21"/>
                <w:lang w:val="en-US" w:eastAsia="zh-CN" w:bidi="ar"/>
              </w:rPr>
              <w:t>7.</w:t>
            </w:r>
            <w:r>
              <w:rPr>
                <w:rFonts w:hint="eastAsia" w:ascii="宋体" w:hAnsi="宋体" w:eastAsia="宋体" w:cs="宋体"/>
                <w:color w:val="auto"/>
                <w:kern w:val="0"/>
                <w:szCs w:val="21"/>
                <w:lang w:val="en-US" w:eastAsia="zh-CN" w:bidi="ar"/>
              </w:rPr>
              <w:t>为简化部署，支持对3DMAX、CAD等图形设计、工程设计类软件的统一注册，无需手动逐台激活。</w:t>
            </w:r>
          </w:p>
          <w:p>
            <w:pPr>
              <w:widowControl/>
              <w:spacing w:line="440" w:lineRule="exact"/>
              <w:jc w:val="left"/>
              <w:textAlignment w:val="center"/>
              <w:rPr>
                <w:rFonts w:hint="eastAsia" w:ascii="宋体" w:hAnsi="宋体" w:eastAsia="宋体" w:cs="宋体"/>
                <w:color w:val="auto"/>
                <w:kern w:val="0"/>
                <w:szCs w:val="21"/>
                <w:lang w:val="en-US" w:eastAsia="zh-CN" w:bidi="ar"/>
              </w:rPr>
            </w:pPr>
            <w:r>
              <w:rPr>
                <w:rFonts w:hint="eastAsia" w:ascii="宋体" w:hAnsi="宋体" w:eastAsia="宋体" w:cs="宋体"/>
                <w:color w:val="auto"/>
                <w:kern w:val="0"/>
                <w:szCs w:val="21"/>
                <w:lang w:val="en-US" w:eastAsia="zh-CN" w:bidi="ar"/>
              </w:rPr>
              <w:t>1</w:t>
            </w:r>
            <w:r>
              <w:rPr>
                <w:rFonts w:hint="eastAsia" w:ascii="宋体" w:hAnsi="宋体" w:cs="宋体"/>
                <w:color w:val="auto"/>
                <w:kern w:val="0"/>
                <w:szCs w:val="21"/>
                <w:lang w:val="en-US" w:eastAsia="zh-CN" w:bidi="ar"/>
              </w:rPr>
              <w:t>8.</w:t>
            </w:r>
            <w:r>
              <w:rPr>
                <w:rFonts w:hint="eastAsia" w:ascii="宋体" w:hAnsi="宋体" w:eastAsia="宋体" w:cs="宋体"/>
                <w:color w:val="auto"/>
                <w:kern w:val="0"/>
                <w:szCs w:val="21"/>
                <w:lang w:val="en-US" w:eastAsia="zh-CN" w:bidi="ar"/>
              </w:rPr>
              <w:t>支持Linux系统以及Windows系统的IP以及计算机名的批量自动分配。</w:t>
            </w:r>
          </w:p>
          <w:p>
            <w:pPr>
              <w:widowControl/>
              <w:spacing w:line="440" w:lineRule="exact"/>
              <w:jc w:val="left"/>
              <w:textAlignment w:val="center"/>
              <w:rPr>
                <w:rFonts w:hint="eastAsia" w:ascii="宋体" w:hAnsi="宋体" w:eastAsia="宋体" w:cs="宋体"/>
                <w:color w:val="auto"/>
                <w:kern w:val="0"/>
                <w:szCs w:val="21"/>
                <w:lang w:val="en-US" w:eastAsia="zh-CN" w:bidi="ar"/>
              </w:rPr>
            </w:pPr>
            <w:r>
              <w:rPr>
                <w:rFonts w:hint="eastAsia" w:ascii="宋体" w:hAnsi="宋体" w:eastAsia="宋体" w:cs="宋体"/>
                <w:color w:val="auto"/>
                <w:kern w:val="0"/>
                <w:szCs w:val="21"/>
                <w:lang w:val="en-US" w:eastAsia="zh-CN" w:bidi="ar"/>
              </w:rPr>
              <w:t>1</w:t>
            </w:r>
            <w:r>
              <w:rPr>
                <w:rFonts w:hint="eastAsia" w:ascii="宋体" w:hAnsi="宋体" w:cs="宋体"/>
                <w:color w:val="auto"/>
                <w:kern w:val="0"/>
                <w:szCs w:val="21"/>
                <w:lang w:val="en-US" w:eastAsia="zh-CN" w:bidi="ar"/>
              </w:rPr>
              <w:t>9.</w:t>
            </w:r>
            <w:r>
              <w:rPr>
                <w:rFonts w:hint="eastAsia" w:ascii="宋体" w:hAnsi="宋体" w:eastAsia="宋体" w:cs="宋体"/>
                <w:color w:val="auto"/>
                <w:kern w:val="0"/>
                <w:szCs w:val="21"/>
                <w:lang w:val="en-US" w:eastAsia="zh-CN" w:bidi="ar"/>
              </w:rPr>
              <w:t>支持查看各设备的网络连接状态是否正常，如存在异常情况，便于管理员进行及时排障。</w:t>
            </w:r>
          </w:p>
          <w:p>
            <w:pPr>
              <w:widowControl/>
              <w:spacing w:line="440" w:lineRule="exact"/>
              <w:jc w:val="left"/>
              <w:textAlignment w:val="center"/>
              <w:rPr>
                <w:rFonts w:hint="eastAsia" w:ascii="宋体" w:hAnsi="宋体" w:eastAsia="宋体" w:cs="宋体"/>
                <w:color w:val="auto"/>
                <w:kern w:val="0"/>
                <w:szCs w:val="21"/>
                <w:lang w:val="en-US" w:eastAsia="zh-CN" w:bidi="ar"/>
              </w:rPr>
            </w:pPr>
            <w:r>
              <w:rPr>
                <w:rFonts w:hint="eastAsia" w:ascii="宋体" w:hAnsi="宋体" w:eastAsia="宋体" w:cs="宋体"/>
                <w:color w:val="auto"/>
                <w:kern w:val="0"/>
                <w:szCs w:val="21"/>
                <w:lang w:val="en-US" w:eastAsia="zh-CN" w:bidi="ar"/>
              </w:rPr>
              <w:t>★2</w:t>
            </w:r>
            <w:r>
              <w:rPr>
                <w:rFonts w:hint="eastAsia" w:ascii="宋体" w:hAnsi="宋体" w:cs="宋体"/>
                <w:color w:val="auto"/>
                <w:kern w:val="0"/>
                <w:szCs w:val="21"/>
                <w:lang w:val="en-US" w:eastAsia="zh-CN" w:bidi="ar"/>
              </w:rPr>
              <w:t>0.</w:t>
            </w:r>
            <w:r>
              <w:rPr>
                <w:rFonts w:hint="eastAsia" w:ascii="宋体" w:hAnsi="宋体" w:eastAsia="宋体" w:cs="宋体"/>
                <w:color w:val="auto"/>
                <w:kern w:val="0"/>
                <w:szCs w:val="21"/>
                <w:lang w:val="en-US" w:eastAsia="zh-CN" w:bidi="ar"/>
              </w:rPr>
              <w:t>云桌面软件支持无服务器部署，任意一台学生机均可成为管理端，对于所有设备进行统一管理维护。</w:t>
            </w:r>
            <w:r>
              <w:rPr>
                <w:rFonts w:hint="eastAsia" w:ascii="宋体" w:hAnsi="宋体" w:cs="宋体"/>
                <w:color w:val="auto"/>
                <w:kern w:val="0"/>
                <w:szCs w:val="21"/>
                <w:lang w:eastAsia="zh-CN" w:bidi="ar"/>
              </w:rPr>
              <w:t>（提供证明材料：包括但不限于厂家证明或功能截图或国家认可的第三方检测报告并加盖供应商公章）</w:t>
            </w:r>
          </w:p>
          <w:p>
            <w:pPr>
              <w:widowControl/>
              <w:spacing w:line="440" w:lineRule="exact"/>
              <w:jc w:val="left"/>
              <w:textAlignment w:val="center"/>
              <w:rPr>
                <w:rFonts w:hint="eastAsia" w:ascii="宋体" w:hAnsi="宋体" w:eastAsia="宋体" w:cs="宋体"/>
                <w:color w:val="auto"/>
                <w:kern w:val="0"/>
                <w:szCs w:val="21"/>
                <w:lang w:val="en-US" w:eastAsia="zh-CN" w:bidi="ar"/>
              </w:rPr>
            </w:pPr>
            <w:r>
              <w:rPr>
                <w:rFonts w:hint="eastAsia" w:ascii="宋体" w:hAnsi="宋体" w:eastAsia="宋体" w:cs="宋体"/>
                <w:color w:val="auto"/>
                <w:kern w:val="0"/>
                <w:szCs w:val="21"/>
                <w:lang w:val="en-US" w:eastAsia="zh-CN" w:bidi="ar"/>
              </w:rPr>
              <w:t>2</w:t>
            </w:r>
            <w:r>
              <w:rPr>
                <w:rFonts w:hint="eastAsia" w:ascii="宋体" w:hAnsi="宋体" w:cs="宋体"/>
                <w:color w:val="auto"/>
                <w:kern w:val="0"/>
                <w:szCs w:val="21"/>
                <w:lang w:val="en-US" w:eastAsia="zh-CN" w:bidi="ar"/>
              </w:rPr>
              <w:t>1.</w:t>
            </w:r>
            <w:r>
              <w:rPr>
                <w:rFonts w:hint="eastAsia" w:ascii="宋体" w:hAnsi="宋体" w:eastAsia="宋体" w:cs="宋体"/>
                <w:color w:val="auto"/>
                <w:kern w:val="0"/>
                <w:szCs w:val="21"/>
                <w:lang w:val="en-US" w:eastAsia="zh-CN" w:bidi="ar"/>
              </w:rPr>
              <w:t>支持操作日志记录，对于管理员的所有操作都会自动生成日志，便于在出现问题时进行及时排查。</w:t>
            </w:r>
          </w:p>
          <w:p>
            <w:pPr>
              <w:widowControl/>
              <w:spacing w:line="440" w:lineRule="exact"/>
              <w:jc w:val="left"/>
              <w:textAlignment w:val="center"/>
              <w:rPr>
                <w:rFonts w:hint="eastAsia" w:ascii="宋体" w:hAnsi="宋体" w:eastAsia="宋体" w:cs="宋体"/>
                <w:color w:val="auto"/>
                <w:kern w:val="0"/>
                <w:szCs w:val="21"/>
                <w:lang w:val="en-US" w:eastAsia="zh-CN" w:bidi="ar"/>
              </w:rPr>
            </w:pPr>
            <w:r>
              <w:rPr>
                <w:rFonts w:hint="eastAsia" w:ascii="宋体" w:hAnsi="宋体" w:eastAsia="宋体" w:cs="宋体"/>
                <w:color w:val="auto"/>
                <w:kern w:val="0"/>
                <w:szCs w:val="21"/>
                <w:lang w:val="en-US" w:eastAsia="zh-CN" w:bidi="ar"/>
              </w:rPr>
              <w:t>2</w:t>
            </w:r>
            <w:r>
              <w:rPr>
                <w:rFonts w:hint="eastAsia" w:ascii="宋体" w:hAnsi="宋体" w:cs="宋体"/>
                <w:color w:val="auto"/>
                <w:kern w:val="0"/>
                <w:szCs w:val="21"/>
                <w:lang w:val="en-US" w:eastAsia="zh-CN" w:bidi="ar"/>
              </w:rPr>
              <w:t>2.</w:t>
            </w:r>
            <w:r>
              <w:rPr>
                <w:rFonts w:hint="eastAsia" w:ascii="宋体" w:hAnsi="宋体" w:eastAsia="宋体" w:cs="宋体"/>
                <w:color w:val="auto"/>
                <w:kern w:val="0"/>
                <w:szCs w:val="21"/>
                <w:lang w:val="en-US" w:eastAsia="zh-CN" w:bidi="ar"/>
              </w:rPr>
              <w:t>为防止管理员镜像下发时出现错误，可支持中止下发，中止后进行重新下发即可。</w:t>
            </w:r>
          </w:p>
          <w:p>
            <w:pPr>
              <w:widowControl/>
              <w:spacing w:line="440" w:lineRule="exact"/>
              <w:jc w:val="left"/>
              <w:textAlignment w:val="center"/>
              <w:rPr>
                <w:rFonts w:hint="eastAsia" w:ascii="宋体" w:hAnsi="宋体" w:eastAsia="宋体" w:cs="宋体"/>
                <w:color w:val="auto"/>
                <w:kern w:val="0"/>
                <w:szCs w:val="21"/>
                <w:lang w:val="en-US" w:eastAsia="zh-CN" w:bidi="ar"/>
              </w:rPr>
            </w:pPr>
            <w:r>
              <w:rPr>
                <w:rFonts w:hint="eastAsia" w:ascii="宋体" w:hAnsi="宋体" w:eastAsia="宋体" w:cs="宋体"/>
                <w:color w:val="auto"/>
                <w:kern w:val="0"/>
                <w:szCs w:val="21"/>
                <w:lang w:val="en-US" w:eastAsia="zh-CN" w:bidi="ar"/>
              </w:rPr>
              <w:t>2</w:t>
            </w:r>
            <w:r>
              <w:rPr>
                <w:rFonts w:hint="eastAsia" w:ascii="宋体" w:hAnsi="宋体" w:cs="宋体"/>
                <w:color w:val="auto"/>
                <w:kern w:val="0"/>
                <w:szCs w:val="21"/>
                <w:lang w:val="en-US" w:eastAsia="zh-CN" w:bidi="ar"/>
              </w:rPr>
              <w:t>3.</w:t>
            </w:r>
            <w:r>
              <w:rPr>
                <w:rFonts w:hint="eastAsia" w:ascii="宋体" w:hAnsi="宋体" w:eastAsia="宋体" w:cs="宋体"/>
                <w:color w:val="auto"/>
                <w:kern w:val="0"/>
                <w:szCs w:val="21"/>
                <w:lang w:val="en-US" w:eastAsia="zh-CN" w:bidi="ar"/>
              </w:rPr>
              <w:t>支持编号功能，对于所有设备可进行自动批量编号。</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Cs w:val="21"/>
                <w:lang w:val="en-US" w:eastAsia="zh-CN" w:bidi="ar"/>
              </w:rPr>
              <w:t>2</w:t>
            </w:r>
            <w:r>
              <w:rPr>
                <w:rFonts w:hint="eastAsia" w:ascii="宋体" w:hAnsi="宋体" w:cs="宋体"/>
                <w:color w:val="auto"/>
                <w:kern w:val="0"/>
                <w:szCs w:val="21"/>
                <w:lang w:val="en-US" w:eastAsia="zh-CN" w:bidi="ar"/>
              </w:rPr>
              <w:t>4.</w:t>
            </w:r>
            <w:r>
              <w:rPr>
                <w:rFonts w:hint="eastAsia" w:ascii="宋体" w:hAnsi="宋体" w:eastAsia="宋体" w:cs="宋体"/>
                <w:color w:val="auto"/>
                <w:kern w:val="0"/>
                <w:szCs w:val="21"/>
                <w:lang w:val="en-US" w:eastAsia="zh-CN" w:bidi="ar"/>
              </w:rPr>
              <w:t xml:space="preserve">支持添加数据盘功能，对于有数据保存需求的用户，可以添加数据盘进行保存数据，在系统还原模式下，仍然可以保留个人相关数据。                                                                                    </w:t>
            </w:r>
          </w:p>
        </w:tc>
        <w:tc>
          <w:tcPr>
            <w:tcW w:w="756" w:type="dxa"/>
            <w:vAlign w:val="center"/>
          </w:tcPr>
          <w:p>
            <w:pPr>
              <w:widowControl/>
              <w:spacing w:line="440" w:lineRule="exact"/>
              <w:jc w:val="center"/>
              <w:textAlignment w:val="center"/>
              <w:rPr>
                <w:rFonts w:hint="eastAsia" w:ascii="宋体" w:hAnsi="宋体" w:eastAsia="宋体" w:cs="宋体"/>
                <w:color w:val="auto"/>
                <w:szCs w:val="21"/>
                <w:lang w:eastAsia="zh-CN"/>
              </w:rPr>
            </w:pPr>
            <w:r>
              <w:rPr>
                <w:rFonts w:hint="eastAsia" w:ascii="宋体" w:hAnsi="宋体" w:cs="宋体"/>
                <w:color w:val="auto"/>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2</w:t>
            </w:r>
            <w:r>
              <w:rPr>
                <w:rFonts w:hint="eastAsia" w:ascii="宋体" w:hAnsi="宋体" w:cs="宋体"/>
                <w:i w:val="0"/>
                <w:iCs w:val="0"/>
                <w:color w:val="auto"/>
                <w:kern w:val="0"/>
                <w:sz w:val="24"/>
                <w:szCs w:val="24"/>
                <w:u w:val="none"/>
                <w:lang w:val="en-US" w:eastAsia="zh-CN" w:bidi="ar"/>
              </w:rPr>
              <w:t>2</w:t>
            </w:r>
          </w:p>
        </w:tc>
        <w:tc>
          <w:tcPr>
            <w:tcW w:w="797"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天线延长线</w:t>
            </w:r>
          </w:p>
        </w:tc>
        <w:tc>
          <w:tcPr>
            <w:tcW w:w="448"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1"/>
                <w:szCs w:val="21"/>
                <w:u w:val="none"/>
                <w:lang w:val="en-US" w:eastAsia="zh-CN" w:bidi="ar"/>
              </w:rPr>
              <w:t>米</w:t>
            </w:r>
          </w:p>
        </w:tc>
        <w:tc>
          <w:tcPr>
            <w:tcW w:w="735" w:type="dxa"/>
            <w:vAlign w:val="center"/>
          </w:tcPr>
          <w:p>
            <w:pPr>
              <w:keepNext w:val="0"/>
              <w:keepLines w:val="0"/>
              <w:widowControl/>
              <w:suppressLineNumbers w:val="0"/>
              <w:jc w:val="center"/>
              <w:textAlignment w:val="center"/>
              <w:rPr>
                <w:rFonts w:hint="eastAsia" w:ascii="宋体" w:hAnsi="宋体" w:eastAsia="宋体" w:cs="宋体"/>
                <w:bCs/>
                <w:color w:val="auto"/>
                <w:kern w:val="0"/>
                <w:sz w:val="21"/>
                <w:szCs w:val="21"/>
                <w:lang w:val="en-US" w:eastAsia="zh-CN" w:bidi="ar"/>
              </w:rPr>
            </w:pPr>
            <w:r>
              <w:rPr>
                <w:rFonts w:hint="eastAsia" w:ascii="宋体" w:hAnsi="宋体" w:eastAsia="宋体" w:cs="宋体"/>
                <w:bCs/>
                <w:color w:val="auto"/>
                <w:kern w:val="0"/>
                <w:sz w:val="21"/>
                <w:szCs w:val="21"/>
                <w:lang w:val="en-US" w:eastAsia="zh-CN" w:bidi="ar"/>
              </w:rPr>
              <w:t>60</w:t>
            </w:r>
          </w:p>
        </w:tc>
        <w:tc>
          <w:tcPr>
            <w:tcW w:w="6540" w:type="dxa"/>
            <w:vAlign w:val="center"/>
          </w:tcPr>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同轴线50欧</w:t>
            </w:r>
          </w:p>
        </w:tc>
        <w:tc>
          <w:tcPr>
            <w:tcW w:w="756" w:type="dxa"/>
            <w:vAlign w:val="center"/>
          </w:tcPr>
          <w:p>
            <w:pPr>
              <w:widowControl/>
              <w:spacing w:line="440" w:lineRule="exact"/>
              <w:jc w:val="center"/>
              <w:textAlignment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2</w:t>
            </w:r>
            <w:r>
              <w:rPr>
                <w:rFonts w:hint="eastAsia" w:ascii="宋体" w:hAnsi="宋体" w:cs="宋体"/>
                <w:i w:val="0"/>
                <w:iCs w:val="0"/>
                <w:color w:val="auto"/>
                <w:kern w:val="0"/>
                <w:sz w:val="24"/>
                <w:szCs w:val="24"/>
                <w:u w:val="none"/>
                <w:lang w:val="en-US" w:eastAsia="zh-CN" w:bidi="ar"/>
              </w:rPr>
              <w:t>3</w:t>
            </w:r>
          </w:p>
        </w:tc>
        <w:tc>
          <w:tcPr>
            <w:tcW w:w="797"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定压喇叭线</w:t>
            </w:r>
          </w:p>
        </w:tc>
        <w:tc>
          <w:tcPr>
            <w:tcW w:w="448"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1"/>
                <w:szCs w:val="21"/>
                <w:u w:val="none"/>
                <w:lang w:val="en-US" w:eastAsia="zh-CN" w:bidi="ar"/>
              </w:rPr>
              <w:t>米</w:t>
            </w:r>
          </w:p>
        </w:tc>
        <w:tc>
          <w:tcPr>
            <w:tcW w:w="735"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bCs/>
                <w:color w:val="auto"/>
                <w:kern w:val="0"/>
                <w:sz w:val="21"/>
                <w:szCs w:val="21"/>
                <w:lang w:val="en-US" w:eastAsia="zh-CN" w:bidi="ar"/>
              </w:rPr>
              <w:t>2400</w:t>
            </w:r>
          </w:p>
        </w:tc>
        <w:tc>
          <w:tcPr>
            <w:tcW w:w="6540" w:type="dxa"/>
            <w:vAlign w:val="center"/>
          </w:tcPr>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1.导体材料选用优质无氧铜（OFC），单丝直径为0.195mm。20℃时每公里导体电阻≤19.5Ω。</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2.绝缘采用优质聚氯乙烯塑料，两芯颜色为：蓝、棕。</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3.两芯绞合成缆，间隙处填充聚丙烯撕裂纤维，整体用聚丙烯包带缠绕，结构圆整。</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4.护套采用优质聚氯乙烯材料，颜色为黑色，电缆外观光滑、圆整。成品外径约6.9㎜。</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5.用于室内各种设备电源或信号连接，移动布线或固定布线均可。</w:t>
            </w:r>
          </w:p>
        </w:tc>
        <w:tc>
          <w:tcPr>
            <w:tcW w:w="756" w:type="dxa"/>
            <w:vAlign w:val="center"/>
          </w:tcPr>
          <w:p>
            <w:pPr>
              <w:widowControl/>
              <w:spacing w:line="440" w:lineRule="exact"/>
              <w:jc w:val="center"/>
              <w:textAlignment w:val="center"/>
              <w:rPr>
                <w:rFonts w:hint="eastAsia" w:ascii="宋体" w:hAnsi="宋体" w:cs="宋体"/>
                <w:color w:val="auto"/>
                <w:szCs w:val="21"/>
              </w:rPr>
            </w:pPr>
            <w:r>
              <w:rPr>
                <w:rFonts w:hint="eastAsia" w:ascii="宋体" w:hAnsi="宋体" w:cs="宋体"/>
                <w:color w:val="auto"/>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2</w:t>
            </w:r>
            <w:r>
              <w:rPr>
                <w:rFonts w:hint="eastAsia" w:ascii="宋体" w:hAnsi="宋体" w:cs="宋体"/>
                <w:i w:val="0"/>
                <w:iCs w:val="0"/>
                <w:color w:val="auto"/>
                <w:kern w:val="0"/>
                <w:sz w:val="24"/>
                <w:szCs w:val="24"/>
                <w:u w:val="none"/>
                <w:lang w:val="en-US" w:eastAsia="zh-CN" w:bidi="ar"/>
              </w:rPr>
              <w:t>4</w:t>
            </w:r>
          </w:p>
        </w:tc>
        <w:tc>
          <w:tcPr>
            <w:tcW w:w="797"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音箱线</w:t>
            </w:r>
          </w:p>
        </w:tc>
        <w:tc>
          <w:tcPr>
            <w:tcW w:w="448"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1"/>
                <w:szCs w:val="21"/>
                <w:u w:val="none"/>
                <w:lang w:val="en-US" w:eastAsia="zh-CN" w:bidi="ar"/>
              </w:rPr>
              <w:t>米</w:t>
            </w:r>
          </w:p>
        </w:tc>
        <w:tc>
          <w:tcPr>
            <w:tcW w:w="735" w:type="dxa"/>
            <w:vAlign w:val="center"/>
          </w:tcPr>
          <w:p>
            <w:pPr>
              <w:keepNext w:val="0"/>
              <w:keepLines w:val="0"/>
              <w:widowControl/>
              <w:suppressLineNumbers w:val="0"/>
              <w:jc w:val="center"/>
              <w:textAlignment w:val="center"/>
              <w:rPr>
                <w:rFonts w:hint="eastAsia" w:ascii="宋体" w:hAnsi="宋体" w:eastAsia="宋体" w:cs="宋体"/>
                <w:bCs/>
                <w:color w:val="auto"/>
                <w:kern w:val="0"/>
                <w:sz w:val="21"/>
                <w:szCs w:val="21"/>
                <w:lang w:val="en-US" w:eastAsia="zh-CN" w:bidi="ar"/>
              </w:rPr>
            </w:pPr>
            <w:r>
              <w:rPr>
                <w:rFonts w:hint="eastAsia" w:ascii="宋体" w:hAnsi="宋体" w:eastAsia="宋体" w:cs="宋体"/>
                <w:bCs/>
                <w:color w:val="auto"/>
                <w:kern w:val="0"/>
                <w:sz w:val="21"/>
                <w:szCs w:val="21"/>
                <w:lang w:val="en-US" w:eastAsia="zh-CN" w:bidi="ar"/>
              </w:rPr>
              <w:t>100</w:t>
            </w:r>
          </w:p>
        </w:tc>
        <w:tc>
          <w:tcPr>
            <w:tcW w:w="6540" w:type="dxa"/>
            <w:vAlign w:val="center"/>
          </w:tcPr>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1.导体材料选用优质无氧铜（OFC），单丝直径为0.145mm。20℃时每公里导体电阻≤19.5Ω。</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2.绝缘采用优质聚氯乙烯塑料，两芯颜色为：红、黑。</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3.两芯绞合成缆，间隙处填充聚丙烯撕裂纤维，整体用聚丙烯包带缠绕，结构圆整。</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4.护套采用弹性体材料，颜色为灰色，电缆外观光滑、圆整，手感柔软。成品外径约7.7㎜。</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5.用于室内各种音响设备连接，移动布线或固定布线均可。</w:t>
            </w:r>
          </w:p>
        </w:tc>
        <w:tc>
          <w:tcPr>
            <w:tcW w:w="756" w:type="dxa"/>
            <w:vAlign w:val="center"/>
          </w:tcPr>
          <w:p>
            <w:pPr>
              <w:widowControl/>
              <w:spacing w:line="440" w:lineRule="exact"/>
              <w:jc w:val="center"/>
              <w:textAlignment w:val="center"/>
              <w:rPr>
                <w:rFonts w:hint="eastAsia" w:ascii="宋体" w:hAnsi="宋体" w:cs="宋体"/>
                <w:color w:val="auto"/>
                <w:szCs w:val="21"/>
              </w:rPr>
            </w:pPr>
            <w:r>
              <w:rPr>
                <w:rFonts w:hint="eastAsia" w:ascii="宋体" w:hAnsi="宋体" w:cs="宋体"/>
                <w:color w:val="auto"/>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2</w:t>
            </w:r>
            <w:r>
              <w:rPr>
                <w:rFonts w:hint="eastAsia" w:ascii="宋体" w:hAnsi="宋体" w:cs="宋体"/>
                <w:i w:val="0"/>
                <w:iCs w:val="0"/>
                <w:color w:val="auto"/>
                <w:kern w:val="0"/>
                <w:sz w:val="24"/>
                <w:szCs w:val="24"/>
                <w:u w:val="none"/>
                <w:lang w:val="en-US" w:eastAsia="zh-CN" w:bidi="ar"/>
              </w:rPr>
              <w:t>5</w:t>
            </w:r>
          </w:p>
        </w:tc>
        <w:tc>
          <w:tcPr>
            <w:tcW w:w="797"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音箱支架</w:t>
            </w:r>
          </w:p>
        </w:tc>
        <w:tc>
          <w:tcPr>
            <w:tcW w:w="448"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1"/>
                <w:szCs w:val="21"/>
                <w:u w:val="none"/>
                <w:lang w:val="en-US" w:eastAsia="zh-CN" w:bidi="ar"/>
              </w:rPr>
              <w:t>套</w:t>
            </w:r>
          </w:p>
        </w:tc>
        <w:tc>
          <w:tcPr>
            <w:tcW w:w="735" w:type="dxa"/>
            <w:vAlign w:val="center"/>
          </w:tcPr>
          <w:p>
            <w:pPr>
              <w:keepNext w:val="0"/>
              <w:keepLines w:val="0"/>
              <w:widowControl/>
              <w:suppressLineNumbers w:val="0"/>
              <w:jc w:val="center"/>
              <w:textAlignment w:val="center"/>
              <w:rPr>
                <w:rFonts w:hint="eastAsia" w:ascii="宋体" w:hAnsi="宋体" w:eastAsia="宋体" w:cs="宋体"/>
                <w:bCs/>
                <w:color w:val="auto"/>
                <w:kern w:val="0"/>
                <w:sz w:val="21"/>
                <w:szCs w:val="21"/>
                <w:lang w:val="en-US" w:eastAsia="zh-CN" w:bidi="ar"/>
              </w:rPr>
            </w:pPr>
            <w:r>
              <w:rPr>
                <w:rFonts w:hint="eastAsia" w:ascii="宋体" w:hAnsi="宋体" w:eastAsia="宋体" w:cs="宋体"/>
                <w:bCs/>
                <w:color w:val="auto"/>
                <w:kern w:val="0"/>
                <w:sz w:val="21"/>
                <w:szCs w:val="21"/>
                <w:lang w:val="en-US" w:eastAsia="zh-CN" w:bidi="ar"/>
              </w:rPr>
              <w:t>2</w:t>
            </w:r>
          </w:p>
        </w:tc>
        <w:tc>
          <w:tcPr>
            <w:tcW w:w="6540" w:type="dxa"/>
            <w:vAlign w:val="center"/>
          </w:tcPr>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多功能壁装支架；</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灵活可调角度，可水平方向180°，垂直方向30º调整，满足音箱室内音场调整需求；</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解决完善传统吊挂、使用中的不足，操作简单，吊挂迅速，使用方便可靠。</w:t>
            </w:r>
          </w:p>
        </w:tc>
        <w:tc>
          <w:tcPr>
            <w:tcW w:w="756" w:type="dxa"/>
            <w:vAlign w:val="center"/>
          </w:tcPr>
          <w:p>
            <w:pPr>
              <w:widowControl/>
              <w:spacing w:line="440" w:lineRule="exact"/>
              <w:jc w:val="center"/>
              <w:textAlignment w:val="center"/>
              <w:rPr>
                <w:rFonts w:hint="eastAsia" w:ascii="宋体" w:hAnsi="宋体" w:cs="宋体"/>
                <w:color w:val="auto"/>
                <w:szCs w:val="21"/>
              </w:rPr>
            </w:pPr>
            <w:r>
              <w:rPr>
                <w:rFonts w:hint="eastAsia" w:ascii="宋体" w:hAnsi="宋体" w:cs="宋体"/>
                <w:color w:val="auto"/>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2</w:t>
            </w:r>
            <w:r>
              <w:rPr>
                <w:rFonts w:hint="eastAsia" w:ascii="宋体" w:hAnsi="宋体" w:cs="宋体"/>
                <w:i w:val="0"/>
                <w:iCs w:val="0"/>
                <w:color w:val="auto"/>
                <w:kern w:val="0"/>
                <w:sz w:val="24"/>
                <w:szCs w:val="24"/>
                <w:u w:val="none"/>
                <w:lang w:val="en-US" w:eastAsia="zh-CN" w:bidi="ar"/>
              </w:rPr>
              <w:t>6</w:t>
            </w:r>
          </w:p>
        </w:tc>
        <w:tc>
          <w:tcPr>
            <w:tcW w:w="797"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机柜（会议室）</w:t>
            </w:r>
          </w:p>
        </w:tc>
        <w:tc>
          <w:tcPr>
            <w:tcW w:w="448"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1"/>
                <w:szCs w:val="21"/>
                <w:u w:val="none"/>
                <w:lang w:val="en-US" w:eastAsia="zh-CN" w:bidi="ar"/>
              </w:rPr>
              <w:t>台</w:t>
            </w:r>
          </w:p>
        </w:tc>
        <w:tc>
          <w:tcPr>
            <w:tcW w:w="735" w:type="dxa"/>
            <w:vAlign w:val="center"/>
          </w:tcPr>
          <w:p>
            <w:pPr>
              <w:keepNext w:val="0"/>
              <w:keepLines w:val="0"/>
              <w:widowControl/>
              <w:suppressLineNumbers w:val="0"/>
              <w:jc w:val="center"/>
              <w:textAlignment w:val="center"/>
              <w:rPr>
                <w:rFonts w:hint="eastAsia" w:ascii="宋体" w:hAnsi="宋体" w:eastAsia="宋体" w:cs="宋体"/>
                <w:bCs/>
                <w:color w:val="auto"/>
                <w:kern w:val="0"/>
                <w:sz w:val="21"/>
                <w:szCs w:val="21"/>
                <w:highlight w:val="none"/>
                <w:lang w:val="en-US" w:eastAsia="zh-CN" w:bidi="ar"/>
              </w:rPr>
            </w:pPr>
            <w:r>
              <w:rPr>
                <w:rFonts w:hint="eastAsia" w:ascii="宋体" w:hAnsi="宋体" w:eastAsia="宋体" w:cs="宋体"/>
                <w:bCs/>
                <w:color w:val="auto"/>
                <w:kern w:val="0"/>
                <w:sz w:val="21"/>
                <w:szCs w:val="21"/>
                <w:highlight w:val="none"/>
                <w:lang w:val="en-US" w:eastAsia="zh-CN" w:bidi="ar"/>
              </w:rPr>
              <w:t>1</w:t>
            </w:r>
          </w:p>
        </w:tc>
        <w:tc>
          <w:tcPr>
            <w:tcW w:w="6540" w:type="dxa"/>
            <w:vAlign w:val="center"/>
          </w:tcPr>
          <w:p>
            <w:pPr>
              <w:widowControl/>
              <w:spacing w:line="440" w:lineRule="exact"/>
              <w:jc w:val="left"/>
              <w:textAlignment w:val="center"/>
              <w:rPr>
                <w:rFonts w:hint="eastAsia"/>
                <w:highlight w:val="none"/>
              </w:rPr>
            </w:pPr>
            <w:r>
              <w:rPr>
                <w:rFonts w:hint="eastAsia"/>
                <w:highlight w:val="none"/>
              </w:rPr>
              <w:t>1.专业广播机柜，行业标准产品尺寸设计；</w:t>
            </w:r>
          </w:p>
          <w:p>
            <w:pPr>
              <w:widowControl/>
              <w:spacing w:line="440" w:lineRule="exact"/>
              <w:jc w:val="left"/>
              <w:textAlignment w:val="center"/>
              <w:rPr>
                <w:rFonts w:hint="eastAsia"/>
                <w:highlight w:val="none"/>
              </w:rPr>
            </w:pPr>
            <w:r>
              <w:rPr>
                <w:rFonts w:hint="eastAsia"/>
                <w:highlight w:val="none"/>
              </w:rPr>
              <w:t>2.模块拆卸式，钢化玻璃，便于运输及安装；</w:t>
            </w:r>
          </w:p>
          <w:p>
            <w:pPr>
              <w:widowControl/>
              <w:spacing w:line="440" w:lineRule="exact"/>
              <w:jc w:val="left"/>
              <w:textAlignment w:val="center"/>
              <w:rPr>
                <w:rFonts w:hint="eastAsia"/>
                <w:highlight w:val="none"/>
              </w:rPr>
            </w:pPr>
            <w:r>
              <w:rPr>
                <w:rFonts w:hint="eastAsia"/>
                <w:highlight w:val="none"/>
              </w:rPr>
              <w:t xml:space="preserve">3.选用优质2mm冷轧钢板制作，安全耐用；                                                                                                                </w:t>
            </w:r>
          </w:p>
          <w:p>
            <w:pPr>
              <w:widowControl/>
              <w:spacing w:line="440" w:lineRule="exact"/>
              <w:jc w:val="left"/>
              <w:textAlignment w:val="center"/>
              <w:rPr>
                <w:rFonts w:hint="eastAsia"/>
                <w:highlight w:val="none"/>
              </w:rPr>
            </w:pPr>
            <w:r>
              <w:rPr>
                <w:rFonts w:hint="eastAsia"/>
                <w:highlight w:val="none"/>
              </w:rPr>
              <w:t>4.容量：22U；</w:t>
            </w:r>
          </w:p>
          <w:p>
            <w:pPr>
              <w:widowControl/>
              <w:spacing w:line="440" w:lineRule="exact"/>
              <w:jc w:val="left"/>
              <w:textAlignment w:val="center"/>
              <w:rPr>
                <w:rFonts w:hint="eastAsia"/>
                <w:highlight w:val="none"/>
              </w:rPr>
            </w:pPr>
            <w:r>
              <w:rPr>
                <w:rFonts w:hint="eastAsia"/>
                <w:highlight w:val="none"/>
              </w:rPr>
              <w:t>5.产品尺寸：600mm×600mm×1200mm；</w:t>
            </w:r>
          </w:p>
          <w:p>
            <w:pPr>
              <w:widowControl/>
              <w:spacing w:line="440" w:lineRule="exact"/>
              <w:jc w:val="left"/>
              <w:textAlignment w:val="center"/>
              <w:rPr>
                <w:rFonts w:hint="eastAsia"/>
                <w:highlight w:val="none"/>
              </w:rPr>
            </w:pPr>
            <w:r>
              <w:rPr>
                <w:rFonts w:hint="eastAsia"/>
                <w:highlight w:val="none"/>
              </w:rPr>
              <w:t>6、散热装置：风扇*1；</w:t>
            </w:r>
          </w:p>
          <w:p>
            <w:pPr>
              <w:widowControl/>
              <w:spacing w:line="440" w:lineRule="exact"/>
              <w:jc w:val="left"/>
              <w:textAlignment w:val="center"/>
              <w:rPr>
                <w:rFonts w:hint="eastAsia"/>
                <w:highlight w:val="none"/>
              </w:rPr>
            </w:pPr>
            <w:r>
              <w:rPr>
                <w:rFonts w:hint="eastAsia"/>
                <w:highlight w:val="none"/>
              </w:rPr>
              <w:t>7.颜色：黑色；</w:t>
            </w:r>
          </w:p>
          <w:p>
            <w:pPr>
              <w:widowControl/>
              <w:spacing w:line="440" w:lineRule="exact"/>
              <w:jc w:val="left"/>
              <w:textAlignment w:val="center"/>
              <w:rPr>
                <w:rFonts w:hint="eastAsia"/>
                <w:highlight w:val="none"/>
              </w:rPr>
            </w:pPr>
            <w:r>
              <w:rPr>
                <w:rFonts w:hint="eastAsia"/>
                <w:highlight w:val="none"/>
              </w:rPr>
              <w:t>8.材料：采用高强度进口冷轧钢板及高强度的钢化玻璃</w:t>
            </w:r>
          </w:p>
          <w:p>
            <w:pPr>
              <w:widowControl/>
              <w:spacing w:line="440" w:lineRule="exact"/>
              <w:jc w:val="left"/>
              <w:textAlignment w:val="center"/>
              <w:rPr>
                <w:rFonts w:hint="eastAsia"/>
                <w:highlight w:val="none"/>
              </w:rPr>
            </w:pPr>
            <w:r>
              <w:rPr>
                <w:rFonts w:hint="eastAsia"/>
                <w:highlight w:val="none"/>
              </w:rPr>
              <w:t>9.表层处理：脱脂 酸洗 磷化 静电喷喷塑</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highlight w:val="none"/>
              </w:rPr>
              <w:t>10.粉沫：采用ICI专业高强度粉沫，确保每件产品达到BS6497国际标准</w:t>
            </w:r>
          </w:p>
        </w:tc>
        <w:tc>
          <w:tcPr>
            <w:tcW w:w="756" w:type="dxa"/>
            <w:vAlign w:val="center"/>
          </w:tcPr>
          <w:p>
            <w:pPr>
              <w:widowControl/>
              <w:spacing w:line="440" w:lineRule="exact"/>
              <w:jc w:val="center"/>
              <w:textAlignment w:val="center"/>
              <w:rPr>
                <w:rFonts w:hint="eastAsia" w:ascii="宋体" w:hAnsi="宋体" w:cs="宋体"/>
                <w:color w:val="auto"/>
                <w:szCs w:val="21"/>
              </w:rPr>
            </w:pPr>
            <w:r>
              <w:rPr>
                <w:rFonts w:hint="eastAsia" w:ascii="宋体" w:hAnsi="宋体" w:cs="宋体"/>
                <w:color w:val="auto"/>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2</w:t>
            </w:r>
            <w:r>
              <w:rPr>
                <w:rFonts w:hint="eastAsia" w:ascii="宋体" w:hAnsi="宋体" w:cs="宋体"/>
                <w:i w:val="0"/>
                <w:iCs w:val="0"/>
                <w:color w:val="auto"/>
                <w:kern w:val="0"/>
                <w:sz w:val="24"/>
                <w:szCs w:val="24"/>
                <w:u w:val="none"/>
                <w:lang w:val="en-US" w:eastAsia="zh-CN" w:bidi="ar"/>
              </w:rPr>
              <w:t>7</w:t>
            </w:r>
          </w:p>
        </w:tc>
        <w:tc>
          <w:tcPr>
            <w:tcW w:w="797"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机柜（广播机房）</w:t>
            </w:r>
          </w:p>
        </w:tc>
        <w:tc>
          <w:tcPr>
            <w:tcW w:w="448"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1"/>
                <w:szCs w:val="21"/>
                <w:u w:val="none"/>
                <w:lang w:val="en-US" w:eastAsia="zh-CN" w:bidi="ar"/>
              </w:rPr>
              <w:t>台</w:t>
            </w:r>
          </w:p>
        </w:tc>
        <w:tc>
          <w:tcPr>
            <w:tcW w:w="735" w:type="dxa"/>
            <w:vAlign w:val="center"/>
          </w:tcPr>
          <w:p>
            <w:pPr>
              <w:keepNext w:val="0"/>
              <w:keepLines w:val="0"/>
              <w:widowControl/>
              <w:suppressLineNumbers w:val="0"/>
              <w:jc w:val="center"/>
              <w:textAlignment w:val="center"/>
              <w:rPr>
                <w:rFonts w:hint="eastAsia" w:ascii="宋体" w:hAnsi="宋体" w:eastAsia="宋体" w:cs="宋体"/>
                <w:bCs/>
                <w:color w:val="auto"/>
                <w:kern w:val="0"/>
                <w:sz w:val="21"/>
                <w:szCs w:val="21"/>
                <w:lang w:val="en-US" w:eastAsia="zh-CN" w:bidi="ar"/>
              </w:rPr>
            </w:pPr>
            <w:r>
              <w:rPr>
                <w:rFonts w:hint="eastAsia" w:ascii="宋体" w:hAnsi="宋体" w:eastAsia="宋体" w:cs="宋体"/>
                <w:bCs/>
                <w:color w:val="auto"/>
                <w:kern w:val="0"/>
                <w:sz w:val="21"/>
                <w:szCs w:val="21"/>
                <w:lang w:val="en-US" w:eastAsia="zh-CN" w:bidi="ar"/>
              </w:rPr>
              <w:t>1</w:t>
            </w:r>
          </w:p>
        </w:tc>
        <w:tc>
          <w:tcPr>
            <w:tcW w:w="6540" w:type="dxa"/>
            <w:vAlign w:val="center"/>
          </w:tcPr>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1.专业广播机柜，行业标准产品尺寸设计；</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2.模块拆卸式，钢化玻璃，便于运输及安装；</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3.选用优质2mm冷轧钢板制作，安全耐用；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4.容量：37U；</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5.产品尺寸：600mm×600mm×1800mm；</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6、散热装置：风扇*1；</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7.颜色：黑色；</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8.材料：采用高强度进口冷轧钢板及高强度的钢化玻璃</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9.表层处理：脱脂 酸洗 磷化 静电喷喷塑</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10.粉沫：采用ICI专业高强度粉沫，确保每件产品达到BS6497国际标准</w:t>
            </w:r>
          </w:p>
        </w:tc>
        <w:tc>
          <w:tcPr>
            <w:tcW w:w="756" w:type="dxa"/>
            <w:vAlign w:val="center"/>
          </w:tcPr>
          <w:p>
            <w:pPr>
              <w:widowControl/>
              <w:spacing w:line="440" w:lineRule="exact"/>
              <w:jc w:val="center"/>
              <w:textAlignment w:val="center"/>
              <w:rPr>
                <w:rFonts w:hint="eastAsia" w:ascii="宋体" w:hAnsi="宋体" w:cs="宋体"/>
                <w:color w:val="auto"/>
                <w:szCs w:val="21"/>
              </w:rPr>
            </w:pPr>
            <w:r>
              <w:rPr>
                <w:rFonts w:hint="eastAsia" w:ascii="宋体" w:hAnsi="宋体" w:cs="宋体"/>
                <w:color w:val="auto"/>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2</w:t>
            </w:r>
            <w:r>
              <w:rPr>
                <w:rFonts w:hint="eastAsia" w:ascii="宋体" w:hAnsi="宋体" w:cs="宋体"/>
                <w:i w:val="0"/>
                <w:iCs w:val="0"/>
                <w:color w:val="auto"/>
                <w:kern w:val="0"/>
                <w:sz w:val="24"/>
                <w:szCs w:val="24"/>
                <w:u w:val="none"/>
                <w:lang w:val="en-US" w:eastAsia="zh-CN" w:bidi="ar"/>
              </w:rPr>
              <w:t>8</w:t>
            </w:r>
          </w:p>
        </w:tc>
        <w:tc>
          <w:tcPr>
            <w:tcW w:w="797"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线管</w:t>
            </w:r>
          </w:p>
        </w:tc>
        <w:tc>
          <w:tcPr>
            <w:tcW w:w="448"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1"/>
                <w:szCs w:val="21"/>
                <w:u w:val="none"/>
                <w:lang w:val="en-US" w:eastAsia="zh-CN" w:bidi="ar"/>
              </w:rPr>
              <w:t>米</w:t>
            </w:r>
          </w:p>
        </w:tc>
        <w:tc>
          <w:tcPr>
            <w:tcW w:w="735" w:type="dxa"/>
            <w:vAlign w:val="center"/>
          </w:tcPr>
          <w:p>
            <w:pPr>
              <w:keepNext w:val="0"/>
              <w:keepLines w:val="0"/>
              <w:widowControl/>
              <w:suppressLineNumbers w:val="0"/>
              <w:jc w:val="center"/>
              <w:textAlignment w:val="center"/>
              <w:rPr>
                <w:rFonts w:hint="eastAsia" w:ascii="宋体" w:hAnsi="宋体" w:eastAsia="宋体" w:cs="宋体"/>
                <w:bCs/>
                <w:color w:val="auto"/>
                <w:kern w:val="0"/>
                <w:sz w:val="21"/>
                <w:szCs w:val="21"/>
                <w:lang w:val="en-US" w:eastAsia="zh-CN" w:bidi="ar"/>
              </w:rPr>
            </w:pPr>
            <w:r>
              <w:rPr>
                <w:rFonts w:hint="eastAsia" w:ascii="宋体" w:hAnsi="宋体" w:eastAsia="宋体" w:cs="宋体"/>
                <w:bCs/>
                <w:color w:val="auto"/>
                <w:kern w:val="0"/>
                <w:sz w:val="21"/>
                <w:szCs w:val="21"/>
                <w:lang w:val="en-US" w:eastAsia="zh-CN" w:bidi="ar"/>
              </w:rPr>
              <w:t>2700</w:t>
            </w:r>
          </w:p>
        </w:tc>
        <w:tc>
          <w:tcPr>
            <w:tcW w:w="6540" w:type="dxa"/>
            <w:vAlign w:val="center"/>
          </w:tcPr>
          <w:p>
            <w:pPr>
              <w:keepNext w:val="0"/>
              <w:keepLines w:val="0"/>
              <w:widowControl/>
              <w:suppressLineNumbers w:val="0"/>
              <w:jc w:val="left"/>
              <w:textAlignment w:val="center"/>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DN=25mm，厚度：1.8mm</w:t>
            </w:r>
            <w:r>
              <w:rPr>
                <w:rFonts w:hint="eastAsia" w:ascii="宋体" w:hAnsi="宋体" w:cs="宋体"/>
                <w:i w:val="0"/>
                <w:iCs w:val="0"/>
                <w:color w:val="auto"/>
                <w:kern w:val="0"/>
                <w:sz w:val="21"/>
                <w:szCs w:val="21"/>
                <w:highlight w:val="none"/>
                <w:u w:val="none"/>
                <w:lang w:val="en-US" w:eastAsia="zh-CN" w:bidi="ar"/>
              </w:rPr>
              <w:t>，白色，</w:t>
            </w:r>
            <w:r>
              <w:rPr>
                <w:rFonts w:hint="eastAsia" w:ascii="宋体" w:hAnsi="宋体" w:eastAsia="宋体" w:cs="宋体"/>
                <w:color w:val="auto"/>
                <w:kern w:val="0"/>
                <w:sz w:val="21"/>
                <w:szCs w:val="21"/>
                <w:highlight w:val="none"/>
                <w:lang w:val="en-US" w:eastAsia="zh-CN" w:bidi="ar"/>
              </w:rPr>
              <w:t>材料：</w:t>
            </w:r>
            <w:r>
              <w:rPr>
                <w:rFonts w:hint="eastAsia" w:ascii="宋体" w:hAnsi="宋体" w:cs="宋体"/>
                <w:color w:val="auto"/>
                <w:kern w:val="0"/>
                <w:sz w:val="21"/>
                <w:szCs w:val="21"/>
                <w:highlight w:val="none"/>
                <w:lang w:val="en-US" w:eastAsia="zh-CN" w:bidi="ar"/>
              </w:rPr>
              <w:t>PVC</w:t>
            </w:r>
          </w:p>
        </w:tc>
        <w:tc>
          <w:tcPr>
            <w:tcW w:w="756" w:type="dxa"/>
            <w:vAlign w:val="center"/>
          </w:tcPr>
          <w:p>
            <w:pPr>
              <w:widowControl/>
              <w:spacing w:line="440" w:lineRule="exact"/>
              <w:jc w:val="center"/>
              <w:textAlignment w:val="center"/>
              <w:rPr>
                <w:rFonts w:hint="eastAsia" w:ascii="宋体" w:hAnsi="宋体" w:cs="宋体"/>
                <w:color w:val="auto"/>
                <w:szCs w:val="21"/>
              </w:rPr>
            </w:pPr>
            <w:r>
              <w:rPr>
                <w:rFonts w:hint="eastAsia" w:ascii="宋体" w:hAnsi="宋体" w:cs="宋体"/>
                <w:color w:val="auto"/>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2</w:t>
            </w:r>
            <w:r>
              <w:rPr>
                <w:rFonts w:hint="eastAsia" w:ascii="宋体" w:hAnsi="宋体" w:cs="宋体"/>
                <w:i w:val="0"/>
                <w:iCs w:val="0"/>
                <w:color w:val="auto"/>
                <w:kern w:val="0"/>
                <w:sz w:val="24"/>
                <w:szCs w:val="24"/>
                <w:u w:val="none"/>
                <w:lang w:val="en-US" w:eastAsia="zh-CN" w:bidi="ar"/>
              </w:rPr>
              <w:t>9</w:t>
            </w:r>
          </w:p>
        </w:tc>
        <w:tc>
          <w:tcPr>
            <w:tcW w:w="797"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施工辅材</w:t>
            </w:r>
          </w:p>
        </w:tc>
        <w:tc>
          <w:tcPr>
            <w:tcW w:w="448"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1"/>
                <w:szCs w:val="21"/>
                <w:u w:val="none"/>
                <w:lang w:val="en-US" w:eastAsia="zh-CN" w:bidi="ar"/>
              </w:rPr>
              <w:t>项</w:t>
            </w:r>
          </w:p>
        </w:tc>
        <w:tc>
          <w:tcPr>
            <w:tcW w:w="735" w:type="dxa"/>
            <w:vAlign w:val="center"/>
          </w:tcPr>
          <w:p>
            <w:pPr>
              <w:keepNext w:val="0"/>
              <w:keepLines w:val="0"/>
              <w:widowControl/>
              <w:suppressLineNumbers w:val="0"/>
              <w:jc w:val="center"/>
              <w:textAlignment w:val="center"/>
              <w:rPr>
                <w:rFonts w:hint="eastAsia" w:ascii="宋体" w:hAnsi="宋体" w:eastAsia="宋体" w:cs="宋体"/>
                <w:bCs/>
                <w:color w:val="auto"/>
                <w:kern w:val="0"/>
                <w:sz w:val="21"/>
                <w:szCs w:val="21"/>
                <w:lang w:val="en-US" w:eastAsia="zh-CN" w:bidi="ar"/>
              </w:rPr>
            </w:pPr>
            <w:r>
              <w:rPr>
                <w:rFonts w:hint="eastAsia" w:ascii="宋体" w:hAnsi="宋体" w:eastAsia="宋体" w:cs="宋体"/>
                <w:bCs/>
                <w:color w:val="auto"/>
                <w:kern w:val="0"/>
                <w:sz w:val="21"/>
                <w:szCs w:val="21"/>
                <w:lang w:val="en-US" w:eastAsia="zh-CN" w:bidi="ar"/>
              </w:rPr>
              <w:t>1</w:t>
            </w:r>
          </w:p>
        </w:tc>
        <w:tc>
          <w:tcPr>
            <w:tcW w:w="6540" w:type="dxa"/>
            <w:vAlign w:val="center"/>
          </w:tcPr>
          <w:p>
            <w:pPr>
              <w:keepNext w:val="0"/>
              <w:keepLines w:val="0"/>
              <w:widowControl/>
              <w:suppressLineNumbers w:val="0"/>
              <w:jc w:val="left"/>
              <w:textAlignment w:val="center"/>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i w:val="0"/>
                <w:iCs w:val="0"/>
                <w:color w:val="auto"/>
                <w:kern w:val="0"/>
                <w:sz w:val="21"/>
                <w:szCs w:val="21"/>
                <w:u w:val="none"/>
                <w:lang w:val="en-US" w:eastAsia="zh-CN" w:bidi="ar"/>
              </w:rPr>
              <w:t>国标五金，配套辅材</w:t>
            </w:r>
          </w:p>
        </w:tc>
        <w:tc>
          <w:tcPr>
            <w:tcW w:w="756" w:type="dxa"/>
            <w:vAlign w:val="center"/>
          </w:tcPr>
          <w:p>
            <w:pPr>
              <w:widowControl/>
              <w:spacing w:line="440" w:lineRule="exact"/>
              <w:jc w:val="center"/>
              <w:textAlignment w:val="center"/>
              <w:rPr>
                <w:rFonts w:hint="eastAsia" w:ascii="宋体" w:hAnsi="宋体" w:cs="宋体"/>
                <w:color w:val="auto"/>
                <w:szCs w:val="21"/>
              </w:rPr>
            </w:pPr>
            <w:r>
              <w:rPr>
                <w:rFonts w:hint="eastAsia" w:ascii="宋体" w:hAnsi="宋体" w:cs="宋体"/>
                <w:color w:val="auto"/>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keepNext w:val="0"/>
              <w:keepLines w:val="0"/>
              <w:widowControl/>
              <w:suppressLineNumbers w:val="0"/>
              <w:jc w:val="center"/>
              <w:textAlignment w:val="center"/>
              <w:rPr>
                <w:rFonts w:hint="default" w:hAnsi="宋体" w:cs="宋体"/>
                <w:bCs/>
                <w:color w:val="auto"/>
                <w:sz w:val="21"/>
                <w:szCs w:val="21"/>
                <w:lang w:val="en-US" w:eastAsia="zh-CN" w:bidi="ar"/>
              </w:rPr>
            </w:pPr>
            <w:r>
              <w:rPr>
                <w:rFonts w:hint="eastAsia" w:ascii="宋体" w:hAnsi="宋体" w:cs="宋体"/>
                <w:i w:val="0"/>
                <w:iCs w:val="0"/>
                <w:color w:val="auto"/>
                <w:kern w:val="0"/>
                <w:sz w:val="24"/>
                <w:szCs w:val="24"/>
                <w:u w:val="none"/>
                <w:lang w:val="en-US" w:eastAsia="zh-CN" w:bidi="ar"/>
              </w:rPr>
              <w:t>30</w:t>
            </w:r>
          </w:p>
        </w:tc>
        <w:tc>
          <w:tcPr>
            <w:tcW w:w="797"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系统施工费</w:t>
            </w:r>
          </w:p>
        </w:tc>
        <w:tc>
          <w:tcPr>
            <w:tcW w:w="448"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1"/>
                <w:szCs w:val="21"/>
                <w:u w:val="none"/>
                <w:lang w:val="en-US" w:eastAsia="zh-CN" w:bidi="ar"/>
              </w:rPr>
              <w:t>项</w:t>
            </w:r>
          </w:p>
        </w:tc>
        <w:tc>
          <w:tcPr>
            <w:tcW w:w="735" w:type="dxa"/>
            <w:vAlign w:val="center"/>
          </w:tcPr>
          <w:p>
            <w:pPr>
              <w:keepNext w:val="0"/>
              <w:keepLines w:val="0"/>
              <w:widowControl/>
              <w:suppressLineNumbers w:val="0"/>
              <w:jc w:val="center"/>
              <w:textAlignment w:val="center"/>
              <w:rPr>
                <w:rFonts w:hint="eastAsia" w:ascii="宋体" w:hAnsi="宋体" w:eastAsia="宋体" w:cs="宋体"/>
                <w:bCs/>
                <w:color w:val="auto"/>
                <w:kern w:val="0"/>
                <w:sz w:val="21"/>
                <w:szCs w:val="21"/>
                <w:lang w:val="en-US" w:eastAsia="zh-CN" w:bidi="ar"/>
              </w:rPr>
            </w:pPr>
            <w:r>
              <w:rPr>
                <w:rFonts w:hint="eastAsia" w:ascii="宋体" w:hAnsi="宋体" w:eastAsia="宋体" w:cs="宋体"/>
                <w:bCs/>
                <w:color w:val="auto"/>
                <w:kern w:val="0"/>
                <w:sz w:val="21"/>
                <w:szCs w:val="21"/>
                <w:lang w:val="en-US" w:eastAsia="zh-CN" w:bidi="ar"/>
              </w:rPr>
              <w:t>1</w:t>
            </w:r>
          </w:p>
        </w:tc>
        <w:tc>
          <w:tcPr>
            <w:tcW w:w="6540" w:type="dxa"/>
            <w:vAlign w:val="center"/>
          </w:tcPr>
          <w:p>
            <w:pPr>
              <w:keepNext w:val="0"/>
              <w:keepLines w:val="0"/>
              <w:widowControl/>
              <w:suppressLineNumbers w:val="0"/>
              <w:jc w:val="left"/>
              <w:textAlignment w:val="center"/>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i w:val="0"/>
                <w:iCs w:val="0"/>
                <w:color w:val="auto"/>
                <w:kern w:val="0"/>
                <w:sz w:val="21"/>
                <w:szCs w:val="21"/>
                <w:u w:val="none"/>
                <w:lang w:val="en-US" w:eastAsia="zh-CN" w:bidi="ar"/>
              </w:rPr>
              <w:t>含：设备安装、调试，综合布线，使用培训，售后服务等</w:t>
            </w:r>
          </w:p>
        </w:tc>
        <w:tc>
          <w:tcPr>
            <w:tcW w:w="756" w:type="dxa"/>
            <w:vAlign w:val="center"/>
          </w:tcPr>
          <w:p>
            <w:pPr>
              <w:widowControl/>
              <w:spacing w:line="440" w:lineRule="exact"/>
              <w:jc w:val="center"/>
              <w:textAlignment w:val="center"/>
              <w:rPr>
                <w:rFonts w:hint="eastAsia" w:ascii="宋体" w:hAnsi="宋体" w:cs="宋体"/>
                <w:color w:val="auto"/>
                <w:szCs w:val="21"/>
              </w:rPr>
            </w:pPr>
            <w:r>
              <w:rPr>
                <w:rFonts w:hint="eastAsia"/>
                <w:color w:val="auto"/>
                <w:lang w:val="en-US" w:eastAsia="zh-CN"/>
              </w:rPr>
              <w:t>信息技术服务业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17" w:type="dxa"/>
            <w:gridSpan w:val="6"/>
            <w:vAlign w:val="center"/>
          </w:tcPr>
          <w:p>
            <w:pPr>
              <w:widowControl/>
              <w:spacing w:line="440" w:lineRule="exact"/>
              <w:jc w:val="both"/>
              <w:textAlignment w:val="center"/>
              <w:rPr>
                <w:rFonts w:hint="eastAsia" w:ascii="宋体" w:hAnsi="宋体" w:cs="宋体"/>
                <w:color w:val="auto"/>
                <w:szCs w:val="21"/>
              </w:rPr>
            </w:pPr>
            <w:r>
              <w:rPr>
                <w:rFonts w:hint="eastAsia" w:ascii="宋体" w:hAnsi="宋体" w:cs="宋体"/>
                <w:b/>
                <w:bCs/>
                <w:color w:val="auto"/>
                <w:szCs w:val="21"/>
              </w:rPr>
              <w:t>（</w:t>
            </w:r>
            <w:r>
              <w:rPr>
                <w:rFonts w:hint="eastAsia" w:ascii="宋体" w:hAnsi="宋体" w:cs="宋体"/>
                <w:b/>
                <w:bCs/>
                <w:color w:val="auto"/>
                <w:szCs w:val="21"/>
                <w:highlight w:val="none"/>
                <w:lang w:val="en-US" w:eastAsia="zh-CN"/>
              </w:rPr>
              <w:t>五</w:t>
            </w:r>
            <w:r>
              <w:rPr>
                <w:rFonts w:hint="eastAsia" w:ascii="宋体" w:hAnsi="宋体" w:cs="宋体"/>
                <w:b/>
                <w:bCs/>
                <w:color w:val="auto"/>
                <w:szCs w:val="21"/>
              </w:rPr>
              <w:t>）</w:t>
            </w:r>
            <w:r>
              <w:rPr>
                <w:rFonts w:hint="eastAsia" w:ascii="宋体" w:hAnsi="宋体" w:eastAsia="宋体" w:cs="宋体"/>
                <w:b/>
                <w:bCs/>
                <w:color w:val="auto"/>
                <w:sz w:val="24"/>
                <w:szCs w:val="24"/>
                <w:vertAlign w:val="baseline"/>
                <w:lang w:val="en-US" w:eastAsia="zh-CN"/>
              </w:rPr>
              <w:t>校园广播系统（</w:t>
            </w:r>
            <w:r>
              <w:rPr>
                <w:rFonts w:hint="eastAsia" w:ascii="宋体" w:hAnsi="宋体" w:cs="宋体"/>
                <w:b/>
                <w:bCs/>
                <w:color w:val="auto"/>
                <w:sz w:val="24"/>
                <w:szCs w:val="24"/>
                <w:vertAlign w:val="baseline"/>
                <w:lang w:val="en-US" w:eastAsia="zh-CN"/>
              </w:rPr>
              <w:t>60</w:t>
            </w:r>
            <w:r>
              <w:rPr>
                <w:rFonts w:hint="eastAsia" w:ascii="宋体" w:hAnsi="宋体" w:eastAsia="宋体" w:cs="宋体"/>
                <w:b/>
                <w:bCs/>
                <w:color w:val="auto"/>
                <w:sz w:val="24"/>
                <w:szCs w:val="24"/>
                <w:vertAlign w:val="baseline"/>
                <w:lang w:val="en-US" w:eastAsia="zh-CN"/>
              </w:rPr>
              <w:t>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17" w:type="dxa"/>
            <w:gridSpan w:val="6"/>
            <w:vAlign w:val="center"/>
          </w:tcPr>
          <w:p>
            <w:pPr>
              <w:widowControl/>
              <w:spacing w:line="440" w:lineRule="exact"/>
              <w:jc w:val="left"/>
              <w:textAlignment w:val="center"/>
              <w:rPr>
                <w:rFonts w:hint="eastAsia" w:ascii="宋体" w:hAnsi="宋体" w:cs="宋体"/>
                <w:color w:val="auto"/>
                <w:szCs w:val="21"/>
              </w:rPr>
            </w:pPr>
            <w:r>
              <w:rPr>
                <w:rFonts w:hint="eastAsia" w:ascii="宋体" w:hAnsi="宋体" w:cs="宋体"/>
                <w:b/>
                <w:bCs/>
                <w:color w:val="auto"/>
                <w:szCs w:val="21"/>
                <w:lang w:eastAsia="zh-CN"/>
              </w:rPr>
              <w:t>（</w:t>
            </w:r>
            <w:r>
              <w:rPr>
                <w:rFonts w:hint="eastAsia" w:ascii="宋体" w:hAnsi="宋体" w:cs="宋体"/>
                <w:b/>
                <w:bCs/>
                <w:color w:val="auto"/>
                <w:szCs w:val="21"/>
                <w:lang w:val="en-US" w:eastAsia="zh-CN"/>
              </w:rPr>
              <w:t>1</w:t>
            </w:r>
            <w:r>
              <w:rPr>
                <w:rFonts w:hint="eastAsia" w:ascii="宋体" w:hAnsi="宋体" w:cs="宋体"/>
                <w:b/>
                <w:bCs/>
                <w:color w:val="auto"/>
                <w:szCs w:val="21"/>
                <w:lang w:eastAsia="zh-CN"/>
              </w:rPr>
              <w:t>）</w:t>
            </w:r>
            <w:r>
              <w:rPr>
                <w:rFonts w:hint="eastAsia" w:ascii="宋体" w:hAnsi="宋体" w:cs="宋体"/>
                <w:color w:val="auto"/>
                <w:szCs w:val="21"/>
              </w:rPr>
              <w:t>机房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1</w:t>
            </w:r>
          </w:p>
        </w:tc>
        <w:tc>
          <w:tcPr>
            <w:tcW w:w="797"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智能中心机</w:t>
            </w:r>
          </w:p>
        </w:tc>
        <w:tc>
          <w:tcPr>
            <w:tcW w:w="448"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1"/>
                <w:szCs w:val="21"/>
                <w:u w:val="none"/>
                <w:lang w:val="en-US" w:eastAsia="zh-CN" w:bidi="ar"/>
              </w:rPr>
              <w:t>台</w:t>
            </w:r>
          </w:p>
        </w:tc>
        <w:tc>
          <w:tcPr>
            <w:tcW w:w="735"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1</w:t>
            </w:r>
          </w:p>
        </w:tc>
        <w:tc>
          <w:tcPr>
            <w:tcW w:w="6540" w:type="dxa"/>
            <w:vAlign w:val="center"/>
          </w:tcPr>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标准2U高度机柜式设计，192×64带背光点阵屏，采用高性能处理芯片，实现超强的编程自动控制，人性化的设计，操作简单方便。设有快捷键，轻松实现手动播音音源选择功能。</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1路话筒接口，带48V幻象供电，面板有话筒音量调节旋钮，带话筒默音旋钮，可以调节默音深度。</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1路市话输入RCA接口、1路辅助输入RCA接口，1路线路RCA输出，1路录音RCA输出。</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面板上有高低音调节旋钮，MP</w:t>
            </w:r>
            <w:r>
              <w:rPr>
                <w:rFonts w:hint="eastAsia" w:ascii="宋体" w:hAnsi="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FM音量调节，手动播音切换按键，带USB接口和外接SD卡（标配16G）。</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具有一键式紧急广播功能；具有短路信号和24V信号触发全区报警功能。</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内置收音机模块，可存储40个FM电台。</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自带六分区，可外接分区器，实现十六路分区。</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8.</w:t>
            </w:r>
            <w:r>
              <w:rPr>
                <w:rFonts w:hint="eastAsia" w:ascii="宋体" w:hAnsi="宋体" w:eastAsia="宋体" w:cs="宋体"/>
                <w:color w:val="auto"/>
                <w:kern w:val="0"/>
                <w:sz w:val="21"/>
                <w:szCs w:val="21"/>
                <w:highlight w:val="none"/>
                <w:lang w:val="en-US" w:eastAsia="zh-CN" w:bidi="ar"/>
              </w:rPr>
              <w:t>三路电源管理；可外接电源时序器，实现十六路电源控制。</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9.</w:t>
            </w:r>
            <w:r>
              <w:rPr>
                <w:rFonts w:hint="eastAsia" w:ascii="宋体" w:hAnsi="宋体" w:eastAsia="宋体" w:cs="宋体"/>
                <w:color w:val="auto"/>
                <w:kern w:val="0"/>
                <w:sz w:val="21"/>
                <w:szCs w:val="21"/>
                <w:highlight w:val="none"/>
                <w:lang w:val="en-US" w:eastAsia="zh-CN" w:bidi="ar"/>
              </w:rPr>
              <w:t>话筒输入灵敏度：-36±1dBu；线路输入灵敏度(单通道输入) ：-6±1dBu。</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0.</w:t>
            </w:r>
            <w:r>
              <w:rPr>
                <w:rFonts w:hint="eastAsia" w:ascii="宋体" w:hAnsi="宋体" w:eastAsia="宋体" w:cs="宋体"/>
                <w:color w:val="auto"/>
                <w:kern w:val="0"/>
                <w:sz w:val="21"/>
                <w:szCs w:val="21"/>
                <w:highlight w:val="none"/>
                <w:lang w:val="en-US" w:eastAsia="zh-CN" w:bidi="ar"/>
              </w:rPr>
              <w:t>辅助输入频率响应：40Hz-18KHz ±3dB；话筒输入频率响应：100Hz-15KHz ±3dB。</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总谐波失真：≤0.1%。</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线路/录音输出：775mV±40mV。</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信噪比：&gt;80dB(A计权)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AC150V~AC250V/50Hz。</w:t>
            </w:r>
          </w:p>
        </w:tc>
        <w:tc>
          <w:tcPr>
            <w:tcW w:w="756" w:type="dxa"/>
            <w:vAlign w:val="center"/>
          </w:tcPr>
          <w:p>
            <w:pPr>
              <w:widowControl/>
              <w:spacing w:line="440" w:lineRule="exact"/>
              <w:jc w:val="center"/>
              <w:textAlignment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2</w:t>
            </w:r>
          </w:p>
        </w:tc>
        <w:tc>
          <w:tcPr>
            <w:tcW w:w="797"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前置放大器</w:t>
            </w:r>
          </w:p>
        </w:tc>
        <w:tc>
          <w:tcPr>
            <w:tcW w:w="448"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1"/>
                <w:szCs w:val="21"/>
                <w:u w:val="none"/>
                <w:lang w:val="en-US" w:eastAsia="zh-CN" w:bidi="ar"/>
              </w:rPr>
              <w:t>台</w:t>
            </w:r>
          </w:p>
        </w:tc>
        <w:tc>
          <w:tcPr>
            <w:tcW w:w="735"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1</w:t>
            </w:r>
          </w:p>
        </w:tc>
        <w:tc>
          <w:tcPr>
            <w:tcW w:w="6540" w:type="dxa"/>
            <w:vAlign w:val="center"/>
          </w:tcPr>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专业2 U高度机柜式设计。</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 xml:space="preserve"> 13路输入通道： 包括常规话筒输入：TRS6 .35×5， 紧急话筒输入：TRS6 .35×2，消防信号输入：TRS6 .35×1，双声道标准线路输入：RCA×5，消防控制接口：工业接线端子×2；输出通道：TRS6 .35×</w:t>
            </w:r>
            <w:r>
              <w:rPr>
                <w:rFonts w:hint="eastAsia" w:ascii="宋体" w:hAnsi="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RCA×1。</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消防信号输入具有最高优先级，消防控制接口被两路短路或两路D C 2 4 V任意一路触发后，将输出信号强切为消防输入接口的信号。</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紧急话筒输入为第二级优先。</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话筒1具有第三级优先。</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 xml:space="preserve">话筒（M I C </w:t>
            </w:r>
            <w:r>
              <w:rPr>
                <w:rFonts w:hint="eastAsia" w:ascii="宋体" w:hAnsi="宋体" w:cs="宋体"/>
                <w:color w:val="auto"/>
                <w:kern w:val="0"/>
                <w:sz w:val="21"/>
                <w:szCs w:val="21"/>
                <w:highlight w:val="none"/>
                <w:lang w:val="en-US" w:eastAsia="zh-CN" w:bidi="ar"/>
              </w:rPr>
              <w:t>2.3.4.</w:t>
            </w:r>
            <w:r>
              <w:rPr>
                <w:rFonts w:hint="eastAsia" w:ascii="宋体" w:hAnsi="宋体" w:eastAsia="宋体" w:cs="宋体"/>
                <w:color w:val="auto"/>
                <w:kern w:val="0"/>
                <w:sz w:val="21"/>
                <w:szCs w:val="21"/>
                <w:highlight w:val="none"/>
                <w:lang w:val="en-US" w:eastAsia="zh-CN" w:bidi="ar"/>
              </w:rPr>
              <w:t xml:space="preserve">5）与线路（A U X </w:t>
            </w:r>
            <w:r>
              <w:rPr>
                <w:rFonts w:hint="eastAsia" w:ascii="宋体" w:hAnsi="宋体" w:cs="宋体"/>
                <w:color w:val="auto"/>
                <w:kern w:val="0"/>
                <w:sz w:val="21"/>
                <w:szCs w:val="21"/>
                <w:highlight w:val="none"/>
                <w:lang w:val="en-US" w:eastAsia="zh-CN" w:bidi="ar"/>
              </w:rPr>
              <w:t>1.2.</w:t>
            </w:r>
            <w:r>
              <w:rPr>
                <w:rFonts w:hint="eastAsia" w:ascii="宋体" w:hAnsi="宋体" w:eastAsia="宋体" w:cs="宋体"/>
                <w:color w:val="auto"/>
                <w:kern w:val="0"/>
                <w:sz w:val="21"/>
                <w:szCs w:val="21"/>
                <w:highlight w:val="none"/>
                <w:lang w:val="en-US" w:eastAsia="zh-CN" w:bidi="ar"/>
              </w:rPr>
              <w:t>3）输入为第四级； 带5路拨码开关，分别控制5路常规话筒输入的4 8 V幻象供电。</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每一路话筒都可独立调节音量、高音 ( T R E B L E )、低音（B A S S）；5路线路输入每一路都可独立调节音量、高音 ( T R E B L E )、低音（B A S S）。</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8.</w:t>
            </w:r>
            <w:r>
              <w:rPr>
                <w:rFonts w:hint="eastAsia" w:ascii="宋体" w:hAnsi="宋体" w:eastAsia="宋体" w:cs="宋体"/>
                <w:color w:val="auto"/>
                <w:kern w:val="0"/>
                <w:sz w:val="21"/>
                <w:szCs w:val="21"/>
                <w:highlight w:val="none"/>
                <w:lang w:val="en-US" w:eastAsia="zh-CN" w:bidi="ar"/>
              </w:rPr>
              <w:t>总共有20个音调调节旋钮，分别调节5路线路输入，5路话筒输入的高音和低音。</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9.</w:t>
            </w:r>
            <w:r>
              <w:rPr>
                <w:rFonts w:hint="eastAsia" w:ascii="宋体" w:hAnsi="宋体" w:eastAsia="宋体" w:cs="宋体"/>
                <w:color w:val="auto"/>
                <w:kern w:val="0"/>
                <w:sz w:val="21"/>
                <w:szCs w:val="21"/>
                <w:highlight w:val="none"/>
                <w:lang w:val="en-US" w:eastAsia="zh-CN" w:bidi="ar"/>
              </w:rPr>
              <w:t>带总音量集中控制。</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0.</w:t>
            </w:r>
            <w:r>
              <w:rPr>
                <w:rFonts w:hint="eastAsia" w:ascii="宋体" w:hAnsi="宋体" w:eastAsia="宋体" w:cs="宋体"/>
                <w:color w:val="auto"/>
                <w:kern w:val="0"/>
                <w:sz w:val="21"/>
                <w:szCs w:val="21"/>
                <w:highlight w:val="none"/>
                <w:lang w:val="en-US" w:eastAsia="zh-CN" w:bidi="ar"/>
              </w:rPr>
              <w:t>带L E D信号输入指示灯；5段L E D灯指示输出信号强度。</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话筒1（M I C 1）具有默音功能，并且默音深度可调功能。</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带钟声提示功能，且钟声音量可调。</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输入灵敏度 ：线路及报警：-8dB（300mV）；话筒：-36dB（13mV）；紧急话筒：-34dB（15mV）。</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输出电压：线路输出：0db（775mV）±1dB/620Ω；录音输出：0db（775mV）±1dB/10KΩ。</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 xml:space="preserve"> 应急话筒启控阀值：5mV。</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 xml:space="preserve"> 输入阻抗：＞10KΩ。</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音调特性：低音100Hz（±10dB ±2dB）；高音 10KHz（±10dB ±2dB）。</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8.</w:t>
            </w:r>
            <w:r>
              <w:rPr>
                <w:rFonts w:hint="eastAsia" w:ascii="宋体" w:hAnsi="宋体" w:eastAsia="宋体" w:cs="宋体"/>
                <w:color w:val="auto"/>
                <w:kern w:val="0"/>
                <w:sz w:val="21"/>
                <w:szCs w:val="21"/>
                <w:highlight w:val="none"/>
                <w:lang w:val="en-US" w:eastAsia="zh-CN" w:bidi="ar"/>
              </w:rPr>
              <w:t>频率响应：线路：30Hz—20KHz  ±4dB；话筒：40Hz—16KHz  ±4dB。</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9.</w:t>
            </w:r>
            <w:r>
              <w:rPr>
                <w:rFonts w:hint="eastAsia" w:ascii="宋体" w:hAnsi="宋体" w:eastAsia="宋体" w:cs="宋体"/>
                <w:color w:val="auto"/>
                <w:kern w:val="0"/>
                <w:sz w:val="21"/>
                <w:szCs w:val="21"/>
                <w:highlight w:val="none"/>
                <w:lang w:val="en-US" w:eastAsia="zh-CN" w:bidi="ar"/>
              </w:rPr>
              <w:t xml:space="preserve">总谐波失真：40Hz — 16KHz  ≤1%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w:t>
            </w:r>
            <w:r>
              <w:rPr>
                <w:rFonts w:hint="eastAsia" w:ascii="宋体" w:hAnsi="宋体" w:cs="宋体"/>
                <w:color w:val="auto"/>
                <w:kern w:val="0"/>
                <w:sz w:val="21"/>
                <w:szCs w:val="21"/>
                <w:highlight w:val="none"/>
                <w:lang w:val="en-US" w:eastAsia="zh-CN" w:bidi="ar"/>
              </w:rPr>
              <w:t>0.</w:t>
            </w:r>
            <w:r>
              <w:rPr>
                <w:rFonts w:hint="eastAsia" w:ascii="宋体" w:hAnsi="宋体" w:eastAsia="宋体" w:cs="宋体"/>
                <w:color w:val="auto"/>
                <w:kern w:val="0"/>
                <w:sz w:val="21"/>
                <w:szCs w:val="21"/>
                <w:highlight w:val="none"/>
                <w:lang w:val="en-US" w:eastAsia="zh-CN" w:bidi="ar"/>
              </w:rPr>
              <w:t>噪声： ≤0．5mV(整机) A计权</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w:t>
            </w: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信噪比：话筒 ≥70dB；线路 ≥80dB</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w:t>
            </w:r>
            <w:r>
              <w:rPr>
                <w:rFonts w:hint="eastAsia" w:ascii="宋体" w:hAnsi="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电源电压范围：180V～240V　50Hz</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w:t>
            </w:r>
            <w:r>
              <w:rPr>
                <w:rFonts w:hint="eastAsia" w:ascii="宋体" w:hAnsi="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 xml:space="preserve"> 整机尺寸：480×100×280mm</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w:t>
            </w:r>
            <w:r>
              <w:rPr>
                <w:rFonts w:hint="eastAsia" w:ascii="宋体" w:hAnsi="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 xml:space="preserve"> 机器重量：3.5Kg。</w:t>
            </w:r>
          </w:p>
        </w:tc>
        <w:tc>
          <w:tcPr>
            <w:tcW w:w="756" w:type="dxa"/>
            <w:vAlign w:val="center"/>
          </w:tcPr>
          <w:p>
            <w:pPr>
              <w:widowControl/>
              <w:spacing w:line="440" w:lineRule="exact"/>
              <w:jc w:val="center"/>
              <w:textAlignment w:val="center"/>
              <w:rPr>
                <w:rFonts w:hint="eastAsia" w:ascii="宋体" w:hAnsi="宋体" w:cs="宋体"/>
                <w:color w:val="auto"/>
                <w:szCs w:val="21"/>
              </w:rPr>
            </w:pPr>
            <w:r>
              <w:rPr>
                <w:rFonts w:hint="eastAsia" w:ascii="宋体" w:hAnsi="宋体" w:cs="宋体"/>
                <w:color w:val="auto"/>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3</w:t>
            </w:r>
          </w:p>
        </w:tc>
        <w:tc>
          <w:tcPr>
            <w:tcW w:w="797"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播放器</w:t>
            </w:r>
          </w:p>
        </w:tc>
        <w:tc>
          <w:tcPr>
            <w:tcW w:w="448"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1"/>
                <w:szCs w:val="21"/>
                <w:u w:val="none"/>
                <w:lang w:val="en-US" w:eastAsia="zh-CN" w:bidi="ar"/>
              </w:rPr>
              <w:t>台</w:t>
            </w:r>
          </w:p>
        </w:tc>
        <w:tc>
          <w:tcPr>
            <w:tcW w:w="735"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1</w:t>
            </w:r>
          </w:p>
        </w:tc>
        <w:tc>
          <w:tcPr>
            <w:tcW w:w="6540" w:type="dxa"/>
            <w:vAlign w:val="center"/>
          </w:tcPr>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标准机架式超薄1U设计，配置机架安装挂件，黑色机箱，铝合金面板。</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音频输出：立体声（R/L），5.1声道，同轴，光纤。</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视频输出：S端子，高清（HDMI），分量（Y Cb/Pb Cr/ Pr），VGA。</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支持断电记忆续播功能、选时及循环播放功能、电子相册功能。</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超强的纠错能力，电子抗震技术让播放更流畅 ，高清视频输出HDMI（支持1080P）绝佳画质。</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USB播放功能支持WAV、MP3等各种无损格式。</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具有蓝牙接收功能、FM收音功能，</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8.</w:t>
            </w:r>
            <w:r>
              <w:rPr>
                <w:rFonts w:hint="eastAsia" w:ascii="宋体" w:hAnsi="宋体" w:eastAsia="宋体" w:cs="宋体"/>
                <w:color w:val="auto"/>
                <w:kern w:val="0"/>
                <w:sz w:val="21"/>
                <w:szCs w:val="21"/>
                <w:highlight w:val="none"/>
                <w:lang w:val="en-US" w:eastAsia="zh-CN" w:bidi="ar"/>
              </w:rPr>
              <w:t xml:space="preserve">全面兼容DVD/VCD/EVD/SVCD/CD/HDCD/MP3/WAV/JPEG/DVD±R/DVD±RW/CD-G等不同格式碟片。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9.</w:t>
            </w:r>
            <w:r>
              <w:rPr>
                <w:rFonts w:hint="eastAsia" w:ascii="宋体" w:hAnsi="宋体" w:eastAsia="宋体" w:cs="宋体"/>
                <w:color w:val="auto"/>
                <w:kern w:val="0"/>
                <w:sz w:val="21"/>
                <w:szCs w:val="21"/>
                <w:highlight w:val="none"/>
                <w:lang w:val="en-US" w:eastAsia="zh-CN" w:bidi="ar"/>
              </w:rPr>
              <w:t>机器前面板具有物理按键功能：播放/暂停、停止、下一曲、上一曲、快进、快退、出仓/进仓、FM/蓝牙、选时、重复、声道、返回、标题、数字直选等。</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0.</w:t>
            </w:r>
            <w:r>
              <w:rPr>
                <w:rFonts w:hint="eastAsia" w:ascii="宋体" w:hAnsi="宋体" w:eastAsia="宋体" w:cs="宋体"/>
                <w:color w:val="auto"/>
                <w:kern w:val="0"/>
                <w:sz w:val="21"/>
                <w:szCs w:val="21"/>
                <w:highlight w:val="none"/>
                <w:lang w:val="en-US" w:eastAsia="zh-CN" w:bidi="ar"/>
              </w:rPr>
              <w:t xml:space="preserve">配置全功能遥控器，操作方便。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输入电源：AC220V/50Hz</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最大消耗功率：25W</w:t>
            </w:r>
          </w:p>
        </w:tc>
        <w:tc>
          <w:tcPr>
            <w:tcW w:w="756" w:type="dxa"/>
            <w:vAlign w:val="center"/>
          </w:tcPr>
          <w:p>
            <w:pPr>
              <w:widowControl/>
              <w:spacing w:line="440" w:lineRule="exact"/>
              <w:jc w:val="center"/>
              <w:textAlignment w:val="center"/>
              <w:rPr>
                <w:rFonts w:hint="eastAsia" w:ascii="宋体" w:hAnsi="宋体" w:cs="宋体"/>
                <w:color w:val="auto"/>
                <w:szCs w:val="21"/>
              </w:rPr>
            </w:pPr>
            <w:r>
              <w:rPr>
                <w:rFonts w:hint="eastAsia" w:ascii="宋体" w:hAnsi="宋体" w:cs="宋体"/>
                <w:color w:val="auto"/>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4</w:t>
            </w:r>
          </w:p>
        </w:tc>
        <w:tc>
          <w:tcPr>
            <w:tcW w:w="797"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电源时序控制器</w:t>
            </w:r>
          </w:p>
        </w:tc>
        <w:tc>
          <w:tcPr>
            <w:tcW w:w="448"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1"/>
                <w:szCs w:val="21"/>
                <w:u w:val="none"/>
                <w:lang w:val="en-US" w:eastAsia="zh-CN" w:bidi="ar"/>
              </w:rPr>
              <w:t>台</w:t>
            </w:r>
          </w:p>
        </w:tc>
        <w:tc>
          <w:tcPr>
            <w:tcW w:w="735"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1</w:t>
            </w:r>
          </w:p>
        </w:tc>
        <w:tc>
          <w:tcPr>
            <w:tcW w:w="6540" w:type="dxa"/>
            <w:vAlign w:val="center"/>
          </w:tcPr>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标准2U高度机柜式设计。</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16路电源输出。时序开关控制，顺序开启，反序关闭。</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时序控制增加控制口，短路信号输入，可将时序开关外接，方便与其他系统联动，使用更加灵活。</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可按键单独开启和关闭每一路电源输出；一个RS232串口和两个RS422数据接口。提供电源裸线端子接入市电。根据任务需求自动打开和关闭，实现无人化自动值守。</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时序间隔时间：1秒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单路最大电源电流：10A；16路电源总电流：40A。</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硬件接口：RS232控制口×1；RS422数据接口×2。</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8.</w:t>
            </w:r>
            <w:r>
              <w:rPr>
                <w:rFonts w:hint="eastAsia" w:ascii="宋体" w:hAnsi="宋体" w:eastAsia="宋体" w:cs="宋体"/>
                <w:color w:val="auto"/>
                <w:kern w:val="0"/>
                <w:sz w:val="21"/>
                <w:szCs w:val="21"/>
                <w:highlight w:val="none"/>
                <w:lang w:val="en-US" w:eastAsia="zh-CN" w:bidi="ar"/>
              </w:rPr>
              <w:t>适用电压：220V±10%</w:t>
            </w:r>
          </w:p>
        </w:tc>
        <w:tc>
          <w:tcPr>
            <w:tcW w:w="756" w:type="dxa"/>
            <w:vAlign w:val="center"/>
          </w:tcPr>
          <w:p>
            <w:pPr>
              <w:widowControl/>
              <w:spacing w:line="440" w:lineRule="exact"/>
              <w:jc w:val="center"/>
              <w:textAlignment w:val="center"/>
              <w:rPr>
                <w:rFonts w:hint="eastAsia" w:ascii="宋体" w:hAnsi="宋体" w:cs="宋体"/>
                <w:color w:val="auto"/>
                <w:szCs w:val="21"/>
              </w:rPr>
            </w:pPr>
            <w:r>
              <w:rPr>
                <w:rFonts w:hint="eastAsia" w:ascii="宋体" w:hAnsi="宋体" w:cs="宋体"/>
                <w:color w:val="auto"/>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5</w:t>
            </w:r>
          </w:p>
        </w:tc>
        <w:tc>
          <w:tcPr>
            <w:tcW w:w="797"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一拖二无线麦克风</w:t>
            </w:r>
          </w:p>
        </w:tc>
        <w:tc>
          <w:tcPr>
            <w:tcW w:w="448"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1"/>
                <w:szCs w:val="21"/>
                <w:u w:val="none"/>
                <w:lang w:val="en-US" w:eastAsia="zh-CN" w:bidi="ar"/>
              </w:rPr>
              <w:t>台</w:t>
            </w:r>
          </w:p>
        </w:tc>
        <w:tc>
          <w:tcPr>
            <w:tcW w:w="735"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2</w:t>
            </w:r>
          </w:p>
        </w:tc>
        <w:tc>
          <w:tcPr>
            <w:tcW w:w="6540" w:type="dxa"/>
            <w:vAlign w:val="center"/>
          </w:tcPr>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 xml:space="preserve">采用金属机箱，具有坚固的结构、散热及隔离谐波干扰极佳的专业质量。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 xml:space="preserve">RF高动态范围及第三代中频电路，大幅提升互不干扰的频道数及抗干扰特性。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预设群组，第1-4组预设16个互不干扰频率，第5－8预设24个互不干扰频率，第U组为用户自定义组，最多可提供2000频率供客户自定义选择使用。</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 xml:space="preserve">采用天线分集式接收及数字导音，杂音锁定双重静音控制，接收距离远，消除接收断音及不稳的缺失。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黑色金属面板，LED段码显示器，可同时显示群组、频率、电池电量、静音位准、电子音量等相关信息；LED灯柱显示RF/AF强度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采用飞梭旋钮取代传统复杂的按键，操作快速方便。</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天线接口采用50Ω/TNC，保持天线可靠连接的同时。并支持天线环路输出，支持8套同型产品射频级联。</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8.</w:t>
            </w:r>
            <w:r>
              <w:rPr>
                <w:rFonts w:hint="eastAsia" w:ascii="宋体" w:hAnsi="宋体" w:eastAsia="宋体" w:cs="宋体"/>
                <w:color w:val="auto"/>
                <w:kern w:val="0"/>
                <w:sz w:val="21"/>
                <w:szCs w:val="21"/>
                <w:highlight w:val="none"/>
                <w:lang w:val="en-US" w:eastAsia="zh-CN" w:bidi="ar"/>
              </w:rPr>
              <w:t>各频道可单独或混合输出，可切换两段输出的音量，具有MIC/LINE输出开关：LINE比MIC输出约大10dBu。</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9.</w:t>
            </w:r>
            <w:r>
              <w:rPr>
                <w:rFonts w:hint="eastAsia" w:ascii="宋体" w:hAnsi="宋体" w:eastAsia="宋体" w:cs="宋体"/>
                <w:color w:val="auto"/>
                <w:kern w:val="0"/>
                <w:sz w:val="21"/>
                <w:szCs w:val="21"/>
                <w:highlight w:val="none"/>
                <w:lang w:val="en-US" w:eastAsia="zh-CN" w:bidi="ar"/>
              </w:rPr>
              <w:t xml:space="preserve">天线座提供强波器偏压，可以连接天线系统，增加接收距离及稳定的接收效果。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0.</w:t>
            </w:r>
            <w:r>
              <w:rPr>
                <w:rFonts w:hint="eastAsia" w:ascii="宋体" w:hAnsi="宋体" w:eastAsia="宋体" w:cs="宋体"/>
                <w:color w:val="auto"/>
                <w:kern w:val="0"/>
                <w:sz w:val="21"/>
                <w:szCs w:val="21"/>
                <w:highlight w:val="none"/>
                <w:lang w:val="en-US" w:eastAsia="zh-CN" w:bidi="ar"/>
              </w:rPr>
              <w:t>100-240V,内置AC电源板。保持系统稳定，且支持AC电源环路输出。</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技术参数：</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载波频段: UHF530-690.000MHZ（常规：640.000MHZ-690.000MHZ）</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 xml:space="preserve">单机频带宽度 :50 MHz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单机频道数量：2000个</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频率间隔：25KHz</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音频灵敏度: -48±3dB</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综合S/N比 : &gt;100dB(A)</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 xml:space="preserve">指向性频响曲线：300-2000Hz≤-8dB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8.</w:t>
            </w:r>
            <w:r>
              <w:rPr>
                <w:rFonts w:hint="eastAsia" w:ascii="宋体" w:hAnsi="宋体" w:eastAsia="宋体" w:cs="宋体"/>
                <w:color w:val="auto"/>
                <w:kern w:val="0"/>
                <w:sz w:val="21"/>
                <w:szCs w:val="21"/>
                <w:highlight w:val="none"/>
                <w:lang w:val="en-US" w:eastAsia="zh-CN" w:bidi="ar"/>
              </w:rPr>
              <w:t xml:space="preserve">综合T.H.D. :&lt;0.5%@1kHz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9.</w:t>
            </w:r>
            <w:r>
              <w:rPr>
                <w:rFonts w:hint="eastAsia" w:ascii="宋体" w:hAnsi="宋体" w:eastAsia="宋体" w:cs="宋体"/>
                <w:color w:val="auto"/>
                <w:kern w:val="0"/>
                <w:sz w:val="21"/>
                <w:szCs w:val="21"/>
                <w:highlight w:val="none"/>
                <w:lang w:val="en-US" w:eastAsia="zh-CN" w:bidi="ar"/>
              </w:rPr>
              <w:t xml:space="preserve">频率响应 : 65Hz-15kHz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0.</w:t>
            </w:r>
            <w:r>
              <w:rPr>
                <w:rFonts w:hint="eastAsia" w:ascii="宋体" w:hAnsi="宋体" w:eastAsia="宋体" w:cs="宋体"/>
                <w:color w:val="auto"/>
                <w:kern w:val="0"/>
                <w:sz w:val="21"/>
                <w:szCs w:val="21"/>
                <w:highlight w:val="none"/>
                <w:lang w:val="en-US" w:eastAsia="zh-CN" w:bidi="ar"/>
              </w:rPr>
              <w:t>天线：50Ω/TNC，支持天线环路输出</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发射器拾音头：动圈式</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发射器供电方式：两节AA电池</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电池寿命：约8小时（发射器功率为高功率）</w:t>
            </w:r>
          </w:p>
        </w:tc>
        <w:tc>
          <w:tcPr>
            <w:tcW w:w="756" w:type="dxa"/>
            <w:vAlign w:val="center"/>
          </w:tcPr>
          <w:p>
            <w:pPr>
              <w:widowControl/>
              <w:spacing w:line="440" w:lineRule="exact"/>
              <w:jc w:val="center"/>
              <w:textAlignment w:val="center"/>
              <w:rPr>
                <w:rFonts w:hint="eastAsia" w:ascii="宋体" w:hAnsi="宋体" w:cs="宋体"/>
                <w:color w:val="auto"/>
                <w:szCs w:val="21"/>
              </w:rPr>
            </w:pPr>
            <w:r>
              <w:rPr>
                <w:rFonts w:hint="eastAsia" w:ascii="宋体" w:hAnsi="宋体" w:cs="宋体"/>
                <w:color w:val="auto"/>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6</w:t>
            </w:r>
          </w:p>
        </w:tc>
        <w:tc>
          <w:tcPr>
            <w:tcW w:w="797"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播音麦克风</w:t>
            </w:r>
          </w:p>
        </w:tc>
        <w:tc>
          <w:tcPr>
            <w:tcW w:w="448"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1"/>
                <w:szCs w:val="21"/>
                <w:u w:val="none"/>
                <w:lang w:val="en-US" w:eastAsia="zh-CN" w:bidi="ar"/>
              </w:rPr>
              <w:t>只</w:t>
            </w:r>
          </w:p>
        </w:tc>
        <w:tc>
          <w:tcPr>
            <w:tcW w:w="735"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1</w:t>
            </w:r>
          </w:p>
        </w:tc>
        <w:tc>
          <w:tcPr>
            <w:tcW w:w="6540" w:type="dxa"/>
            <w:vAlign w:val="center"/>
          </w:tcPr>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带音乐前奏音功能，提前吸引听者注意；</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金属外壳设计，可有效屏蔽射频干扰；</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轻触式开关，手感舒适，外观设计新颖，品质卓越；</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红色工作指示光环灯，工作状态一目了然；</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优质驻极体心形指向音头，配以高保真外围电路，声音纯真；</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配3C认证电源，或9V层叠电池供电，任意选择；</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适用于商场，超市，车站，码头、银行等使用环境。</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技术参数：</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换能方式： 电容式</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指 向 性： 心型指向</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频率响应： 40Hz-18KHz</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输出阻抗:  600Ω±30%</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MIC灵敏度：-39dB±3dB</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供电电压： DC12V(外置电源)或9V(层叠电池)</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前奏提示音：有</w:t>
            </w:r>
          </w:p>
        </w:tc>
        <w:tc>
          <w:tcPr>
            <w:tcW w:w="756" w:type="dxa"/>
            <w:vAlign w:val="center"/>
          </w:tcPr>
          <w:p>
            <w:pPr>
              <w:widowControl/>
              <w:spacing w:line="440" w:lineRule="exact"/>
              <w:jc w:val="center"/>
              <w:textAlignment w:val="center"/>
              <w:rPr>
                <w:rFonts w:hint="eastAsia" w:ascii="宋体" w:hAnsi="宋体" w:cs="宋体"/>
                <w:color w:val="auto"/>
                <w:szCs w:val="21"/>
              </w:rPr>
            </w:pPr>
            <w:r>
              <w:rPr>
                <w:rFonts w:hint="eastAsia" w:ascii="宋体" w:hAnsi="宋体" w:cs="宋体"/>
                <w:color w:val="auto"/>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7</w:t>
            </w:r>
          </w:p>
        </w:tc>
        <w:tc>
          <w:tcPr>
            <w:tcW w:w="797"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对数周期天线</w:t>
            </w:r>
          </w:p>
        </w:tc>
        <w:tc>
          <w:tcPr>
            <w:tcW w:w="448"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1"/>
                <w:szCs w:val="21"/>
                <w:u w:val="none"/>
                <w:lang w:val="en-US" w:eastAsia="zh-CN" w:bidi="ar"/>
              </w:rPr>
              <w:t>只</w:t>
            </w:r>
          </w:p>
        </w:tc>
        <w:tc>
          <w:tcPr>
            <w:tcW w:w="735"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2</w:t>
            </w:r>
          </w:p>
        </w:tc>
        <w:tc>
          <w:tcPr>
            <w:tcW w:w="6540" w:type="dxa"/>
            <w:vAlign w:val="center"/>
          </w:tcPr>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采用对数周期偶极振子阵列，能够在面向所需的覆盖区域时提供最佳接收效果。集成式放大器具有28档位增益设置，用于补偿同轴缆线的插入损失。</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配有内螺纹用于安装，可将该天线固定在话筒支架上，也可将其悬挂在天花板上，或者使用集成式可旋转适配器固定在墙壁上。</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可与无线接收机和天线分配器搭配使用，该天线为有源对数周期天线，需要接收机能够提供 8–12 伏直流偏压。</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该天线为单指向性天线，对需要特定方位使用的环境有非常好的效果。</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技术参数：</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适用频宽范围： 500MHz  ─ 850MHz</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步进增益 总增益量：0 ─ 18dB ±2dB 步进量：±1dB</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 xml:space="preserve">步进衰减 总衰减量：0 ─ 9dB  ±2dB 步进量：±1dB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天线阻抗 :50Ω</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天线增益：3-5dB</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驻波比：≤2.5:1</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接收模式(3 dB 波束宽度)：65°（垂直角）,120°(水平面）</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8.</w:t>
            </w:r>
            <w:r>
              <w:rPr>
                <w:rFonts w:hint="eastAsia" w:ascii="宋体" w:hAnsi="宋体" w:eastAsia="宋体" w:cs="宋体"/>
                <w:color w:val="auto"/>
                <w:kern w:val="0"/>
                <w:sz w:val="21"/>
                <w:szCs w:val="21"/>
                <w:highlight w:val="none"/>
                <w:lang w:val="en-US" w:eastAsia="zh-CN" w:bidi="ar"/>
              </w:rPr>
              <w:t>连接插座 :TNC母座×1</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9.</w:t>
            </w:r>
            <w:r>
              <w:rPr>
                <w:rFonts w:hint="eastAsia" w:ascii="宋体" w:hAnsi="宋体" w:eastAsia="宋体" w:cs="宋体"/>
                <w:color w:val="auto"/>
                <w:kern w:val="0"/>
                <w:sz w:val="21"/>
                <w:szCs w:val="21"/>
                <w:highlight w:val="none"/>
                <w:lang w:val="en-US" w:eastAsia="zh-CN" w:bidi="ar"/>
              </w:rPr>
              <w:t>电流消耗 :约60mA/DC 8V</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0.</w:t>
            </w:r>
            <w:r>
              <w:rPr>
                <w:rFonts w:hint="eastAsia" w:ascii="宋体" w:hAnsi="宋体" w:eastAsia="宋体" w:cs="宋体"/>
                <w:color w:val="auto"/>
                <w:kern w:val="0"/>
                <w:sz w:val="21"/>
                <w:szCs w:val="21"/>
                <w:highlight w:val="none"/>
                <w:lang w:val="en-US" w:eastAsia="zh-CN" w:bidi="ar"/>
              </w:rPr>
              <w:t>电源 :TNC母座须提供偏压电源DC 6—10V</w:t>
            </w:r>
          </w:p>
        </w:tc>
        <w:tc>
          <w:tcPr>
            <w:tcW w:w="756" w:type="dxa"/>
            <w:vAlign w:val="center"/>
          </w:tcPr>
          <w:p>
            <w:pPr>
              <w:widowControl/>
              <w:spacing w:line="440" w:lineRule="exact"/>
              <w:jc w:val="center"/>
              <w:textAlignment w:val="center"/>
              <w:rPr>
                <w:rFonts w:hint="eastAsia" w:ascii="宋体" w:hAnsi="宋体" w:cs="宋体"/>
                <w:color w:val="auto"/>
                <w:szCs w:val="21"/>
              </w:rPr>
            </w:pPr>
            <w:r>
              <w:rPr>
                <w:rFonts w:hint="eastAsia" w:ascii="宋体" w:hAnsi="宋体" w:cs="宋体"/>
                <w:color w:val="auto"/>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8</w:t>
            </w:r>
          </w:p>
        </w:tc>
        <w:tc>
          <w:tcPr>
            <w:tcW w:w="797"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天线放大器</w:t>
            </w:r>
          </w:p>
        </w:tc>
        <w:tc>
          <w:tcPr>
            <w:tcW w:w="448"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1"/>
                <w:szCs w:val="21"/>
                <w:u w:val="none"/>
                <w:lang w:val="en-US" w:eastAsia="zh-CN" w:bidi="ar"/>
              </w:rPr>
              <w:t>只</w:t>
            </w:r>
          </w:p>
        </w:tc>
        <w:tc>
          <w:tcPr>
            <w:tcW w:w="735"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2</w:t>
            </w:r>
          </w:p>
        </w:tc>
        <w:tc>
          <w:tcPr>
            <w:tcW w:w="6540" w:type="dxa"/>
            <w:vAlign w:val="center"/>
          </w:tcPr>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1.适用于500MHz ─850MHz频段外接天线，搭配可调增益信号放大、衰减线路，用户可根据实际使用环境调整增益大小。</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配置电源适配器，能提供放大器内建放大线路的电源，也能为远端外接天线放大器供电，使长距离的天线缆线能实现多级增益调节。</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3.搭配锌合金外壳的优异散热特性，达到持续稳定的电路特性与DC 8 V的输出电压。</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技术参数：</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适用频宽范围： 500MHz  ─ 850MHz</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步进增益 总增益量：0 ～ +18dB±2dB 步进量：±1dB</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步进衰减 总衰减量：0 ～ 9dB±2dB 步进量：±1dB</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系统阻抗 :50 Ω</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 xml:space="preserve">外接电源输入: 12 ～18V DC / min. 350mA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电源稳压输出 :8V DC / max. 250mA</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电流消耗 :约60mA/12V DC Input</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8.</w:t>
            </w:r>
            <w:r>
              <w:rPr>
                <w:rFonts w:hint="eastAsia" w:ascii="宋体" w:hAnsi="宋体" w:eastAsia="宋体" w:cs="宋体"/>
                <w:color w:val="auto"/>
                <w:kern w:val="0"/>
                <w:sz w:val="21"/>
                <w:szCs w:val="21"/>
                <w:highlight w:val="none"/>
                <w:lang w:val="en-US" w:eastAsia="zh-CN" w:bidi="ar"/>
              </w:rPr>
              <w:t>连接座:TNC插座×2，2.0 mm DC插座×1</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9.</w:t>
            </w:r>
            <w:r>
              <w:rPr>
                <w:rFonts w:hint="eastAsia" w:ascii="宋体" w:hAnsi="宋体" w:eastAsia="宋体" w:cs="宋体"/>
                <w:color w:val="auto"/>
                <w:kern w:val="0"/>
                <w:sz w:val="21"/>
                <w:szCs w:val="21"/>
                <w:highlight w:val="none"/>
                <w:lang w:val="en-US" w:eastAsia="zh-CN" w:bidi="ar"/>
              </w:rPr>
              <w:t>尺寸: 92mm(长) ×74mm(宽) ×21mm(高)</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0.</w:t>
            </w:r>
            <w:r>
              <w:rPr>
                <w:rFonts w:hint="eastAsia" w:ascii="宋体" w:hAnsi="宋体" w:eastAsia="宋体" w:cs="宋体"/>
                <w:color w:val="auto"/>
                <w:kern w:val="0"/>
                <w:sz w:val="21"/>
                <w:szCs w:val="21"/>
                <w:highlight w:val="none"/>
                <w:lang w:val="en-US" w:eastAsia="zh-CN" w:bidi="ar"/>
              </w:rPr>
              <w:t>重量:约 210g</w:t>
            </w:r>
          </w:p>
        </w:tc>
        <w:tc>
          <w:tcPr>
            <w:tcW w:w="756" w:type="dxa"/>
            <w:vAlign w:val="center"/>
          </w:tcPr>
          <w:p>
            <w:pPr>
              <w:widowControl/>
              <w:spacing w:line="440" w:lineRule="exact"/>
              <w:jc w:val="center"/>
              <w:textAlignment w:val="center"/>
              <w:rPr>
                <w:rFonts w:hint="eastAsia" w:ascii="宋体" w:hAnsi="宋体" w:cs="宋体"/>
                <w:color w:val="auto"/>
                <w:szCs w:val="21"/>
              </w:rPr>
            </w:pPr>
            <w:r>
              <w:rPr>
                <w:rFonts w:hint="eastAsia" w:ascii="宋体" w:hAnsi="宋体" w:cs="宋体"/>
                <w:color w:val="auto"/>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17" w:type="dxa"/>
            <w:gridSpan w:val="6"/>
            <w:vAlign w:val="center"/>
          </w:tcPr>
          <w:p>
            <w:pPr>
              <w:widowControl/>
              <w:spacing w:line="440" w:lineRule="exact"/>
              <w:jc w:val="left"/>
              <w:textAlignment w:val="center"/>
              <w:rPr>
                <w:rFonts w:hint="eastAsia" w:ascii="宋体" w:hAnsi="宋体" w:cs="宋体"/>
                <w:color w:val="auto"/>
                <w:szCs w:val="21"/>
              </w:rPr>
            </w:pPr>
            <w:r>
              <w:rPr>
                <w:rFonts w:hint="eastAsia" w:ascii="宋体" w:hAnsi="宋体" w:cs="宋体"/>
                <w:b/>
                <w:bCs/>
                <w:color w:val="auto"/>
                <w:szCs w:val="21"/>
                <w:lang w:eastAsia="zh-CN"/>
              </w:rPr>
              <w:t>（</w:t>
            </w:r>
            <w:r>
              <w:rPr>
                <w:rFonts w:hint="eastAsia" w:ascii="宋体" w:hAnsi="宋体" w:cs="宋体"/>
                <w:b/>
                <w:bCs/>
                <w:color w:val="auto"/>
                <w:szCs w:val="21"/>
                <w:lang w:val="en-US" w:eastAsia="zh-CN"/>
              </w:rPr>
              <w:t>二</w:t>
            </w:r>
            <w:r>
              <w:rPr>
                <w:rFonts w:hint="eastAsia" w:ascii="宋体" w:hAnsi="宋体" w:cs="宋体"/>
                <w:b/>
                <w:bCs/>
                <w:color w:val="auto"/>
                <w:szCs w:val="21"/>
                <w:lang w:eastAsia="zh-CN"/>
              </w:rPr>
              <w:t>）</w:t>
            </w:r>
            <w:r>
              <w:rPr>
                <w:rFonts w:hint="eastAsia" w:ascii="宋体" w:hAnsi="宋体" w:cs="宋体"/>
                <w:b/>
                <w:bCs/>
                <w:color w:val="auto"/>
                <w:szCs w:val="21"/>
              </w:rPr>
              <w:t>室外及走廊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9</w:t>
            </w:r>
          </w:p>
        </w:tc>
        <w:tc>
          <w:tcPr>
            <w:tcW w:w="797"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定压功率放大器（教学楼走廊）</w:t>
            </w:r>
          </w:p>
        </w:tc>
        <w:tc>
          <w:tcPr>
            <w:tcW w:w="448"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1"/>
                <w:szCs w:val="21"/>
                <w:u w:val="none"/>
                <w:lang w:val="en-US" w:eastAsia="zh-CN" w:bidi="ar"/>
              </w:rPr>
              <w:t>台</w:t>
            </w:r>
          </w:p>
        </w:tc>
        <w:tc>
          <w:tcPr>
            <w:tcW w:w="735"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1</w:t>
            </w:r>
          </w:p>
        </w:tc>
        <w:tc>
          <w:tcPr>
            <w:tcW w:w="6540" w:type="dxa"/>
            <w:vAlign w:val="center"/>
          </w:tcPr>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产品特点：</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 xml:space="preserve">强劲的功率输出：采用了开关电源、数字功率放大器及风道式强制散热。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 xml:space="preserve">输入连接器：一个孔形卡侬和一个二芯插口，这样能方便地进行并机使用，并能与前级放大器和调音台方便连接。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 xml:space="preserve">输出方式：定压输出 100V。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 xml:space="preserve">面板有14颗LED指示灯：1颗电源指示灯；1颗保护指示灯；1颗削峰指示灯；1颗信号指示灯；1颗网络/待机状态指示灯，功放待机时绿灯常亮，本地输出绿灯闪烁；网络播音输出，红灯闪烁；网络报警输出，红绿灯交替闪烁；5颗电流指示灯；5颗电压指示灯。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 xml:space="preserve">完善可靠的保护电路：设置了包括开机延时静噪、断电瞬时关机、扬声器短路保护、过温输出保护在内的多种保护电路，使您尽可放心使用。机器输出短路连续保护多次后会锁定，需要重新拔出电源插头再上电恢复。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 xml:space="preserve">机械强度：能够承受运输中的剧烈振动，标准结构的前面板可以安装于标准的 19 吋机架。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高稳定性：能连续输出强劲功率，失真极低，高阻尼系数减低了扬声器音圈的过冲，使得低频响应结实而清晰。</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8.</w:t>
            </w:r>
            <w:r>
              <w:rPr>
                <w:rFonts w:hint="eastAsia" w:ascii="宋体" w:hAnsi="宋体" w:eastAsia="宋体" w:cs="宋体"/>
                <w:color w:val="auto"/>
                <w:kern w:val="0"/>
                <w:sz w:val="21"/>
                <w:szCs w:val="21"/>
                <w:highlight w:val="none"/>
                <w:lang w:val="en-US" w:eastAsia="zh-CN" w:bidi="ar"/>
              </w:rPr>
              <w:t>选配插卡式网络解码板，秒变IP解码功放。</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9.</w:t>
            </w:r>
            <w:r>
              <w:rPr>
                <w:rFonts w:hint="eastAsia" w:ascii="宋体" w:hAnsi="宋体" w:eastAsia="宋体" w:cs="宋体"/>
                <w:color w:val="auto"/>
                <w:kern w:val="0"/>
                <w:sz w:val="21"/>
                <w:szCs w:val="21"/>
                <w:highlight w:val="none"/>
                <w:lang w:val="en-US" w:eastAsia="zh-CN" w:bidi="ar"/>
              </w:rPr>
              <w:t>带RS485远程监控功能，通过广播管理系统主机可监控功放的工作模式、工作温度、输出电平、保护状态、工作电流等工作状态。</w:t>
            </w:r>
          </w:p>
          <w:p>
            <w:pPr>
              <w:widowControl/>
              <w:spacing w:line="440" w:lineRule="exact"/>
              <w:jc w:val="left"/>
              <w:textAlignment w:val="center"/>
              <w:rPr>
                <w:color w:val="auto"/>
              </w:rPr>
            </w:pPr>
            <w:r>
              <w:rPr>
                <w:rFonts w:hint="eastAsia" w:ascii="宋体" w:hAnsi="宋体" w:eastAsia="宋体" w:cs="宋体"/>
                <w:color w:val="auto"/>
                <w:kern w:val="0"/>
                <w:sz w:val="21"/>
                <w:szCs w:val="21"/>
                <w:highlight w:val="none"/>
                <w:lang w:val="en-US" w:eastAsia="zh-CN" w:bidi="ar"/>
              </w:rPr>
              <w:t>技术参数：</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 xml:space="preserve">输出功率：700W/100V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 xml:space="preserve">频率响应：100Hz~16KHz+2/-6dB；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 xml:space="preserve">信噪比：≥90dB（A 计权）；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 xml:space="preserve">输入灵敏度：775mV±50mV；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 xml:space="preserve">总谐波失真：80Hz-16KHz&lt;2%；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 xml:space="preserve">电源：交流 220V/50Hz ±10%：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 xml:space="preserve">过载源电动势与额定源电动势之比：≥14dB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8.</w:t>
            </w:r>
            <w:r>
              <w:rPr>
                <w:rFonts w:hint="eastAsia" w:ascii="宋体" w:hAnsi="宋体" w:eastAsia="宋体" w:cs="宋体"/>
                <w:color w:val="auto"/>
                <w:kern w:val="0"/>
                <w:sz w:val="21"/>
                <w:szCs w:val="21"/>
                <w:highlight w:val="none"/>
                <w:lang w:val="en-US" w:eastAsia="zh-CN" w:bidi="ar"/>
              </w:rPr>
              <w:t>调整率：400HZ ≤2；4KHZ ≤2.5</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9.</w:t>
            </w:r>
            <w:r>
              <w:rPr>
                <w:rFonts w:hint="eastAsia" w:ascii="宋体" w:hAnsi="宋体" w:eastAsia="宋体" w:cs="宋体"/>
                <w:color w:val="auto"/>
                <w:kern w:val="0"/>
                <w:sz w:val="21"/>
                <w:szCs w:val="21"/>
                <w:highlight w:val="none"/>
                <w:lang w:val="en-US" w:eastAsia="zh-CN" w:bidi="ar"/>
              </w:rPr>
              <w:t>消耗功率：1000W</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0.</w:t>
            </w:r>
            <w:r>
              <w:rPr>
                <w:rFonts w:hint="eastAsia" w:ascii="宋体" w:hAnsi="宋体" w:eastAsia="宋体" w:cs="宋体"/>
                <w:color w:val="auto"/>
                <w:kern w:val="0"/>
                <w:sz w:val="21"/>
                <w:szCs w:val="21"/>
                <w:highlight w:val="none"/>
                <w:lang w:val="en-US" w:eastAsia="zh-CN" w:bidi="ar"/>
              </w:rPr>
              <w:t>尺寸：483*340*44mm±2mm</w:t>
            </w:r>
          </w:p>
        </w:tc>
        <w:tc>
          <w:tcPr>
            <w:tcW w:w="756" w:type="dxa"/>
            <w:vAlign w:val="center"/>
          </w:tcPr>
          <w:p>
            <w:pPr>
              <w:widowControl/>
              <w:spacing w:line="440" w:lineRule="exact"/>
              <w:jc w:val="center"/>
              <w:textAlignment w:val="center"/>
              <w:rPr>
                <w:rFonts w:hint="eastAsia" w:ascii="宋体" w:hAnsi="宋体" w:cs="宋体"/>
                <w:color w:val="auto"/>
                <w:szCs w:val="21"/>
              </w:rPr>
            </w:pPr>
            <w:r>
              <w:rPr>
                <w:rFonts w:hint="eastAsia" w:ascii="宋体" w:hAnsi="宋体" w:cs="宋体"/>
                <w:color w:val="auto"/>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10</w:t>
            </w:r>
          </w:p>
        </w:tc>
        <w:tc>
          <w:tcPr>
            <w:tcW w:w="797"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室外豪华型防水声柱</w:t>
            </w:r>
          </w:p>
        </w:tc>
        <w:tc>
          <w:tcPr>
            <w:tcW w:w="448"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1"/>
                <w:szCs w:val="21"/>
                <w:u w:val="none"/>
                <w:lang w:val="en-US" w:eastAsia="zh-CN" w:bidi="ar"/>
              </w:rPr>
              <w:t>条</w:t>
            </w:r>
          </w:p>
        </w:tc>
        <w:tc>
          <w:tcPr>
            <w:tcW w:w="735"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20</w:t>
            </w:r>
          </w:p>
        </w:tc>
        <w:tc>
          <w:tcPr>
            <w:tcW w:w="6540" w:type="dxa"/>
            <w:vAlign w:val="center"/>
          </w:tcPr>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自主设计的声柱外观大方新颖，壳体和网罩均采用优质铝合金加工而成，抗腐蚀经久耐用。</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安装方式独特，打破传统方式，安装更加方便灵活。</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中低音扬声器采用4吋高品质喇叭，双磁钢结构，性能更加优越，灵敏度更高，高音采用3吋优质号角高音，穿透力强，传输距离更远。</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该产品科学合理分频，灵敏度高，频响宽，语音清晰饱满，传输距离远。</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扬声器单元通过IP56防尘防水等级认证。</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输入电压：100V。</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额定功率：20W。</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8.</w:t>
            </w:r>
            <w:r>
              <w:rPr>
                <w:rFonts w:hint="eastAsia" w:ascii="宋体" w:hAnsi="宋体" w:eastAsia="宋体" w:cs="宋体"/>
                <w:color w:val="auto"/>
                <w:kern w:val="0"/>
                <w:sz w:val="21"/>
                <w:szCs w:val="21"/>
                <w:highlight w:val="none"/>
                <w:lang w:val="en-US" w:eastAsia="zh-CN" w:bidi="ar"/>
              </w:rPr>
              <w:t>频率响应：100Hz-18KHz (±10%）。</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9.</w:t>
            </w:r>
            <w:r>
              <w:rPr>
                <w:rFonts w:hint="eastAsia" w:ascii="宋体" w:hAnsi="宋体" w:eastAsia="宋体" w:cs="宋体"/>
                <w:color w:val="auto"/>
                <w:kern w:val="0"/>
                <w:sz w:val="21"/>
                <w:szCs w:val="21"/>
                <w:highlight w:val="none"/>
                <w:lang w:val="en-US" w:eastAsia="zh-CN" w:bidi="ar"/>
              </w:rPr>
              <w:t>灵敏度：89dB （±3 dB）。</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0.</w:t>
            </w:r>
            <w:r>
              <w:rPr>
                <w:rFonts w:hint="eastAsia" w:ascii="宋体" w:hAnsi="宋体" w:eastAsia="宋体" w:cs="宋体"/>
                <w:color w:val="auto"/>
                <w:kern w:val="0"/>
                <w:sz w:val="21"/>
                <w:szCs w:val="21"/>
                <w:highlight w:val="none"/>
                <w:lang w:val="en-US" w:eastAsia="zh-CN" w:bidi="ar"/>
              </w:rPr>
              <w:t>最大声压级：102dB。</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喇叭单元：LF：4"×2；HF：3"×1号角高音。</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外形尺寸：490×180×120(H×W×D)mm</w:t>
            </w:r>
          </w:p>
        </w:tc>
        <w:tc>
          <w:tcPr>
            <w:tcW w:w="756" w:type="dxa"/>
            <w:vAlign w:val="center"/>
          </w:tcPr>
          <w:p>
            <w:pPr>
              <w:widowControl/>
              <w:spacing w:line="440" w:lineRule="exact"/>
              <w:jc w:val="center"/>
              <w:textAlignment w:val="center"/>
              <w:rPr>
                <w:rFonts w:hint="eastAsia" w:ascii="宋体" w:hAnsi="宋体" w:cs="宋体"/>
                <w:color w:val="auto"/>
                <w:szCs w:val="21"/>
              </w:rPr>
            </w:pPr>
            <w:r>
              <w:rPr>
                <w:rFonts w:hint="eastAsia" w:ascii="宋体" w:hAnsi="宋体" w:cs="宋体"/>
                <w:color w:val="auto"/>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11</w:t>
            </w:r>
          </w:p>
        </w:tc>
        <w:tc>
          <w:tcPr>
            <w:tcW w:w="797"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定压功率放大器（室外）</w:t>
            </w:r>
          </w:p>
        </w:tc>
        <w:tc>
          <w:tcPr>
            <w:tcW w:w="448"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1"/>
                <w:szCs w:val="21"/>
                <w:u w:val="none"/>
                <w:lang w:val="en-US" w:eastAsia="zh-CN" w:bidi="ar"/>
              </w:rPr>
              <w:t>台</w:t>
            </w:r>
          </w:p>
        </w:tc>
        <w:tc>
          <w:tcPr>
            <w:tcW w:w="735"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1</w:t>
            </w:r>
          </w:p>
        </w:tc>
        <w:tc>
          <w:tcPr>
            <w:tcW w:w="6540" w:type="dxa"/>
            <w:vAlign w:val="center"/>
          </w:tcPr>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产品特点：</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 xml:space="preserve">强劲的功率输出：采用了开关电源、数字功率放大器及风道式强制散热。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 xml:space="preserve">输入连接器：一个孔形卡侬和一个二芯插口，这样能方便地进行并机使用，并能与前级放大器和调音台方便连接。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 xml:space="preserve">输出方式：定压输出 100V。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 xml:space="preserve">面板有14颗LED指示灯：1颗电源指示灯；1颗保护指示灯；1颗削峰指示灯；1颗信号指示灯；1颗网络/待机状态指示灯，功放待机时绿灯常亮，本地输出绿灯闪烁；网络播音输出，红灯闪烁；网络报警输出，红绿灯交替闪烁；5颗电流指示灯；5颗电压指示灯。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 xml:space="preserve">完善可靠的保护电路：设置了包括开机延时静噪、断电瞬时关机、扬声器短路保护、过温输出保护在内的多种保护电路，使您尽可放心使用。机器输出短路连续保护多次后会锁定，需要重新拔出电源插头再上电恢复。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 xml:space="preserve">机械强度：能够承受运输中的剧烈振动，标准结构的前面板可以安装于标准的 19 吋机架。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高稳定性：能连续输出强劲功率，失真极低，高阻尼系数减低了扬声器音圈的过冲，使得低频响应结实而清晰。</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8.</w:t>
            </w:r>
            <w:r>
              <w:rPr>
                <w:rFonts w:hint="eastAsia" w:ascii="宋体" w:hAnsi="宋体" w:eastAsia="宋体" w:cs="宋体"/>
                <w:color w:val="auto"/>
                <w:kern w:val="0"/>
                <w:sz w:val="21"/>
                <w:szCs w:val="21"/>
                <w:highlight w:val="none"/>
                <w:lang w:val="en-US" w:eastAsia="zh-CN" w:bidi="ar"/>
              </w:rPr>
              <w:t>选配插卡式网络解码板，秒变IP解码功放。</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9.</w:t>
            </w:r>
            <w:r>
              <w:rPr>
                <w:rFonts w:hint="eastAsia" w:ascii="宋体" w:hAnsi="宋体" w:eastAsia="宋体" w:cs="宋体"/>
                <w:color w:val="auto"/>
                <w:kern w:val="0"/>
                <w:sz w:val="21"/>
                <w:szCs w:val="21"/>
                <w:highlight w:val="none"/>
                <w:lang w:val="en-US" w:eastAsia="zh-CN" w:bidi="ar"/>
              </w:rPr>
              <w:t>带RS485远程监控功能，通过广播管理系统主机可监控功放的工作模式、工作温度、输出电平、保护状态、工作电流等工作状态。</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技术参数：</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 xml:space="preserve">输出功率：700W/100V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 xml:space="preserve">频率响应：100Hz~16KHz+2/-6dB；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 xml:space="preserve">信噪比：≥90dB（A 计权）；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 xml:space="preserve">输入灵敏度：775mV±50mV；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 xml:space="preserve">总谐波失真：80Hz-16KHz&lt;2%；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 xml:space="preserve">电源：交流 220V/50Hz ±10%：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 xml:space="preserve">过载源电动势与额定源电动势之比：≥14dB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8.</w:t>
            </w:r>
            <w:r>
              <w:rPr>
                <w:rFonts w:hint="eastAsia" w:ascii="宋体" w:hAnsi="宋体" w:eastAsia="宋体" w:cs="宋体"/>
                <w:color w:val="auto"/>
                <w:kern w:val="0"/>
                <w:sz w:val="21"/>
                <w:szCs w:val="21"/>
                <w:highlight w:val="none"/>
                <w:lang w:val="en-US" w:eastAsia="zh-CN" w:bidi="ar"/>
              </w:rPr>
              <w:t>调整率：400HZ ≤2；4KHZ ≤2.5</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9.</w:t>
            </w:r>
            <w:r>
              <w:rPr>
                <w:rFonts w:hint="eastAsia" w:ascii="宋体" w:hAnsi="宋体" w:eastAsia="宋体" w:cs="宋体"/>
                <w:color w:val="auto"/>
                <w:kern w:val="0"/>
                <w:sz w:val="21"/>
                <w:szCs w:val="21"/>
                <w:highlight w:val="none"/>
                <w:lang w:val="en-US" w:eastAsia="zh-CN" w:bidi="ar"/>
              </w:rPr>
              <w:t>消耗功率：1000W</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0.</w:t>
            </w:r>
            <w:r>
              <w:rPr>
                <w:rFonts w:hint="eastAsia" w:ascii="宋体" w:hAnsi="宋体" w:eastAsia="宋体" w:cs="宋体"/>
                <w:color w:val="auto"/>
                <w:kern w:val="0"/>
                <w:sz w:val="21"/>
                <w:szCs w:val="21"/>
                <w:highlight w:val="none"/>
                <w:lang w:val="en-US" w:eastAsia="zh-CN" w:bidi="ar"/>
              </w:rPr>
              <w:t>尺寸：483*340*44mm±2mm</w:t>
            </w:r>
          </w:p>
        </w:tc>
        <w:tc>
          <w:tcPr>
            <w:tcW w:w="756" w:type="dxa"/>
            <w:vAlign w:val="center"/>
          </w:tcPr>
          <w:p>
            <w:pPr>
              <w:widowControl/>
              <w:spacing w:line="440" w:lineRule="exact"/>
              <w:jc w:val="center"/>
              <w:textAlignment w:val="center"/>
              <w:rPr>
                <w:rFonts w:hint="eastAsia" w:ascii="宋体" w:hAnsi="宋体" w:cs="宋体"/>
                <w:color w:val="auto"/>
                <w:szCs w:val="21"/>
              </w:rPr>
            </w:pPr>
            <w:r>
              <w:rPr>
                <w:rFonts w:hint="eastAsia" w:ascii="宋体" w:hAnsi="宋体" w:cs="宋体"/>
                <w:color w:val="auto"/>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12</w:t>
            </w:r>
          </w:p>
        </w:tc>
        <w:tc>
          <w:tcPr>
            <w:tcW w:w="797"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定压功率放大器（室外）</w:t>
            </w:r>
          </w:p>
        </w:tc>
        <w:tc>
          <w:tcPr>
            <w:tcW w:w="448"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1"/>
                <w:szCs w:val="21"/>
                <w:u w:val="none"/>
                <w:lang w:val="en-US" w:eastAsia="zh-CN" w:bidi="ar"/>
              </w:rPr>
              <w:t>台</w:t>
            </w:r>
          </w:p>
        </w:tc>
        <w:tc>
          <w:tcPr>
            <w:tcW w:w="735"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2</w:t>
            </w:r>
          </w:p>
        </w:tc>
        <w:tc>
          <w:tcPr>
            <w:tcW w:w="6540" w:type="dxa"/>
            <w:vAlign w:val="center"/>
          </w:tcPr>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产品特点：</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 xml:space="preserve">强劲的功率输出：采用了开关电源、数字功率放大器及风道式强制散热。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 xml:space="preserve">输入连接器：一个孔形卡侬和一个二芯插口，这样能方便地进行并机使用，并能与前级放大器和调音台方便连接。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 xml:space="preserve">输出方式：定压输出 100V。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 xml:space="preserve">面板有14颗LED指示灯：1颗电源指示灯；1颗保护指示灯；1颗削峰指示灯；1颗信号指示灯；1颗网络/待机状态指示灯，功放待机时绿灯常亮，本地输出绿灯闪烁；网络播音输出，红灯闪烁；网络报警输出，红绿灯交替闪烁；5颗电流指示灯；5颗电压指示灯。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 xml:space="preserve">完善可靠的保护电路：设置了包括开机延时静噪、断电瞬时关机、扬声器短路保护、过温输出保护在内的多种保护电路，使您尽可放心使用。机器输出短路连续保护多次后会锁定，需要重新拔出电源插头再上电恢复。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 xml:space="preserve">机械强度：能够承受运输中的剧烈振动，标准结构的前面板可以安装于标准的 19 吋机架。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高稳定性：能连续输出强劲功率，失真极低，高阻尼系数减低了扬声器音圈的过冲，使得低频响应结实而清晰。</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8.</w:t>
            </w:r>
            <w:r>
              <w:rPr>
                <w:rFonts w:hint="eastAsia" w:ascii="宋体" w:hAnsi="宋体" w:eastAsia="宋体" w:cs="宋体"/>
                <w:color w:val="auto"/>
                <w:kern w:val="0"/>
                <w:sz w:val="21"/>
                <w:szCs w:val="21"/>
                <w:highlight w:val="none"/>
                <w:lang w:val="en-US" w:eastAsia="zh-CN" w:bidi="ar"/>
              </w:rPr>
              <w:t>选配插卡式网络解码板，秒变IP解码功放。</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9.</w:t>
            </w:r>
            <w:r>
              <w:rPr>
                <w:rFonts w:hint="eastAsia" w:ascii="宋体" w:hAnsi="宋体" w:eastAsia="宋体" w:cs="宋体"/>
                <w:color w:val="auto"/>
                <w:kern w:val="0"/>
                <w:sz w:val="21"/>
                <w:szCs w:val="21"/>
                <w:highlight w:val="none"/>
                <w:lang w:val="en-US" w:eastAsia="zh-CN" w:bidi="ar"/>
              </w:rPr>
              <w:t>带RS485远程监控功能，通过广播管理系统主机可监控功放的工作模式、工作温度、输出电平、保护状态、工作电流等工作状态。</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技术参数：</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 xml:space="preserve">输出功率：500W/100V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 xml:space="preserve">频率响应：100Hz~16KHz+2/-6dB；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 xml:space="preserve">信噪比：≥90dB（A 计权）；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 xml:space="preserve">输入灵敏度：775mV±50mV；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 xml:space="preserve">总谐波失真：80Hz-16KHz&lt;2%；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 xml:space="preserve">电源：交流 220V/50Hz ±10%：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 xml:space="preserve">过载源电动势与额定源电动势之比：≥14dB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8.</w:t>
            </w:r>
            <w:r>
              <w:rPr>
                <w:rFonts w:hint="eastAsia" w:ascii="宋体" w:hAnsi="宋体" w:eastAsia="宋体" w:cs="宋体"/>
                <w:color w:val="auto"/>
                <w:kern w:val="0"/>
                <w:sz w:val="21"/>
                <w:szCs w:val="21"/>
                <w:highlight w:val="none"/>
                <w:lang w:val="en-US" w:eastAsia="zh-CN" w:bidi="ar"/>
              </w:rPr>
              <w:t>调整率：400HZ ≤2；4KHZ ≤2.5</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9.</w:t>
            </w:r>
            <w:r>
              <w:rPr>
                <w:rFonts w:hint="eastAsia" w:ascii="宋体" w:hAnsi="宋体" w:eastAsia="宋体" w:cs="宋体"/>
                <w:color w:val="auto"/>
                <w:kern w:val="0"/>
                <w:sz w:val="21"/>
                <w:szCs w:val="21"/>
                <w:highlight w:val="none"/>
                <w:lang w:val="en-US" w:eastAsia="zh-CN" w:bidi="ar"/>
              </w:rPr>
              <w:t>消耗功率：600W</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0.</w:t>
            </w:r>
            <w:r>
              <w:rPr>
                <w:rFonts w:hint="eastAsia" w:ascii="宋体" w:hAnsi="宋体" w:eastAsia="宋体" w:cs="宋体"/>
                <w:color w:val="auto"/>
                <w:kern w:val="0"/>
                <w:sz w:val="21"/>
                <w:szCs w:val="21"/>
                <w:highlight w:val="none"/>
                <w:lang w:val="en-US" w:eastAsia="zh-CN" w:bidi="ar"/>
              </w:rPr>
              <w:t>尺寸：483*340*44mm±2mm</w:t>
            </w:r>
          </w:p>
        </w:tc>
        <w:tc>
          <w:tcPr>
            <w:tcW w:w="756" w:type="dxa"/>
            <w:vAlign w:val="center"/>
          </w:tcPr>
          <w:p>
            <w:pPr>
              <w:widowControl/>
              <w:spacing w:line="440" w:lineRule="exact"/>
              <w:jc w:val="center"/>
              <w:textAlignment w:val="center"/>
              <w:rPr>
                <w:rFonts w:hint="eastAsia" w:ascii="宋体" w:hAnsi="宋体" w:cs="宋体"/>
                <w:color w:val="auto"/>
                <w:szCs w:val="21"/>
              </w:rPr>
            </w:pPr>
            <w:r>
              <w:rPr>
                <w:rFonts w:hint="eastAsia" w:ascii="宋体" w:hAnsi="宋体" w:cs="宋体"/>
                <w:color w:val="auto"/>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keepNext w:val="0"/>
              <w:keepLines w:val="0"/>
              <w:widowControl/>
              <w:suppressLineNumbers w:val="0"/>
              <w:jc w:val="center"/>
              <w:textAlignment w:val="center"/>
              <w:rPr>
                <w:rFonts w:hint="default" w:hAnsi="宋体" w:cs="宋体"/>
                <w:bCs/>
                <w:color w:val="auto"/>
                <w:sz w:val="21"/>
                <w:szCs w:val="21"/>
                <w:lang w:val="en-US" w:eastAsia="zh-CN" w:bidi="ar"/>
              </w:rPr>
            </w:pPr>
            <w:r>
              <w:rPr>
                <w:rFonts w:hint="eastAsia" w:hAnsi="宋体" w:cs="宋体"/>
                <w:bCs/>
                <w:color w:val="auto"/>
                <w:sz w:val="21"/>
                <w:szCs w:val="21"/>
                <w:lang w:val="en-US" w:eastAsia="zh-CN" w:bidi="ar"/>
              </w:rPr>
              <w:t>13</w:t>
            </w:r>
          </w:p>
        </w:tc>
        <w:tc>
          <w:tcPr>
            <w:tcW w:w="797"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室外豪华型防水声柱</w:t>
            </w:r>
          </w:p>
        </w:tc>
        <w:tc>
          <w:tcPr>
            <w:tcW w:w="448"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1"/>
                <w:szCs w:val="21"/>
                <w:u w:val="none"/>
                <w:lang w:val="en-US" w:eastAsia="zh-CN" w:bidi="ar"/>
              </w:rPr>
              <w:t>条</w:t>
            </w:r>
          </w:p>
        </w:tc>
        <w:tc>
          <w:tcPr>
            <w:tcW w:w="735"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4</w:t>
            </w:r>
          </w:p>
        </w:tc>
        <w:tc>
          <w:tcPr>
            <w:tcW w:w="6540" w:type="dxa"/>
            <w:vAlign w:val="center"/>
          </w:tcPr>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外壳采用铝合金材料，</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专业的表面处理工艺，防水防锈，全天候设计，</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选用防水单元，室内外均宜，寿命长，灵敏度高，声音清晰、明亮。</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配有安装支架，安装便捷。</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扬声器单元通过IP56防水等级认证。</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额定功率：120W。</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输入电压：100V。</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8.</w:t>
            </w:r>
            <w:r>
              <w:rPr>
                <w:rFonts w:hint="eastAsia" w:ascii="宋体" w:hAnsi="宋体" w:eastAsia="宋体" w:cs="宋体"/>
                <w:color w:val="auto"/>
                <w:kern w:val="0"/>
                <w:sz w:val="21"/>
                <w:szCs w:val="21"/>
                <w:highlight w:val="none"/>
                <w:lang w:val="en-US" w:eastAsia="zh-CN" w:bidi="ar"/>
              </w:rPr>
              <w:t>灵敏度：92dB±3dB。</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9.</w:t>
            </w:r>
            <w:r>
              <w:rPr>
                <w:rFonts w:hint="eastAsia" w:ascii="宋体" w:hAnsi="宋体" w:eastAsia="宋体" w:cs="宋体"/>
                <w:color w:val="auto"/>
                <w:kern w:val="0"/>
                <w:sz w:val="21"/>
                <w:szCs w:val="21"/>
                <w:highlight w:val="none"/>
                <w:lang w:val="en-US" w:eastAsia="zh-CN" w:bidi="ar"/>
              </w:rPr>
              <w:t>频率响应：70Hz-19KHz（±15%）。</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0.</w:t>
            </w:r>
            <w:r>
              <w:rPr>
                <w:rFonts w:hint="eastAsia" w:ascii="宋体" w:hAnsi="宋体" w:eastAsia="宋体" w:cs="宋体"/>
                <w:color w:val="auto"/>
                <w:kern w:val="0"/>
                <w:sz w:val="21"/>
                <w:szCs w:val="21"/>
                <w:highlight w:val="none"/>
                <w:lang w:val="en-US" w:eastAsia="zh-CN" w:bidi="ar"/>
              </w:rPr>
              <w:t>喇叭单元：LF6.5"×3；HF:3"×1。</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外形尺寸(W×D× H)：240×200×870mm±5mm。</w:t>
            </w:r>
          </w:p>
        </w:tc>
        <w:tc>
          <w:tcPr>
            <w:tcW w:w="756" w:type="dxa"/>
            <w:vAlign w:val="center"/>
          </w:tcPr>
          <w:p>
            <w:pPr>
              <w:widowControl/>
              <w:spacing w:line="440" w:lineRule="exact"/>
              <w:jc w:val="center"/>
              <w:textAlignment w:val="center"/>
              <w:rPr>
                <w:rFonts w:hint="eastAsia" w:ascii="宋体" w:hAnsi="宋体" w:cs="宋体"/>
                <w:color w:val="auto"/>
                <w:szCs w:val="21"/>
              </w:rPr>
            </w:pPr>
            <w:r>
              <w:rPr>
                <w:rFonts w:hint="eastAsia" w:ascii="宋体" w:hAnsi="宋体" w:cs="宋体"/>
                <w:color w:val="auto"/>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keepNext w:val="0"/>
              <w:keepLines w:val="0"/>
              <w:widowControl/>
              <w:suppressLineNumbers w:val="0"/>
              <w:jc w:val="center"/>
              <w:textAlignment w:val="center"/>
              <w:rPr>
                <w:rFonts w:hint="default" w:hAnsi="宋体" w:cs="宋体"/>
                <w:bCs/>
                <w:color w:val="auto"/>
                <w:sz w:val="21"/>
                <w:szCs w:val="21"/>
                <w:lang w:val="en-US" w:eastAsia="zh-CN" w:bidi="ar"/>
              </w:rPr>
            </w:pPr>
            <w:r>
              <w:rPr>
                <w:rFonts w:hint="eastAsia" w:hAnsi="宋体" w:cs="宋体"/>
                <w:bCs/>
                <w:color w:val="auto"/>
                <w:sz w:val="21"/>
                <w:szCs w:val="21"/>
                <w:lang w:val="en-US" w:eastAsia="zh-CN" w:bidi="ar"/>
              </w:rPr>
              <w:t>14</w:t>
            </w:r>
          </w:p>
        </w:tc>
        <w:tc>
          <w:tcPr>
            <w:tcW w:w="797"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室外豪华型防水声柱</w:t>
            </w:r>
          </w:p>
        </w:tc>
        <w:tc>
          <w:tcPr>
            <w:tcW w:w="448"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1"/>
                <w:szCs w:val="21"/>
                <w:u w:val="none"/>
                <w:lang w:val="en-US" w:eastAsia="zh-CN" w:bidi="ar"/>
              </w:rPr>
              <w:t>条</w:t>
            </w:r>
          </w:p>
        </w:tc>
        <w:tc>
          <w:tcPr>
            <w:tcW w:w="735"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4</w:t>
            </w:r>
          </w:p>
        </w:tc>
        <w:tc>
          <w:tcPr>
            <w:tcW w:w="6540" w:type="dxa"/>
            <w:vAlign w:val="center"/>
          </w:tcPr>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外壳采用铝合金材料，</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专业的表面处理工艺，防水防锈，全天候设计，</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选用防水单元，室内外均宜，寿命长，灵敏度高，声音清晰、明亮。</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配有安装支架，安装便捷。</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扬声器单元通过IP56防尘防水等级认证。</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额定功率：80W。</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输入电压：100V。</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8.</w:t>
            </w:r>
            <w:r>
              <w:rPr>
                <w:rFonts w:hint="eastAsia" w:ascii="宋体" w:hAnsi="宋体" w:eastAsia="宋体" w:cs="宋体"/>
                <w:color w:val="auto"/>
                <w:kern w:val="0"/>
                <w:sz w:val="21"/>
                <w:szCs w:val="21"/>
                <w:highlight w:val="none"/>
                <w:lang w:val="en-US" w:eastAsia="zh-CN" w:bidi="ar"/>
              </w:rPr>
              <w:t>灵敏度：90±3dB，</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9.</w:t>
            </w:r>
            <w:r>
              <w:rPr>
                <w:rFonts w:hint="eastAsia" w:ascii="宋体" w:hAnsi="宋体" w:eastAsia="宋体" w:cs="宋体"/>
                <w:color w:val="auto"/>
                <w:kern w:val="0"/>
                <w:sz w:val="21"/>
                <w:szCs w:val="21"/>
                <w:highlight w:val="none"/>
                <w:lang w:val="en-US" w:eastAsia="zh-CN" w:bidi="ar"/>
              </w:rPr>
              <w:t>频率响应：110Hz-18KHz（±15%）。</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0.</w:t>
            </w:r>
            <w:r>
              <w:rPr>
                <w:rFonts w:hint="eastAsia" w:ascii="宋体" w:hAnsi="宋体" w:eastAsia="宋体" w:cs="宋体"/>
                <w:color w:val="auto"/>
                <w:kern w:val="0"/>
                <w:sz w:val="21"/>
                <w:szCs w:val="21"/>
                <w:highlight w:val="none"/>
                <w:lang w:val="en-US" w:eastAsia="zh-CN" w:bidi="ar"/>
              </w:rPr>
              <w:t>喇叭单元：LF:5.25"×4；HF:3"×1。</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外形尺寸(W×D× H)：200×140×880mm±5mm。</w:t>
            </w:r>
          </w:p>
        </w:tc>
        <w:tc>
          <w:tcPr>
            <w:tcW w:w="756" w:type="dxa"/>
            <w:vAlign w:val="center"/>
          </w:tcPr>
          <w:p>
            <w:pPr>
              <w:widowControl/>
              <w:spacing w:line="440" w:lineRule="exact"/>
              <w:jc w:val="center"/>
              <w:textAlignment w:val="center"/>
              <w:rPr>
                <w:rFonts w:hint="eastAsia" w:ascii="宋体" w:hAnsi="宋体" w:cs="宋体"/>
                <w:color w:val="auto"/>
                <w:szCs w:val="21"/>
              </w:rPr>
            </w:pPr>
            <w:r>
              <w:rPr>
                <w:rFonts w:hint="eastAsia" w:ascii="宋体" w:hAnsi="宋体" w:cs="宋体"/>
                <w:color w:val="auto"/>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17" w:type="dxa"/>
            <w:gridSpan w:val="6"/>
            <w:vAlign w:val="center"/>
          </w:tcPr>
          <w:p>
            <w:pPr>
              <w:widowControl/>
              <w:spacing w:line="440" w:lineRule="exact"/>
              <w:jc w:val="left"/>
              <w:textAlignment w:val="center"/>
              <w:rPr>
                <w:rFonts w:hint="eastAsia" w:ascii="宋体" w:hAnsi="宋体" w:cs="宋体"/>
                <w:color w:val="auto"/>
                <w:szCs w:val="21"/>
              </w:rPr>
            </w:pPr>
            <w:r>
              <w:rPr>
                <w:rFonts w:hint="eastAsia" w:ascii="宋体" w:hAnsi="宋体" w:cs="宋体"/>
                <w:b/>
                <w:bCs/>
                <w:color w:val="auto"/>
                <w:szCs w:val="21"/>
                <w:lang w:eastAsia="zh-CN"/>
              </w:rPr>
              <w:t>（</w:t>
            </w:r>
            <w:r>
              <w:rPr>
                <w:rFonts w:hint="eastAsia" w:ascii="宋体" w:hAnsi="宋体" w:cs="宋体"/>
                <w:b/>
                <w:bCs/>
                <w:color w:val="auto"/>
                <w:szCs w:val="21"/>
                <w:lang w:val="en-US" w:eastAsia="zh-CN"/>
              </w:rPr>
              <w:t>三</w:t>
            </w:r>
            <w:r>
              <w:rPr>
                <w:rFonts w:hint="eastAsia" w:ascii="宋体" w:hAnsi="宋体" w:cs="宋体"/>
                <w:b/>
                <w:bCs/>
                <w:color w:val="auto"/>
                <w:szCs w:val="21"/>
                <w:lang w:eastAsia="zh-CN"/>
              </w:rPr>
              <w:t>）</w:t>
            </w:r>
            <w:r>
              <w:rPr>
                <w:rFonts w:hint="eastAsia" w:ascii="宋体" w:hAnsi="宋体" w:cs="宋体"/>
                <w:b/>
                <w:bCs/>
                <w:color w:val="auto"/>
                <w:szCs w:val="21"/>
              </w:rPr>
              <w:t>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15</w:t>
            </w:r>
          </w:p>
        </w:tc>
        <w:tc>
          <w:tcPr>
            <w:tcW w:w="797"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定压功率放大器（教室）</w:t>
            </w:r>
          </w:p>
        </w:tc>
        <w:tc>
          <w:tcPr>
            <w:tcW w:w="448"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1"/>
                <w:szCs w:val="21"/>
                <w:u w:val="none"/>
                <w:lang w:val="en-US" w:eastAsia="zh-CN" w:bidi="ar"/>
              </w:rPr>
              <w:t>台</w:t>
            </w:r>
          </w:p>
        </w:tc>
        <w:tc>
          <w:tcPr>
            <w:tcW w:w="735"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1</w:t>
            </w:r>
          </w:p>
        </w:tc>
        <w:tc>
          <w:tcPr>
            <w:tcW w:w="6540" w:type="dxa"/>
            <w:vAlign w:val="center"/>
          </w:tcPr>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D类数字功率放大器。</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RS485远程监控。通过广播管理系统主机可监控功放的工作模式、工作温度、输出电平、保护状态、工作电流等工作状态。</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可选配插卡式网络模块NET-212/VOA-221，让功放成为IP网络功放，整机设计采用插槽式设计理念，即插即用。</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输出功率：1100W（100V定压输出）。</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频率响应：100Hz~16kHz (+2/-6dB)；</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信噪比：≥90dB（A计权）；</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输入灵敏度：775mV±50mV；</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8.</w:t>
            </w:r>
            <w:r>
              <w:rPr>
                <w:rFonts w:hint="eastAsia" w:ascii="宋体" w:hAnsi="宋体" w:eastAsia="宋体" w:cs="宋体"/>
                <w:color w:val="auto"/>
                <w:kern w:val="0"/>
                <w:sz w:val="21"/>
                <w:szCs w:val="21"/>
                <w:highlight w:val="none"/>
                <w:lang w:val="en-US" w:eastAsia="zh-CN" w:bidi="ar"/>
              </w:rPr>
              <w:t>总谐波失真：1KHz&lt;1%；</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9.</w:t>
            </w:r>
            <w:r>
              <w:rPr>
                <w:rFonts w:hint="eastAsia" w:ascii="宋体" w:hAnsi="宋体" w:eastAsia="宋体" w:cs="宋体"/>
                <w:color w:val="auto"/>
                <w:kern w:val="0"/>
                <w:sz w:val="21"/>
                <w:szCs w:val="21"/>
                <w:highlight w:val="none"/>
                <w:lang w:val="en-US" w:eastAsia="zh-CN" w:bidi="ar"/>
              </w:rPr>
              <w:t>电源：交流220V/50Hz   ±10%。</w:t>
            </w:r>
          </w:p>
        </w:tc>
        <w:tc>
          <w:tcPr>
            <w:tcW w:w="756" w:type="dxa"/>
            <w:vAlign w:val="center"/>
          </w:tcPr>
          <w:p>
            <w:pPr>
              <w:widowControl/>
              <w:spacing w:line="440" w:lineRule="exact"/>
              <w:jc w:val="center"/>
              <w:textAlignment w:val="center"/>
              <w:rPr>
                <w:rFonts w:hint="eastAsia" w:ascii="宋体" w:hAnsi="宋体" w:cs="宋体"/>
                <w:color w:val="auto"/>
                <w:szCs w:val="21"/>
              </w:rPr>
            </w:pPr>
            <w:r>
              <w:rPr>
                <w:rFonts w:hint="eastAsia" w:ascii="宋体" w:hAnsi="宋体" w:cs="宋体"/>
                <w:color w:val="auto"/>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16</w:t>
            </w:r>
          </w:p>
        </w:tc>
        <w:tc>
          <w:tcPr>
            <w:tcW w:w="797"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壁挂扬声器</w:t>
            </w:r>
          </w:p>
        </w:tc>
        <w:tc>
          <w:tcPr>
            <w:tcW w:w="448"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1"/>
                <w:szCs w:val="21"/>
                <w:u w:val="none"/>
                <w:lang w:val="en-US" w:eastAsia="zh-CN" w:bidi="ar"/>
              </w:rPr>
              <w:t>只</w:t>
            </w:r>
          </w:p>
        </w:tc>
        <w:tc>
          <w:tcPr>
            <w:tcW w:w="735"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60</w:t>
            </w:r>
          </w:p>
        </w:tc>
        <w:tc>
          <w:tcPr>
            <w:tcW w:w="6540" w:type="dxa"/>
            <w:vAlign w:val="center"/>
          </w:tcPr>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木质音箱，外饰PVC皮。</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采用一只优质4.5吋中低音和一只高音揚声器，二单元二分频。</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具有外型美观，安装方便，可靠性高，传输距离远，保真度高，使用方便等特点。</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安装方式为壁挂式安装，</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可广泛应用于学校，车站，码头，宾馆，机场及体育馆等播音场所。</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输入电压：100V。</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 xml:space="preserve">  额定功率：10W。</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8.</w:t>
            </w:r>
            <w:r>
              <w:rPr>
                <w:rFonts w:hint="eastAsia" w:ascii="宋体" w:hAnsi="宋体" w:eastAsia="宋体" w:cs="宋体"/>
                <w:color w:val="auto"/>
                <w:kern w:val="0"/>
                <w:sz w:val="21"/>
                <w:szCs w:val="21"/>
                <w:highlight w:val="none"/>
                <w:lang w:val="en-US" w:eastAsia="zh-CN" w:bidi="ar"/>
              </w:rPr>
              <w:t>频率范围：130Hz-17KHz ±10%。</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9.</w:t>
            </w:r>
            <w:r>
              <w:rPr>
                <w:rFonts w:hint="eastAsia" w:ascii="宋体" w:hAnsi="宋体" w:eastAsia="宋体" w:cs="宋体"/>
                <w:color w:val="auto"/>
                <w:kern w:val="0"/>
                <w:sz w:val="21"/>
                <w:szCs w:val="21"/>
                <w:highlight w:val="none"/>
                <w:lang w:val="en-US" w:eastAsia="zh-CN" w:bidi="ar"/>
              </w:rPr>
              <w:t>灵敏度：88dB ±3dB。</w:t>
            </w:r>
          </w:p>
        </w:tc>
        <w:tc>
          <w:tcPr>
            <w:tcW w:w="756" w:type="dxa"/>
            <w:vAlign w:val="center"/>
          </w:tcPr>
          <w:p>
            <w:pPr>
              <w:widowControl/>
              <w:spacing w:line="440" w:lineRule="exact"/>
              <w:jc w:val="center"/>
              <w:textAlignment w:val="center"/>
              <w:rPr>
                <w:rFonts w:hint="eastAsia" w:ascii="宋体" w:hAnsi="宋体" w:cs="宋体"/>
                <w:color w:val="auto"/>
                <w:szCs w:val="21"/>
              </w:rPr>
            </w:pPr>
            <w:r>
              <w:rPr>
                <w:rFonts w:hint="eastAsia" w:ascii="宋体" w:hAnsi="宋体" w:cs="宋体"/>
                <w:color w:val="auto"/>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17" w:type="dxa"/>
            <w:gridSpan w:val="6"/>
            <w:vAlign w:val="center"/>
          </w:tcPr>
          <w:p>
            <w:pPr>
              <w:widowControl/>
              <w:spacing w:line="440" w:lineRule="exact"/>
              <w:jc w:val="left"/>
              <w:textAlignment w:val="center"/>
              <w:rPr>
                <w:rFonts w:hint="eastAsia" w:ascii="宋体" w:hAnsi="宋体" w:cs="宋体"/>
                <w:color w:val="auto"/>
                <w:szCs w:val="21"/>
              </w:rPr>
            </w:pPr>
            <w:r>
              <w:rPr>
                <w:rFonts w:hint="eastAsia" w:ascii="宋体" w:hAnsi="宋体" w:cs="宋体"/>
                <w:b/>
                <w:bCs/>
                <w:color w:val="auto"/>
                <w:szCs w:val="21"/>
                <w:lang w:eastAsia="zh-CN"/>
              </w:rPr>
              <w:t>（</w:t>
            </w:r>
            <w:r>
              <w:rPr>
                <w:rFonts w:hint="eastAsia" w:ascii="宋体" w:hAnsi="宋体" w:cs="宋体"/>
                <w:b/>
                <w:bCs/>
                <w:color w:val="auto"/>
                <w:szCs w:val="21"/>
                <w:lang w:val="en-US" w:eastAsia="zh-CN"/>
              </w:rPr>
              <w:t>四</w:t>
            </w:r>
            <w:r>
              <w:rPr>
                <w:rFonts w:hint="eastAsia" w:ascii="宋体" w:hAnsi="宋体" w:cs="宋体"/>
                <w:b/>
                <w:bCs/>
                <w:color w:val="auto"/>
                <w:szCs w:val="21"/>
                <w:lang w:eastAsia="zh-CN"/>
              </w:rPr>
              <w:t>）</w:t>
            </w:r>
            <w:r>
              <w:rPr>
                <w:rFonts w:hint="eastAsia" w:ascii="宋体" w:hAnsi="宋体" w:cs="宋体"/>
                <w:b/>
                <w:bCs/>
                <w:color w:val="auto"/>
                <w:szCs w:val="21"/>
              </w:rPr>
              <w:t>安装及辅材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17</w:t>
            </w:r>
          </w:p>
        </w:tc>
        <w:tc>
          <w:tcPr>
            <w:tcW w:w="797"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播音电脑</w:t>
            </w:r>
          </w:p>
        </w:tc>
        <w:tc>
          <w:tcPr>
            <w:tcW w:w="448" w:type="dxa"/>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套</w:t>
            </w:r>
          </w:p>
        </w:tc>
        <w:tc>
          <w:tcPr>
            <w:tcW w:w="735" w:type="dxa"/>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1</w:t>
            </w:r>
          </w:p>
        </w:tc>
        <w:tc>
          <w:tcPr>
            <w:tcW w:w="6540" w:type="dxa"/>
            <w:vAlign w:val="center"/>
          </w:tcPr>
          <w:p>
            <w:pPr>
              <w:widowControl/>
              <w:spacing w:line="440" w:lineRule="exact"/>
              <w:ind w:firstLine="420" w:firstLineChars="200"/>
              <w:jc w:val="left"/>
              <w:textAlignment w:val="center"/>
              <w:rPr>
                <w:rFonts w:hint="eastAsia"/>
                <w:color w:val="auto"/>
                <w:lang w:val="en-US" w:eastAsia="zh-CN"/>
              </w:rPr>
            </w:pPr>
            <w:r>
              <w:rPr>
                <w:rFonts w:hint="eastAsia"/>
                <w:color w:val="auto"/>
                <w:lang w:val="en-US" w:eastAsia="zh-CN"/>
              </w:rPr>
              <w:t>根据深化安全可靠应用政府采购相关政策要求，本项产品的CPU、操作系统必须符合安全可靠测评要求，否则响应无效。</w:t>
            </w:r>
          </w:p>
          <w:p>
            <w:pPr>
              <w:widowControl/>
              <w:spacing w:line="440" w:lineRule="exact"/>
              <w:ind w:firstLine="420" w:firstLineChars="200"/>
              <w:jc w:val="left"/>
              <w:textAlignment w:val="center"/>
              <w:rPr>
                <w:rFonts w:hint="eastAsia"/>
                <w:color w:val="auto"/>
                <w:lang w:val="en-US" w:eastAsia="zh-CN"/>
              </w:rPr>
            </w:pPr>
            <w:r>
              <w:rPr>
                <w:rFonts w:hint="eastAsia"/>
                <w:color w:val="auto"/>
                <w:lang w:val="en-US" w:eastAsia="zh-CN"/>
              </w:rPr>
              <w:t>一、参数要求：</w:t>
            </w:r>
          </w:p>
          <w:p>
            <w:pPr>
              <w:widowControl/>
              <w:spacing w:line="440" w:lineRule="exact"/>
              <w:jc w:val="left"/>
              <w:textAlignment w:val="center"/>
              <w:rPr>
                <w:rFonts w:hint="eastAsia"/>
                <w:color w:val="auto"/>
                <w:lang w:val="en-US" w:eastAsia="zh-CN"/>
              </w:rPr>
            </w:pPr>
            <w:r>
              <w:rPr>
                <w:rFonts w:hint="eastAsia"/>
                <w:color w:val="auto"/>
                <w:lang w:val="en-US" w:eastAsia="zh-CN"/>
              </w:rPr>
              <w:t>★1.</w:t>
            </w:r>
            <w:r>
              <w:rPr>
                <w:rFonts w:hint="eastAsia"/>
                <w:color w:val="auto"/>
              </w:rPr>
              <w:t>配置海光C86-3G高性能8核心（X86架构，处理器主频≥3.0GHz）或</w:t>
            </w:r>
            <w:r>
              <w:rPr>
                <w:rFonts w:hint="eastAsia"/>
                <w:color w:val="auto"/>
                <w:lang w:val="en-US" w:eastAsia="zh-CN"/>
              </w:rPr>
              <w:t>同等档次性能以上</w:t>
            </w:r>
            <w:r>
              <w:rPr>
                <w:rFonts w:hint="eastAsia"/>
                <w:color w:val="auto"/>
              </w:rPr>
              <w:t>处理器</w:t>
            </w:r>
            <w:r>
              <w:rPr>
                <w:rFonts w:hint="eastAsia"/>
                <w:color w:val="auto"/>
                <w:lang w:val="en-US" w:eastAsia="zh-CN"/>
              </w:rPr>
              <w:t>；</w:t>
            </w:r>
          </w:p>
          <w:p>
            <w:pPr>
              <w:widowControl/>
              <w:spacing w:line="440" w:lineRule="exact"/>
              <w:jc w:val="left"/>
              <w:textAlignment w:val="center"/>
              <w:rPr>
                <w:rFonts w:hint="eastAsia"/>
                <w:color w:val="auto"/>
                <w:lang w:val="en-US" w:eastAsia="zh-CN"/>
              </w:rPr>
            </w:pPr>
            <w:r>
              <w:rPr>
                <w:rFonts w:hint="eastAsia"/>
                <w:color w:val="auto"/>
                <w:lang w:val="en-US" w:eastAsia="zh-CN"/>
              </w:rPr>
              <w:t>2.内存：配置≥8GB DDR4内存，内存读写速率≥3200MT/s，不少于4根内存插槽，内存插槽满配时提供的最高内存容量≥128GB；</w:t>
            </w:r>
          </w:p>
          <w:p>
            <w:pPr>
              <w:widowControl/>
              <w:spacing w:line="440" w:lineRule="exact"/>
              <w:jc w:val="left"/>
              <w:textAlignment w:val="center"/>
              <w:rPr>
                <w:rFonts w:hint="eastAsia"/>
                <w:color w:val="auto"/>
                <w:lang w:val="en-US" w:eastAsia="zh-CN"/>
              </w:rPr>
            </w:pPr>
            <w:r>
              <w:rPr>
                <w:rFonts w:hint="eastAsia"/>
                <w:color w:val="auto"/>
                <w:lang w:val="en-US" w:eastAsia="zh-CN"/>
              </w:rPr>
              <w:t>3.硬盘：≥512GB  SSD固态硬盘，支持混合硬盘，最大可扩展至1T SSD+2T机械硬盘，支持硬盘减震功能；</w:t>
            </w:r>
          </w:p>
          <w:p>
            <w:pPr>
              <w:widowControl/>
              <w:spacing w:line="440" w:lineRule="exact"/>
              <w:jc w:val="left"/>
              <w:textAlignment w:val="center"/>
              <w:rPr>
                <w:rFonts w:hint="eastAsia"/>
                <w:color w:val="auto"/>
                <w:lang w:val="en-US" w:eastAsia="zh-CN"/>
              </w:rPr>
            </w:pPr>
            <w:r>
              <w:rPr>
                <w:rFonts w:hint="eastAsia"/>
                <w:color w:val="auto"/>
                <w:lang w:val="en-US" w:eastAsia="zh-CN"/>
              </w:rPr>
              <w:t>4.显卡：配置独立显卡，显存容量≥2GB，至少支持 VGA、HDMI、DVI、DP、 Type-C 中 2种显示接口，并与显示器接口相匹配；</w:t>
            </w:r>
          </w:p>
          <w:p>
            <w:pPr>
              <w:widowControl/>
              <w:spacing w:line="440" w:lineRule="exact"/>
              <w:jc w:val="left"/>
              <w:textAlignment w:val="center"/>
              <w:rPr>
                <w:rFonts w:hint="eastAsia"/>
                <w:color w:val="auto"/>
                <w:lang w:val="en-US" w:eastAsia="zh-CN"/>
              </w:rPr>
            </w:pPr>
            <w:r>
              <w:rPr>
                <w:rFonts w:hint="eastAsia"/>
                <w:color w:val="auto"/>
                <w:lang w:val="en-US" w:eastAsia="zh-CN"/>
              </w:rPr>
              <w:t>5.主板接口：配置≥2个PCIe x16, ≥1个PCIe x8, ≥1个PCIe x1；配置USB总数≥11个，其中USB3.0接口≥9个，≥1个M.2接口 PCIE4.0协议，≥4个SATA 接口；主板集成10/100M/1000M 自适应以太网卡，原厂可配置同品牌网络防雷器，有网络端口防雷功能；</w:t>
            </w:r>
          </w:p>
          <w:p>
            <w:pPr>
              <w:widowControl/>
              <w:spacing w:line="440" w:lineRule="exact"/>
              <w:jc w:val="left"/>
              <w:textAlignment w:val="center"/>
              <w:rPr>
                <w:rFonts w:hint="eastAsia"/>
                <w:color w:val="auto"/>
                <w:lang w:val="en-US" w:eastAsia="zh-CN"/>
              </w:rPr>
            </w:pPr>
            <w:r>
              <w:rPr>
                <w:rFonts w:hint="eastAsia"/>
                <w:color w:val="auto"/>
                <w:lang w:val="en-US" w:eastAsia="zh-CN"/>
              </w:rPr>
              <w:t>6.显示器：显示屏尺寸≥23.8英寸，显示屏屏占比≥85%，显示屏像素密度≥90像素/英寸，显示屏可视角度水平≥178°，显示屏防蓝光支持防蓝光模式，蓝光加权辐射亮度比应≤0.0012W/(·cd·sr)（瓦每坎特拉每球面度），显示屏低频闪显示屏应支持低频闪≤-35dB，显示屏防炫目显示屏镜面反射率≤10%，显示屏刷新率≥75Hz，显示屏位深≥8 位，显示屏色域≥99%  sRGB，显示屏色准△E≤4，显示屏响应时间≤8ms，显示屏亮度≥250 尼特，显示屏亮度一致性≥75%，显示屏对比度≥1000：1；</w:t>
            </w:r>
          </w:p>
          <w:p>
            <w:pPr>
              <w:widowControl/>
              <w:spacing w:line="440" w:lineRule="exact"/>
              <w:jc w:val="left"/>
              <w:textAlignment w:val="center"/>
              <w:rPr>
                <w:rFonts w:hint="eastAsia"/>
                <w:color w:val="auto"/>
                <w:lang w:val="en-US" w:eastAsia="zh-CN"/>
              </w:rPr>
            </w:pPr>
            <w:r>
              <w:rPr>
                <w:rFonts w:hint="eastAsia"/>
                <w:color w:val="auto"/>
                <w:lang w:val="en-US" w:eastAsia="zh-CN"/>
              </w:rPr>
              <w:t>7.键鼠：同品牌USB光电鼠标、键盘，键盘防水且自带导水孔；</w:t>
            </w:r>
          </w:p>
          <w:p>
            <w:pPr>
              <w:widowControl/>
              <w:spacing w:line="440" w:lineRule="exact"/>
              <w:jc w:val="left"/>
              <w:textAlignment w:val="center"/>
              <w:rPr>
                <w:rFonts w:hint="eastAsia"/>
                <w:color w:val="auto"/>
                <w:lang w:val="en-US" w:eastAsia="zh-CN"/>
              </w:rPr>
            </w:pPr>
            <w:r>
              <w:rPr>
                <w:rFonts w:hint="eastAsia"/>
                <w:color w:val="auto"/>
                <w:lang w:val="en-US" w:eastAsia="zh-CN"/>
              </w:rPr>
              <w:t>8.机箱：具备顶置提手，方便搬运；机箱前置至少具备1个网络故障灯，以便于快速诊断网路通畅情况，机型体积不小于15L；整机防尘等级不低于国际标准IP5X级；</w:t>
            </w:r>
          </w:p>
          <w:p>
            <w:pPr>
              <w:widowControl/>
              <w:spacing w:line="440" w:lineRule="exact"/>
              <w:jc w:val="left"/>
              <w:textAlignment w:val="center"/>
              <w:rPr>
                <w:rFonts w:hint="eastAsia"/>
                <w:color w:val="auto"/>
                <w:lang w:val="en-US" w:eastAsia="zh-CN"/>
              </w:rPr>
            </w:pPr>
            <w:r>
              <w:rPr>
                <w:rFonts w:hint="eastAsia"/>
                <w:color w:val="auto"/>
                <w:lang w:val="en-US" w:eastAsia="zh-CN"/>
              </w:rPr>
              <w:t>9.电源：≥200W节能电源；                                                                                                                                                                                                                                                                                                                                                                                                                  10.操作系统：支持统信UOS、麒麟、windows等主流操作系统；</w:t>
            </w:r>
          </w:p>
          <w:p>
            <w:pPr>
              <w:widowControl/>
              <w:spacing w:line="440" w:lineRule="exact"/>
              <w:jc w:val="left"/>
              <w:textAlignment w:val="center"/>
              <w:rPr>
                <w:rFonts w:hint="eastAsia"/>
                <w:color w:val="auto"/>
                <w:lang w:val="en-US" w:eastAsia="zh-CN"/>
              </w:rPr>
            </w:pPr>
            <w:r>
              <w:rPr>
                <w:rFonts w:hint="eastAsia" w:ascii="宋体" w:hAnsi="宋体" w:eastAsia="宋体" w:cs="宋体"/>
                <w:color w:val="auto"/>
                <w:kern w:val="0"/>
                <w:szCs w:val="21"/>
                <w:lang w:val="en-US" w:eastAsia="zh-CN" w:bidi="ar"/>
              </w:rPr>
              <w:t>★</w:t>
            </w:r>
            <w:r>
              <w:rPr>
                <w:rFonts w:hint="eastAsia" w:ascii="宋体" w:hAnsi="宋体" w:cs="宋体"/>
                <w:color w:val="auto"/>
                <w:kern w:val="0"/>
                <w:szCs w:val="21"/>
                <w:lang w:val="en-US" w:eastAsia="zh-CN" w:bidi="ar"/>
              </w:rPr>
              <w:t>11.</w:t>
            </w:r>
            <w:r>
              <w:rPr>
                <w:rFonts w:hint="eastAsia"/>
                <w:color w:val="auto"/>
                <w:lang w:val="en-US" w:eastAsia="zh-CN"/>
              </w:rPr>
              <w:t xml:space="preserve"> 投标文件中必须提供该产品由国家确定的认证机构出具的处于有效期之内的节能产品认证、3C认证证书扫描件（加盖供应商公章）</w:t>
            </w:r>
          </w:p>
        </w:tc>
        <w:tc>
          <w:tcPr>
            <w:tcW w:w="756" w:type="dxa"/>
            <w:vAlign w:val="center"/>
          </w:tcPr>
          <w:p>
            <w:pPr>
              <w:widowControl/>
              <w:spacing w:line="440" w:lineRule="exact"/>
              <w:jc w:val="center"/>
              <w:textAlignment w:val="center"/>
              <w:rPr>
                <w:rFonts w:hint="default" w:ascii="宋体" w:hAnsi="宋体" w:cs="宋体"/>
                <w:color w:val="auto"/>
                <w:szCs w:val="21"/>
                <w:lang w:val="en-US" w:eastAsia="zh-CN"/>
              </w:rPr>
            </w:pPr>
            <w:r>
              <w:rPr>
                <w:rFonts w:hint="eastAsia" w:ascii="宋体" w:hAnsi="宋体" w:cs="宋体"/>
                <w:color w:val="auto"/>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1</w:t>
            </w:r>
            <w:r>
              <w:rPr>
                <w:rFonts w:hint="eastAsia" w:ascii="宋体" w:hAnsi="宋体" w:cs="宋体"/>
                <w:i w:val="0"/>
                <w:iCs w:val="0"/>
                <w:color w:val="auto"/>
                <w:kern w:val="0"/>
                <w:sz w:val="24"/>
                <w:szCs w:val="24"/>
                <w:u w:val="none"/>
                <w:lang w:val="en-US" w:eastAsia="zh-CN" w:bidi="ar"/>
              </w:rPr>
              <w:t>8</w:t>
            </w:r>
          </w:p>
        </w:tc>
        <w:tc>
          <w:tcPr>
            <w:tcW w:w="797"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融合桌面云平台管理软件</w:t>
            </w:r>
          </w:p>
        </w:tc>
        <w:tc>
          <w:tcPr>
            <w:tcW w:w="448"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1"/>
                <w:szCs w:val="21"/>
                <w:u w:val="none"/>
                <w:lang w:val="en-US" w:eastAsia="zh-CN" w:bidi="ar"/>
              </w:rPr>
              <w:t>套</w:t>
            </w:r>
          </w:p>
        </w:tc>
        <w:tc>
          <w:tcPr>
            <w:tcW w:w="735"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1</w:t>
            </w:r>
          </w:p>
        </w:tc>
        <w:tc>
          <w:tcPr>
            <w:tcW w:w="6540" w:type="dxa"/>
            <w:vAlign w:val="center"/>
          </w:tcPr>
          <w:p>
            <w:pPr>
              <w:widowControl/>
              <w:spacing w:line="440" w:lineRule="exact"/>
              <w:jc w:val="left"/>
              <w:textAlignment w:val="center"/>
              <w:rPr>
                <w:rFonts w:hint="eastAsia" w:ascii="宋体" w:hAnsi="宋体" w:eastAsia="宋体" w:cs="宋体"/>
                <w:color w:val="auto"/>
                <w:kern w:val="0"/>
                <w:szCs w:val="21"/>
                <w:lang w:val="en-US" w:eastAsia="zh-CN" w:bidi="ar"/>
              </w:rPr>
            </w:pPr>
            <w:r>
              <w:rPr>
                <w:rFonts w:hint="eastAsia" w:ascii="宋体" w:hAnsi="宋体" w:cs="宋体"/>
                <w:color w:val="auto"/>
                <w:kern w:val="0"/>
                <w:szCs w:val="21"/>
                <w:lang w:val="en-US" w:eastAsia="zh-CN" w:bidi="ar"/>
              </w:rPr>
              <w:t>1.</w:t>
            </w:r>
            <w:r>
              <w:rPr>
                <w:rFonts w:hint="eastAsia" w:ascii="宋体" w:hAnsi="宋体" w:eastAsia="宋体" w:cs="宋体"/>
                <w:color w:val="auto"/>
                <w:kern w:val="0"/>
                <w:szCs w:val="21"/>
                <w:lang w:val="en-US" w:eastAsia="zh-CN" w:bidi="ar"/>
              </w:rPr>
              <w:t>支持系统环境的批量部署，可根据不同专业的教学、考试要求，快速创建多套教学环境，使用时开放，不使用时随时回收。</w:t>
            </w:r>
          </w:p>
          <w:p>
            <w:pPr>
              <w:widowControl/>
              <w:spacing w:line="440" w:lineRule="exact"/>
              <w:jc w:val="left"/>
              <w:textAlignment w:val="center"/>
              <w:rPr>
                <w:rFonts w:hint="eastAsia" w:ascii="宋体" w:hAnsi="宋体" w:eastAsia="宋体" w:cs="宋体"/>
                <w:color w:val="auto"/>
                <w:kern w:val="0"/>
                <w:szCs w:val="21"/>
                <w:lang w:val="en-US" w:eastAsia="zh-CN" w:bidi="ar"/>
              </w:rPr>
            </w:pPr>
            <w:r>
              <w:rPr>
                <w:rFonts w:hint="eastAsia" w:ascii="宋体" w:hAnsi="宋体" w:cs="宋体"/>
                <w:color w:val="auto"/>
                <w:kern w:val="0"/>
                <w:szCs w:val="21"/>
                <w:lang w:val="en-US" w:eastAsia="zh-CN" w:bidi="ar"/>
              </w:rPr>
              <w:t>2.</w:t>
            </w:r>
            <w:r>
              <w:rPr>
                <w:rFonts w:hint="eastAsia" w:ascii="宋体" w:hAnsi="宋体" w:eastAsia="宋体" w:cs="宋体"/>
                <w:color w:val="auto"/>
                <w:kern w:val="0"/>
                <w:szCs w:val="21"/>
                <w:lang w:val="en-US" w:eastAsia="zh-CN" w:bidi="ar"/>
              </w:rPr>
              <w:t>需支持用户桌面在需要帮助的时候，云桌面管理平台可以直接向需要帮助的用户桌面发起帮助，进行这一项操作时不需要借助第三方软件。</w:t>
            </w:r>
          </w:p>
          <w:p>
            <w:pPr>
              <w:widowControl/>
              <w:spacing w:line="440" w:lineRule="exact"/>
              <w:jc w:val="left"/>
              <w:textAlignment w:val="center"/>
              <w:rPr>
                <w:rFonts w:hint="eastAsia" w:ascii="宋体" w:hAnsi="宋体" w:eastAsia="宋体" w:cs="宋体"/>
                <w:color w:val="auto"/>
                <w:kern w:val="0"/>
                <w:szCs w:val="21"/>
                <w:lang w:val="en-US" w:eastAsia="zh-CN" w:bidi="ar"/>
              </w:rPr>
            </w:pPr>
            <w:r>
              <w:rPr>
                <w:rFonts w:hint="eastAsia" w:ascii="宋体" w:hAnsi="宋体" w:cs="宋体"/>
                <w:color w:val="auto"/>
                <w:kern w:val="0"/>
                <w:szCs w:val="21"/>
                <w:lang w:val="en-US" w:eastAsia="zh-CN" w:bidi="ar"/>
              </w:rPr>
              <w:t>3.</w:t>
            </w:r>
            <w:r>
              <w:rPr>
                <w:rFonts w:hint="eastAsia" w:ascii="宋体" w:hAnsi="宋体" w:eastAsia="宋体" w:cs="宋体"/>
                <w:color w:val="auto"/>
                <w:kern w:val="0"/>
                <w:szCs w:val="21"/>
                <w:lang w:val="en-US" w:eastAsia="zh-CN" w:bidi="ar"/>
              </w:rPr>
              <w:t>支持开机logo自定义，可以自定义设备开机登录页面logo及文字定制，便于学校进行资产管理。</w:t>
            </w:r>
          </w:p>
          <w:p>
            <w:pPr>
              <w:widowControl/>
              <w:spacing w:line="440" w:lineRule="exact"/>
              <w:jc w:val="left"/>
              <w:textAlignment w:val="center"/>
              <w:rPr>
                <w:rFonts w:hint="eastAsia" w:ascii="宋体" w:hAnsi="宋体" w:eastAsia="宋体" w:cs="宋体"/>
                <w:color w:val="auto"/>
                <w:kern w:val="0"/>
                <w:szCs w:val="21"/>
                <w:lang w:val="en-US" w:eastAsia="zh-CN" w:bidi="ar"/>
              </w:rPr>
            </w:pPr>
            <w:r>
              <w:rPr>
                <w:rFonts w:hint="eastAsia" w:ascii="宋体" w:hAnsi="宋体" w:cs="宋体"/>
                <w:color w:val="auto"/>
                <w:kern w:val="0"/>
                <w:szCs w:val="21"/>
                <w:lang w:val="en-US" w:eastAsia="zh-CN" w:bidi="ar"/>
              </w:rPr>
              <w:t>4.</w:t>
            </w:r>
            <w:r>
              <w:rPr>
                <w:rFonts w:hint="eastAsia" w:ascii="宋体" w:hAnsi="宋体" w:eastAsia="宋体" w:cs="宋体"/>
                <w:color w:val="auto"/>
                <w:kern w:val="0"/>
                <w:szCs w:val="21"/>
                <w:lang w:val="en-US" w:eastAsia="zh-CN" w:bidi="ar"/>
              </w:rPr>
              <w:t>为简化运维和管理工作，云桌面需要提供系统垃圾清理功能，保障机房电脑能高效运行，稳定使用。</w:t>
            </w:r>
          </w:p>
          <w:p>
            <w:pPr>
              <w:widowControl/>
              <w:spacing w:line="440" w:lineRule="exact"/>
              <w:jc w:val="left"/>
              <w:textAlignment w:val="center"/>
              <w:rPr>
                <w:rFonts w:hint="eastAsia" w:ascii="宋体" w:hAnsi="宋体" w:eastAsia="宋体" w:cs="宋体"/>
                <w:color w:val="auto"/>
                <w:kern w:val="0"/>
                <w:szCs w:val="21"/>
                <w:lang w:val="en-US" w:eastAsia="zh-CN" w:bidi="ar"/>
              </w:rPr>
            </w:pPr>
            <w:r>
              <w:rPr>
                <w:rFonts w:hint="eastAsia" w:ascii="宋体" w:hAnsi="宋体" w:eastAsia="宋体" w:cs="宋体"/>
                <w:color w:val="auto"/>
                <w:kern w:val="0"/>
                <w:szCs w:val="21"/>
                <w:lang w:val="en-US" w:eastAsia="zh-CN" w:bidi="ar"/>
              </w:rPr>
              <w:t>★</w:t>
            </w:r>
            <w:r>
              <w:rPr>
                <w:rFonts w:hint="eastAsia" w:ascii="宋体" w:hAnsi="宋体" w:cs="宋体"/>
                <w:color w:val="auto"/>
                <w:kern w:val="0"/>
                <w:szCs w:val="21"/>
                <w:lang w:val="en-US" w:eastAsia="zh-CN" w:bidi="ar"/>
              </w:rPr>
              <w:t>5.</w:t>
            </w:r>
            <w:r>
              <w:rPr>
                <w:rFonts w:hint="eastAsia" w:ascii="宋体" w:hAnsi="宋体" w:eastAsia="宋体" w:cs="宋体"/>
                <w:color w:val="auto"/>
                <w:kern w:val="0"/>
                <w:szCs w:val="21"/>
                <w:lang w:val="en-US" w:eastAsia="zh-CN" w:bidi="ar"/>
              </w:rPr>
              <w:t>能够单独设定桌面系统盘/数据盘的还原属性，支持每天还原、每周还原、每月还原，支持自动更新桌面。</w:t>
            </w:r>
            <w:r>
              <w:rPr>
                <w:rFonts w:hint="eastAsia" w:ascii="宋体" w:hAnsi="宋体" w:cs="宋体"/>
                <w:color w:val="auto"/>
                <w:kern w:val="0"/>
                <w:szCs w:val="21"/>
                <w:lang w:eastAsia="zh-CN" w:bidi="ar"/>
              </w:rPr>
              <w:t>（提供证明材料：包括但不限于厂家证明或功能截图或国家认可的第三方检测报告并加盖供应商公章）</w:t>
            </w:r>
          </w:p>
          <w:p>
            <w:pPr>
              <w:widowControl/>
              <w:spacing w:line="440" w:lineRule="exact"/>
              <w:jc w:val="left"/>
              <w:textAlignment w:val="center"/>
              <w:rPr>
                <w:rFonts w:hint="eastAsia" w:ascii="宋体" w:hAnsi="宋体" w:eastAsia="宋体" w:cs="宋体"/>
                <w:color w:val="auto"/>
                <w:kern w:val="0"/>
                <w:szCs w:val="21"/>
                <w:lang w:val="en-US" w:eastAsia="zh-CN" w:bidi="ar"/>
              </w:rPr>
            </w:pPr>
            <w:r>
              <w:rPr>
                <w:rFonts w:hint="eastAsia" w:ascii="宋体" w:hAnsi="宋体" w:cs="宋体"/>
                <w:color w:val="auto"/>
                <w:kern w:val="0"/>
                <w:szCs w:val="21"/>
                <w:lang w:val="en-US" w:eastAsia="zh-CN" w:bidi="ar"/>
              </w:rPr>
              <w:t>6.</w:t>
            </w:r>
            <w:r>
              <w:rPr>
                <w:rFonts w:hint="eastAsia" w:ascii="宋体" w:hAnsi="宋体" w:eastAsia="宋体" w:cs="宋体"/>
                <w:color w:val="auto"/>
                <w:kern w:val="0"/>
                <w:szCs w:val="21"/>
                <w:lang w:val="en-US" w:eastAsia="zh-CN" w:bidi="ar"/>
              </w:rPr>
              <w:t>为满足多种使用需求，需支持多种系统镜像例如Win</w:t>
            </w:r>
            <w:r>
              <w:rPr>
                <w:rFonts w:hint="eastAsia" w:ascii="宋体" w:hAnsi="宋体" w:cs="宋体"/>
                <w:color w:val="auto"/>
                <w:kern w:val="0"/>
                <w:szCs w:val="21"/>
                <w:lang w:val="en-US" w:eastAsia="zh-CN" w:bidi="ar"/>
              </w:rPr>
              <w:t>7.</w:t>
            </w:r>
            <w:r>
              <w:rPr>
                <w:rFonts w:hint="eastAsia" w:ascii="宋体" w:hAnsi="宋体" w:eastAsia="宋体" w:cs="宋体"/>
                <w:color w:val="auto"/>
                <w:kern w:val="0"/>
                <w:szCs w:val="21"/>
                <w:lang w:val="en-US" w:eastAsia="zh-CN" w:bidi="ar"/>
              </w:rPr>
              <w:t>Win1</w:t>
            </w:r>
            <w:r>
              <w:rPr>
                <w:rFonts w:hint="eastAsia" w:ascii="宋体" w:hAnsi="宋体" w:cs="宋体"/>
                <w:color w:val="auto"/>
                <w:kern w:val="0"/>
                <w:szCs w:val="21"/>
                <w:lang w:val="en-US" w:eastAsia="zh-CN" w:bidi="ar"/>
              </w:rPr>
              <w:t>0.</w:t>
            </w:r>
            <w:r>
              <w:rPr>
                <w:rFonts w:hint="eastAsia" w:ascii="宋体" w:hAnsi="宋体" w:eastAsia="宋体" w:cs="宋体"/>
                <w:color w:val="auto"/>
                <w:kern w:val="0"/>
                <w:szCs w:val="21"/>
                <w:lang w:val="en-US" w:eastAsia="zh-CN" w:bidi="ar"/>
              </w:rPr>
              <w:t>Win1</w:t>
            </w:r>
            <w:r>
              <w:rPr>
                <w:rFonts w:hint="eastAsia" w:ascii="宋体" w:hAnsi="宋体" w:cs="宋体"/>
                <w:color w:val="auto"/>
                <w:kern w:val="0"/>
                <w:szCs w:val="21"/>
                <w:lang w:val="en-US" w:eastAsia="zh-CN" w:bidi="ar"/>
              </w:rPr>
              <w:t>1.</w:t>
            </w:r>
            <w:r>
              <w:rPr>
                <w:rFonts w:hint="eastAsia" w:ascii="宋体" w:hAnsi="宋体" w:eastAsia="宋体" w:cs="宋体"/>
                <w:color w:val="auto"/>
                <w:kern w:val="0"/>
                <w:szCs w:val="21"/>
                <w:lang w:val="en-US" w:eastAsia="zh-CN" w:bidi="ar"/>
              </w:rPr>
              <w:t>UOS、麒麟、中科方德等主流镜像，为降低使用复杂度要求云桌面管理系统软件可以进行一键切换系统镜像。</w:t>
            </w:r>
          </w:p>
          <w:p>
            <w:pPr>
              <w:widowControl/>
              <w:spacing w:line="440" w:lineRule="exact"/>
              <w:jc w:val="left"/>
              <w:textAlignment w:val="center"/>
              <w:rPr>
                <w:rFonts w:hint="eastAsia" w:ascii="宋体" w:hAnsi="宋体" w:eastAsia="宋体" w:cs="宋体"/>
                <w:color w:val="auto"/>
                <w:kern w:val="0"/>
                <w:szCs w:val="21"/>
                <w:lang w:val="en-US" w:eastAsia="zh-CN" w:bidi="ar"/>
              </w:rPr>
            </w:pPr>
            <w:r>
              <w:rPr>
                <w:rFonts w:hint="eastAsia" w:ascii="宋体" w:hAnsi="宋体" w:cs="宋体"/>
                <w:color w:val="auto"/>
                <w:kern w:val="0"/>
                <w:szCs w:val="21"/>
                <w:lang w:val="en-US" w:eastAsia="zh-CN" w:bidi="ar"/>
              </w:rPr>
              <w:t>7.</w:t>
            </w:r>
            <w:r>
              <w:rPr>
                <w:rFonts w:hint="eastAsia" w:ascii="宋体" w:hAnsi="宋体" w:eastAsia="宋体" w:cs="宋体"/>
                <w:color w:val="auto"/>
                <w:kern w:val="0"/>
                <w:szCs w:val="21"/>
                <w:lang w:val="en-US" w:eastAsia="zh-CN" w:bidi="ar"/>
              </w:rPr>
              <w:t>云桌面系统软件支持系统同传，为保障同传传输速度，需支持BT传输。</w:t>
            </w:r>
          </w:p>
          <w:p>
            <w:pPr>
              <w:widowControl/>
              <w:spacing w:line="440" w:lineRule="exact"/>
              <w:jc w:val="left"/>
              <w:textAlignment w:val="center"/>
              <w:rPr>
                <w:rFonts w:hint="eastAsia" w:ascii="宋体" w:hAnsi="宋体" w:eastAsia="宋体" w:cs="宋体"/>
                <w:color w:val="auto"/>
                <w:kern w:val="0"/>
                <w:szCs w:val="21"/>
                <w:lang w:val="en-US" w:eastAsia="zh-CN" w:bidi="ar"/>
              </w:rPr>
            </w:pPr>
            <w:r>
              <w:rPr>
                <w:rFonts w:hint="eastAsia" w:ascii="宋体" w:hAnsi="宋体" w:cs="宋体"/>
                <w:color w:val="auto"/>
                <w:kern w:val="0"/>
                <w:szCs w:val="21"/>
                <w:lang w:val="en-US" w:eastAsia="zh-CN" w:bidi="ar"/>
              </w:rPr>
              <w:t>8.</w:t>
            </w:r>
            <w:r>
              <w:rPr>
                <w:rFonts w:hint="eastAsia" w:ascii="宋体" w:hAnsi="宋体" w:eastAsia="宋体" w:cs="宋体"/>
                <w:color w:val="auto"/>
                <w:kern w:val="0"/>
                <w:szCs w:val="21"/>
                <w:lang w:val="en-US" w:eastAsia="zh-CN" w:bidi="ar"/>
              </w:rPr>
              <w:t>云桌面系统支持获取所有设备的状态、设备编号、设备IP、设备MAC、CPU信息、内存使用率、运行时间、磁盘信息等信息，便于管理员统计已纳管的设备资产情况。</w:t>
            </w:r>
          </w:p>
          <w:p>
            <w:pPr>
              <w:widowControl/>
              <w:spacing w:line="440" w:lineRule="exact"/>
              <w:jc w:val="left"/>
              <w:textAlignment w:val="center"/>
              <w:rPr>
                <w:rFonts w:hint="eastAsia" w:ascii="宋体" w:hAnsi="宋体" w:eastAsia="宋体" w:cs="宋体"/>
                <w:color w:val="auto"/>
                <w:kern w:val="0"/>
                <w:szCs w:val="21"/>
                <w:lang w:val="en-US" w:eastAsia="zh-CN" w:bidi="ar"/>
              </w:rPr>
            </w:pPr>
            <w:r>
              <w:rPr>
                <w:rFonts w:hint="eastAsia" w:ascii="宋体" w:hAnsi="宋体" w:cs="宋体"/>
                <w:color w:val="auto"/>
                <w:kern w:val="0"/>
                <w:szCs w:val="21"/>
                <w:lang w:val="en-US" w:eastAsia="zh-CN" w:bidi="ar"/>
              </w:rPr>
              <w:t>9.</w:t>
            </w:r>
            <w:r>
              <w:rPr>
                <w:rFonts w:hint="eastAsia" w:ascii="宋体" w:hAnsi="宋体" w:eastAsia="宋体" w:cs="宋体"/>
                <w:color w:val="auto"/>
                <w:kern w:val="0"/>
                <w:szCs w:val="21"/>
                <w:lang w:val="en-US" w:eastAsia="zh-CN" w:bidi="ar"/>
              </w:rPr>
              <w:t>为提供更加良好的桌面使用环境，需提供广告弹窗拦截功能，开启后系统自动拦截用户设备桌面弹窗广告，净化桌面环境。</w:t>
            </w:r>
            <w:r>
              <w:rPr>
                <w:rFonts w:hint="eastAsia" w:ascii="宋体" w:hAnsi="宋体" w:cs="宋体"/>
                <w:color w:val="auto"/>
                <w:kern w:val="0"/>
                <w:szCs w:val="21"/>
                <w:lang w:eastAsia="zh-CN" w:bidi="ar"/>
              </w:rPr>
              <w:t>（提供证明材料：包括但不限于厂家证明或功能截图或国家认可的第三方检测报告并加盖供应商公章）</w:t>
            </w:r>
          </w:p>
          <w:p>
            <w:pPr>
              <w:widowControl/>
              <w:spacing w:line="440" w:lineRule="exact"/>
              <w:jc w:val="left"/>
              <w:textAlignment w:val="center"/>
              <w:rPr>
                <w:rFonts w:hint="eastAsia" w:ascii="宋体" w:hAnsi="宋体" w:eastAsia="宋体" w:cs="宋体"/>
                <w:color w:val="auto"/>
                <w:kern w:val="0"/>
                <w:szCs w:val="21"/>
                <w:lang w:val="en-US" w:eastAsia="zh-CN" w:bidi="ar"/>
              </w:rPr>
            </w:pPr>
            <w:r>
              <w:rPr>
                <w:rFonts w:hint="eastAsia" w:ascii="宋体" w:hAnsi="宋体" w:eastAsia="宋体" w:cs="宋体"/>
                <w:color w:val="auto"/>
                <w:kern w:val="0"/>
                <w:szCs w:val="21"/>
                <w:lang w:val="en-US" w:eastAsia="zh-CN" w:bidi="ar"/>
              </w:rPr>
              <w:t>1</w:t>
            </w:r>
            <w:r>
              <w:rPr>
                <w:rFonts w:hint="eastAsia" w:ascii="宋体" w:hAnsi="宋体" w:cs="宋体"/>
                <w:color w:val="auto"/>
                <w:kern w:val="0"/>
                <w:szCs w:val="21"/>
                <w:lang w:val="en-US" w:eastAsia="zh-CN" w:bidi="ar"/>
              </w:rPr>
              <w:t>0.</w:t>
            </w:r>
            <w:r>
              <w:rPr>
                <w:rFonts w:hint="eastAsia" w:ascii="宋体" w:hAnsi="宋体" w:eastAsia="宋体" w:cs="宋体"/>
                <w:color w:val="auto"/>
                <w:kern w:val="0"/>
                <w:szCs w:val="21"/>
                <w:lang w:val="en-US" w:eastAsia="zh-CN" w:bidi="ar"/>
              </w:rPr>
              <w:t>提供环境监测功能，针对用户正在使用的桌面系统环境进行巡检，监测内容以列表形式呈现内容包含但不限于电脑名称、系统版本、IP、内存、硬盘等状态。如出现网络连接中断、USB未连接、未知盘符，均会进行告警。</w:t>
            </w:r>
            <w:r>
              <w:rPr>
                <w:rFonts w:hint="eastAsia" w:ascii="宋体" w:hAnsi="宋体" w:cs="宋体"/>
                <w:color w:val="auto"/>
                <w:kern w:val="0"/>
                <w:szCs w:val="21"/>
                <w:lang w:eastAsia="zh-CN" w:bidi="ar"/>
              </w:rPr>
              <w:t>（提供证明材料：包括但不限于厂家证明或功能截图或国家认可的第三方检测报告并加盖供应商公章）</w:t>
            </w:r>
          </w:p>
          <w:p>
            <w:pPr>
              <w:widowControl/>
              <w:spacing w:line="440" w:lineRule="exact"/>
              <w:jc w:val="left"/>
              <w:textAlignment w:val="center"/>
              <w:rPr>
                <w:rFonts w:hint="eastAsia" w:ascii="宋体" w:hAnsi="宋体" w:eastAsia="宋体" w:cs="宋体"/>
                <w:color w:val="auto"/>
                <w:kern w:val="0"/>
                <w:szCs w:val="21"/>
                <w:lang w:val="en-US" w:eastAsia="zh-CN" w:bidi="ar"/>
              </w:rPr>
            </w:pPr>
            <w:r>
              <w:rPr>
                <w:rFonts w:hint="eastAsia" w:ascii="宋体" w:hAnsi="宋体" w:eastAsia="宋体" w:cs="宋体"/>
                <w:color w:val="auto"/>
                <w:kern w:val="0"/>
                <w:szCs w:val="21"/>
                <w:lang w:val="en-US" w:eastAsia="zh-CN" w:bidi="ar"/>
              </w:rPr>
              <w:t>1</w:t>
            </w:r>
            <w:r>
              <w:rPr>
                <w:rFonts w:hint="eastAsia" w:ascii="宋体" w:hAnsi="宋体" w:cs="宋体"/>
                <w:color w:val="auto"/>
                <w:kern w:val="0"/>
                <w:szCs w:val="21"/>
                <w:lang w:val="en-US" w:eastAsia="zh-CN" w:bidi="ar"/>
              </w:rPr>
              <w:t>1.</w:t>
            </w:r>
            <w:r>
              <w:rPr>
                <w:rFonts w:hint="eastAsia" w:ascii="宋体" w:hAnsi="宋体" w:eastAsia="宋体" w:cs="宋体"/>
                <w:color w:val="auto"/>
                <w:kern w:val="0"/>
                <w:szCs w:val="21"/>
                <w:lang w:val="en-US" w:eastAsia="zh-CN" w:bidi="ar"/>
              </w:rPr>
              <w:t>支持静默更新功能，要求不影响用户设备日常使用的情况下对用户支持进行更新操作，服务端发送过来的更新镜像文件用户设备后台可进行静默接收，且桌面会有弹窗提示，待用户空闲时间重启即可自动更新。</w:t>
            </w:r>
          </w:p>
          <w:p>
            <w:pPr>
              <w:widowControl/>
              <w:spacing w:line="440" w:lineRule="exact"/>
              <w:jc w:val="left"/>
              <w:textAlignment w:val="center"/>
              <w:rPr>
                <w:rFonts w:hint="eastAsia" w:ascii="宋体" w:hAnsi="宋体" w:eastAsia="宋体" w:cs="宋体"/>
                <w:color w:val="auto"/>
                <w:kern w:val="0"/>
                <w:szCs w:val="21"/>
                <w:lang w:val="en-US" w:eastAsia="zh-CN" w:bidi="ar"/>
              </w:rPr>
            </w:pPr>
            <w:r>
              <w:rPr>
                <w:rFonts w:hint="eastAsia" w:ascii="宋体" w:hAnsi="宋体" w:eastAsia="宋体" w:cs="宋体"/>
                <w:color w:val="auto"/>
                <w:kern w:val="0"/>
                <w:szCs w:val="21"/>
                <w:lang w:val="en-US" w:eastAsia="zh-CN" w:bidi="ar"/>
              </w:rPr>
              <w:t>1</w:t>
            </w:r>
            <w:r>
              <w:rPr>
                <w:rFonts w:hint="eastAsia" w:ascii="宋体" w:hAnsi="宋体" w:cs="宋体"/>
                <w:color w:val="auto"/>
                <w:kern w:val="0"/>
                <w:szCs w:val="21"/>
                <w:lang w:val="en-US" w:eastAsia="zh-CN" w:bidi="ar"/>
              </w:rPr>
              <w:t>2.</w:t>
            </w:r>
            <w:r>
              <w:rPr>
                <w:rFonts w:hint="eastAsia" w:ascii="宋体" w:hAnsi="宋体" w:eastAsia="宋体" w:cs="宋体"/>
                <w:color w:val="auto"/>
                <w:kern w:val="0"/>
                <w:szCs w:val="21"/>
                <w:lang w:val="en-US" w:eastAsia="zh-CN" w:bidi="ar"/>
              </w:rPr>
              <w:t>为了便于管理员排查网络故障，需提供网络修复功能，可全面检测网络服务是否正常。</w:t>
            </w:r>
          </w:p>
          <w:p>
            <w:pPr>
              <w:widowControl/>
              <w:spacing w:line="440" w:lineRule="exact"/>
              <w:jc w:val="left"/>
              <w:textAlignment w:val="center"/>
              <w:rPr>
                <w:rFonts w:hint="eastAsia" w:ascii="宋体" w:hAnsi="宋体" w:eastAsia="宋体" w:cs="宋体"/>
                <w:color w:val="auto"/>
                <w:kern w:val="0"/>
                <w:szCs w:val="21"/>
                <w:lang w:val="en-US" w:eastAsia="zh-CN" w:bidi="ar"/>
              </w:rPr>
            </w:pPr>
            <w:r>
              <w:rPr>
                <w:rFonts w:hint="eastAsia" w:ascii="宋体" w:hAnsi="宋体" w:eastAsia="宋体" w:cs="宋体"/>
                <w:color w:val="auto"/>
                <w:kern w:val="0"/>
                <w:szCs w:val="21"/>
                <w:lang w:val="en-US" w:eastAsia="zh-CN" w:bidi="ar"/>
              </w:rPr>
              <w:t>1</w:t>
            </w:r>
            <w:r>
              <w:rPr>
                <w:rFonts w:hint="eastAsia" w:ascii="宋体" w:hAnsi="宋体" w:cs="宋体"/>
                <w:color w:val="auto"/>
                <w:kern w:val="0"/>
                <w:szCs w:val="21"/>
                <w:lang w:val="en-US" w:eastAsia="zh-CN" w:bidi="ar"/>
              </w:rPr>
              <w:t>3.</w:t>
            </w:r>
            <w:r>
              <w:rPr>
                <w:rFonts w:hint="eastAsia" w:ascii="宋体" w:hAnsi="宋体" w:eastAsia="宋体" w:cs="宋体"/>
                <w:color w:val="auto"/>
                <w:kern w:val="0"/>
                <w:szCs w:val="21"/>
                <w:lang w:val="en-US" w:eastAsia="zh-CN" w:bidi="ar"/>
              </w:rPr>
              <w:t>云桌面软件需支持流量监控功能，可检测设备机目前进程的流量接收与发送的情况。</w:t>
            </w:r>
          </w:p>
          <w:p>
            <w:pPr>
              <w:widowControl/>
              <w:spacing w:line="440" w:lineRule="exact"/>
              <w:jc w:val="left"/>
              <w:textAlignment w:val="center"/>
              <w:rPr>
                <w:rFonts w:hint="eastAsia" w:ascii="宋体" w:hAnsi="宋体" w:eastAsia="宋体" w:cs="宋体"/>
                <w:color w:val="auto"/>
                <w:kern w:val="0"/>
                <w:szCs w:val="21"/>
                <w:lang w:val="en-US" w:eastAsia="zh-CN" w:bidi="ar"/>
              </w:rPr>
            </w:pPr>
            <w:r>
              <w:rPr>
                <w:rFonts w:hint="eastAsia" w:ascii="宋体" w:hAnsi="宋体" w:eastAsia="宋体" w:cs="宋体"/>
                <w:color w:val="auto"/>
                <w:kern w:val="0"/>
                <w:szCs w:val="21"/>
                <w:lang w:val="en-US" w:eastAsia="zh-CN" w:bidi="ar"/>
              </w:rPr>
              <w:t>1</w:t>
            </w:r>
            <w:r>
              <w:rPr>
                <w:rFonts w:hint="eastAsia" w:ascii="宋体" w:hAnsi="宋体" w:cs="宋体"/>
                <w:color w:val="auto"/>
                <w:kern w:val="0"/>
                <w:szCs w:val="21"/>
                <w:lang w:val="en-US" w:eastAsia="zh-CN" w:bidi="ar"/>
              </w:rPr>
              <w:t>4.</w:t>
            </w:r>
            <w:r>
              <w:rPr>
                <w:rFonts w:hint="eastAsia" w:ascii="宋体" w:hAnsi="宋体" w:eastAsia="宋体" w:cs="宋体"/>
                <w:color w:val="auto"/>
                <w:kern w:val="0"/>
                <w:szCs w:val="21"/>
                <w:lang w:val="en-US" w:eastAsia="zh-CN" w:bidi="ar"/>
              </w:rPr>
              <w:t>支持远程打开管理平台，进行远程操作，无需管理员进行来回奔走。</w:t>
            </w:r>
          </w:p>
          <w:p>
            <w:pPr>
              <w:widowControl/>
              <w:spacing w:line="440" w:lineRule="exact"/>
              <w:jc w:val="left"/>
              <w:textAlignment w:val="center"/>
              <w:rPr>
                <w:rFonts w:hint="eastAsia" w:ascii="宋体" w:hAnsi="宋体" w:eastAsia="宋体" w:cs="宋体"/>
                <w:color w:val="auto"/>
                <w:kern w:val="0"/>
                <w:szCs w:val="21"/>
                <w:lang w:val="en-US" w:eastAsia="zh-CN" w:bidi="ar"/>
              </w:rPr>
            </w:pPr>
            <w:r>
              <w:rPr>
                <w:rFonts w:hint="eastAsia" w:ascii="宋体" w:hAnsi="宋体" w:eastAsia="宋体" w:cs="宋体"/>
                <w:color w:val="auto"/>
                <w:kern w:val="0"/>
                <w:szCs w:val="21"/>
                <w:lang w:val="en-US" w:eastAsia="zh-CN" w:bidi="ar"/>
              </w:rPr>
              <w:t>1</w:t>
            </w:r>
            <w:r>
              <w:rPr>
                <w:rFonts w:hint="eastAsia" w:ascii="宋体" w:hAnsi="宋体" w:cs="宋体"/>
                <w:color w:val="auto"/>
                <w:kern w:val="0"/>
                <w:szCs w:val="21"/>
                <w:lang w:val="en-US" w:eastAsia="zh-CN" w:bidi="ar"/>
              </w:rPr>
              <w:t>5.</w:t>
            </w:r>
            <w:r>
              <w:rPr>
                <w:rFonts w:hint="eastAsia" w:ascii="宋体" w:hAnsi="宋体" w:eastAsia="宋体" w:cs="宋体"/>
                <w:color w:val="auto"/>
                <w:kern w:val="0"/>
                <w:szCs w:val="21"/>
                <w:lang w:val="en-US" w:eastAsia="zh-CN" w:bidi="ar"/>
              </w:rPr>
              <w:t>为便于管理员可以给不同的课程制作不同的镜像，支持子镜像功能，在基础镜像的基础上安装不同课程的软件成为不同子镜像，分配给不同的课程。</w:t>
            </w:r>
          </w:p>
          <w:p>
            <w:pPr>
              <w:widowControl/>
              <w:spacing w:line="440" w:lineRule="exact"/>
              <w:jc w:val="left"/>
              <w:textAlignment w:val="center"/>
              <w:rPr>
                <w:rFonts w:hint="eastAsia" w:ascii="宋体" w:hAnsi="宋体" w:eastAsia="宋体" w:cs="宋体"/>
                <w:color w:val="auto"/>
                <w:kern w:val="0"/>
                <w:szCs w:val="21"/>
                <w:lang w:val="en-US" w:eastAsia="zh-CN" w:bidi="ar"/>
              </w:rPr>
            </w:pPr>
            <w:r>
              <w:rPr>
                <w:rFonts w:hint="eastAsia" w:ascii="宋体" w:hAnsi="宋体" w:eastAsia="宋体" w:cs="宋体"/>
                <w:color w:val="auto"/>
                <w:kern w:val="0"/>
                <w:szCs w:val="21"/>
                <w:lang w:val="en-US" w:eastAsia="zh-CN" w:bidi="ar"/>
              </w:rPr>
              <w:t>1</w:t>
            </w:r>
            <w:r>
              <w:rPr>
                <w:rFonts w:hint="eastAsia" w:ascii="宋体" w:hAnsi="宋体" w:cs="宋体"/>
                <w:color w:val="auto"/>
                <w:kern w:val="0"/>
                <w:szCs w:val="21"/>
                <w:lang w:val="en-US" w:eastAsia="zh-CN" w:bidi="ar"/>
              </w:rPr>
              <w:t>6.</w:t>
            </w:r>
            <w:r>
              <w:rPr>
                <w:rFonts w:hint="eastAsia" w:ascii="宋体" w:hAnsi="宋体" w:eastAsia="宋体" w:cs="宋体"/>
                <w:color w:val="auto"/>
                <w:kern w:val="0"/>
                <w:szCs w:val="21"/>
                <w:lang w:val="en-US" w:eastAsia="zh-CN" w:bidi="ar"/>
              </w:rPr>
              <w:t>为加速后期文件以及软件的下发速度，软件需支持增量下发功能，只下发差异数据，速度更快。</w:t>
            </w:r>
          </w:p>
          <w:p>
            <w:pPr>
              <w:widowControl/>
              <w:spacing w:line="440" w:lineRule="exact"/>
              <w:jc w:val="left"/>
              <w:textAlignment w:val="center"/>
              <w:rPr>
                <w:rFonts w:hint="eastAsia" w:ascii="宋体" w:hAnsi="宋体" w:eastAsia="宋体" w:cs="宋体"/>
                <w:color w:val="auto"/>
                <w:kern w:val="0"/>
                <w:szCs w:val="21"/>
                <w:lang w:val="en-US" w:eastAsia="zh-CN" w:bidi="ar"/>
              </w:rPr>
            </w:pPr>
            <w:r>
              <w:rPr>
                <w:rFonts w:hint="eastAsia" w:ascii="宋体" w:hAnsi="宋体" w:eastAsia="宋体" w:cs="宋体"/>
                <w:color w:val="auto"/>
                <w:kern w:val="0"/>
                <w:szCs w:val="21"/>
                <w:lang w:val="en-US" w:eastAsia="zh-CN" w:bidi="ar"/>
              </w:rPr>
              <w:t>1</w:t>
            </w:r>
            <w:r>
              <w:rPr>
                <w:rFonts w:hint="eastAsia" w:ascii="宋体" w:hAnsi="宋体" w:cs="宋体"/>
                <w:color w:val="auto"/>
                <w:kern w:val="0"/>
                <w:szCs w:val="21"/>
                <w:lang w:val="en-US" w:eastAsia="zh-CN" w:bidi="ar"/>
              </w:rPr>
              <w:t>7.</w:t>
            </w:r>
            <w:r>
              <w:rPr>
                <w:rFonts w:hint="eastAsia" w:ascii="宋体" w:hAnsi="宋体" w:eastAsia="宋体" w:cs="宋体"/>
                <w:color w:val="auto"/>
                <w:kern w:val="0"/>
                <w:szCs w:val="21"/>
                <w:lang w:val="en-US" w:eastAsia="zh-CN" w:bidi="ar"/>
              </w:rPr>
              <w:t>为简化部署，支持对3DMAX、CAD等图形设计、工程设计类软件的统一注册，无需手动逐台激活。</w:t>
            </w:r>
          </w:p>
          <w:p>
            <w:pPr>
              <w:widowControl/>
              <w:spacing w:line="440" w:lineRule="exact"/>
              <w:jc w:val="left"/>
              <w:textAlignment w:val="center"/>
              <w:rPr>
                <w:rFonts w:hint="eastAsia" w:ascii="宋体" w:hAnsi="宋体" w:eastAsia="宋体" w:cs="宋体"/>
                <w:color w:val="auto"/>
                <w:kern w:val="0"/>
                <w:szCs w:val="21"/>
                <w:lang w:val="en-US" w:eastAsia="zh-CN" w:bidi="ar"/>
              </w:rPr>
            </w:pPr>
            <w:r>
              <w:rPr>
                <w:rFonts w:hint="eastAsia" w:ascii="宋体" w:hAnsi="宋体" w:eastAsia="宋体" w:cs="宋体"/>
                <w:color w:val="auto"/>
                <w:kern w:val="0"/>
                <w:szCs w:val="21"/>
                <w:lang w:val="en-US" w:eastAsia="zh-CN" w:bidi="ar"/>
              </w:rPr>
              <w:t>1</w:t>
            </w:r>
            <w:r>
              <w:rPr>
                <w:rFonts w:hint="eastAsia" w:ascii="宋体" w:hAnsi="宋体" w:cs="宋体"/>
                <w:color w:val="auto"/>
                <w:kern w:val="0"/>
                <w:szCs w:val="21"/>
                <w:lang w:val="en-US" w:eastAsia="zh-CN" w:bidi="ar"/>
              </w:rPr>
              <w:t>8.</w:t>
            </w:r>
            <w:r>
              <w:rPr>
                <w:rFonts w:hint="eastAsia" w:ascii="宋体" w:hAnsi="宋体" w:eastAsia="宋体" w:cs="宋体"/>
                <w:color w:val="auto"/>
                <w:kern w:val="0"/>
                <w:szCs w:val="21"/>
                <w:lang w:val="en-US" w:eastAsia="zh-CN" w:bidi="ar"/>
              </w:rPr>
              <w:t>支持Linux系统以及Windows系统的IP以及计算机名的批量自动分配。</w:t>
            </w:r>
          </w:p>
          <w:p>
            <w:pPr>
              <w:widowControl/>
              <w:spacing w:line="440" w:lineRule="exact"/>
              <w:jc w:val="left"/>
              <w:textAlignment w:val="center"/>
              <w:rPr>
                <w:rFonts w:hint="eastAsia" w:ascii="宋体" w:hAnsi="宋体" w:eastAsia="宋体" w:cs="宋体"/>
                <w:color w:val="auto"/>
                <w:kern w:val="0"/>
                <w:szCs w:val="21"/>
                <w:lang w:val="en-US" w:eastAsia="zh-CN" w:bidi="ar"/>
              </w:rPr>
            </w:pPr>
            <w:r>
              <w:rPr>
                <w:rFonts w:hint="eastAsia" w:ascii="宋体" w:hAnsi="宋体" w:eastAsia="宋体" w:cs="宋体"/>
                <w:color w:val="auto"/>
                <w:kern w:val="0"/>
                <w:szCs w:val="21"/>
                <w:lang w:val="en-US" w:eastAsia="zh-CN" w:bidi="ar"/>
              </w:rPr>
              <w:t>1</w:t>
            </w:r>
            <w:r>
              <w:rPr>
                <w:rFonts w:hint="eastAsia" w:ascii="宋体" w:hAnsi="宋体" w:cs="宋体"/>
                <w:color w:val="auto"/>
                <w:kern w:val="0"/>
                <w:szCs w:val="21"/>
                <w:lang w:val="en-US" w:eastAsia="zh-CN" w:bidi="ar"/>
              </w:rPr>
              <w:t>9.</w:t>
            </w:r>
            <w:r>
              <w:rPr>
                <w:rFonts w:hint="eastAsia" w:ascii="宋体" w:hAnsi="宋体" w:eastAsia="宋体" w:cs="宋体"/>
                <w:color w:val="auto"/>
                <w:kern w:val="0"/>
                <w:szCs w:val="21"/>
                <w:lang w:val="en-US" w:eastAsia="zh-CN" w:bidi="ar"/>
              </w:rPr>
              <w:t>支持查看各设备的网络连接状态是否正常，如存在异常情况，便于管理员进行及时排障。</w:t>
            </w:r>
          </w:p>
          <w:p>
            <w:pPr>
              <w:widowControl/>
              <w:spacing w:line="440" w:lineRule="exact"/>
              <w:jc w:val="left"/>
              <w:textAlignment w:val="center"/>
              <w:rPr>
                <w:rFonts w:hint="eastAsia" w:ascii="宋体" w:hAnsi="宋体" w:eastAsia="宋体" w:cs="宋体"/>
                <w:color w:val="auto"/>
                <w:kern w:val="0"/>
                <w:szCs w:val="21"/>
                <w:lang w:val="en-US" w:eastAsia="zh-CN" w:bidi="ar"/>
              </w:rPr>
            </w:pPr>
            <w:r>
              <w:rPr>
                <w:rFonts w:hint="eastAsia" w:ascii="宋体" w:hAnsi="宋体" w:eastAsia="宋体" w:cs="宋体"/>
                <w:color w:val="auto"/>
                <w:kern w:val="0"/>
                <w:szCs w:val="21"/>
                <w:lang w:val="en-US" w:eastAsia="zh-CN" w:bidi="ar"/>
              </w:rPr>
              <w:t>★2</w:t>
            </w:r>
            <w:r>
              <w:rPr>
                <w:rFonts w:hint="eastAsia" w:ascii="宋体" w:hAnsi="宋体" w:cs="宋体"/>
                <w:color w:val="auto"/>
                <w:kern w:val="0"/>
                <w:szCs w:val="21"/>
                <w:lang w:val="en-US" w:eastAsia="zh-CN" w:bidi="ar"/>
              </w:rPr>
              <w:t>0.</w:t>
            </w:r>
            <w:r>
              <w:rPr>
                <w:rFonts w:hint="eastAsia" w:ascii="宋体" w:hAnsi="宋体" w:eastAsia="宋体" w:cs="宋体"/>
                <w:color w:val="auto"/>
                <w:kern w:val="0"/>
                <w:szCs w:val="21"/>
                <w:lang w:val="en-US" w:eastAsia="zh-CN" w:bidi="ar"/>
              </w:rPr>
              <w:t>云桌面软件支持无服务器部署，任意一台学生机均可成为管理端，对于所有设备进行统一管理维护。</w:t>
            </w:r>
            <w:r>
              <w:rPr>
                <w:rFonts w:hint="eastAsia" w:ascii="宋体" w:hAnsi="宋体" w:cs="宋体"/>
                <w:color w:val="auto"/>
                <w:kern w:val="0"/>
                <w:szCs w:val="21"/>
                <w:lang w:eastAsia="zh-CN" w:bidi="ar"/>
              </w:rPr>
              <w:t>（提供证明材料：包括但不限于厂家证明或功能截图或国家认可的第三方检测报告并加盖供应商公章）</w:t>
            </w:r>
          </w:p>
          <w:p>
            <w:pPr>
              <w:widowControl/>
              <w:spacing w:line="440" w:lineRule="exact"/>
              <w:jc w:val="left"/>
              <w:textAlignment w:val="center"/>
              <w:rPr>
                <w:rFonts w:hint="eastAsia" w:ascii="宋体" w:hAnsi="宋体" w:eastAsia="宋体" w:cs="宋体"/>
                <w:color w:val="auto"/>
                <w:kern w:val="0"/>
                <w:szCs w:val="21"/>
                <w:lang w:val="en-US" w:eastAsia="zh-CN" w:bidi="ar"/>
              </w:rPr>
            </w:pPr>
            <w:r>
              <w:rPr>
                <w:rFonts w:hint="eastAsia" w:ascii="宋体" w:hAnsi="宋体" w:eastAsia="宋体" w:cs="宋体"/>
                <w:color w:val="auto"/>
                <w:kern w:val="0"/>
                <w:szCs w:val="21"/>
                <w:lang w:val="en-US" w:eastAsia="zh-CN" w:bidi="ar"/>
              </w:rPr>
              <w:t>2</w:t>
            </w:r>
            <w:r>
              <w:rPr>
                <w:rFonts w:hint="eastAsia" w:ascii="宋体" w:hAnsi="宋体" w:cs="宋体"/>
                <w:color w:val="auto"/>
                <w:kern w:val="0"/>
                <w:szCs w:val="21"/>
                <w:lang w:val="en-US" w:eastAsia="zh-CN" w:bidi="ar"/>
              </w:rPr>
              <w:t>1.</w:t>
            </w:r>
            <w:r>
              <w:rPr>
                <w:rFonts w:hint="eastAsia" w:ascii="宋体" w:hAnsi="宋体" w:eastAsia="宋体" w:cs="宋体"/>
                <w:color w:val="auto"/>
                <w:kern w:val="0"/>
                <w:szCs w:val="21"/>
                <w:lang w:val="en-US" w:eastAsia="zh-CN" w:bidi="ar"/>
              </w:rPr>
              <w:t>支持操作日志记录，对于管理员的所有操作都会自动生成日志，便于在出现问题时进行及时排查。</w:t>
            </w:r>
          </w:p>
          <w:p>
            <w:pPr>
              <w:widowControl/>
              <w:spacing w:line="440" w:lineRule="exact"/>
              <w:jc w:val="left"/>
              <w:textAlignment w:val="center"/>
              <w:rPr>
                <w:rFonts w:hint="eastAsia" w:ascii="宋体" w:hAnsi="宋体" w:eastAsia="宋体" w:cs="宋体"/>
                <w:color w:val="auto"/>
                <w:kern w:val="0"/>
                <w:szCs w:val="21"/>
                <w:lang w:val="en-US" w:eastAsia="zh-CN" w:bidi="ar"/>
              </w:rPr>
            </w:pPr>
            <w:r>
              <w:rPr>
                <w:rFonts w:hint="eastAsia" w:ascii="宋体" w:hAnsi="宋体" w:eastAsia="宋体" w:cs="宋体"/>
                <w:color w:val="auto"/>
                <w:kern w:val="0"/>
                <w:szCs w:val="21"/>
                <w:lang w:val="en-US" w:eastAsia="zh-CN" w:bidi="ar"/>
              </w:rPr>
              <w:t>2</w:t>
            </w:r>
            <w:r>
              <w:rPr>
                <w:rFonts w:hint="eastAsia" w:ascii="宋体" w:hAnsi="宋体" w:cs="宋体"/>
                <w:color w:val="auto"/>
                <w:kern w:val="0"/>
                <w:szCs w:val="21"/>
                <w:lang w:val="en-US" w:eastAsia="zh-CN" w:bidi="ar"/>
              </w:rPr>
              <w:t>2.</w:t>
            </w:r>
            <w:r>
              <w:rPr>
                <w:rFonts w:hint="eastAsia" w:ascii="宋体" w:hAnsi="宋体" w:eastAsia="宋体" w:cs="宋体"/>
                <w:color w:val="auto"/>
                <w:kern w:val="0"/>
                <w:szCs w:val="21"/>
                <w:lang w:val="en-US" w:eastAsia="zh-CN" w:bidi="ar"/>
              </w:rPr>
              <w:t>为防止管理员镜像下发时出现错误，可支持中止下发，中止后进行重新下发即可。</w:t>
            </w:r>
          </w:p>
          <w:p>
            <w:pPr>
              <w:widowControl/>
              <w:spacing w:line="440" w:lineRule="exact"/>
              <w:jc w:val="left"/>
              <w:textAlignment w:val="center"/>
              <w:rPr>
                <w:rFonts w:hint="eastAsia" w:ascii="宋体" w:hAnsi="宋体" w:eastAsia="宋体" w:cs="宋体"/>
                <w:color w:val="auto"/>
                <w:kern w:val="0"/>
                <w:szCs w:val="21"/>
                <w:lang w:val="en-US" w:eastAsia="zh-CN" w:bidi="ar"/>
              </w:rPr>
            </w:pPr>
            <w:r>
              <w:rPr>
                <w:rFonts w:hint="eastAsia" w:ascii="宋体" w:hAnsi="宋体" w:eastAsia="宋体" w:cs="宋体"/>
                <w:color w:val="auto"/>
                <w:kern w:val="0"/>
                <w:szCs w:val="21"/>
                <w:lang w:val="en-US" w:eastAsia="zh-CN" w:bidi="ar"/>
              </w:rPr>
              <w:t>2</w:t>
            </w:r>
            <w:r>
              <w:rPr>
                <w:rFonts w:hint="eastAsia" w:ascii="宋体" w:hAnsi="宋体" w:cs="宋体"/>
                <w:color w:val="auto"/>
                <w:kern w:val="0"/>
                <w:szCs w:val="21"/>
                <w:lang w:val="en-US" w:eastAsia="zh-CN" w:bidi="ar"/>
              </w:rPr>
              <w:t>3.</w:t>
            </w:r>
            <w:r>
              <w:rPr>
                <w:rFonts w:hint="eastAsia" w:ascii="宋体" w:hAnsi="宋体" w:eastAsia="宋体" w:cs="宋体"/>
                <w:color w:val="auto"/>
                <w:kern w:val="0"/>
                <w:szCs w:val="21"/>
                <w:lang w:val="en-US" w:eastAsia="zh-CN" w:bidi="ar"/>
              </w:rPr>
              <w:t>支持编号功能，对于所有设备可进行自动批量编号。</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Cs w:val="21"/>
                <w:lang w:val="en-US" w:eastAsia="zh-CN" w:bidi="ar"/>
              </w:rPr>
              <w:t>2</w:t>
            </w:r>
            <w:r>
              <w:rPr>
                <w:rFonts w:hint="eastAsia" w:ascii="宋体" w:hAnsi="宋体" w:cs="宋体"/>
                <w:color w:val="auto"/>
                <w:kern w:val="0"/>
                <w:szCs w:val="21"/>
                <w:lang w:val="en-US" w:eastAsia="zh-CN" w:bidi="ar"/>
              </w:rPr>
              <w:t>4.</w:t>
            </w:r>
            <w:r>
              <w:rPr>
                <w:rFonts w:hint="eastAsia" w:ascii="宋体" w:hAnsi="宋体" w:eastAsia="宋体" w:cs="宋体"/>
                <w:color w:val="auto"/>
                <w:kern w:val="0"/>
                <w:szCs w:val="21"/>
                <w:lang w:val="en-US" w:eastAsia="zh-CN" w:bidi="ar"/>
              </w:rPr>
              <w:t xml:space="preserve">支持添加数据盘功能，对于有数据保存需求的用户，可以添加数据盘进行保存数据，在系统还原模式下，仍然可以保留个人相关数据。                                                                                    </w:t>
            </w:r>
          </w:p>
        </w:tc>
        <w:tc>
          <w:tcPr>
            <w:tcW w:w="756" w:type="dxa"/>
            <w:vAlign w:val="center"/>
          </w:tcPr>
          <w:p>
            <w:pPr>
              <w:widowControl/>
              <w:spacing w:line="440" w:lineRule="exact"/>
              <w:jc w:val="center"/>
              <w:textAlignment w:val="center"/>
              <w:rPr>
                <w:rFonts w:hint="eastAsia" w:ascii="宋体" w:hAnsi="宋体" w:cs="宋体"/>
                <w:color w:val="auto"/>
                <w:szCs w:val="21"/>
              </w:rPr>
            </w:pPr>
            <w:r>
              <w:rPr>
                <w:rFonts w:hint="eastAsia"/>
                <w:color w:val="auto"/>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1</w:t>
            </w:r>
            <w:r>
              <w:rPr>
                <w:rFonts w:hint="eastAsia" w:ascii="宋体" w:hAnsi="宋体" w:cs="宋体"/>
                <w:i w:val="0"/>
                <w:iCs w:val="0"/>
                <w:color w:val="auto"/>
                <w:kern w:val="0"/>
                <w:sz w:val="24"/>
                <w:szCs w:val="24"/>
                <w:u w:val="none"/>
                <w:lang w:val="en-US" w:eastAsia="zh-CN" w:bidi="ar"/>
              </w:rPr>
              <w:t>9</w:t>
            </w:r>
          </w:p>
        </w:tc>
        <w:tc>
          <w:tcPr>
            <w:tcW w:w="797"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天线延长线</w:t>
            </w:r>
          </w:p>
        </w:tc>
        <w:tc>
          <w:tcPr>
            <w:tcW w:w="448"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1"/>
                <w:szCs w:val="21"/>
                <w:u w:val="none"/>
                <w:lang w:val="en-US" w:eastAsia="zh-CN" w:bidi="ar"/>
              </w:rPr>
              <w:t>米</w:t>
            </w:r>
          </w:p>
        </w:tc>
        <w:tc>
          <w:tcPr>
            <w:tcW w:w="735"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60</w:t>
            </w:r>
          </w:p>
        </w:tc>
        <w:tc>
          <w:tcPr>
            <w:tcW w:w="6540" w:type="dxa"/>
            <w:vAlign w:val="center"/>
          </w:tcPr>
          <w:p>
            <w:pPr>
              <w:keepNext w:val="0"/>
              <w:keepLines w:val="0"/>
              <w:widowControl/>
              <w:suppressLineNumbers w:val="0"/>
              <w:jc w:val="left"/>
              <w:textAlignment w:val="center"/>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i w:val="0"/>
                <w:iCs w:val="0"/>
                <w:color w:val="auto"/>
                <w:kern w:val="0"/>
                <w:sz w:val="21"/>
                <w:szCs w:val="21"/>
                <w:u w:val="none"/>
                <w:lang w:val="en-US" w:eastAsia="zh-CN" w:bidi="ar"/>
              </w:rPr>
              <w:t>同轴线50欧</w:t>
            </w:r>
          </w:p>
        </w:tc>
        <w:tc>
          <w:tcPr>
            <w:tcW w:w="756" w:type="dxa"/>
            <w:vAlign w:val="center"/>
          </w:tcPr>
          <w:p>
            <w:pPr>
              <w:widowControl/>
              <w:spacing w:line="440" w:lineRule="exact"/>
              <w:jc w:val="center"/>
              <w:textAlignment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keepNext w:val="0"/>
              <w:keepLines w:val="0"/>
              <w:widowControl/>
              <w:suppressLineNumbers w:val="0"/>
              <w:jc w:val="center"/>
              <w:textAlignment w:val="center"/>
              <w:rPr>
                <w:rFonts w:hint="default" w:hAnsi="宋体" w:cs="宋体"/>
                <w:bCs/>
                <w:color w:val="auto"/>
                <w:sz w:val="21"/>
                <w:szCs w:val="21"/>
                <w:lang w:val="en-US" w:eastAsia="zh-CN" w:bidi="ar"/>
              </w:rPr>
            </w:pPr>
            <w:r>
              <w:rPr>
                <w:rFonts w:hint="eastAsia" w:ascii="宋体" w:hAnsi="宋体" w:cs="宋体"/>
                <w:i w:val="0"/>
                <w:iCs w:val="0"/>
                <w:color w:val="auto"/>
                <w:kern w:val="0"/>
                <w:sz w:val="24"/>
                <w:szCs w:val="24"/>
                <w:u w:val="none"/>
                <w:lang w:val="en-US" w:eastAsia="zh-CN" w:bidi="ar"/>
              </w:rPr>
              <w:t>20</w:t>
            </w:r>
          </w:p>
        </w:tc>
        <w:tc>
          <w:tcPr>
            <w:tcW w:w="797"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定压喇叭线</w:t>
            </w:r>
          </w:p>
        </w:tc>
        <w:tc>
          <w:tcPr>
            <w:tcW w:w="448"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1"/>
                <w:szCs w:val="21"/>
                <w:u w:val="none"/>
                <w:lang w:val="en-US" w:eastAsia="zh-CN" w:bidi="ar"/>
              </w:rPr>
              <w:t>米</w:t>
            </w:r>
          </w:p>
        </w:tc>
        <w:tc>
          <w:tcPr>
            <w:tcW w:w="735"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3000</w:t>
            </w:r>
          </w:p>
        </w:tc>
        <w:tc>
          <w:tcPr>
            <w:tcW w:w="6540" w:type="dxa"/>
            <w:vAlign w:val="center"/>
          </w:tcPr>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1.导体材料选用优质无氧铜（OFC），单丝直径为0.195mm。20℃时每公里导体电阻≤19.5Ω。</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2.绝缘采用优质聚氯乙烯塑料，两芯颜色为：蓝、棕。</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3.两芯绞合成缆，间隙处填充聚丙烯撕裂纤维，整体用聚丙烯包带缠绕，结构圆整。</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4.护套采用优质聚氯乙烯材料，颜色为黑色，电缆外观光滑、圆整。成品外径约6.9㎜。</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5.用于室内各种设备电源或信号连接，移动布线或固定布线均可。</w:t>
            </w:r>
          </w:p>
        </w:tc>
        <w:tc>
          <w:tcPr>
            <w:tcW w:w="756" w:type="dxa"/>
            <w:vAlign w:val="center"/>
          </w:tcPr>
          <w:p>
            <w:pPr>
              <w:widowControl/>
              <w:spacing w:line="440" w:lineRule="exact"/>
              <w:jc w:val="center"/>
              <w:textAlignment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2</w:t>
            </w:r>
            <w:r>
              <w:rPr>
                <w:rFonts w:hint="eastAsia" w:ascii="宋体" w:hAnsi="宋体" w:cs="宋体"/>
                <w:i w:val="0"/>
                <w:iCs w:val="0"/>
                <w:color w:val="auto"/>
                <w:kern w:val="0"/>
                <w:sz w:val="24"/>
                <w:szCs w:val="24"/>
                <w:u w:val="none"/>
                <w:lang w:val="en-US" w:eastAsia="zh-CN" w:bidi="ar"/>
              </w:rPr>
              <w:t>1</w:t>
            </w:r>
          </w:p>
        </w:tc>
        <w:tc>
          <w:tcPr>
            <w:tcW w:w="797"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机柜</w:t>
            </w:r>
          </w:p>
        </w:tc>
        <w:tc>
          <w:tcPr>
            <w:tcW w:w="448"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1"/>
                <w:szCs w:val="21"/>
                <w:u w:val="none"/>
                <w:lang w:val="en-US" w:eastAsia="zh-CN" w:bidi="ar"/>
              </w:rPr>
              <w:t>台</w:t>
            </w:r>
          </w:p>
        </w:tc>
        <w:tc>
          <w:tcPr>
            <w:tcW w:w="735"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1</w:t>
            </w:r>
          </w:p>
        </w:tc>
        <w:tc>
          <w:tcPr>
            <w:tcW w:w="6540" w:type="dxa"/>
            <w:vAlign w:val="center"/>
          </w:tcPr>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1.专业广播机柜，行业标准产品尺寸设计；</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2.模块拆卸式，钢化玻璃，便于运输及安装；</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3.选用优质2mm冷轧钢板制作，安全耐用；                                                                                                                </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4.容量：37U；</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5.产品尺寸：600mm×600mm×1800mm；</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6、散热装置：风扇*1；</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7.颜色：黑色；</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8.材料：采用高强度进口冷轧钢板及高强度的钢化玻璃</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9.表层处理：脱脂 酸洗 磷化 静电喷喷塑</w:t>
            </w:r>
          </w:p>
          <w:p>
            <w:pPr>
              <w:widowControl/>
              <w:spacing w:line="4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10.粉沫：采用ICI专业高强度粉沫，确保每件产品达到BS6497国际标准</w:t>
            </w:r>
          </w:p>
        </w:tc>
        <w:tc>
          <w:tcPr>
            <w:tcW w:w="756" w:type="dxa"/>
            <w:vAlign w:val="center"/>
          </w:tcPr>
          <w:p>
            <w:pPr>
              <w:widowControl/>
              <w:spacing w:line="440" w:lineRule="exact"/>
              <w:jc w:val="center"/>
              <w:textAlignment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2</w:t>
            </w:r>
            <w:r>
              <w:rPr>
                <w:rFonts w:hint="eastAsia" w:ascii="宋体" w:hAnsi="宋体" w:cs="宋体"/>
                <w:i w:val="0"/>
                <w:iCs w:val="0"/>
                <w:color w:val="auto"/>
                <w:kern w:val="0"/>
                <w:sz w:val="24"/>
                <w:szCs w:val="24"/>
                <w:u w:val="none"/>
                <w:lang w:val="en-US" w:eastAsia="zh-CN" w:bidi="ar"/>
              </w:rPr>
              <w:t>2</w:t>
            </w:r>
          </w:p>
        </w:tc>
        <w:tc>
          <w:tcPr>
            <w:tcW w:w="797"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线管</w:t>
            </w:r>
          </w:p>
        </w:tc>
        <w:tc>
          <w:tcPr>
            <w:tcW w:w="448"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1"/>
                <w:szCs w:val="21"/>
                <w:u w:val="none"/>
                <w:lang w:val="en-US" w:eastAsia="zh-CN" w:bidi="ar"/>
              </w:rPr>
              <w:t>米</w:t>
            </w:r>
          </w:p>
        </w:tc>
        <w:tc>
          <w:tcPr>
            <w:tcW w:w="735"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3500</w:t>
            </w:r>
          </w:p>
        </w:tc>
        <w:tc>
          <w:tcPr>
            <w:tcW w:w="6540" w:type="dxa"/>
            <w:vAlign w:val="center"/>
          </w:tcPr>
          <w:p>
            <w:pPr>
              <w:keepNext w:val="0"/>
              <w:keepLines w:val="0"/>
              <w:widowControl/>
              <w:suppressLineNumbers w:val="0"/>
              <w:jc w:val="left"/>
              <w:textAlignment w:val="center"/>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i w:val="0"/>
                <w:iCs w:val="0"/>
                <w:color w:val="auto"/>
                <w:kern w:val="0"/>
                <w:sz w:val="21"/>
                <w:szCs w:val="21"/>
                <w:u w:val="none"/>
                <w:lang w:val="en-US" w:eastAsia="zh-CN" w:bidi="ar"/>
              </w:rPr>
              <w:t>GDN25</w:t>
            </w:r>
          </w:p>
        </w:tc>
        <w:tc>
          <w:tcPr>
            <w:tcW w:w="756" w:type="dxa"/>
            <w:vAlign w:val="center"/>
          </w:tcPr>
          <w:p>
            <w:pPr>
              <w:widowControl/>
              <w:spacing w:line="440" w:lineRule="exact"/>
              <w:jc w:val="center"/>
              <w:textAlignment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2</w:t>
            </w:r>
            <w:r>
              <w:rPr>
                <w:rFonts w:hint="eastAsia" w:ascii="宋体" w:hAnsi="宋体" w:cs="宋体"/>
                <w:i w:val="0"/>
                <w:iCs w:val="0"/>
                <w:color w:val="auto"/>
                <w:kern w:val="0"/>
                <w:sz w:val="24"/>
                <w:szCs w:val="24"/>
                <w:u w:val="none"/>
                <w:lang w:val="en-US" w:eastAsia="zh-CN" w:bidi="ar"/>
              </w:rPr>
              <w:t>3</w:t>
            </w:r>
          </w:p>
        </w:tc>
        <w:tc>
          <w:tcPr>
            <w:tcW w:w="797"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施工辅材</w:t>
            </w:r>
          </w:p>
        </w:tc>
        <w:tc>
          <w:tcPr>
            <w:tcW w:w="448"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1"/>
                <w:szCs w:val="21"/>
                <w:u w:val="none"/>
                <w:lang w:val="en-US" w:eastAsia="zh-CN" w:bidi="ar"/>
              </w:rPr>
              <w:t>项</w:t>
            </w:r>
          </w:p>
        </w:tc>
        <w:tc>
          <w:tcPr>
            <w:tcW w:w="735"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1</w:t>
            </w:r>
          </w:p>
        </w:tc>
        <w:tc>
          <w:tcPr>
            <w:tcW w:w="6540" w:type="dxa"/>
            <w:vAlign w:val="center"/>
          </w:tcPr>
          <w:p>
            <w:pPr>
              <w:keepNext w:val="0"/>
              <w:keepLines w:val="0"/>
              <w:widowControl/>
              <w:suppressLineNumbers w:val="0"/>
              <w:jc w:val="left"/>
              <w:textAlignment w:val="center"/>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i w:val="0"/>
                <w:iCs w:val="0"/>
                <w:color w:val="auto"/>
                <w:kern w:val="0"/>
                <w:sz w:val="21"/>
                <w:szCs w:val="21"/>
                <w:u w:val="none"/>
                <w:lang w:val="en-US" w:eastAsia="zh-CN" w:bidi="ar"/>
              </w:rPr>
              <w:t>国标五金，配套辅材</w:t>
            </w:r>
          </w:p>
        </w:tc>
        <w:tc>
          <w:tcPr>
            <w:tcW w:w="756" w:type="dxa"/>
            <w:vAlign w:val="center"/>
          </w:tcPr>
          <w:p>
            <w:pPr>
              <w:widowControl/>
              <w:spacing w:line="440" w:lineRule="exact"/>
              <w:jc w:val="center"/>
              <w:textAlignment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2</w:t>
            </w:r>
            <w:r>
              <w:rPr>
                <w:rFonts w:hint="eastAsia" w:ascii="宋体" w:hAnsi="宋体" w:cs="宋体"/>
                <w:i w:val="0"/>
                <w:iCs w:val="0"/>
                <w:color w:val="auto"/>
                <w:kern w:val="0"/>
                <w:sz w:val="24"/>
                <w:szCs w:val="24"/>
                <w:u w:val="none"/>
                <w:lang w:val="en-US" w:eastAsia="zh-CN" w:bidi="ar"/>
              </w:rPr>
              <w:t>4</w:t>
            </w:r>
          </w:p>
        </w:tc>
        <w:tc>
          <w:tcPr>
            <w:tcW w:w="797"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系统施工</w:t>
            </w:r>
          </w:p>
        </w:tc>
        <w:tc>
          <w:tcPr>
            <w:tcW w:w="448"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1"/>
                <w:szCs w:val="21"/>
                <w:u w:val="none"/>
                <w:lang w:val="en-US" w:eastAsia="zh-CN" w:bidi="ar"/>
              </w:rPr>
              <w:t>项</w:t>
            </w:r>
          </w:p>
        </w:tc>
        <w:tc>
          <w:tcPr>
            <w:tcW w:w="735" w:type="dxa"/>
            <w:vAlign w:val="center"/>
          </w:tcPr>
          <w:p>
            <w:pPr>
              <w:keepNext w:val="0"/>
              <w:keepLines w:val="0"/>
              <w:widowControl/>
              <w:suppressLineNumbers w:val="0"/>
              <w:jc w:val="center"/>
              <w:textAlignment w:val="center"/>
              <w:rPr>
                <w:rFonts w:hint="eastAsia" w:hAnsi="宋体" w:cs="宋体"/>
                <w:bCs/>
                <w:color w:val="auto"/>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1</w:t>
            </w:r>
          </w:p>
        </w:tc>
        <w:tc>
          <w:tcPr>
            <w:tcW w:w="6540" w:type="dxa"/>
            <w:vAlign w:val="center"/>
          </w:tcPr>
          <w:p>
            <w:pPr>
              <w:widowControl/>
              <w:spacing w:line="440" w:lineRule="exact"/>
              <w:jc w:val="left"/>
              <w:textAlignment w:val="center"/>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i w:val="0"/>
                <w:iCs w:val="0"/>
                <w:color w:val="auto"/>
                <w:kern w:val="0"/>
                <w:sz w:val="21"/>
                <w:szCs w:val="21"/>
                <w:u w:val="none"/>
                <w:lang w:val="en-US" w:eastAsia="zh-CN" w:bidi="ar"/>
              </w:rPr>
              <w:t>含：设备安装、调试，综合布线，使用培训，售后服务等</w:t>
            </w:r>
          </w:p>
        </w:tc>
        <w:tc>
          <w:tcPr>
            <w:tcW w:w="756" w:type="dxa"/>
            <w:vAlign w:val="center"/>
          </w:tcPr>
          <w:p>
            <w:pPr>
              <w:widowControl/>
              <w:spacing w:line="440" w:lineRule="exact"/>
              <w:jc w:val="center"/>
              <w:textAlignment w:val="center"/>
              <w:rPr>
                <w:rFonts w:hint="eastAsia" w:ascii="宋体" w:hAnsi="宋体" w:cs="宋体"/>
                <w:color w:val="auto"/>
                <w:szCs w:val="21"/>
              </w:rPr>
            </w:pPr>
            <w:r>
              <w:rPr>
                <w:rFonts w:hint="eastAsia"/>
                <w:color w:val="auto"/>
                <w:lang w:val="en-US" w:eastAsia="zh-CN"/>
              </w:rPr>
              <w:t>工业</w:t>
            </w:r>
          </w:p>
        </w:tc>
      </w:tr>
    </w:tbl>
    <w:p>
      <w:pPr>
        <w:pStyle w:val="97"/>
        <w:rPr>
          <w:rFonts w:hint="eastAsia"/>
          <w:color w:val="auto"/>
        </w:rPr>
      </w:pPr>
    </w:p>
    <w:bookmarkEnd w:id="40"/>
    <w:p>
      <w:pPr>
        <w:spacing w:line="430" w:lineRule="exact"/>
        <w:jc w:val="left"/>
        <w:rPr>
          <w:rFonts w:hint="eastAsia" w:ascii="宋体" w:hAnsi="宋体"/>
          <w:color w:val="auto"/>
          <w:szCs w:val="21"/>
        </w:rPr>
      </w:pPr>
      <w:r>
        <w:rPr>
          <w:rFonts w:ascii="宋体" w:hAnsi="宋体"/>
          <w:color w:val="auto"/>
          <w:szCs w:val="21"/>
        </w:rPr>
        <w:br w:type="page"/>
      </w:r>
    </w:p>
    <w:tbl>
      <w:tblPr>
        <w:tblStyle w:val="34"/>
        <w:tblW w:w="9498" w:type="dxa"/>
        <w:tblInd w:w="-5" w:type="dxa"/>
        <w:tblLayout w:type="fixed"/>
        <w:tblCellMar>
          <w:top w:w="0" w:type="dxa"/>
          <w:left w:w="108" w:type="dxa"/>
          <w:bottom w:w="0" w:type="dxa"/>
          <w:right w:w="108" w:type="dxa"/>
        </w:tblCellMar>
      </w:tblPr>
      <w:tblGrid>
        <w:gridCol w:w="9498"/>
      </w:tblGrid>
      <w:tr>
        <w:trPr>
          <w:trHeight w:val="90" w:hRule="atLeast"/>
        </w:trPr>
        <w:tc>
          <w:tcPr>
            <w:tcW w:w="9498" w:type="dxa"/>
            <w:tcBorders>
              <w:top w:val="single" w:color="000000" w:sz="4" w:space="0"/>
              <w:left w:val="single" w:color="000000" w:sz="4" w:space="0"/>
              <w:bottom w:val="single" w:color="000000" w:sz="4" w:space="0"/>
              <w:right w:val="single" w:color="000000" w:sz="4" w:space="0"/>
            </w:tcBorders>
            <w:shd w:val="clear" w:color="auto" w:fill="auto"/>
          </w:tcPr>
          <w:p>
            <w:pPr>
              <w:spacing w:line="400" w:lineRule="exact"/>
              <w:jc w:val="left"/>
              <w:rPr>
                <w:rFonts w:hint="eastAsia" w:ascii="宋体" w:hAnsi="宋体"/>
                <w:b/>
                <w:bCs/>
                <w:color w:val="auto"/>
                <w:szCs w:val="21"/>
              </w:rPr>
            </w:pPr>
            <w:r>
              <w:rPr>
                <w:rFonts w:hint="eastAsia" w:ascii="宋体" w:hAnsi="宋体"/>
                <w:b/>
                <w:bCs/>
                <w:color w:val="auto"/>
                <w:szCs w:val="21"/>
              </w:rPr>
              <w:t>一、谈判要求：</w:t>
            </w:r>
          </w:p>
          <w:p>
            <w:pPr>
              <w:spacing w:line="400" w:lineRule="exact"/>
              <w:jc w:val="left"/>
              <w:rPr>
                <w:rFonts w:hint="eastAsia" w:ascii="宋体" w:hAnsi="宋体"/>
                <w:color w:val="auto"/>
                <w:szCs w:val="21"/>
              </w:rPr>
            </w:pPr>
            <w:r>
              <w:rPr>
                <w:rFonts w:ascii="宋体" w:hAnsi="宋体"/>
                <w:color w:val="auto"/>
                <w:szCs w:val="21"/>
              </w:rPr>
              <w:t xml:space="preserve">  </w:t>
            </w:r>
            <w:r>
              <w:rPr>
                <w:rFonts w:hint="eastAsia" w:ascii="宋体" w:hAnsi="宋体"/>
                <w:color w:val="auto"/>
                <w:szCs w:val="21"/>
              </w:rPr>
              <w:t>1.供应商提供的产品必须是全新、完整、未使用过的、符合国家有关质量安全标准的合格产品。</w:t>
            </w:r>
          </w:p>
          <w:p>
            <w:pPr>
              <w:spacing w:line="300" w:lineRule="auto"/>
              <w:ind w:firstLine="210" w:firstLineChars="100"/>
              <w:jc w:val="left"/>
              <w:rPr>
                <w:rFonts w:hint="eastAsia" w:ascii="宋体" w:hAnsi="宋体" w:cs="宋体"/>
                <w:color w:val="auto"/>
                <w:szCs w:val="21"/>
                <w:highlight w:val="none"/>
              </w:rPr>
            </w:pPr>
            <w:r>
              <w:rPr>
                <w:rFonts w:ascii="宋体" w:hAnsi="宋体"/>
                <w:color w:val="auto"/>
                <w:szCs w:val="21"/>
              </w:rPr>
              <w:t xml:space="preserve"> 2</w:t>
            </w:r>
            <w:r>
              <w:rPr>
                <w:rFonts w:hint="eastAsia" w:ascii="宋体" w:hAnsi="宋体"/>
                <w:color w:val="auto"/>
                <w:szCs w:val="21"/>
              </w:rPr>
              <w:t>.供应商报价</w:t>
            </w:r>
            <w:r>
              <w:rPr>
                <w:rFonts w:hint="eastAsia" w:ascii="宋体" w:hAnsi="宋体"/>
                <w:color w:val="auto"/>
                <w:szCs w:val="21"/>
                <w:lang w:val="en-US" w:eastAsia="zh-CN"/>
              </w:rPr>
              <w:t>要求</w:t>
            </w:r>
            <w:r>
              <w:rPr>
                <w:rFonts w:hint="eastAsia" w:ascii="宋体" w:hAnsi="宋体"/>
                <w:color w:val="auto"/>
                <w:szCs w:val="21"/>
              </w:rPr>
              <w:t>:</w:t>
            </w:r>
            <w:r>
              <w:rPr>
                <w:rFonts w:hint="eastAsia" w:ascii="宋体" w:hAnsi="宋体" w:cs="宋体"/>
                <w:color w:val="auto"/>
                <w:szCs w:val="21"/>
                <w:highlight w:val="none"/>
              </w:rPr>
              <w:t>报价为采购人指定地点的现场交货价，包括：</w:t>
            </w:r>
          </w:p>
          <w:p>
            <w:pPr>
              <w:spacing w:line="300" w:lineRule="auto"/>
              <w:ind w:firstLine="420"/>
              <w:jc w:val="left"/>
              <w:rPr>
                <w:rFonts w:hint="eastAsia" w:ascii="宋体" w:hAnsi="宋体" w:cs="宋体"/>
                <w:color w:val="auto"/>
                <w:szCs w:val="21"/>
                <w:highlight w:val="none"/>
              </w:rPr>
            </w:pPr>
            <w:r>
              <w:rPr>
                <w:rFonts w:hint="eastAsia" w:ascii="宋体" w:hAnsi="宋体" w:cs="宋体"/>
                <w:color w:val="auto"/>
                <w:szCs w:val="21"/>
                <w:highlight w:val="none"/>
              </w:rPr>
              <w:t>(1)价格：包括货款和安装调试费</w:t>
            </w:r>
            <w:r>
              <w:rPr>
                <w:rFonts w:hint="eastAsia" w:ascii="宋体" w:hAnsi="宋体" w:cs="宋体"/>
                <w:color w:val="auto"/>
                <w:szCs w:val="21"/>
                <w:highlight w:val="none"/>
                <w:lang w:eastAsia="zh-CN"/>
              </w:rPr>
              <w:t>、</w:t>
            </w:r>
            <w:r>
              <w:rPr>
                <w:rFonts w:hint="eastAsia" w:ascii="宋体" w:hAnsi="宋体" w:cs="宋体"/>
                <w:color w:val="auto"/>
                <w:szCs w:val="21"/>
                <w:highlight w:val="none"/>
              </w:rPr>
              <w:t>服务费</w:t>
            </w:r>
            <w:r>
              <w:rPr>
                <w:rFonts w:hint="eastAsia" w:ascii="宋体" w:hAnsi="宋体" w:cs="宋体"/>
                <w:color w:val="auto"/>
                <w:szCs w:val="21"/>
                <w:highlight w:val="none"/>
                <w:lang w:eastAsia="zh-CN"/>
              </w:rPr>
              <w:t>、</w:t>
            </w:r>
            <w:r>
              <w:rPr>
                <w:rFonts w:hint="eastAsia" w:ascii="宋体" w:hAnsi="宋体" w:cs="宋体"/>
                <w:color w:val="auto"/>
                <w:szCs w:val="21"/>
                <w:highlight w:val="none"/>
              </w:rPr>
              <w:t>验收费</w:t>
            </w:r>
            <w:r>
              <w:rPr>
                <w:rFonts w:hint="eastAsia" w:ascii="宋体" w:hAnsi="宋体" w:cs="宋体"/>
                <w:color w:val="auto"/>
                <w:szCs w:val="21"/>
                <w:highlight w:val="none"/>
                <w:lang w:eastAsia="zh-CN"/>
              </w:rPr>
              <w:t>、</w:t>
            </w:r>
            <w:r>
              <w:rPr>
                <w:rFonts w:hint="eastAsia" w:ascii="宋体" w:hAnsi="宋体" w:cs="宋体"/>
                <w:color w:val="auto"/>
                <w:szCs w:val="21"/>
                <w:highlight w:val="none"/>
              </w:rPr>
              <w:t>税费；</w:t>
            </w:r>
          </w:p>
          <w:p>
            <w:pPr>
              <w:spacing w:line="300" w:lineRule="auto"/>
              <w:ind w:firstLine="420"/>
              <w:jc w:val="left"/>
              <w:rPr>
                <w:rFonts w:hint="eastAsia" w:ascii="宋体" w:hAnsi="宋体" w:cs="宋体"/>
                <w:color w:val="auto"/>
                <w:szCs w:val="21"/>
                <w:highlight w:val="none"/>
              </w:rPr>
            </w:pPr>
            <w:r>
              <w:rPr>
                <w:rFonts w:hint="eastAsia" w:ascii="宋体" w:hAnsi="宋体" w:cs="宋体"/>
                <w:color w:val="auto"/>
                <w:szCs w:val="21"/>
                <w:highlight w:val="none"/>
              </w:rPr>
              <w:t>(2)货物的标准附件</w:t>
            </w:r>
            <w:r>
              <w:rPr>
                <w:rFonts w:hint="eastAsia" w:ascii="宋体" w:hAnsi="宋体" w:cs="宋体"/>
                <w:color w:val="auto"/>
                <w:szCs w:val="21"/>
                <w:highlight w:val="none"/>
                <w:lang w:eastAsia="zh-CN"/>
              </w:rPr>
              <w:t>、</w:t>
            </w:r>
            <w:r>
              <w:rPr>
                <w:rFonts w:hint="eastAsia" w:ascii="宋体" w:hAnsi="宋体" w:cs="宋体"/>
                <w:color w:val="auto"/>
                <w:szCs w:val="21"/>
                <w:highlight w:val="none"/>
              </w:rPr>
              <w:t>备品备件</w:t>
            </w:r>
            <w:r>
              <w:rPr>
                <w:rFonts w:hint="eastAsia" w:ascii="宋体" w:hAnsi="宋体" w:cs="宋体"/>
                <w:color w:val="auto"/>
                <w:szCs w:val="21"/>
                <w:highlight w:val="none"/>
                <w:lang w:eastAsia="zh-CN"/>
              </w:rPr>
              <w:t>、</w:t>
            </w:r>
            <w:r>
              <w:rPr>
                <w:rFonts w:hint="eastAsia" w:ascii="宋体" w:hAnsi="宋体" w:cs="宋体"/>
                <w:color w:val="auto"/>
                <w:szCs w:val="21"/>
                <w:highlight w:val="none"/>
              </w:rPr>
              <w:t>专用工具的价格；</w:t>
            </w:r>
          </w:p>
          <w:p>
            <w:pPr>
              <w:spacing w:line="300" w:lineRule="auto"/>
              <w:ind w:firstLine="420"/>
              <w:jc w:val="left"/>
              <w:rPr>
                <w:rFonts w:hint="eastAsia" w:ascii="宋体" w:hAnsi="宋体" w:cs="宋体"/>
                <w:color w:val="auto"/>
                <w:szCs w:val="21"/>
                <w:highlight w:val="none"/>
              </w:rPr>
            </w:pPr>
            <w:r>
              <w:rPr>
                <w:rFonts w:hint="eastAsia" w:ascii="宋体" w:hAnsi="宋体" w:cs="宋体"/>
                <w:color w:val="auto"/>
                <w:szCs w:val="21"/>
                <w:highlight w:val="none"/>
              </w:rPr>
              <w:t>(3)运输</w:t>
            </w:r>
            <w:r>
              <w:rPr>
                <w:rFonts w:hint="eastAsia" w:ascii="宋体" w:hAnsi="宋体" w:cs="宋体"/>
                <w:color w:val="auto"/>
                <w:szCs w:val="21"/>
                <w:highlight w:val="none"/>
                <w:lang w:eastAsia="zh-CN"/>
              </w:rPr>
              <w:t>、</w:t>
            </w:r>
            <w:r>
              <w:rPr>
                <w:rFonts w:hint="eastAsia" w:ascii="宋体" w:hAnsi="宋体" w:cs="宋体"/>
                <w:color w:val="auto"/>
                <w:szCs w:val="21"/>
                <w:highlight w:val="none"/>
              </w:rPr>
              <w:t>装卸</w:t>
            </w:r>
            <w:r>
              <w:rPr>
                <w:rFonts w:hint="eastAsia" w:ascii="宋体" w:hAnsi="宋体" w:cs="宋体"/>
                <w:color w:val="auto"/>
                <w:szCs w:val="21"/>
                <w:highlight w:val="none"/>
                <w:lang w:eastAsia="zh-CN"/>
              </w:rPr>
              <w:t>、</w:t>
            </w:r>
            <w:r>
              <w:rPr>
                <w:rFonts w:hint="eastAsia" w:ascii="宋体" w:hAnsi="宋体" w:cs="宋体"/>
                <w:color w:val="auto"/>
                <w:szCs w:val="21"/>
                <w:highlight w:val="none"/>
              </w:rPr>
              <w:t>调试</w:t>
            </w:r>
            <w:r>
              <w:rPr>
                <w:rFonts w:hint="eastAsia" w:ascii="宋体" w:hAnsi="宋体" w:cs="宋体"/>
                <w:color w:val="auto"/>
                <w:szCs w:val="21"/>
                <w:highlight w:val="none"/>
                <w:lang w:eastAsia="zh-CN"/>
              </w:rPr>
              <w:t>、</w:t>
            </w:r>
            <w:r>
              <w:rPr>
                <w:rFonts w:hint="eastAsia" w:ascii="宋体" w:hAnsi="宋体" w:cs="宋体"/>
                <w:color w:val="auto"/>
                <w:szCs w:val="21"/>
                <w:highlight w:val="none"/>
              </w:rPr>
              <w:t>培训</w:t>
            </w:r>
            <w:r>
              <w:rPr>
                <w:rFonts w:hint="eastAsia" w:ascii="宋体" w:hAnsi="宋体" w:cs="宋体"/>
                <w:color w:val="auto"/>
                <w:szCs w:val="21"/>
                <w:highlight w:val="none"/>
                <w:lang w:eastAsia="zh-CN"/>
              </w:rPr>
              <w:t>、</w:t>
            </w:r>
            <w:r>
              <w:rPr>
                <w:rFonts w:hint="eastAsia" w:ascii="宋体" w:hAnsi="宋体" w:cs="宋体"/>
                <w:color w:val="auto"/>
                <w:szCs w:val="21"/>
                <w:highlight w:val="none"/>
              </w:rPr>
              <w:t>技术支持</w:t>
            </w:r>
            <w:r>
              <w:rPr>
                <w:rFonts w:hint="eastAsia" w:ascii="宋体" w:hAnsi="宋体" w:cs="宋体"/>
                <w:color w:val="auto"/>
                <w:szCs w:val="21"/>
                <w:highlight w:val="none"/>
                <w:lang w:eastAsia="zh-CN"/>
              </w:rPr>
              <w:t>、</w:t>
            </w:r>
            <w:r>
              <w:rPr>
                <w:rFonts w:hint="eastAsia" w:ascii="宋体" w:hAnsi="宋体" w:cs="宋体"/>
                <w:color w:val="auto"/>
                <w:szCs w:val="21"/>
                <w:highlight w:val="none"/>
              </w:rPr>
              <w:t>售后服务费；</w:t>
            </w:r>
          </w:p>
          <w:p>
            <w:pPr>
              <w:spacing w:line="400" w:lineRule="exact"/>
              <w:ind w:firstLine="420" w:firstLineChars="200"/>
              <w:jc w:val="left"/>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rPr>
              <w:t>(4)保险费和其他各项成本费用。</w:t>
            </w:r>
          </w:p>
          <w:p>
            <w:pPr>
              <w:spacing w:line="400" w:lineRule="exact"/>
              <w:jc w:val="left"/>
              <w:rPr>
                <w:rFonts w:hint="eastAsia" w:ascii="宋体" w:hAnsi="宋体" w:cs="宋体"/>
                <w:color w:val="auto"/>
                <w:szCs w:val="21"/>
              </w:rPr>
            </w:pPr>
            <w:r>
              <w:rPr>
                <w:rFonts w:hint="eastAsia" w:ascii="宋体" w:hAnsi="宋体" w:cs="宋体"/>
                <w:b/>
                <w:bCs/>
                <w:color w:val="auto"/>
                <w:szCs w:val="21"/>
              </w:rPr>
              <w:t>二、验收要求：</w:t>
            </w:r>
          </w:p>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eastAsia="宋体" w:cs="宋体"/>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w:t>
            </w:r>
            <w:r>
              <w:rPr>
                <w:rFonts w:hint="eastAsia" w:ascii="宋体" w:hAnsi="宋体" w:eastAsia="宋体" w:cs="宋体"/>
                <w:bCs/>
                <w:color w:val="auto"/>
                <w:sz w:val="21"/>
                <w:szCs w:val="21"/>
                <w:highlight w:val="none"/>
                <w:lang w:val="en-US" w:eastAsia="zh-CN"/>
              </w:rPr>
              <w:t xml:space="preserve">采购人对中标供应商提交的货物依据采购文件上的技术规格要求和国家有关质量标准进行现场签收，符合采购文件技术要求的，给予签收，不合格的不予签收。 </w:t>
            </w:r>
          </w:p>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 xml:space="preserve">2.中标供应商交货前应对产品作出全面检查和对验收文件进行整理，并列出清单，作为采购人收货验收和使用的技术条件依据，检验的结果应随货物交采购人。中标供应商不能完整交付货物及本款规定的相关证明材料的，必须负责补齐，否则视为未按合同约定交货。 </w:t>
            </w:r>
          </w:p>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 xml:space="preserve">3.中标供应商需负责安装、调试，并培训采购人的使用操作人员，直到设备运行符合技术要求及采购人人员熟练操作后，采购人再进行组织验收。 </w:t>
            </w:r>
          </w:p>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4.采购人组织验收，中标供应商必须到场配合，验收合格后双方签署验收合格凭证。</w:t>
            </w:r>
          </w:p>
          <w:p>
            <w:pPr>
              <w:spacing w:line="400" w:lineRule="exact"/>
              <w:jc w:val="left"/>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5.其他未尽事宜应严格参照《关于印发广西壮族自治区政府采购项目履约验收管理办法的通知》[桂财采〔2015〕22 号]以及《财政部关于进一步加强政府采购需求和履约验收管理的指导意见》[财库〔2016〕205 号]规定执行。</w:t>
            </w:r>
          </w:p>
          <w:p>
            <w:pPr>
              <w:spacing w:line="400" w:lineRule="exact"/>
              <w:jc w:val="left"/>
              <w:rPr>
                <w:rFonts w:hint="eastAsia" w:ascii="宋体" w:hAnsi="宋体" w:cs="宋体"/>
                <w:b/>
                <w:bCs/>
                <w:color w:val="auto"/>
                <w:szCs w:val="21"/>
              </w:rPr>
            </w:pPr>
            <w:r>
              <w:rPr>
                <w:rFonts w:hint="eastAsia" w:ascii="宋体" w:hAnsi="宋体" w:cs="宋体"/>
                <w:b/>
                <w:bCs/>
                <w:color w:val="auto"/>
                <w:szCs w:val="21"/>
              </w:rPr>
              <w:t>三、售后服务：</w:t>
            </w:r>
          </w:p>
          <w:p>
            <w:pPr>
              <w:pStyle w:val="2"/>
              <w:ind w:firstLine="240" w:firstLineChars="100"/>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0"/>
                <w:szCs w:val="21"/>
                <w:lang w:val="en-US" w:eastAsia="zh-CN" w:bidi="ar"/>
              </w:rPr>
              <w:t>★</w:t>
            </w:r>
            <w:r>
              <w:rPr>
                <w:rFonts w:hint="eastAsia" w:ascii="宋体" w:hAnsi="宋体" w:eastAsia="宋体" w:cs="宋体"/>
                <w:color w:val="auto"/>
                <w:kern w:val="2"/>
                <w:sz w:val="21"/>
                <w:szCs w:val="21"/>
                <w:highlight w:val="none"/>
                <w:lang w:val="en-US" w:eastAsia="zh-CN" w:bidi="ar-SA"/>
              </w:rPr>
              <w:t>1.项目需求中涉及台式计算机、</w:t>
            </w:r>
            <w:r>
              <w:rPr>
                <w:rFonts w:hint="eastAsia" w:hAnsi="宋体" w:cs="宋体"/>
                <w:color w:val="auto"/>
                <w:sz w:val="21"/>
                <w:szCs w:val="21"/>
                <w:highlight w:val="none"/>
              </w:rPr>
              <w:t>86寸智慧黑板</w:t>
            </w:r>
            <w:r>
              <w:rPr>
                <w:rFonts w:hint="eastAsia" w:hAnsi="宋体" w:cs="宋体"/>
                <w:color w:val="auto"/>
                <w:sz w:val="21"/>
                <w:szCs w:val="21"/>
                <w:highlight w:val="none"/>
                <w:lang w:eastAsia="zh-CN"/>
              </w:rPr>
              <w:t>，</w:t>
            </w:r>
            <w:r>
              <w:rPr>
                <w:rFonts w:hint="eastAsia" w:ascii="宋体" w:hAnsi="宋体" w:eastAsia="宋体" w:cs="宋体"/>
                <w:color w:val="auto"/>
                <w:kern w:val="2"/>
                <w:sz w:val="21"/>
                <w:szCs w:val="21"/>
                <w:highlight w:val="none"/>
                <w:lang w:val="en-US" w:eastAsia="zh-CN" w:bidi="ar-SA"/>
              </w:rPr>
              <w:t>播音电脑，需整机提供3年免费厂商质保及上门服务，供货时提供所投产品售后服务承诺函；要求提供所投产品厂商400免费技术支持电话。</w:t>
            </w:r>
          </w:p>
          <w:p>
            <w:pPr>
              <w:spacing w:line="400" w:lineRule="exact"/>
              <w:jc w:val="left"/>
              <w:rPr>
                <w:rFonts w:hint="eastAsia" w:ascii="宋体" w:hAnsi="宋体" w:cs="宋体"/>
                <w:color w:val="auto"/>
                <w:szCs w:val="21"/>
              </w:rPr>
            </w:pPr>
            <w:r>
              <w:rPr>
                <w:rFonts w:ascii="宋体" w:hAnsi="宋体" w:cs="宋体"/>
                <w:color w:val="auto"/>
                <w:szCs w:val="21"/>
              </w:rPr>
              <w:t xml:space="preserve">  </w:t>
            </w:r>
            <w:r>
              <w:rPr>
                <w:rFonts w:hint="eastAsia" w:ascii="宋体" w:hAnsi="宋体" w:cs="宋体"/>
                <w:color w:val="auto"/>
                <w:szCs w:val="21"/>
                <w:lang w:val="en-US" w:eastAsia="zh-CN"/>
              </w:rPr>
              <w:t>2</w:t>
            </w:r>
            <w:r>
              <w:rPr>
                <w:rFonts w:hint="eastAsia" w:ascii="宋体" w:hAnsi="宋体" w:cs="宋体"/>
                <w:color w:val="auto"/>
                <w:szCs w:val="21"/>
              </w:rPr>
              <w:t>.质保：</w:t>
            </w:r>
            <w:r>
              <w:rPr>
                <w:rFonts w:hint="eastAsia" w:ascii="宋体" w:hAnsi="宋体" w:cs="宋体"/>
                <w:color w:val="auto"/>
                <w:szCs w:val="21"/>
                <w:highlight w:val="none"/>
              </w:rPr>
              <w:t>按国家有关产品“三包”规定执行“三包”，交付验收合格之日起至少</w:t>
            </w:r>
            <w:r>
              <w:rPr>
                <w:rFonts w:hint="eastAsia" w:ascii="宋体" w:hAnsi="宋体" w:cs="宋体"/>
                <w:b/>
                <w:bCs/>
                <w:color w:val="auto"/>
                <w:szCs w:val="21"/>
                <w:highlight w:val="none"/>
              </w:rPr>
              <w:t>三</w:t>
            </w:r>
            <w:r>
              <w:rPr>
                <w:rFonts w:hint="eastAsia" w:ascii="宋体" w:hAnsi="宋体" w:cs="宋体"/>
                <w:color w:val="auto"/>
                <w:szCs w:val="21"/>
                <w:highlight w:val="none"/>
              </w:rPr>
              <w:t>年质保（自交货并验收合格之日起计），采购内容有要求的按其要求。质保期所有由于质量问题导致的硬件产品故障以免费保修.免费人工及免费更换配件标准上门服务并提供终身维护。</w:t>
            </w:r>
            <w:r>
              <w:rPr>
                <w:rFonts w:ascii="宋体" w:hAnsi="宋体" w:cs="宋体"/>
                <w:color w:val="auto"/>
                <w:szCs w:val="21"/>
              </w:rPr>
              <w:t xml:space="preserve"> </w:t>
            </w:r>
          </w:p>
          <w:p>
            <w:pPr>
              <w:spacing w:line="300" w:lineRule="auto"/>
              <w:ind w:firstLine="210" w:firstLineChars="100"/>
              <w:jc w:val="left"/>
              <w:rPr>
                <w:rFonts w:hint="eastAsia" w:ascii="宋体" w:hAnsi="宋体" w:cs="宋体"/>
                <w:color w:val="auto"/>
                <w:szCs w:val="21"/>
                <w:highlight w:val="none"/>
              </w:rPr>
            </w:pPr>
            <w:r>
              <w:rPr>
                <w:rFonts w:hint="eastAsia" w:ascii="宋体" w:hAnsi="宋体" w:cs="宋体"/>
                <w:color w:val="auto"/>
                <w:szCs w:val="21"/>
                <w:lang w:val="en-US" w:eastAsia="zh-CN"/>
              </w:rPr>
              <w:t>3</w:t>
            </w:r>
            <w:r>
              <w:rPr>
                <w:rFonts w:hint="eastAsia" w:ascii="宋体" w:hAnsi="宋体" w:cs="宋体"/>
                <w:color w:val="auto"/>
                <w:szCs w:val="21"/>
              </w:rPr>
              <w:t>.售后技术服务要求：</w:t>
            </w:r>
            <w:r>
              <w:rPr>
                <w:rFonts w:hint="eastAsia" w:ascii="宋体" w:hAnsi="宋体" w:cs="宋体"/>
                <w:color w:val="auto"/>
                <w:szCs w:val="21"/>
                <w:highlight w:val="none"/>
              </w:rPr>
              <w:t>(1)所有货物必须为符合国家行业有关质量标准的全新合格产品。</w:t>
            </w:r>
          </w:p>
          <w:p>
            <w:pPr>
              <w:spacing w:line="300" w:lineRule="auto"/>
              <w:ind w:firstLine="420"/>
              <w:jc w:val="left"/>
              <w:rPr>
                <w:rFonts w:hint="eastAsia" w:ascii="宋体" w:hAnsi="宋体" w:cs="宋体"/>
                <w:color w:val="auto"/>
                <w:szCs w:val="21"/>
                <w:highlight w:val="none"/>
              </w:rPr>
            </w:pPr>
            <w:r>
              <w:rPr>
                <w:rFonts w:hint="eastAsia" w:ascii="宋体" w:hAnsi="宋体" w:cs="宋体"/>
                <w:color w:val="auto"/>
                <w:szCs w:val="21"/>
                <w:highlight w:val="none"/>
              </w:rPr>
              <w:t>(2)免费送货上门免费安装调试，免费培训技术人员2名以上，所需工具、器材由中标人自理.提供全套说明书并包括中文操作说明和注意事项。</w:t>
            </w:r>
          </w:p>
          <w:p>
            <w:pPr>
              <w:spacing w:line="300" w:lineRule="auto"/>
              <w:ind w:firstLine="420"/>
              <w:jc w:val="left"/>
              <w:rPr>
                <w:rFonts w:hint="eastAsia" w:ascii="宋体" w:hAnsi="宋体" w:cs="宋体"/>
                <w:color w:val="auto"/>
                <w:szCs w:val="21"/>
                <w:highlight w:val="none"/>
              </w:rPr>
            </w:pPr>
            <w:r>
              <w:rPr>
                <w:rFonts w:hint="eastAsia" w:ascii="宋体" w:hAnsi="宋体" w:cs="宋体"/>
                <w:color w:val="auto"/>
                <w:szCs w:val="21"/>
                <w:highlight w:val="none"/>
              </w:rPr>
              <w:t>(3)产品如出现故障并接到用户通知后在1小时内响应，12小时内上门服务，24小时内解决故障；未能在规定时间内排除故障的，必须在24小时内提供同档次的备用产品，直至解决故障。</w:t>
            </w:r>
          </w:p>
          <w:p>
            <w:pPr>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(4)中标人除承担运输</w:t>
            </w:r>
            <w:r>
              <w:rPr>
                <w:rFonts w:hint="eastAsia" w:ascii="宋体" w:hAnsi="宋体" w:cs="宋体"/>
                <w:color w:val="auto"/>
                <w:szCs w:val="21"/>
                <w:highlight w:val="none"/>
                <w:lang w:eastAsia="zh-CN"/>
              </w:rPr>
              <w:t>、</w:t>
            </w:r>
            <w:r>
              <w:rPr>
                <w:rFonts w:hint="eastAsia" w:ascii="宋体" w:hAnsi="宋体" w:cs="宋体"/>
                <w:color w:val="auto"/>
                <w:szCs w:val="21"/>
                <w:highlight w:val="none"/>
              </w:rPr>
              <w:t>安装</w:t>
            </w:r>
            <w:r>
              <w:rPr>
                <w:rFonts w:hint="eastAsia" w:ascii="宋体" w:hAnsi="宋体" w:cs="宋体"/>
                <w:color w:val="auto"/>
                <w:szCs w:val="21"/>
                <w:highlight w:val="none"/>
                <w:lang w:eastAsia="zh-CN"/>
              </w:rPr>
              <w:t>、</w:t>
            </w:r>
            <w:r>
              <w:rPr>
                <w:rFonts w:hint="eastAsia" w:ascii="宋体" w:hAnsi="宋体" w:cs="宋体"/>
                <w:color w:val="auto"/>
                <w:szCs w:val="21"/>
                <w:highlight w:val="none"/>
              </w:rPr>
              <w:t>调试</w:t>
            </w:r>
            <w:r>
              <w:rPr>
                <w:rFonts w:hint="eastAsia" w:ascii="宋体" w:hAnsi="宋体" w:cs="宋体"/>
                <w:color w:val="auto"/>
                <w:szCs w:val="21"/>
                <w:highlight w:val="none"/>
                <w:lang w:eastAsia="zh-CN"/>
              </w:rPr>
              <w:t>、</w:t>
            </w:r>
            <w:r>
              <w:rPr>
                <w:rFonts w:hint="eastAsia" w:ascii="宋体" w:hAnsi="宋体" w:cs="宋体"/>
                <w:color w:val="auto"/>
                <w:szCs w:val="21"/>
                <w:highlight w:val="none"/>
              </w:rPr>
              <w:t>验收与培训等义务外，还将为采购人提供技术支持，包括保修期外的修理及技术指导</w:t>
            </w:r>
            <w:r>
              <w:rPr>
                <w:rFonts w:hint="eastAsia" w:ascii="宋体" w:hAnsi="宋体" w:cs="宋体"/>
                <w:color w:val="auto"/>
                <w:szCs w:val="21"/>
                <w:highlight w:val="none"/>
                <w:lang w:eastAsia="zh-CN"/>
              </w:rPr>
              <w:t>、</w:t>
            </w:r>
            <w:r>
              <w:rPr>
                <w:rFonts w:hint="eastAsia" w:ascii="宋体" w:hAnsi="宋体" w:cs="宋体"/>
                <w:color w:val="auto"/>
                <w:szCs w:val="21"/>
                <w:highlight w:val="none"/>
              </w:rPr>
              <w:t>配件供应等。</w:t>
            </w:r>
          </w:p>
          <w:p>
            <w:pPr>
              <w:spacing w:line="400" w:lineRule="exact"/>
              <w:jc w:val="left"/>
              <w:rPr>
                <w:rFonts w:hint="eastAsia" w:ascii="宋体" w:hAnsi="宋体" w:cs="宋体"/>
                <w:b/>
                <w:bCs/>
                <w:color w:val="auto"/>
                <w:szCs w:val="21"/>
              </w:rPr>
            </w:pPr>
            <w:r>
              <w:rPr>
                <w:rFonts w:hint="eastAsia" w:ascii="宋体" w:hAnsi="宋体" w:cs="宋体"/>
                <w:b/>
                <w:bCs/>
                <w:color w:val="auto"/>
                <w:szCs w:val="21"/>
              </w:rPr>
              <w:t>四、时间及地点要求：</w:t>
            </w:r>
          </w:p>
          <w:p>
            <w:pPr>
              <w:spacing w:line="400" w:lineRule="exact"/>
              <w:jc w:val="left"/>
              <w:rPr>
                <w:rFonts w:hint="eastAsia" w:ascii="宋体" w:hAnsi="宋体" w:cs="宋体"/>
                <w:color w:val="auto"/>
                <w:szCs w:val="21"/>
              </w:rPr>
            </w:pPr>
            <w:r>
              <w:rPr>
                <w:rFonts w:hint="eastAsia" w:ascii="宋体" w:hAnsi="宋体" w:cs="宋体"/>
                <w:color w:val="auto"/>
                <w:szCs w:val="21"/>
              </w:rPr>
              <w:t xml:space="preserve">  1.合同签订期：</w:t>
            </w:r>
            <w:r>
              <w:rPr>
                <w:rFonts w:hint="eastAsia" w:ascii="宋体" w:hAnsi="宋体" w:cs="宋体"/>
                <w:color w:val="auto"/>
                <w:szCs w:val="21"/>
                <w:highlight w:val="none"/>
              </w:rPr>
              <w:t>自中标通知书发出之日起</w:t>
            </w:r>
            <w:r>
              <w:rPr>
                <w:rFonts w:hint="eastAsia" w:ascii="宋体" w:hAnsi="宋体" w:cs="宋体"/>
                <w:color w:val="auto"/>
                <w:szCs w:val="21"/>
                <w:highlight w:val="none"/>
                <w:lang w:val="en-US" w:eastAsia="zh-CN"/>
              </w:rPr>
              <w:t>3</w:t>
            </w:r>
            <w:bookmarkStart w:id="143" w:name="_GoBack"/>
            <w:bookmarkEnd w:id="143"/>
            <w:r>
              <w:rPr>
                <w:rFonts w:hint="eastAsia" w:ascii="宋体" w:hAnsi="宋体" w:cs="宋体"/>
                <w:color w:val="auto"/>
                <w:szCs w:val="21"/>
                <w:highlight w:val="none"/>
              </w:rPr>
              <w:t>日内。</w:t>
            </w:r>
          </w:p>
          <w:p>
            <w:pPr>
              <w:spacing w:line="400" w:lineRule="exact"/>
              <w:jc w:val="left"/>
              <w:rPr>
                <w:rFonts w:hint="eastAsia" w:ascii="宋体" w:hAnsi="宋体" w:cs="宋体"/>
                <w:color w:val="auto"/>
                <w:szCs w:val="21"/>
              </w:rPr>
            </w:pPr>
            <w:r>
              <w:rPr>
                <w:rFonts w:ascii="宋体" w:hAnsi="宋体" w:cs="宋体"/>
                <w:color w:val="auto"/>
                <w:szCs w:val="21"/>
              </w:rPr>
              <w:t xml:space="preserve">  </w:t>
            </w:r>
            <w:r>
              <w:rPr>
                <w:rFonts w:hint="eastAsia" w:ascii="宋体" w:hAnsi="宋体" w:cs="宋体"/>
                <w:color w:val="auto"/>
                <w:szCs w:val="21"/>
              </w:rPr>
              <w:t>2.交货期：</w:t>
            </w:r>
            <w:r>
              <w:rPr>
                <w:rFonts w:hint="eastAsia" w:ascii="宋体" w:hAnsi="宋体" w:cs="宋体"/>
                <w:color w:val="auto"/>
                <w:szCs w:val="21"/>
                <w:highlight w:val="none"/>
              </w:rPr>
              <w:t>自签订合同之日起</w:t>
            </w:r>
            <w:r>
              <w:rPr>
                <w:rFonts w:hint="eastAsia" w:ascii="宋体" w:hAnsi="宋体" w:cs="宋体"/>
                <w:color w:val="auto"/>
                <w:szCs w:val="21"/>
                <w:highlight w:val="none"/>
                <w:lang w:val="en-US" w:eastAsia="zh-CN"/>
              </w:rPr>
              <w:t>25日</w:t>
            </w:r>
            <w:r>
              <w:rPr>
                <w:rFonts w:hint="eastAsia" w:ascii="宋体" w:hAnsi="宋体" w:cs="宋体"/>
                <w:color w:val="auto"/>
                <w:szCs w:val="21"/>
                <w:highlight w:val="none"/>
              </w:rPr>
              <w:t>内交付使用。</w:t>
            </w:r>
          </w:p>
          <w:p>
            <w:pPr>
              <w:spacing w:line="400" w:lineRule="exact"/>
              <w:jc w:val="left"/>
              <w:rPr>
                <w:rFonts w:hint="eastAsia" w:ascii="宋体" w:hAnsi="宋体" w:cs="宋体"/>
                <w:color w:val="auto"/>
                <w:szCs w:val="21"/>
              </w:rPr>
            </w:pPr>
            <w:r>
              <w:rPr>
                <w:rFonts w:ascii="宋体" w:hAnsi="宋体" w:cs="宋体"/>
                <w:color w:val="auto"/>
                <w:szCs w:val="21"/>
              </w:rPr>
              <w:t xml:space="preserve">  </w:t>
            </w:r>
            <w:r>
              <w:rPr>
                <w:rFonts w:hint="eastAsia" w:ascii="宋体" w:hAnsi="宋体" w:cs="宋体"/>
                <w:color w:val="auto"/>
                <w:szCs w:val="21"/>
              </w:rPr>
              <w:t>3.交货地点：</w:t>
            </w:r>
            <w:r>
              <w:rPr>
                <w:rFonts w:hint="eastAsia" w:ascii="宋体" w:hAnsi="宋体" w:cs="宋体"/>
                <w:color w:val="auto"/>
                <w:szCs w:val="21"/>
                <w:lang w:val="en-US" w:eastAsia="zh-CN"/>
              </w:rPr>
              <w:t>钦州市浦北县</w:t>
            </w:r>
            <w:r>
              <w:rPr>
                <w:rFonts w:hint="eastAsia" w:ascii="宋体" w:hAnsi="宋体" w:cs="宋体"/>
                <w:color w:val="auto"/>
                <w:szCs w:val="21"/>
                <w:highlight w:val="none"/>
              </w:rPr>
              <w:t>采购人指定地点。</w:t>
            </w:r>
          </w:p>
          <w:p>
            <w:pPr>
              <w:spacing w:line="400" w:lineRule="exact"/>
              <w:jc w:val="left"/>
              <w:rPr>
                <w:rFonts w:hint="eastAsia" w:ascii="宋体" w:hAnsi="宋体" w:cs="宋体"/>
                <w:color w:val="auto"/>
                <w:szCs w:val="21"/>
              </w:rPr>
            </w:pPr>
            <w:r>
              <w:rPr>
                <w:rFonts w:ascii="宋体" w:hAnsi="宋体" w:cs="宋体"/>
                <w:color w:val="auto"/>
                <w:szCs w:val="21"/>
              </w:rPr>
              <w:t xml:space="preserve">  </w:t>
            </w:r>
            <w:r>
              <w:rPr>
                <w:rFonts w:hint="eastAsia" w:ascii="宋体" w:hAnsi="宋体" w:cs="宋体"/>
                <w:color w:val="auto"/>
                <w:szCs w:val="21"/>
              </w:rPr>
              <w:t>4.</w:t>
            </w:r>
            <w:r>
              <w:rPr>
                <w:rFonts w:hint="eastAsia" w:ascii="宋体" w:hAnsi="宋体" w:cs="宋体"/>
                <w:color w:val="auto"/>
                <w:szCs w:val="21"/>
                <w:highlight w:val="none"/>
              </w:rPr>
              <w:t>付款方式:项目按业主要求,安装调试验收合格后,乙方开具合同全额发票给甲方甲方收到发票6个月内付完合同总金额100%给乙方。</w:t>
            </w:r>
          </w:p>
        </w:tc>
      </w:tr>
    </w:tbl>
    <w:p>
      <w:pPr>
        <w:rPr>
          <w:color w:val="auto"/>
        </w:rPr>
      </w:pPr>
    </w:p>
    <w:p>
      <w:pPr>
        <w:spacing w:line="430" w:lineRule="exact"/>
        <w:jc w:val="left"/>
        <w:rPr>
          <w:rFonts w:hint="eastAsia" w:ascii="宋体" w:hAnsi="宋体"/>
          <w:color w:val="auto"/>
          <w:szCs w:val="21"/>
        </w:rPr>
      </w:pPr>
    </w:p>
    <w:p>
      <w:pPr>
        <w:widowControl/>
        <w:jc w:val="left"/>
        <w:rPr>
          <w:rFonts w:hint="eastAsia" w:ascii="宋体" w:hAnsi="宋体"/>
          <w:color w:val="auto"/>
          <w:szCs w:val="21"/>
        </w:rPr>
      </w:pPr>
      <w:r>
        <w:rPr>
          <w:rFonts w:ascii="宋体" w:hAnsi="宋体"/>
          <w:color w:val="auto"/>
          <w:szCs w:val="21"/>
        </w:rPr>
        <w:br w:type="page"/>
      </w:r>
    </w:p>
    <w:p>
      <w:pPr>
        <w:spacing w:line="430" w:lineRule="exact"/>
        <w:jc w:val="left"/>
        <w:rPr>
          <w:rFonts w:hint="eastAsia" w:ascii="宋体" w:hAnsi="宋体"/>
          <w:color w:val="auto"/>
          <w:szCs w:val="21"/>
        </w:rPr>
      </w:pPr>
    </w:p>
    <w:p>
      <w:pPr>
        <w:widowControl/>
        <w:jc w:val="left"/>
        <w:rPr>
          <w:rFonts w:hint="eastAsia" w:ascii="宋体" w:hAnsi="宋体"/>
          <w:color w:val="auto"/>
          <w:szCs w:val="21"/>
        </w:rPr>
      </w:pPr>
    </w:p>
    <w:p>
      <w:pPr>
        <w:rPr>
          <w:rFonts w:hint="eastAsia" w:ascii="宋体" w:hAnsi="宋体"/>
          <w:color w:val="auto"/>
          <w:szCs w:val="21"/>
        </w:rPr>
      </w:pPr>
    </w:p>
    <w:p>
      <w:pPr>
        <w:rPr>
          <w:rFonts w:hint="eastAsia" w:ascii="宋体" w:hAnsi="宋体"/>
          <w:color w:val="auto"/>
          <w:szCs w:val="21"/>
        </w:rPr>
      </w:pPr>
    </w:p>
    <w:p>
      <w:pPr>
        <w:rPr>
          <w:rFonts w:hint="eastAsia" w:ascii="宋体" w:hAnsi="宋体"/>
          <w:color w:val="auto"/>
          <w:szCs w:val="21"/>
        </w:rPr>
      </w:pPr>
    </w:p>
    <w:p>
      <w:pPr>
        <w:rPr>
          <w:rFonts w:hint="eastAsia" w:ascii="宋体" w:hAnsi="宋体"/>
          <w:color w:val="auto"/>
          <w:szCs w:val="21"/>
        </w:rPr>
      </w:pPr>
    </w:p>
    <w:p>
      <w:pPr>
        <w:rPr>
          <w:rFonts w:hint="eastAsia" w:ascii="宋体" w:hAnsi="宋体"/>
          <w:color w:val="auto"/>
          <w:szCs w:val="21"/>
        </w:rPr>
      </w:pPr>
    </w:p>
    <w:p>
      <w:pPr>
        <w:rPr>
          <w:rFonts w:hint="eastAsia" w:ascii="宋体" w:hAnsi="宋体"/>
          <w:color w:val="auto"/>
          <w:szCs w:val="21"/>
        </w:rPr>
      </w:pPr>
    </w:p>
    <w:p>
      <w:pPr>
        <w:rPr>
          <w:rFonts w:hint="eastAsia" w:ascii="宋体" w:hAnsi="宋体"/>
          <w:color w:val="auto"/>
          <w:szCs w:val="21"/>
        </w:rPr>
      </w:pPr>
    </w:p>
    <w:p>
      <w:pPr>
        <w:rPr>
          <w:rFonts w:hint="eastAsia" w:ascii="宋体" w:hAnsi="宋体"/>
          <w:color w:val="auto"/>
          <w:szCs w:val="21"/>
        </w:rPr>
      </w:pPr>
    </w:p>
    <w:p>
      <w:pPr>
        <w:rPr>
          <w:rFonts w:hint="eastAsia" w:ascii="宋体" w:hAnsi="宋体"/>
          <w:color w:val="auto"/>
          <w:szCs w:val="21"/>
        </w:rPr>
      </w:pPr>
    </w:p>
    <w:p>
      <w:pPr>
        <w:rPr>
          <w:rFonts w:hint="eastAsia" w:ascii="宋体" w:hAnsi="宋体"/>
          <w:color w:val="auto"/>
          <w:szCs w:val="21"/>
        </w:rPr>
      </w:pPr>
    </w:p>
    <w:p>
      <w:pPr>
        <w:rPr>
          <w:rFonts w:hint="eastAsia" w:ascii="宋体" w:hAnsi="宋体"/>
          <w:color w:val="auto"/>
          <w:szCs w:val="21"/>
        </w:rPr>
      </w:pPr>
    </w:p>
    <w:p>
      <w:pPr>
        <w:rPr>
          <w:rFonts w:hint="eastAsia" w:ascii="宋体" w:hAnsi="宋体"/>
          <w:color w:val="auto"/>
          <w:szCs w:val="21"/>
        </w:rPr>
      </w:pPr>
    </w:p>
    <w:p>
      <w:pPr>
        <w:rPr>
          <w:color w:val="auto"/>
        </w:rPr>
      </w:pPr>
    </w:p>
    <w:p>
      <w:pPr>
        <w:pStyle w:val="3"/>
        <w:spacing w:line="400" w:lineRule="exact"/>
        <w:rPr>
          <w:rFonts w:ascii="方正小标宋简体" w:eastAsia="方正小标宋简体"/>
          <w:color w:val="auto"/>
        </w:rPr>
      </w:pPr>
      <w:bookmarkStart w:id="42" w:name="_Toc92355025"/>
      <w:r>
        <w:rPr>
          <w:rFonts w:hint="eastAsia" w:ascii="方正小标宋简体" w:eastAsia="方正小标宋简体"/>
          <w:color w:val="auto"/>
        </w:rPr>
        <w:t>第三章  供应商须知</w:t>
      </w:r>
      <w:bookmarkEnd w:id="38"/>
      <w:bookmarkEnd w:id="39"/>
      <w:bookmarkEnd w:id="42"/>
    </w:p>
    <w:p>
      <w:pPr>
        <w:jc w:val="center"/>
        <w:rPr>
          <w:rFonts w:hint="eastAsia" w:ascii="仿宋_GB2312" w:hAnsi="宋体" w:eastAsia="仿宋_GB2312"/>
          <w:b/>
          <w:color w:val="auto"/>
          <w:sz w:val="32"/>
          <w:szCs w:val="32"/>
        </w:rPr>
      </w:pPr>
      <w:bookmarkStart w:id="43" w:name="_Toc358477281"/>
      <w:bookmarkStart w:id="44" w:name="_Toc354479499"/>
      <w:bookmarkStart w:id="45" w:name="_Toc357157408"/>
      <w:bookmarkStart w:id="46" w:name="_Toc350325671"/>
      <w:r>
        <w:rPr>
          <w:rFonts w:ascii="仿宋_GB2312" w:hAnsi="宋体" w:eastAsia="仿宋_GB2312"/>
          <w:b/>
          <w:color w:val="auto"/>
          <w:sz w:val="32"/>
          <w:szCs w:val="32"/>
        </w:rPr>
        <w:br w:type="page"/>
      </w:r>
    </w:p>
    <w:p>
      <w:pPr>
        <w:rPr>
          <w:color w:val="auto"/>
        </w:rPr>
      </w:pPr>
    </w:p>
    <w:p>
      <w:pPr>
        <w:jc w:val="center"/>
        <w:rPr>
          <w:rFonts w:hint="eastAsia" w:ascii="黑体" w:hAnsi="黑体" w:eastAsia="黑体"/>
          <w:b/>
          <w:color w:val="auto"/>
          <w:sz w:val="32"/>
          <w:szCs w:val="32"/>
        </w:rPr>
      </w:pPr>
      <w:r>
        <w:rPr>
          <w:rFonts w:hint="eastAsia" w:ascii="黑体" w:hAnsi="黑体" w:eastAsia="黑体"/>
          <w:b/>
          <w:color w:val="auto"/>
          <w:sz w:val="32"/>
          <w:szCs w:val="32"/>
        </w:rPr>
        <w:t>一、供应商须知前附表</w:t>
      </w:r>
    </w:p>
    <w:tbl>
      <w:tblPr>
        <w:tblStyle w:val="34"/>
        <w:tblW w:w="0" w:type="auto"/>
        <w:jc w:val="center"/>
        <w:tblLayout w:type="fixed"/>
        <w:tblCellMar>
          <w:top w:w="0" w:type="dxa"/>
          <w:left w:w="108" w:type="dxa"/>
          <w:bottom w:w="0" w:type="dxa"/>
          <w:right w:w="108" w:type="dxa"/>
        </w:tblCellMar>
      </w:tblPr>
      <w:tblGrid>
        <w:gridCol w:w="704"/>
        <w:gridCol w:w="8647"/>
      </w:tblGrid>
      <w:tr>
        <w:tblPrEx>
          <w:tblCellMar>
            <w:top w:w="0" w:type="dxa"/>
            <w:left w:w="108" w:type="dxa"/>
            <w:bottom w:w="0" w:type="dxa"/>
            <w:right w:w="108" w:type="dxa"/>
          </w:tblCellMar>
        </w:tblPrEx>
        <w:trPr>
          <w:trHeight w:val="502"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rPr>
                <w:rFonts w:hint="eastAsia" w:ascii="宋体" w:hAnsi="宋体" w:cs="宋体"/>
                <w:color w:val="auto"/>
                <w:kern w:val="0"/>
                <w:szCs w:val="21"/>
              </w:rPr>
            </w:pPr>
            <w:r>
              <w:rPr>
                <w:rFonts w:hint="eastAsia" w:ascii="宋体" w:hAnsi="宋体" w:cs="宋体"/>
                <w:color w:val="auto"/>
                <w:kern w:val="0"/>
                <w:szCs w:val="21"/>
              </w:rPr>
              <w:t>序号</w:t>
            </w:r>
          </w:p>
        </w:tc>
        <w:tc>
          <w:tcPr>
            <w:tcW w:w="8647" w:type="dxa"/>
            <w:tcBorders>
              <w:top w:val="single" w:color="000000" w:sz="4" w:space="0"/>
              <w:left w:val="nil"/>
              <w:bottom w:val="single" w:color="000000" w:sz="4" w:space="0"/>
              <w:right w:val="single" w:color="000000" w:sz="4" w:space="0"/>
            </w:tcBorders>
            <w:vAlign w:val="center"/>
          </w:tcPr>
          <w:p>
            <w:pPr>
              <w:widowControl/>
              <w:spacing w:line="320" w:lineRule="exact"/>
              <w:jc w:val="center"/>
              <w:rPr>
                <w:rFonts w:hint="eastAsia" w:ascii="宋体" w:hAnsi="宋体" w:cs="宋体"/>
                <w:color w:val="auto"/>
                <w:kern w:val="0"/>
                <w:szCs w:val="21"/>
              </w:rPr>
            </w:pPr>
            <w:r>
              <w:rPr>
                <w:rFonts w:hint="eastAsia" w:ascii="宋体" w:hAnsi="宋体" w:cs="宋体"/>
                <w:color w:val="auto"/>
                <w:kern w:val="0"/>
                <w:szCs w:val="21"/>
              </w:rPr>
              <w:t>内    容</w:t>
            </w:r>
          </w:p>
        </w:tc>
      </w:tr>
      <w:tr>
        <w:tblPrEx>
          <w:tblCellMar>
            <w:top w:w="0" w:type="dxa"/>
            <w:left w:w="108" w:type="dxa"/>
            <w:bottom w:w="0" w:type="dxa"/>
            <w:right w:w="108" w:type="dxa"/>
          </w:tblCellMar>
        </w:tblPrEx>
        <w:trPr>
          <w:trHeight w:val="1191"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rPr>
                <w:rFonts w:hint="eastAsia" w:ascii="宋体" w:hAnsi="宋体" w:cs="宋体"/>
                <w:color w:val="auto"/>
                <w:kern w:val="0"/>
                <w:szCs w:val="21"/>
              </w:rPr>
            </w:pPr>
            <w:r>
              <w:rPr>
                <w:rFonts w:hint="eastAsia" w:ascii="宋体" w:hAnsi="宋体" w:cs="宋体"/>
                <w:color w:val="auto"/>
                <w:kern w:val="0"/>
                <w:szCs w:val="21"/>
              </w:rPr>
              <w:t>1</w:t>
            </w:r>
          </w:p>
        </w:tc>
        <w:tc>
          <w:tcPr>
            <w:tcW w:w="8647" w:type="dxa"/>
            <w:tcBorders>
              <w:top w:val="single" w:color="000000" w:sz="4" w:space="0"/>
              <w:left w:val="nil"/>
              <w:bottom w:val="single" w:color="000000" w:sz="4" w:space="0"/>
              <w:right w:val="single" w:color="000000" w:sz="4" w:space="0"/>
            </w:tcBorders>
            <w:vAlign w:val="center"/>
          </w:tcPr>
          <w:p>
            <w:pPr>
              <w:spacing w:line="440" w:lineRule="exact"/>
              <w:ind w:right="-334" w:rightChars="-159"/>
              <w:rPr>
                <w:rStyle w:val="41"/>
                <w:rFonts w:hint="eastAsia" w:eastAsia="宋体"/>
                <w:color w:val="auto"/>
                <w:szCs w:val="21"/>
                <w:u w:val="none"/>
                <w:lang w:eastAsia="zh-CN"/>
              </w:rPr>
            </w:pPr>
            <w:r>
              <w:rPr>
                <w:rFonts w:ascii="宋体" w:hAnsi="宋体" w:cs="宋体"/>
                <w:color w:val="auto"/>
                <w:kern w:val="0"/>
                <w:szCs w:val="21"/>
              </w:rPr>
              <w:fldChar w:fldCharType="begin"/>
            </w:r>
            <w:r>
              <w:rPr>
                <w:rFonts w:ascii="宋体" w:hAnsi="宋体" w:cs="宋体"/>
                <w:color w:val="auto"/>
                <w:kern w:val="0"/>
                <w:szCs w:val="21"/>
              </w:rPr>
              <w:instrText xml:space="preserve"> </w:instrText>
            </w:r>
            <w:r>
              <w:rPr>
                <w:rFonts w:hint="eastAsia" w:ascii="宋体" w:hAnsi="宋体" w:cs="宋体"/>
                <w:color w:val="auto"/>
                <w:kern w:val="0"/>
                <w:szCs w:val="21"/>
              </w:rPr>
              <w:instrText xml:space="preserve">HYPERLINK </w:instrText>
            </w:r>
            <w:r>
              <w:rPr>
                <w:rFonts w:ascii="宋体" w:hAnsi="宋体" w:cs="宋体"/>
                <w:color w:val="auto"/>
                <w:kern w:val="0"/>
                <w:szCs w:val="21"/>
              </w:rPr>
              <w:instrText xml:space="preserve"> \l "_一、总_则" </w:instrText>
            </w:r>
            <w:r>
              <w:rPr>
                <w:rFonts w:ascii="宋体" w:hAnsi="宋体" w:cs="宋体"/>
                <w:color w:val="auto"/>
                <w:kern w:val="0"/>
                <w:szCs w:val="21"/>
              </w:rPr>
              <w:fldChar w:fldCharType="separate"/>
            </w:r>
            <w:r>
              <w:rPr>
                <w:rStyle w:val="41"/>
                <w:rFonts w:hint="eastAsia" w:ascii="宋体" w:hAnsi="宋体" w:cs="宋体"/>
                <w:color w:val="auto"/>
                <w:kern w:val="0"/>
                <w:szCs w:val="21"/>
                <w:u w:val="none"/>
              </w:rPr>
              <w:t>项目名称：</w:t>
            </w:r>
            <w:r>
              <w:rPr>
                <w:rStyle w:val="41"/>
                <w:rFonts w:hint="eastAsia" w:ascii="宋体" w:hAnsi="宋体" w:cs="宋体"/>
                <w:color w:val="auto"/>
                <w:kern w:val="0"/>
                <w:szCs w:val="21"/>
                <w:u w:val="none"/>
                <w:lang w:eastAsia="zh-CN"/>
              </w:rPr>
              <w:t>浦北县2024年支持义务教育薄弱环节与能力提升教学设备</w:t>
            </w:r>
          </w:p>
          <w:p>
            <w:pPr>
              <w:widowControl/>
              <w:spacing w:line="440" w:lineRule="exact"/>
              <w:rPr>
                <w:rFonts w:hint="eastAsia" w:ascii="宋体" w:hAnsi="宋体" w:eastAsia="宋体"/>
                <w:color w:val="auto"/>
                <w:szCs w:val="21"/>
                <w:lang w:eastAsia="zh-CN"/>
              </w:rPr>
            </w:pPr>
            <w:r>
              <w:rPr>
                <w:rStyle w:val="41"/>
                <w:rFonts w:hint="eastAsia" w:ascii="宋体" w:hAnsi="宋体"/>
                <w:color w:val="auto"/>
                <w:szCs w:val="21"/>
                <w:u w:val="none"/>
              </w:rPr>
              <w:t>项目编号：</w:t>
            </w:r>
            <w:r>
              <w:rPr>
                <w:rFonts w:ascii="宋体" w:hAnsi="宋体" w:cs="宋体"/>
                <w:color w:val="auto"/>
                <w:kern w:val="0"/>
                <w:szCs w:val="21"/>
              </w:rPr>
              <w:fldChar w:fldCharType="end"/>
            </w:r>
            <w:r>
              <w:rPr>
                <w:rFonts w:hint="eastAsia" w:ascii="宋体" w:hAnsi="宋体" w:cs="宋体"/>
                <w:color w:val="auto"/>
                <w:kern w:val="0"/>
                <w:szCs w:val="21"/>
                <w:lang w:eastAsia="zh-CN"/>
              </w:rPr>
              <w:t>QZZC2024-J1-220427-QZSZ</w:t>
            </w:r>
          </w:p>
        </w:tc>
      </w:tr>
      <w:tr>
        <w:tblPrEx>
          <w:tblCellMar>
            <w:top w:w="0" w:type="dxa"/>
            <w:left w:w="108" w:type="dxa"/>
            <w:bottom w:w="0" w:type="dxa"/>
            <w:right w:w="108" w:type="dxa"/>
          </w:tblCellMar>
        </w:tblPrEx>
        <w:trPr>
          <w:trHeight w:val="2649"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rPr>
                <w:rFonts w:hint="eastAsia" w:ascii="宋体" w:hAnsi="宋体" w:cs="宋体"/>
                <w:color w:val="auto"/>
                <w:kern w:val="0"/>
                <w:szCs w:val="21"/>
              </w:rPr>
            </w:pPr>
            <w:r>
              <w:rPr>
                <w:rFonts w:hint="eastAsia" w:ascii="宋体" w:hAnsi="宋体" w:cs="宋体"/>
                <w:color w:val="auto"/>
                <w:kern w:val="0"/>
                <w:szCs w:val="21"/>
              </w:rPr>
              <w:t>2</w:t>
            </w:r>
          </w:p>
        </w:tc>
        <w:tc>
          <w:tcPr>
            <w:tcW w:w="8647" w:type="dxa"/>
            <w:tcBorders>
              <w:top w:val="single" w:color="000000" w:sz="4" w:space="0"/>
              <w:left w:val="nil"/>
              <w:bottom w:val="single" w:color="000000" w:sz="4" w:space="0"/>
              <w:right w:val="single" w:color="000000" w:sz="4" w:space="0"/>
            </w:tcBorders>
            <w:vAlign w:val="center"/>
          </w:tcPr>
          <w:p>
            <w:pPr>
              <w:spacing w:line="440" w:lineRule="exact"/>
              <w:rPr>
                <w:rStyle w:val="41"/>
                <w:rFonts w:hint="eastAsia" w:ascii="宋体" w:hAnsi="宋体"/>
                <w:color w:val="auto"/>
                <w:u w:val="none"/>
              </w:rPr>
            </w:pPr>
            <w:r>
              <w:rPr>
                <w:rFonts w:ascii="宋体" w:hAnsi="宋体"/>
                <w:color w:val="auto"/>
              </w:rPr>
              <w:fldChar w:fldCharType="begin"/>
            </w:r>
            <w:r>
              <w:rPr>
                <w:rFonts w:ascii="宋体" w:hAnsi="宋体"/>
                <w:color w:val="auto"/>
              </w:rPr>
              <w:instrText xml:space="preserve"> </w:instrText>
            </w:r>
            <w:r>
              <w:rPr>
                <w:rFonts w:hint="eastAsia" w:ascii="宋体" w:hAnsi="宋体"/>
                <w:color w:val="auto"/>
              </w:rPr>
              <w:instrText xml:space="preserve">HYPERLINK </w:instrText>
            </w:r>
            <w:r>
              <w:rPr>
                <w:rFonts w:ascii="宋体" w:hAnsi="宋体"/>
                <w:color w:val="auto"/>
              </w:rPr>
              <w:instrText xml:space="preserve"> \l "_一、总_则" </w:instrText>
            </w:r>
            <w:r>
              <w:rPr>
                <w:rFonts w:ascii="宋体" w:hAnsi="宋体"/>
                <w:color w:val="auto"/>
              </w:rPr>
              <w:fldChar w:fldCharType="separate"/>
            </w:r>
            <w:r>
              <w:rPr>
                <w:rStyle w:val="41"/>
                <w:rFonts w:hint="eastAsia" w:ascii="宋体" w:hAnsi="宋体"/>
                <w:color w:val="auto"/>
                <w:u w:val="none"/>
              </w:rPr>
              <w:t>供应商资格：</w:t>
            </w:r>
          </w:p>
          <w:p>
            <w:pPr>
              <w:spacing w:line="440" w:lineRule="exact"/>
              <w:rPr>
                <w:rFonts w:hint="eastAsia" w:ascii="宋体" w:hAnsi="宋体"/>
                <w:color w:val="auto"/>
              </w:rPr>
            </w:pPr>
            <w:r>
              <w:rPr>
                <w:rFonts w:ascii="宋体" w:hAnsi="宋体"/>
                <w:color w:val="auto"/>
              </w:rPr>
              <w:fldChar w:fldCharType="end"/>
            </w:r>
            <w:r>
              <w:rPr>
                <w:rFonts w:hint="eastAsia" w:ascii="宋体" w:hAnsi="宋体"/>
                <w:color w:val="auto"/>
              </w:rPr>
              <w:t>1.满足《中华人民共和国政府采购法》第二十二条规定</w:t>
            </w:r>
          </w:p>
          <w:p>
            <w:pPr>
              <w:spacing w:line="440" w:lineRule="exact"/>
              <w:rPr>
                <w:rFonts w:hint="eastAsia" w:ascii="宋体" w:hAnsi="宋体" w:eastAsia="宋体"/>
                <w:color w:val="auto"/>
                <w:lang w:val="en-US" w:eastAsia="zh-CN"/>
              </w:rPr>
            </w:pPr>
            <w:r>
              <w:rPr>
                <w:rFonts w:hint="eastAsia" w:ascii="宋体" w:hAnsi="宋体"/>
                <w:color w:val="auto"/>
              </w:rPr>
              <w:t>2.落实政府采购政策需满足的资格要求：</w:t>
            </w:r>
            <w:r>
              <w:rPr>
                <w:rFonts w:hint="eastAsia" w:ascii="宋体" w:hAnsi="宋体"/>
                <w:color w:val="auto"/>
                <w:lang w:val="en-US" w:eastAsia="zh-CN"/>
              </w:rPr>
              <w:t>无</w:t>
            </w:r>
          </w:p>
          <w:p>
            <w:pPr>
              <w:spacing w:line="440" w:lineRule="exact"/>
              <w:rPr>
                <w:rFonts w:hint="eastAsia" w:ascii="宋体" w:hAnsi="宋体" w:eastAsia="宋体"/>
                <w:color w:val="auto"/>
                <w:lang w:val="en-US" w:eastAsia="zh-CN"/>
              </w:rPr>
            </w:pPr>
            <w:r>
              <w:rPr>
                <w:rFonts w:hint="eastAsia" w:ascii="宋体" w:hAnsi="宋体"/>
                <w:color w:val="auto"/>
              </w:rPr>
              <w:t>3.本项目的特定资格要求：</w:t>
            </w:r>
            <w:r>
              <w:rPr>
                <w:rFonts w:hint="eastAsia" w:ascii="宋体" w:hAnsi="宋体"/>
                <w:color w:val="auto"/>
                <w:lang w:val="en-US" w:eastAsia="zh-CN"/>
              </w:rPr>
              <w:t>无</w:t>
            </w:r>
          </w:p>
        </w:tc>
      </w:tr>
      <w:tr>
        <w:tblPrEx>
          <w:tblCellMar>
            <w:top w:w="0" w:type="dxa"/>
            <w:left w:w="108" w:type="dxa"/>
            <w:bottom w:w="0" w:type="dxa"/>
            <w:right w:w="108" w:type="dxa"/>
          </w:tblCellMar>
        </w:tblPrEx>
        <w:trPr>
          <w:trHeight w:val="1112"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rPr>
                <w:rFonts w:hint="eastAsia" w:ascii="宋体" w:hAnsi="宋体" w:cs="宋体"/>
                <w:color w:val="auto"/>
                <w:kern w:val="0"/>
                <w:szCs w:val="21"/>
              </w:rPr>
            </w:pPr>
            <w:r>
              <w:rPr>
                <w:rFonts w:ascii="宋体" w:hAnsi="宋体" w:cs="宋体"/>
                <w:color w:val="auto"/>
                <w:kern w:val="0"/>
                <w:szCs w:val="21"/>
              </w:rPr>
              <w:t>3</w:t>
            </w:r>
          </w:p>
        </w:tc>
        <w:tc>
          <w:tcPr>
            <w:tcW w:w="8647" w:type="dxa"/>
            <w:tcBorders>
              <w:top w:val="single" w:color="000000" w:sz="4" w:space="0"/>
              <w:left w:val="nil"/>
              <w:bottom w:val="single" w:color="000000" w:sz="4" w:space="0"/>
              <w:right w:val="single" w:color="000000" w:sz="4" w:space="0"/>
            </w:tcBorders>
            <w:vAlign w:val="center"/>
          </w:tcPr>
          <w:p>
            <w:pPr>
              <w:spacing w:line="440" w:lineRule="exact"/>
              <w:rPr>
                <w:rFonts w:hint="eastAsia" w:ascii="宋体" w:hAnsi="宋体"/>
                <w:color w:val="auto"/>
              </w:rPr>
            </w:pPr>
            <w:r>
              <w:rPr>
                <w:color w:val="auto"/>
              </w:rPr>
              <w:fldChar w:fldCharType="begin"/>
            </w:r>
            <w:r>
              <w:rPr>
                <w:color w:val="auto"/>
              </w:rPr>
              <w:instrText xml:space="preserve"> HYPERLINK \l "_（五）报价" </w:instrText>
            </w:r>
            <w:r>
              <w:rPr>
                <w:color w:val="auto"/>
              </w:rPr>
              <w:fldChar w:fldCharType="separate"/>
            </w:r>
            <w:r>
              <w:rPr>
                <w:rStyle w:val="41"/>
                <w:rFonts w:hint="eastAsia" w:ascii="宋体" w:hAnsi="宋体" w:cs="宋体"/>
                <w:color w:val="auto"/>
                <w:kern w:val="0"/>
                <w:szCs w:val="21"/>
                <w:u w:val="none"/>
              </w:rPr>
              <w:t>报价：供应商的报价必须按采购文件或政府采购云平台规定的格式填写，并在规定时间内提交最后报价。</w:t>
            </w:r>
            <w:r>
              <w:rPr>
                <w:rStyle w:val="41"/>
                <w:rFonts w:hint="eastAsia" w:ascii="宋体" w:hAnsi="宋体" w:cs="宋体"/>
                <w:color w:val="auto"/>
                <w:kern w:val="0"/>
                <w:szCs w:val="21"/>
                <w:u w:val="none"/>
              </w:rPr>
              <w:fldChar w:fldCharType="end"/>
            </w:r>
          </w:p>
        </w:tc>
      </w:tr>
      <w:tr>
        <w:tblPrEx>
          <w:tblCellMar>
            <w:top w:w="0" w:type="dxa"/>
            <w:left w:w="108" w:type="dxa"/>
            <w:bottom w:w="0" w:type="dxa"/>
            <w:right w:w="108" w:type="dxa"/>
          </w:tblCellMar>
        </w:tblPrEx>
        <w:trPr>
          <w:trHeight w:val="2311"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rPr>
                <w:rFonts w:hint="eastAsia" w:ascii="宋体" w:hAnsi="宋体" w:cs="宋体"/>
                <w:color w:val="auto"/>
                <w:kern w:val="0"/>
                <w:szCs w:val="21"/>
              </w:rPr>
            </w:pPr>
            <w:r>
              <w:rPr>
                <w:rFonts w:hint="eastAsia" w:ascii="宋体" w:hAnsi="宋体" w:cs="宋体"/>
                <w:color w:val="auto"/>
                <w:kern w:val="0"/>
                <w:szCs w:val="21"/>
              </w:rPr>
              <w:t>4</w:t>
            </w:r>
          </w:p>
        </w:tc>
        <w:tc>
          <w:tcPr>
            <w:tcW w:w="8647" w:type="dxa"/>
            <w:tcBorders>
              <w:top w:val="single" w:color="000000" w:sz="4" w:space="0"/>
              <w:left w:val="nil"/>
              <w:bottom w:val="single" w:color="000000" w:sz="4" w:space="0"/>
              <w:right w:val="single" w:color="000000" w:sz="4" w:space="0"/>
            </w:tcBorders>
            <w:vAlign w:val="center"/>
          </w:tcPr>
          <w:p>
            <w:pPr>
              <w:widowControl/>
              <w:spacing w:line="440" w:lineRule="exact"/>
              <w:rPr>
                <w:rStyle w:val="41"/>
                <w:rFonts w:hint="eastAsia" w:ascii="宋体" w:hAnsi="宋体" w:eastAsia="宋体"/>
                <w:color w:val="auto"/>
                <w:szCs w:val="21"/>
                <w:u w:val="none"/>
                <w:lang w:eastAsia="zh-CN"/>
              </w:rPr>
            </w:pPr>
            <w:r>
              <w:rPr>
                <w:rFonts w:ascii="宋体" w:hAnsi="宋体" w:cs="宋体"/>
                <w:color w:val="auto"/>
                <w:kern w:val="0"/>
                <w:szCs w:val="21"/>
              </w:rPr>
              <w:fldChar w:fldCharType="begin"/>
            </w:r>
            <w:r>
              <w:rPr>
                <w:rFonts w:ascii="宋体" w:hAnsi="宋体" w:cs="宋体"/>
                <w:color w:val="auto"/>
                <w:kern w:val="0"/>
                <w:szCs w:val="21"/>
              </w:rPr>
              <w:instrText xml:space="preserve"> </w:instrText>
            </w:r>
            <w:r>
              <w:rPr>
                <w:rFonts w:hint="eastAsia" w:ascii="宋体" w:hAnsi="宋体" w:cs="宋体"/>
                <w:color w:val="auto"/>
                <w:kern w:val="0"/>
                <w:szCs w:val="21"/>
              </w:rPr>
              <w:instrText xml:space="preserve">HYPERLINK </w:instrText>
            </w:r>
            <w:r>
              <w:rPr>
                <w:rFonts w:ascii="宋体" w:hAnsi="宋体" w:cs="宋体"/>
                <w:color w:val="auto"/>
                <w:kern w:val="0"/>
                <w:szCs w:val="21"/>
              </w:rPr>
              <w:instrText xml:space="preserve"> \l "_四、响应文件开启" </w:instrText>
            </w:r>
            <w:r>
              <w:rPr>
                <w:rFonts w:ascii="宋体" w:hAnsi="宋体" w:cs="宋体"/>
                <w:color w:val="auto"/>
                <w:kern w:val="0"/>
                <w:szCs w:val="21"/>
              </w:rPr>
              <w:fldChar w:fldCharType="separate"/>
            </w:r>
            <w:r>
              <w:rPr>
                <w:rStyle w:val="41"/>
                <w:rFonts w:hint="eastAsia" w:ascii="宋体" w:hAnsi="宋体" w:cs="宋体"/>
                <w:color w:val="auto"/>
                <w:kern w:val="0"/>
                <w:szCs w:val="21"/>
                <w:u w:val="none"/>
              </w:rPr>
              <w:t>响应文件提交截止时间及开启时间：</w:t>
            </w:r>
            <w:r>
              <w:rPr>
                <w:rFonts w:hint="eastAsia"/>
                <w:color w:val="auto"/>
              </w:rPr>
              <w:t>2024年</w:t>
            </w:r>
            <w:r>
              <w:rPr>
                <w:rFonts w:hint="eastAsia"/>
                <w:color w:val="auto"/>
                <w:lang w:val="en-US" w:eastAsia="zh-CN"/>
              </w:rPr>
              <w:t>11</w:t>
            </w:r>
            <w:r>
              <w:rPr>
                <w:rFonts w:hint="eastAsia"/>
                <w:color w:val="auto"/>
              </w:rPr>
              <w:t>月</w:t>
            </w:r>
            <w:r>
              <w:rPr>
                <w:rFonts w:hint="eastAsia"/>
                <w:color w:val="auto"/>
                <w:lang w:val="en-US" w:eastAsia="zh-CN"/>
              </w:rPr>
              <w:t>8</w:t>
            </w:r>
            <w:r>
              <w:rPr>
                <w:rFonts w:hint="eastAsia"/>
                <w:color w:val="auto"/>
              </w:rPr>
              <w:t>日</w:t>
            </w:r>
            <w:r>
              <w:rPr>
                <w:rFonts w:hint="eastAsia"/>
                <w:color w:val="auto"/>
                <w:lang w:val="en-US" w:eastAsia="zh-CN"/>
              </w:rPr>
              <w:t>10</w:t>
            </w:r>
            <w:r>
              <w:rPr>
                <w:rFonts w:hint="eastAsia"/>
                <w:color w:val="auto"/>
              </w:rPr>
              <w:t>:</w:t>
            </w:r>
            <w:r>
              <w:rPr>
                <w:rFonts w:hint="eastAsia"/>
                <w:color w:val="auto"/>
                <w:lang w:val="en-US" w:eastAsia="zh-CN"/>
              </w:rPr>
              <w:t>0</w:t>
            </w:r>
            <w:r>
              <w:rPr>
                <w:rFonts w:hint="eastAsia"/>
                <w:color w:val="auto"/>
              </w:rPr>
              <w:t>0</w:t>
            </w:r>
            <w:r>
              <w:rPr>
                <w:rFonts w:hint="eastAsia"/>
                <w:color w:val="auto"/>
                <w:lang w:eastAsia="zh-CN"/>
              </w:rPr>
              <w:t>（</w:t>
            </w:r>
            <w:r>
              <w:rPr>
                <w:rFonts w:hint="eastAsia"/>
                <w:color w:val="auto"/>
                <w:lang w:val="en-US" w:eastAsia="zh-CN"/>
              </w:rPr>
              <w:t>北京时间</w:t>
            </w:r>
            <w:r>
              <w:rPr>
                <w:rFonts w:hint="eastAsia"/>
                <w:color w:val="auto"/>
                <w:lang w:eastAsia="zh-CN"/>
              </w:rPr>
              <w:t>）</w:t>
            </w:r>
          </w:p>
          <w:p>
            <w:pPr>
              <w:widowControl/>
              <w:spacing w:line="440" w:lineRule="exact"/>
              <w:rPr>
                <w:color w:val="auto"/>
              </w:rPr>
            </w:pPr>
            <w:r>
              <w:rPr>
                <w:rStyle w:val="41"/>
                <w:rFonts w:hint="eastAsia"/>
                <w:b/>
                <w:color w:val="auto"/>
                <w:szCs w:val="21"/>
                <w:u w:val="none"/>
              </w:rPr>
              <w:t>注意事项：</w:t>
            </w:r>
            <w:r>
              <w:rPr>
                <w:rStyle w:val="41"/>
                <w:rFonts w:hint="eastAsia"/>
                <w:bCs/>
                <w:color w:val="auto"/>
                <w:u w:val="none"/>
              </w:rPr>
              <w:t>供应商法定代表人或委托代理人须按时登录政采云远程开标大厅，保持全程在线并关注评审谈判进度，评审期间谈判小组提出澄清等要求时，供应商须在规定时间内进行在线应答，否则按采购文件或政采云平台的相关规定执行。</w:t>
            </w:r>
            <w:r>
              <w:rPr>
                <w:rFonts w:ascii="宋体" w:hAnsi="宋体" w:cs="宋体"/>
                <w:color w:val="auto"/>
                <w:kern w:val="0"/>
                <w:szCs w:val="21"/>
              </w:rPr>
              <w:fldChar w:fldCharType="end"/>
            </w:r>
          </w:p>
        </w:tc>
      </w:tr>
      <w:tr>
        <w:tblPrEx>
          <w:tblCellMar>
            <w:top w:w="0" w:type="dxa"/>
            <w:left w:w="108" w:type="dxa"/>
            <w:bottom w:w="0" w:type="dxa"/>
            <w:right w:w="108" w:type="dxa"/>
          </w:tblCellMar>
        </w:tblPrEx>
        <w:trPr>
          <w:trHeight w:val="2298"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rPr>
                <w:rFonts w:hint="eastAsia" w:ascii="宋体" w:hAnsi="宋体" w:cs="宋体"/>
                <w:color w:val="auto"/>
                <w:kern w:val="0"/>
                <w:szCs w:val="21"/>
              </w:rPr>
            </w:pPr>
            <w:r>
              <w:rPr>
                <w:rFonts w:hint="eastAsia" w:ascii="宋体" w:hAnsi="宋体" w:cs="宋体"/>
                <w:color w:val="auto"/>
                <w:kern w:val="0"/>
                <w:szCs w:val="21"/>
              </w:rPr>
              <w:t>5</w:t>
            </w:r>
          </w:p>
        </w:tc>
        <w:tc>
          <w:tcPr>
            <w:tcW w:w="8647" w:type="dxa"/>
            <w:tcBorders>
              <w:top w:val="single" w:color="000000" w:sz="4" w:space="0"/>
              <w:left w:val="nil"/>
              <w:bottom w:val="single" w:color="000000" w:sz="4" w:space="0"/>
              <w:right w:val="single" w:color="000000" w:sz="4" w:space="0"/>
            </w:tcBorders>
            <w:vAlign w:val="center"/>
          </w:tcPr>
          <w:p>
            <w:pPr>
              <w:spacing w:line="440" w:lineRule="exact"/>
              <w:rPr>
                <w:rStyle w:val="41"/>
                <w:color w:val="auto"/>
                <w:u w:val="none"/>
              </w:rPr>
            </w:pPr>
            <w:r>
              <w:rPr>
                <w:color w:val="auto"/>
              </w:rPr>
              <w:fldChar w:fldCharType="begin"/>
            </w:r>
            <w:r>
              <w:rPr>
                <w:color w:val="auto"/>
              </w:rPr>
              <w:instrText xml:space="preserve"> </w:instrText>
            </w:r>
            <w:r>
              <w:rPr>
                <w:rFonts w:hint="eastAsia"/>
                <w:color w:val="auto"/>
              </w:rPr>
              <w:instrText xml:space="preserve">HYPERLINK </w:instrText>
            </w:r>
            <w:r>
              <w:rPr>
                <w:color w:val="auto"/>
              </w:rPr>
              <w:instrText xml:space="preserve"> \l "</w:instrText>
            </w:r>
            <w:r>
              <w:rPr>
                <w:rFonts w:hint="eastAsia"/>
                <w:color w:val="auto"/>
              </w:rPr>
              <w:instrText xml:space="preserve">_五、评审与谈判</w:instrText>
            </w:r>
            <w:r>
              <w:rPr>
                <w:color w:val="auto"/>
              </w:rPr>
              <w:instrText xml:space="preserve">" </w:instrText>
            </w:r>
            <w:r>
              <w:rPr>
                <w:color w:val="auto"/>
              </w:rPr>
              <w:fldChar w:fldCharType="separate"/>
            </w:r>
            <w:r>
              <w:rPr>
                <w:rStyle w:val="41"/>
                <w:color w:val="auto"/>
                <w:u w:val="none"/>
              </w:rPr>
              <w:t>评审及谈判：</w:t>
            </w:r>
          </w:p>
          <w:p>
            <w:pPr>
              <w:spacing w:line="440" w:lineRule="exact"/>
              <w:rPr>
                <w:color w:val="auto"/>
              </w:rPr>
            </w:pPr>
            <w:r>
              <w:rPr>
                <w:rStyle w:val="41"/>
                <w:rFonts w:hint="eastAsia"/>
                <w:color w:val="auto"/>
                <w:u w:val="none"/>
              </w:rPr>
              <w:t>谈判小组从符合相应资格条件的供应商名单中确定不少于3家的供应商参加谈判，对参加谈判的供应商响应文件进行评审，并根据谈判文件规定的程序、评定成交的标准等事项与实质性响应谈判文件要求的供应商进行谈判。</w:t>
            </w:r>
            <w:r>
              <w:rPr>
                <w:color w:val="auto"/>
              </w:rPr>
              <w:fldChar w:fldCharType="end"/>
            </w:r>
          </w:p>
        </w:tc>
      </w:tr>
      <w:tr>
        <w:tblPrEx>
          <w:tblCellMar>
            <w:top w:w="0" w:type="dxa"/>
            <w:left w:w="108" w:type="dxa"/>
            <w:bottom w:w="0" w:type="dxa"/>
            <w:right w:w="108" w:type="dxa"/>
          </w:tblCellMar>
        </w:tblPrEx>
        <w:trPr>
          <w:trHeight w:val="979"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rPr>
                <w:rFonts w:hint="eastAsia" w:ascii="宋体" w:hAnsi="宋体" w:cs="宋体"/>
                <w:color w:val="auto"/>
                <w:kern w:val="0"/>
                <w:szCs w:val="21"/>
              </w:rPr>
            </w:pPr>
            <w:r>
              <w:rPr>
                <w:rFonts w:hint="eastAsia" w:ascii="宋体" w:hAnsi="宋体" w:cs="宋体"/>
                <w:color w:val="auto"/>
                <w:kern w:val="0"/>
                <w:szCs w:val="21"/>
              </w:rPr>
              <w:t>6</w:t>
            </w:r>
          </w:p>
        </w:tc>
        <w:tc>
          <w:tcPr>
            <w:tcW w:w="8647" w:type="dxa"/>
            <w:tcBorders>
              <w:top w:val="single" w:color="000000" w:sz="4" w:space="0"/>
              <w:left w:val="nil"/>
              <w:bottom w:val="single" w:color="000000" w:sz="4" w:space="0"/>
              <w:right w:val="single" w:color="000000" w:sz="4" w:space="0"/>
            </w:tcBorders>
            <w:vAlign w:val="center"/>
          </w:tcPr>
          <w:p>
            <w:pPr>
              <w:widowControl/>
              <w:spacing w:line="440" w:lineRule="exact"/>
              <w:rPr>
                <w:rFonts w:hint="eastAsia" w:ascii="宋体" w:hAnsi="宋体" w:cs="宋体"/>
                <w:color w:val="auto"/>
                <w:kern w:val="0"/>
                <w:szCs w:val="21"/>
              </w:rPr>
            </w:pPr>
            <w:r>
              <w:rPr>
                <w:color w:val="auto"/>
              </w:rPr>
              <w:fldChar w:fldCharType="begin"/>
            </w:r>
            <w:r>
              <w:rPr>
                <w:color w:val="auto"/>
              </w:rPr>
              <w:instrText xml:space="preserve"> HYPERLINK \l "_第四章__评定标准及推荐原则" </w:instrText>
            </w:r>
            <w:r>
              <w:rPr>
                <w:color w:val="auto"/>
              </w:rPr>
              <w:fldChar w:fldCharType="separate"/>
            </w:r>
            <w:r>
              <w:rPr>
                <w:rStyle w:val="41"/>
                <w:rFonts w:hint="eastAsia" w:ascii="宋体" w:hAnsi="宋体" w:cs="宋体"/>
                <w:color w:val="auto"/>
                <w:kern w:val="0"/>
                <w:szCs w:val="21"/>
                <w:u w:val="none"/>
              </w:rPr>
              <w:t>评定方法：</w:t>
            </w:r>
            <w:r>
              <w:rPr>
                <w:rStyle w:val="41"/>
                <w:rFonts w:hint="eastAsia"/>
                <w:color w:val="auto"/>
                <w:u w:val="none"/>
              </w:rPr>
              <w:t>详见第四章《评定标准及推荐原则》。</w:t>
            </w:r>
            <w:r>
              <w:rPr>
                <w:rStyle w:val="41"/>
                <w:rFonts w:hint="eastAsia"/>
                <w:color w:val="auto"/>
                <w:u w:val="none"/>
              </w:rPr>
              <w:fldChar w:fldCharType="end"/>
            </w:r>
          </w:p>
        </w:tc>
      </w:tr>
      <w:tr>
        <w:tblPrEx>
          <w:tblCellMar>
            <w:top w:w="0" w:type="dxa"/>
            <w:left w:w="108" w:type="dxa"/>
            <w:bottom w:w="0" w:type="dxa"/>
            <w:right w:w="108" w:type="dxa"/>
          </w:tblCellMar>
        </w:tblPrEx>
        <w:trPr>
          <w:trHeight w:val="1396"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rPr>
                <w:rFonts w:hint="eastAsia" w:ascii="宋体" w:hAnsi="宋体" w:cs="宋体"/>
                <w:color w:val="auto"/>
                <w:kern w:val="0"/>
                <w:szCs w:val="21"/>
              </w:rPr>
            </w:pPr>
            <w:r>
              <w:rPr>
                <w:rFonts w:hint="eastAsia" w:ascii="宋体" w:hAnsi="宋体" w:cs="宋体"/>
                <w:color w:val="auto"/>
                <w:kern w:val="0"/>
                <w:szCs w:val="21"/>
              </w:rPr>
              <w:t>7</w:t>
            </w:r>
          </w:p>
        </w:tc>
        <w:tc>
          <w:tcPr>
            <w:tcW w:w="8647" w:type="dxa"/>
            <w:tcBorders>
              <w:top w:val="single" w:color="000000" w:sz="4" w:space="0"/>
              <w:left w:val="nil"/>
              <w:bottom w:val="single" w:color="000000" w:sz="4" w:space="0"/>
              <w:right w:val="single" w:color="000000" w:sz="4" w:space="0"/>
            </w:tcBorders>
            <w:vAlign w:val="center"/>
          </w:tcPr>
          <w:p>
            <w:pPr>
              <w:widowControl/>
              <w:spacing w:line="440" w:lineRule="exact"/>
              <w:rPr>
                <w:rFonts w:hint="eastAsia" w:ascii="宋体" w:hAnsi="宋体" w:cs="宋体"/>
                <w:color w:val="auto"/>
                <w:kern w:val="0"/>
                <w:szCs w:val="21"/>
              </w:rPr>
            </w:pPr>
            <w:r>
              <w:rPr>
                <w:color w:val="auto"/>
              </w:rPr>
              <w:fldChar w:fldCharType="begin"/>
            </w:r>
            <w:r>
              <w:rPr>
                <w:color w:val="auto"/>
              </w:rPr>
              <w:instrText xml:space="preserve"> HYPERLINK \l "_十、其他事项" </w:instrText>
            </w:r>
            <w:r>
              <w:rPr>
                <w:color w:val="auto"/>
              </w:rPr>
              <w:fldChar w:fldCharType="separate"/>
            </w:r>
            <w:r>
              <w:rPr>
                <w:rStyle w:val="41"/>
                <w:rFonts w:hint="eastAsia" w:ascii="宋体" w:hAnsi="宋体" w:cs="宋体"/>
                <w:color w:val="auto"/>
                <w:kern w:val="0"/>
                <w:szCs w:val="21"/>
                <w:u w:val="none"/>
              </w:rPr>
              <w:t>代理服务费：按钦州市物价局“钦市价费﹝2013﹞4号”文件，以差额定率累进法计算。成交供应商须按成交金额缴纳相应的代理服务费。</w:t>
            </w:r>
            <w:r>
              <w:rPr>
                <w:rStyle w:val="41"/>
                <w:rFonts w:hint="eastAsia" w:ascii="宋体" w:hAnsi="宋体" w:cs="宋体"/>
                <w:color w:val="auto"/>
                <w:kern w:val="0"/>
                <w:szCs w:val="21"/>
                <w:u w:val="none"/>
              </w:rPr>
              <w:fldChar w:fldCharType="end"/>
            </w:r>
          </w:p>
        </w:tc>
      </w:tr>
    </w:tbl>
    <w:p>
      <w:pPr>
        <w:pStyle w:val="4"/>
        <w:jc w:val="center"/>
        <w:rPr>
          <w:color w:val="auto"/>
        </w:rPr>
      </w:pPr>
      <w:bookmarkStart w:id="47" w:name="_Toc420505403"/>
      <w:r>
        <w:rPr>
          <w:color w:val="auto"/>
        </w:rPr>
        <w:br w:type="page"/>
      </w:r>
    </w:p>
    <w:p>
      <w:pPr>
        <w:jc w:val="center"/>
        <w:rPr>
          <w:rFonts w:hint="eastAsia" w:ascii="黑体" w:hAnsi="黑体" w:eastAsia="黑体"/>
          <w:b/>
          <w:bCs/>
          <w:color w:val="auto"/>
          <w:sz w:val="32"/>
          <w:szCs w:val="32"/>
        </w:rPr>
      </w:pPr>
      <w:r>
        <w:rPr>
          <w:rFonts w:hint="eastAsia" w:ascii="黑体" w:hAnsi="黑体" w:eastAsia="黑体"/>
          <w:b/>
          <w:bCs/>
          <w:color w:val="auto"/>
          <w:sz w:val="32"/>
          <w:szCs w:val="32"/>
        </w:rPr>
        <w:t>二、供应商须知</w:t>
      </w:r>
      <w:bookmarkEnd w:id="47"/>
    </w:p>
    <w:p>
      <w:pPr>
        <w:pStyle w:val="4"/>
        <w:spacing w:line="420" w:lineRule="exact"/>
        <w:rPr>
          <w:color w:val="auto"/>
        </w:rPr>
      </w:pPr>
      <w:bookmarkStart w:id="48" w:name="_一、总_则"/>
      <w:bookmarkEnd w:id="48"/>
      <w:r>
        <w:rPr>
          <w:rFonts w:hint="eastAsia"/>
          <w:color w:val="auto"/>
        </w:rPr>
        <w:t>一、总　则</w:t>
      </w:r>
    </w:p>
    <w:p>
      <w:pPr>
        <w:spacing w:line="420" w:lineRule="exact"/>
        <w:ind w:firstLine="210" w:firstLineChars="100"/>
        <w:rPr>
          <w:rFonts w:hint="eastAsia" w:ascii="宋体" w:hAnsi="宋体"/>
          <w:color w:val="auto"/>
          <w:szCs w:val="21"/>
        </w:rPr>
      </w:pPr>
      <w:r>
        <w:rPr>
          <w:rFonts w:hint="eastAsia" w:ascii="宋体" w:hAnsi="宋体"/>
          <w:color w:val="auto"/>
          <w:szCs w:val="21"/>
        </w:rPr>
        <w:t>（一）适用范围</w:t>
      </w:r>
    </w:p>
    <w:p>
      <w:pPr>
        <w:spacing w:line="420" w:lineRule="exact"/>
        <w:ind w:right="-334" w:rightChars="-159" w:firstLine="420"/>
        <w:rPr>
          <w:rFonts w:hint="eastAsia" w:hAnsi="宋体" w:eastAsia="宋体"/>
          <w:color w:val="auto"/>
          <w:lang w:eastAsia="zh-CN"/>
        </w:rPr>
      </w:pPr>
      <w:r>
        <w:rPr>
          <w:rFonts w:hAnsi="宋体"/>
          <w:color w:val="auto"/>
        </w:rPr>
        <w:t>1.</w:t>
      </w:r>
      <w:r>
        <w:rPr>
          <w:rFonts w:hint="eastAsia" w:hAnsi="宋体"/>
          <w:color w:val="auto"/>
        </w:rPr>
        <w:t>项目名称：</w:t>
      </w:r>
      <w:r>
        <w:rPr>
          <w:rFonts w:hint="eastAsia" w:hAnsi="宋体"/>
          <w:color w:val="auto"/>
          <w:lang w:eastAsia="zh-CN"/>
        </w:rPr>
        <w:t>浦北县2024年支持义务教育薄弱环节与能力提升教学设备</w:t>
      </w:r>
    </w:p>
    <w:p>
      <w:pPr>
        <w:spacing w:line="420" w:lineRule="exact"/>
        <w:ind w:right="-334" w:rightChars="-159" w:firstLine="420"/>
        <w:rPr>
          <w:rFonts w:hint="eastAsia" w:hAnsi="宋体" w:eastAsia="宋体"/>
          <w:color w:val="auto"/>
          <w:lang w:eastAsia="zh-CN"/>
        </w:rPr>
      </w:pPr>
      <w:r>
        <w:rPr>
          <w:rFonts w:hAnsi="宋体"/>
          <w:color w:val="auto"/>
        </w:rPr>
        <w:t>2</w:t>
      </w:r>
      <w:r>
        <w:rPr>
          <w:rFonts w:hint="eastAsia" w:hAnsi="宋体"/>
          <w:color w:val="auto"/>
        </w:rPr>
        <w:t>.项目编号：</w:t>
      </w:r>
      <w:r>
        <w:rPr>
          <w:rFonts w:hint="eastAsia" w:hAnsi="宋体"/>
          <w:color w:val="auto"/>
          <w:lang w:eastAsia="zh-CN"/>
        </w:rPr>
        <w:t>QZZC2024-J1-220427-QZSZ</w:t>
      </w:r>
    </w:p>
    <w:p>
      <w:pPr>
        <w:spacing w:line="420" w:lineRule="exact"/>
        <w:ind w:right="-334" w:rightChars="-159" w:firstLine="420"/>
        <w:rPr>
          <w:color w:val="auto"/>
          <w:szCs w:val="21"/>
        </w:rPr>
      </w:pPr>
      <w:r>
        <w:rPr>
          <w:rFonts w:hint="eastAsia" w:hAnsi="宋体"/>
          <w:color w:val="auto"/>
        </w:rPr>
        <w:t>本文件仅适用于本文件中所叙述的货物、服务类政府采购项目。</w:t>
      </w:r>
    </w:p>
    <w:p>
      <w:pPr>
        <w:spacing w:line="420" w:lineRule="exact"/>
        <w:ind w:firstLine="210" w:firstLineChars="100"/>
        <w:rPr>
          <w:rFonts w:hint="eastAsia" w:ascii="宋体" w:hAnsi="宋体"/>
          <w:color w:val="auto"/>
          <w:szCs w:val="21"/>
        </w:rPr>
      </w:pPr>
      <w:r>
        <w:rPr>
          <w:rFonts w:hint="eastAsia" w:ascii="宋体" w:hAnsi="宋体"/>
          <w:color w:val="auto"/>
          <w:szCs w:val="21"/>
        </w:rPr>
        <w:t>（二）定义</w:t>
      </w:r>
    </w:p>
    <w:p>
      <w:pPr>
        <w:spacing w:line="420" w:lineRule="exact"/>
        <w:ind w:firstLine="420" w:firstLineChars="200"/>
        <w:rPr>
          <w:rFonts w:hint="eastAsia" w:ascii="宋体" w:hAnsi="宋体"/>
          <w:color w:val="auto"/>
          <w:szCs w:val="21"/>
        </w:rPr>
      </w:pPr>
      <w:r>
        <w:rPr>
          <w:rFonts w:ascii="宋体" w:hAnsi="宋体"/>
          <w:color w:val="auto"/>
          <w:szCs w:val="21"/>
        </w:rPr>
        <w:t>1.</w:t>
      </w:r>
      <w:r>
        <w:rPr>
          <w:rFonts w:hint="eastAsia" w:ascii="宋体" w:hAnsi="宋体"/>
          <w:color w:val="auto"/>
          <w:szCs w:val="21"/>
        </w:rPr>
        <w:t>“</w:t>
      </w:r>
      <w:r>
        <w:rPr>
          <w:rFonts w:ascii="宋体" w:hAnsi="宋体"/>
          <w:color w:val="auto"/>
          <w:szCs w:val="21"/>
        </w:rPr>
        <w:t>采购人</w:t>
      </w:r>
      <w:r>
        <w:rPr>
          <w:rFonts w:hint="eastAsia" w:ascii="宋体" w:hAnsi="宋体"/>
          <w:color w:val="auto"/>
          <w:szCs w:val="21"/>
        </w:rPr>
        <w:t>”</w:t>
      </w:r>
      <w:r>
        <w:rPr>
          <w:rFonts w:ascii="宋体" w:hAnsi="宋体"/>
          <w:color w:val="auto"/>
          <w:szCs w:val="21"/>
        </w:rPr>
        <w:t>是指依法进行政府采购的国家机关、事业单位、团体组织。</w:t>
      </w:r>
    </w:p>
    <w:p>
      <w:pPr>
        <w:spacing w:line="420" w:lineRule="exact"/>
        <w:ind w:firstLine="420" w:firstLineChars="200"/>
        <w:rPr>
          <w:rFonts w:hint="eastAsia" w:ascii="宋体" w:hAnsi="宋体"/>
          <w:color w:val="auto"/>
          <w:szCs w:val="21"/>
        </w:rPr>
      </w:pPr>
      <w:r>
        <w:rPr>
          <w:rFonts w:hint="eastAsia" w:ascii="宋体" w:hAnsi="宋体"/>
          <w:color w:val="auto"/>
          <w:szCs w:val="21"/>
        </w:rPr>
        <w:t>2.“供应商”是指响应本文件要求，参加谈判的法人或其他组织。如果该供应商在本次采购项目中成交,即成为“成交供应商”。</w:t>
      </w:r>
    </w:p>
    <w:p>
      <w:pPr>
        <w:spacing w:line="420" w:lineRule="exact"/>
        <w:ind w:firstLine="420" w:firstLineChars="200"/>
        <w:rPr>
          <w:rFonts w:hint="eastAsia" w:ascii="宋体" w:hAnsi="宋体"/>
          <w:color w:val="auto"/>
          <w:szCs w:val="21"/>
        </w:rPr>
      </w:pPr>
      <w:r>
        <w:rPr>
          <w:rFonts w:hint="eastAsia" w:ascii="宋体" w:hAnsi="宋体"/>
          <w:color w:val="auto"/>
          <w:szCs w:val="21"/>
        </w:rPr>
        <w:t>3</w:t>
      </w:r>
      <w:r>
        <w:rPr>
          <w:rFonts w:ascii="宋体" w:hAnsi="宋体"/>
          <w:color w:val="auto"/>
          <w:szCs w:val="21"/>
        </w:rPr>
        <w:t>.</w:t>
      </w:r>
      <w:r>
        <w:rPr>
          <w:rFonts w:hint="eastAsia" w:ascii="宋体" w:hAnsi="宋体"/>
          <w:color w:val="auto"/>
          <w:szCs w:val="21"/>
        </w:rPr>
        <w:t>“采购代理机构”是指</w:t>
      </w:r>
      <w:r>
        <w:rPr>
          <w:rFonts w:hint="eastAsia" w:ascii="宋体" w:hAnsi="宋体"/>
          <w:color w:val="auto"/>
        </w:rPr>
        <w:t>钦州市政府采购中心。</w:t>
      </w:r>
    </w:p>
    <w:p>
      <w:pPr>
        <w:spacing w:line="420" w:lineRule="exact"/>
        <w:ind w:firstLine="420" w:firstLineChars="200"/>
        <w:rPr>
          <w:rFonts w:hint="eastAsia" w:ascii="宋体" w:hAnsi="宋体"/>
          <w:color w:val="auto"/>
          <w:szCs w:val="21"/>
        </w:rPr>
      </w:pPr>
      <w:r>
        <w:rPr>
          <w:rFonts w:hint="eastAsia" w:ascii="宋体" w:hAnsi="宋体"/>
          <w:color w:val="auto"/>
          <w:szCs w:val="21"/>
        </w:rPr>
        <w:t>4</w:t>
      </w:r>
      <w:r>
        <w:rPr>
          <w:rFonts w:ascii="宋体" w:hAnsi="宋体"/>
          <w:color w:val="auto"/>
          <w:szCs w:val="21"/>
        </w:rPr>
        <w:t>.</w:t>
      </w:r>
      <w:r>
        <w:rPr>
          <w:rFonts w:hint="eastAsia" w:ascii="宋体" w:hAnsi="宋体"/>
          <w:color w:val="auto"/>
          <w:szCs w:val="21"/>
        </w:rPr>
        <w:t>“货物和服务”是指本次采购文件中所采购的各种形态和种类的产品以及其提供的服务。</w:t>
      </w:r>
    </w:p>
    <w:p>
      <w:pPr>
        <w:spacing w:line="420" w:lineRule="exact"/>
        <w:ind w:firstLine="420" w:firstLineChars="200"/>
        <w:rPr>
          <w:rFonts w:hint="eastAsia" w:ascii="宋体" w:hAnsi="宋体"/>
          <w:color w:val="auto"/>
          <w:szCs w:val="21"/>
        </w:rPr>
      </w:pPr>
      <w:r>
        <w:rPr>
          <w:rFonts w:hint="eastAsia" w:ascii="宋体" w:hAnsi="宋体"/>
          <w:color w:val="auto"/>
          <w:szCs w:val="21"/>
        </w:rPr>
        <w:t>5</w:t>
      </w:r>
      <w:r>
        <w:rPr>
          <w:rFonts w:ascii="宋体" w:hAnsi="宋体"/>
          <w:color w:val="auto"/>
          <w:szCs w:val="21"/>
        </w:rPr>
        <w:t>.</w:t>
      </w:r>
      <w:r>
        <w:rPr>
          <w:rFonts w:hint="eastAsia" w:ascii="宋体" w:hAnsi="宋体"/>
          <w:color w:val="auto"/>
          <w:szCs w:val="21"/>
        </w:rPr>
        <w:t>“竞争性谈判采购文件”是指采用竞争性谈判方式进行政府采购的指导文件，简称“谈判文件”或“采购文件”。</w:t>
      </w:r>
    </w:p>
    <w:p>
      <w:pPr>
        <w:spacing w:line="420" w:lineRule="exact"/>
        <w:ind w:firstLine="420" w:firstLineChars="200"/>
        <w:rPr>
          <w:rFonts w:hint="eastAsia" w:ascii="宋体" w:hAnsi="宋体"/>
          <w:color w:val="auto"/>
          <w:szCs w:val="21"/>
        </w:rPr>
      </w:pPr>
      <w:r>
        <w:rPr>
          <w:rFonts w:ascii="宋体" w:hAnsi="宋体"/>
          <w:color w:val="auto"/>
          <w:szCs w:val="21"/>
        </w:rPr>
        <w:t>6.</w:t>
      </w:r>
      <w:r>
        <w:rPr>
          <w:rFonts w:hint="eastAsia" w:ascii="宋体" w:hAnsi="宋体"/>
          <w:color w:val="auto"/>
          <w:szCs w:val="21"/>
        </w:rPr>
        <w:t>“响应文件”是指供应商根据采购文件要求，编制包含技术、服务和报价等所有内容的响应文件。</w:t>
      </w:r>
    </w:p>
    <w:p>
      <w:pPr>
        <w:spacing w:line="420" w:lineRule="exact"/>
        <w:ind w:firstLine="420" w:firstLineChars="200"/>
        <w:rPr>
          <w:rFonts w:hint="eastAsia" w:ascii="宋体" w:hAnsi="宋体"/>
          <w:color w:val="auto"/>
          <w:szCs w:val="21"/>
        </w:rPr>
      </w:pPr>
      <w:r>
        <w:rPr>
          <w:rFonts w:ascii="宋体" w:hAnsi="宋体"/>
          <w:color w:val="auto"/>
          <w:szCs w:val="21"/>
        </w:rPr>
        <w:t>7.</w:t>
      </w:r>
      <w:r>
        <w:rPr>
          <w:rFonts w:hint="eastAsia" w:ascii="宋体" w:hAnsi="宋体"/>
          <w:color w:val="auto"/>
          <w:szCs w:val="21"/>
        </w:rPr>
        <w:t>“书面形式”</w:t>
      </w:r>
      <w:r>
        <w:rPr>
          <w:rFonts w:ascii="Helvetica" w:hAnsi="Helvetica"/>
          <w:color w:val="auto"/>
          <w:szCs w:val="21"/>
          <w:shd w:val="clear" w:color="auto" w:fill="FFFFFF"/>
        </w:rPr>
        <w:t>是</w:t>
      </w:r>
      <w:r>
        <w:rPr>
          <w:rFonts w:hint="eastAsia" w:ascii="Helvetica" w:hAnsi="Helvetica"/>
          <w:color w:val="auto"/>
          <w:szCs w:val="21"/>
          <w:shd w:val="clear" w:color="auto" w:fill="FFFFFF"/>
        </w:rPr>
        <w:t>指</w:t>
      </w:r>
      <w:r>
        <w:rPr>
          <w:rFonts w:ascii="Helvetica" w:hAnsi="Helvetica"/>
          <w:color w:val="auto"/>
          <w:szCs w:val="21"/>
          <w:shd w:val="clear" w:color="auto" w:fill="FFFFFF"/>
        </w:rPr>
        <w:t>合同书、信件、电报、电传、传真等可以有形地表现所载内容的形式。</w:t>
      </w:r>
    </w:p>
    <w:p>
      <w:pPr>
        <w:spacing w:line="420" w:lineRule="exact"/>
        <w:ind w:firstLine="211" w:firstLineChars="100"/>
        <w:rPr>
          <w:rFonts w:hint="eastAsia" w:ascii="宋体" w:hAnsi="宋体"/>
          <w:b/>
          <w:color w:val="auto"/>
          <w:szCs w:val="21"/>
        </w:rPr>
      </w:pPr>
      <w:r>
        <w:rPr>
          <w:rFonts w:hint="eastAsia" w:ascii="宋体" w:hAnsi="宋体"/>
          <w:b/>
          <w:color w:val="auto"/>
          <w:szCs w:val="21"/>
        </w:rPr>
        <w:t>（三）供应商资格</w:t>
      </w:r>
    </w:p>
    <w:p>
      <w:pPr>
        <w:spacing w:line="420" w:lineRule="exact"/>
        <w:ind w:firstLine="420" w:firstLineChars="200"/>
        <w:rPr>
          <w:color w:val="auto"/>
        </w:rPr>
      </w:pPr>
      <w:r>
        <w:rPr>
          <w:rFonts w:hint="eastAsia"/>
          <w:color w:val="auto"/>
        </w:rPr>
        <w:t>1.满足《中华人民共和国政府采购法》第二十二条规定</w:t>
      </w:r>
    </w:p>
    <w:p>
      <w:pPr>
        <w:spacing w:line="420" w:lineRule="exact"/>
        <w:ind w:firstLine="420" w:firstLineChars="200"/>
        <w:rPr>
          <w:rFonts w:hint="eastAsia" w:eastAsia="宋体"/>
          <w:color w:val="auto"/>
          <w:lang w:val="en-US" w:eastAsia="zh-CN"/>
        </w:rPr>
      </w:pPr>
      <w:r>
        <w:rPr>
          <w:rFonts w:hint="eastAsia"/>
          <w:color w:val="auto"/>
        </w:rPr>
        <w:t>2.落实政府采购政策需满足的资格要求：</w:t>
      </w:r>
      <w:r>
        <w:rPr>
          <w:rFonts w:hint="eastAsia"/>
          <w:color w:val="auto"/>
          <w:lang w:val="en-US" w:eastAsia="zh-CN"/>
        </w:rPr>
        <w:t>无</w:t>
      </w:r>
    </w:p>
    <w:p>
      <w:pPr>
        <w:spacing w:line="420" w:lineRule="exact"/>
        <w:ind w:firstLine="420" w:firstLineChars="200"/>
        <w:rPr>
          <w:rFonts w:hint="eastAsia" w:eastAsia="宋体"/>
          <w:color w:val="auto"/>
          <w:lang w:val="en-US" w:eastAsia="zh-CN"/>
        </w:rPr>
      </w:pPr>
      <w:r>
        <w:rPr>
          <w:rFonts w:hint="eastAsia"/>
          <w:color w:val="auto"/>
        </w:rPr>
        <w:t>3.本项目的特定资格要求：</w:t>
      </w:r>
      <w:r>
        <w:rPr>
          <w:rFonts w:hint="eastAsia"/>
          <w:color w:val="auto"/>
          <w:lang w:val="en-US" w:eastAsia="zh-CN"/>
        </w:rPr>
        <w:t>无</w:t>
      </w:r>
    </w:p>
    <w:p>
      <w:pPr>
        <w:spacing w:line="420" w:lineRule="exact"/>
        <w:ind w:firstLine="422" w:firstLineChars="200"/>
        <w:rPr>
          <w:b/>
          <w:bCs/>
          <w:color w:val="auto"/>
        </w:rPr>
      </w:pPr>
      <w:r>
        <w:rPr>
          <w:rFonts w:hint="eastAsia"/>
          <w:b/>
          <w:bCs/>
          <w:color w:val="auto"/>
        </w:rPr>
        <w:t>（四）采购方式</w:t>
      </w:r>
    </w:p>
    <w:p>
      <w:pPr>
        <w:snapToGrid w:val="0"/>
        <w:spacing w:line="420" w:lineRule="exact"/>
        <w:ind w:firstLine="420" w:firstLineChars="200"/>
        <w:rPr>
          <w:rFonts w:hint="eastAsia" w:ascii="宋体" w:hAnsi="宋体"/>
          <w:color w:val="auto"/>
          <w:szCs w:val="21"/>
        </w:rPr>
      </w:pPr>
      <w:r>
        <w:rPr>
          <w:rFonts w:hint="eastAsia" w:ascii="宋体" w:hAnsi="宋体"/>
          <w:color w:val="auto"/>
          <w:szCs w:val="21"/>
        </w:rPr>
        <w:t>竞争性谈判</w:t>
      </w:r>
    </w:p>
    <w:p>
      <w:pPr>
        <w:spacing w:line="420" w:lineRule="exact"/>
        <w:ind w:firstLine="211" w:firstLineChars="100"/>
        <w:rPr>
          <w:b/>
          <w:bCs/>
          <w:color w:val="auto"/>
        </w:rPr>
      </w:pPr>
      <w:bookmarkStart w:id="49" w:name="_Toc352700410"/>
      <w:bookmarkStart w:id="50" w:name="_Toc254970530"/>
      <w:bookmarkStart w:id="51" w:name="_Toc353785281"/>
      <w:bookmarkStart w:id="52" w:name="_Toc254970671"/>
      <w:r>
        <w:rPr>
          <w:rFonts w:hint="eastAsia"/>
          <w:b/>
          <w:bCs/>
          <w:color w:val="auto"/>
        </w:rPr>
        <w:t>（五）代理委托</w:t>
      </w:r>
      <w:bookmarkEnd w:id="49"/>
      <w:bookmarkEnd w:id="50"/>
      <w:bookmarkEnd w:id="51"/>
      <w:bookmarkEnd w:id="52"/>
    </w:p>
    <w:p>
      <w:pPr>
        <w:snapToGrid w:val="0"/>
        <w:spacing w:line="420" w:lineRule="exact"/>
        <w:ind w:firstLine="420" w:firstLineChars="200"/>
        <w:rPr>
          <w:rFonts w:hint="eastAsia" w:ascii="宋体" w:hAnsi="宋体" w:cs="Courier New"/>
          <w:bCs/>
          <w:color w:val="auto"/>
          <w:szCs w:val="21"/>
        </w:rPr>
      </w:pPr>
      <w:r>
        <w:rPr>
          <w:rFonts w:hint="eastAsia" w:ascii="宋体" w:hAnsi="宋体" w:cs="Courier New"/>
          <w:bCs/>
          <w:color w:val="auto"/>
          <w:szCs w:val="21"/>
        </w:rPr>
        <w:t>委托谈判的供应商须提供授权委托书（格式见第六章）。</w:t>
      </w:r>
    </w:p>
    <w:p>
      <w:pPr>
        <w:spacing w:line="420" w:lineRule="exact"/>
        <w:ind w:firstLine="211" w:firstLineChars="100"/>
        <w:rPr>
          <w:b/>
          <w:bCs/>
          <w:color w:val="auto"/>
        </w:rPr>
      </w:pPr>
      <w:bookmarkStart w:id="53" w:name="_Toc254970531"/>
      <w:bookmarkStart w:id="54" w:name="_Toc353785282"/>
      <w:bookmarkStart w:id="55" w:name="_Toc254970672"/>
      <w:bookmarkStart w:id="56" w:name="_Toc352700411"/>
      <w:r>
        <w:rPr>
          <w:rFonts w:hint="eastAsia"/>
          <w:b/>
          <w:bCs/>
          <w:color w:val="auto"/>
        </w:rPr>
        <w:t>（六）谈判费用</w:t>
      </w:r>
      <w:bookmarkEnd w:id="53"/>
      <w:bookmarkEnd w:id="54"/>
      <w:bookmarkEnd w:id="55"/>
      <w:bookmarkEnd w:id="56"/>
    </w:p>
    <w:p>
      <w:pPr>
        <w:snapToGrid w:val="0"/>
        <w:spacing w:line="420" w:lineRule="exact"/>
        <w:ind w:firstLine="420" w:firstLineChars="200"/>
        <w:rPr>
          <w:rFonts w:hint="eastAsia" w:ascii="宋体" w:hAnsi="宋体"/>
          <w:color w:val="auto"/>
          <w:szCs w:val="21"/>
        </w:rPr>
      </w:pPr>
      <w:r>
        <w:rPr>
          <w:rFonts w:hint="eastAsia" w:ascii="宋体" w:hAnsi="宋体"/>
          <w:color w:val="auto"/>
          <w:szCs w:val="21"/>
        </w:rPr>
        <w:t>供应商自行承担所有与谈判有关的全部费用。</w:t>
      </w:r>
    </w:p>
    <w:p>
      <w:pPr>
        <w:spacing w:line="420" w:lineRule="exact"/>
        <w:ind w:firstLine="211" w:firstLineChars="100"/>
        <w:rPr>
          <w:b/>
          <w:bCs/>
          <w:color w:val="auto"/>
        </w:rPr>
      </w:pPr>
      <w:bookmarkStart w:id="57" w:name="_Toc352700413"/>
      <w:bookmarkStart w:id="58" w:name="_Toc353785283"/>
      <w:r>
        <w:rPr>
          <w:rFonts w:hint="eastAsia"/>
          <w:b/>
          <w:bCs/>
          <w:color w:val="auto"/>
        </w:rPr>
        <w:t>（七）转包与分包</w:t>
      </w:r>
      <w:bookmarkEnd w:id="57"/>
      <w:bookmarkEnd w:id="58"/>
    </w:p>
    <w:p>
      <w:pPr>
        <w:snapToGrid w:val="0"/>
        <w:spacing w:line="420" w:lineRule="exact"/>
        <w:ind w:firstLine="420" w:firstLineChars="200"/>
        <w:rPr>
          <w:rFonts w:hint="eastAsia" w:ascii="宋体" w:hAnsi="宋体" w:cs="宋体"/>
          <w:color w:val="auto"/>
          <w:kern w:val="0"/>
          <w:szCs w:val="21"/>
        </w:rPr>
      </w:pPr>
      <w:r>
        <w:rPr>
          <w:rFonts w:ascii="宋体" w:hAnsi="宋体" w:cs="宋体"/>
          <w:color w:val="auto"/>
          <w:kern w:val="0"/>
          <w:szCs w:val="21"/>
        </w:rPr>
        <w:t>1.</w:t>
      </w:r>
      <w:r>
        <w:rPr>
          <w:rFonts w:hint="eastAsia" w:ascii="宋体" w:hAnsi="宋体" w:cs="宋体"/>
          <w:color w:val="auto"/>
          <w:kern w:val="0"/>
          <w:szCs w:val="21"/>
        </w:rPr>
        <w:t>本项目不允许转包。</w:t>
      </w:r>
    </w:p>
    <w:p>
      <w:pPr>
        <w:snapToGrid w:val="0"/>
        <w:spacing w:line="420" w:lineRule="exact"/>
        <w:ind w:firstLine="420" w:firstLineChars="200"/>
        <w:rPr>
          <w:rFonts w:hint="eastAsia" w:ascii="宋体" w:hAnsi="宋体" w:cs="宋体"/>
          <w:color w:val="auto"/>
          <w:kern w:val="0"/>
          <w:szCs w:val="21"/>
        </w:rPr>
      </w:pPr>
      <w:r>
        <w:rPr>
          <w:rFonts w:ascii="宋体" w:hAnsi="宋体" w:cs="宋体"/>
          <w:color w:val="auto"/>
          <w:kern w:val="0"/>
          <w:szCs w:val="21"/>
        </w:rPr>
        <w:t>2.</w:t>
      </w:r>
      <w:r>
        <w:rPr>
          <w:rFonts w:hint="eastAsia" w:ascii="宋体" w:hAnsi="宋体" w:cs="宋体"/>
          <w:color w:val="auto"/>
          <w:kern w:val="0"/>
          <w:szCs w:val="21"/>
        </w:rPr>
        <w:t>采购人允许采用分包方式履行合同的，应当在采购文件中明确可以分包履行的具体内容、金额或者比例。</w:t>
      </w:r>
    </w:p>
    <w:p>
      <w:pPr>
        <w:snapToGrid w:val="0"/>
        <w:spacing w:line="420" w:lineRule="exact"/>
        <w:ind w:firstLine="420" w:firstLineChars="200"/>
        <w:rPr>
          <w:rFonts w:hint="eastAsia" w:ascii="宋体" w:hAnsi="宋体" w:cs="宋体"/>
          <w:color w:val="auto"/>
          <w:kern w:val="0"/>
          <w:szCs w:val="21"/>
        </w:rPr>
      </w:pPr>
      <w:r>
        <w:rPr>
          <w:rFonts w:ascii="宋体" w:hAnsi="宋体" w:cs="宋体"/>
          <w:color w:val="auto"/>
          <w:kern w:val="0"/>
          <w:szCs w:val="21"/>
        </w:rPr>
        <w:t>3.</w:t>
      </w:r>
      <w:r>
        <w:rPr>
          <w:rFonts w:hint="eastAsia" w:ascii="宋体" w:hAnsi="宋体" w:cs="宋体"/>
          <w:color w:val="auto"/>
          <w:kern w:val="0"/>
          <w:szCs w:val="21"/>
        </w:rPr>
        <w:t>依据《政府采购促进中小企业发展管理办法》规定享受扶持政策获得政府采购合同的，小微企业不得将合同分包给大中型企业，中型企业不得将合同分包给大型企业。</w:t>
      </w:r>
    </w:p>
    <w:p>
      <w:pPr>
        <w:spacing w:line="420" w:lineRule="exact"/>
        <w:ind w:firstLine="211" w:firstLineChars="100"/>
        <w:rPr>
          <w:b/>
          <w:bCs/>
          <w:color w:val="auto"/>
        </w:rPr>
      </w:pPr>
      <w:bookmarkStart w:id="59" w:name="_Toc254970532"/>
      <w:bookmarkStart w:id="60" w:name="_Toc352700414"/>
      <w:bookmarkStart w:id="61" w:name="_Toc353785284"/>
      <w:bookmarkStart w:id="62" w:name="_Toc254970673"/>
      <w:r>
        <w:rPr>
          <w:rFonts w:hint="eastAsia"/>
          <w:b/>
          <w:bCs/>
          <w:color w:val="auto"/>
        </w:rPr>
        <w:t>（八）特别说明</w:t>
      </w:r>
      <w:bookmarkEnd w:id="59"/>
      <w:bookmarkEnd w:id="60"/>
      <w:bookmarkEnd w:id="61"/>
      <w:bookmarkEnd w:id="62"/>
    </w:p>
    <w:p>
      <w:pPr>
        <w:pStyle w:val="20"/>
        <w:snapToGrid w:val="0"/>
        <w:spacing w:line="420" w:lineRule="exact"/>
        <w:ind w:firstLine="420"/>
        <w:rPr>
          <w:rFonts w:hint="eastAsia" w:hAnsi="宋体"/>
          <w:color w:val="auto"/>
        </w:rPr>
      </w:pPr>
      <w:r>
        <w:rPr>
          <w:rFonts w:hAnsi="宋体"/>
          <w:color w:val="auto"/>
        </w:rPr>
        <w:t>1.</w:t>
      </w:r>
      <w:r>
        <w:rPr>
          <w:rFonts w:hint="eastAsia" w:hAnsi="宋体"/>
          <w:color w:val="auto"/>
        </w:rPr>
        <w:t>单位负责人为同一人或者存在直接控股、管理关系的不同的供应商，不得参加同一合同项下的政府采购活动，否则其响应文件将被视为无效。为采购项目提供整体设计、规范编制或者项目管理、监理、检测等服务的供应商，不得再参加该采购项目的其他采购活动。</w:t>
      </w:r>
    </w:p>
    <w:p>
      <w:pPr>
        <w:pStyle w:val="20"/>
        <w:snapToGrid w:val="0"/>
        <w:spacing w:line="420" w:lineRule="exact"/>
        <w:ind w:firstLine="420"/>
        <w:rPr>
          <w:rFonts w:hint="eastAsia" w:hAnsi="宋体"/>
          <w:color w:val="auto"/>
        </w:rPr>
      </w:pPr>
      <w:r>
        <w:rPr>
          <w:rFonts w:hAnsi="宋体"/>
          <w:color w:val="auto"/>
        </w:rPr>
        <w:t>2.</w:t>
      </w:r>
      <w:r>
        <w:rPr>
          <w:rFonts w:hint="eastAsia" w:hAnsi="宋体"/>
          <w:color w:val="auto"/>
        </w:rPr>
        <w:t>公开招标的货物、服务采购项目，招标过程中提交投标文件或者经评审实质性响应招标文件要求的供应商只有两家时，采购人、采购代理机构按照规定经本级财政部门批准后可以与该两家供应商进行竞争性谈判采购。符合本款情形的，供应商最低数量可以为两家。</w:t>
      </w:r>
    </w:p>
    <w:p>
      <w:pPr>
        <w:spacing w:line="420" w:lineRule="exact"/>
        <w:ind w:firstLine="211" w:firstLineChars="100"/>
        <w:rPr>
          <w:b/>
          <w:bCs/>
          <w:color w:val="auto"/>
        </w:rPr>
      </w:pPr>
      <w:bookmarkStart w:id="63" w:name="_Toc353785285"/>
      <w:bookmarkStart w:id="64" w:name="_Toc352700415"/>
      <w:bookmarkStart w:id="65" w:name="_Toc254970533"/>
      <w:bookmarkStart w:id="66" w:name="_Toc254970674"/>
      <w:r>
        <w:rPr>
          <w:rFonts w:hint="eastAsia"/>
          <w:b/>
          <w:bCs/>
          <w:color w:val="auto"/>
        </w:rPr>
        <w:t>（九）询问、质疑和投诉</w:t>
      </w:r>
      <w:bookmarkEnd w:id="63"/>
      <w:bookmarkEnd w:id="64"/>
      <w:bookmarkEnd w:id="65"/>
      <w:bookmarkEnd w:id="66"/>
    </w:p>
    <w:p>
      <w:pPr>
        <w:pStyle w:val="20"/>
        <w:snapToGrid w:val="0"/>
        <w:spacing w:line="420" w:lineRule="exact"/>
        <w:ind w:firstLine="420"/>
        <w:rPr>
          <w:rFonts w:hint="eastAsia" w:hAnsi="宋体"/>
          <w:bCs/>
          <w:color w:val="auto"/>
        </w:rPr>
      </w:pPr>
      <w:r>
        <w:rPr>
          <w:rFonts w:hAnsi="宋体"/>
          <w:bCs/>
          <w:color w:val="auto"/>
        </w:rPr>
        <w:t>1.</w:t>
      </w:r>
      <w:r>
        <w:rPr>
          <w:rFonts w:hint="eastAsia" w:ascii="Arial" w:hAnsi="Arial" w:cs="Arial"/>
          <w:color w:val="auto"/>
          <w:kern w:val="0"/>
        </w:rPr>
        <w:t>供应商</w:t>
      </w:r>
      <w:r>
        <w:rPr>
          <w:rFonts w:ascii="Arial" w:hAnsi="Arial" w:cs="Arial"/>
          <w:color w:val="auto"/>
          <w:kern w:val="0"/>
        </w:rPr>
        <w:t>对政府采购活动事项有疑问的，可以向采购人</w:t>
      </w:r>
      <w:r>
        <w:rPr>
          <w:rFonts w:hint="eastAsia" w:ascii="Arial" w:hAnsi="Arial" w:cs="Arial"/>
          <w:color w:val="auto"/>
          <w:kern w:val="0"/>
        </w:rPr>
        <w:t>或本中心</w:t>
      </w:r>
      <w:r>
        <w:rPr>
          <w:rFonts w:ascii="Arial" w:hAnsi="Arial" w:cs="Arial"/>
          <w:color w:val="auto"/>
          <w:kern w:val="0"/>
        </w:rPr>
        <w:t>提出询问，采购人</w:t>
      </w:r>
      <w:r>
        <w:rPr>
          <w:rFonts w:hint="eastAsia" w:ascii="Arial" w:hAnsi="Arial" w:cs="Arial"/>
          <w:color w:val="auto"/>
          <w:kern w:val="0"/>
        </w:rPr>
        <w:t>或本中心当在3个工作日内对供应商依法提出的询问作出答复</w:t>
      </w:r>
      <w:r>
        <w:rPr>
          <w:rFonts w:ascii="Arial" w:hAnsi="Arial" w:cs="Arial"/>
          <w:color w:val="auto"/>
          <w:kern w:val="0"/>
        </w:rPr>
        <w:t>，但答复的内容不得涉及商业秘密。</w:t>
      </w:r>
    </w:p>
    <w:p>
      <w:pPr>
        <w:pStyle w:val="20"/>
        <w:snapToGrid w:val="0"/>
        <w:spacing w:line="420" w:lineRule="exact"/>
        <w:ind w:firstLine="420"/>
        <w:rPr>
          <w:rFonts w:hint="eastAsia" w:hAnsi="宋体"/>
          <w:bCs/>
          <w:color w:val="auto"/>
        </w:rPr>
      </w:pPr>
      <w:r>
        <w:rPr>
          <w:rFonts w:hAnsi="宋体"/>
          <w:bCs/>
          <w:color w:val="auto"/>
        </w:rPr>
        <w:t>2.</w:t>
      </w:r>
      <w:r>
        <w:rPr>
          <w:rFonts w:hint="eastAsia" w:hAnsi="宋体"/>
          <w:bCs/>
          <w:color w:val="auto"/>
        </w:rPr>
        <w:t>供应商认为采购文件、采购过程或成交结果使自己的合法权益受到损害的，</w:t>
      </w:r>
      <w:r>
        <w:rPr>
          <w:rFonts w:hAnsi="宋体"/>
          <w:bCs/>
          <w:color w:val="auto"/>
        </w:rPr>
        <w:t>可以在知道或者应知其权益受到损害之日起7个工作日内</w:t>
      </w:r>
      <w:r>
        <w:rPr>
          <w:rFonts w:hint="eastAsia" w:hAnsi="宋体"/>
          <w:bCs/>
          <w:color w:val="auto"/>
        </w:rPr>
        <w:t>，</w:t>
      </w:r>
      <w:r>
        <w:rPr>
          <w:rFonts w:cs="Arial"/>
          <w:color w:val="auto"/>
        </w:rPr>
        <w:t>以书面形式</w:t>
      </w:r>
      <w:r>
        <w:rPr>
          <w:rFonts w:hint="eastAsia" w:cs="Arial"/>
          <w:color w:val="auto"/>
        </w:rPr>
        <w:t>（政采云平台）</w:t>
      </w:r>
      <w:r>
        <w:rPr>
          <w:rFonts w:cs="Arial"/>
          <w:color w:val="auto"/>
        </w:rPr>
        <w:t>向采购人、</w:t>
      </w:r>
      <w:r>
        <w:rPr>
          <w:rFonts w:hint="eastAsia" w:cs="Arial"/>
          <w:color w:val="auto"/>
        </w:rPr>
        <w:t>本中心</w:t>
      </w:r>
      <w:r>
        <w:rPr>
          <w:rFonts w:cs="Arial"/>
          <w:color w:val="auto"/>
        </w:rPr>
        <w:t>提出质疑。</w:t>
      </w:r>
      <w:r>
        <w:rPr>
          <w:rFonts w:hint="eastAsia" w:hAnsi="宋体"/>
          <w:bCs/>
          <w:color w:val="auto"/>
        </w:rPr>
        <w:t>供应商必须在法定质疑期内一次性提出针对同一采购程序环节的质疑。</w:t>
      </w:r>
      <w:r>
        <w:rPr>
          <w:rFonts w:hint="eastAsia" w:hAnsi="宋体" w:cs="宋体"/>
          <w:color w:val="auto"/>
        </w:rPr>
        <w:t>供应商应知其权益受到损害之日，是指：</w:t>
      </w:r>
    </w:p>
    <w:p>
      <w:pPr>
        <w:pStyle w:val="20"/>
        <w:adjustRightInd w:val="0"/>
        <w:snapToGrid w:val="0"/>
        <w:spacing w:line="420" w:lineRule="exact"/>
        <w:ind w:firstLine="308" w:firstLineChars="147"/>
        <w:rPr>
          <w:rFonts w:hint="eastAsia" w:hAnsi="宋体"/>
          <w:bCs/>
          <w:color w:val="auto"/>
        </w:rPr>
      </w:pPr>
      <w:r>
        <w:rPr>
          <w:rFonts w:hint="eastAsia" w:hAnsi="宋体"/>
          <w:bCs/>
          <w:color w:val="auto"/>
        </w:rPr>
        <w:t>(</w:t>
      </w:r>
      <w:r>
        <w:rPr>
          <w:rFonts w:hAnsi="宋体"/>
          <w:bCs/>
          <w:color w:val="auto"/>
        </w:rPr>
        <w:t>1)</w:t>
      </w:r>
      <w:r>
        <w:rPr>
          <w:rFonts w:hint="eastAsia" w:hAnsi="宋体"/>
          <w:bCs/>
          <w:color w:val="auto"/>
        </w:rPr>
        <w:t>对采购文件提出质疑的，为获取采购文件之日；</w:t>
      </w:r>
    </w:p>
    <w:p>
      <w:pPr>
        <w:pStyle w:val="20"/>
        <w:adjustRightInd w:val="0"/>
        <w:snapToGrid w:val="0"/>
        <w:spacing w:line="420" w:lineRule="exact"/>
        <w:ind w:firstLine="308" w:firstLineChars="147"/>
        <w:rPr>
          <w:rFonts w:hint="eastAsia" w:hAnsi="宋体"/>
          <w:bCs/>
          <w:color w:val="auto"/>
        </w:rPr>
      </w:pPr>
      <w:r>
        <w:rPr>
          <w:rFonts w:hint="eastAsia" w:hAnsi="宋体"/>
          <w:bCs/>
          <w:color w:val="auto"/>
        </w:rPr>
        <w:t>(</w:t>
      </w:r>
      <w:r>
        <w:rPr>
          <w:rFonts w:hAnsi="宋体"/>
          <w:bCs/>
          <w:color w:val="auto"/>
        </w:rPr>
        <w:t>2)</w:t>
      </w:r>
      <w:r>
        <w:rPr>
          <w:rFonts w:hint="eastAsia" w:hAnsi="宋体"/>
          <w:bCs/>
          <w:color w:val="auto"/>
        </w:rPr>
        <w:t>对采购过程提出质疑的，为各采购程序环节结束之日；</w:t>
      </w:r>
    </w:p>
    <w:p>
      <w:pPr>
        <w:widowControl/>
        <w:adjustRightInd w:val="0"/>
        <w:snapToGrid w:val="0"/>
        <w:spacing w:line="420" w:lineRule="exact"/>
        <w:ind w:firstLine="102" w:firstLineChars="49"/>
        <w:jc w:val="left"/>
        <w:rPr>
          <w:rFonts w:hint="eastAsia" w:ascii="宋体" w:hAnsi="宋体" w:cs="Courier New"/>
          <w:bCs/>
          <w:color w:val="auto"/>
          <w:szCs w:val="21"/>
        </w:rPr>
      </w:pPr>
      <w:r>
        <w:rPr>
          <w:rFonts w:hint="eastAsia" w:ascii="宋体" w:hAnsi="宋体" w:cs="Courier New"/>
          <w:bCs/>
          <w:color w:val="auto"/>
          <w:szCs w:val="21"/>
        </w:rPr>
        <w:t xml:space="preserve">  (</w:t>
      </w:r>
      <w:r>
        <w:rPr>
          <w:rFonts w:ascii="宋体" w:hAnsi="宋体" w:cs="Courier New"/>
          <w:bCs/>
          <w:color w:val="auto"/>
          <w:szCs w:val="21"/>
        </w:rPr>
        <w:t>3)</w:t>
      </w:r>
      <w:r>
        <w:rPr>
          <w:rFonts w:hint="eastAsia" w:ascii="宋体" w:hAnsi="宋体" w:cs="Courier New"/>
          <w:bCs/>
          <w:color w:val="auto"/>
          <w:szCs w:val="21"/>
        </w:rPr>
        <w:t>对成交结果提出质疑的，为成交结果公告期限届满之日。</w:t>
      </w:r>
    </w:p>
    <w:p>
      <w:pPr>
        <w:widowControl/>
        <w:adjustRightInd w:val="0"/>
        <w:snapToGrid w:val="0"/>
        <w:spacing w:line="420" w:lineRule="exact"/>
        <w:ind w:firstLine="420"/>
        <w:jc w:val="left"/>
        <w:rPr>
          <w:rFonts w:hint="eastAsia" w:ascii="宋体" w:hAnsi="宋体" w:cs="Courier New"/>
          <w:bCs/>
          <w:color w:val="auto"/>
          <w:szCs w:val="21"/>
        </w:rPr>
      </w:pPr>
      <w:r>
        <w:rPr>
          <w:rFonts w:ascii="宋体" w:hAnsi="宋体" w:cs="Courier New"/>
          <w:bCs/>
          <w:color w:val="auto"/>
          <w:szCs w:val="21"/>
        </w:rPr>
        <w:t>3.</w:t>
      </w:r>
      <w:r>
        <w:rPr>
          <w:rFonts w:hint="eastAsia" w:hAnsi="宋体"/>
          <w:color w:val="auto"/>
        </w:rPr>
        <w:t>供应商对采购人、本中心质疑答复不满意或者采购人、本中心未在规定时间内作出答复的，可以在答复期满后十五个工作日内向同级采购监管部门投诉。</w:t>
      </w:r>
    </w:p>
    <w:p>
      <w:pPr>
        <w:pStyle w:val="20"/>
        <w:snapToGrid w:val="0"/>
        <w:spacing w:line="420" w:lineRule="exact"/>
        <w:ind w:firstLine="420"/>
        <w:rPr>
          <w:rFonts w:hint="eastAsia" w:hAnsi="宋体"/>
          <w:bCs/>
          <w:color w:val="auto"/>
        </w:rPr>
      </w:pPr>
      <w:r>
        <w:rPr>
          <w:rFonts w:hAnsi="宋体"/>
          <w:bCs/>
          <w:color w:val="auto"/>
        </w:rPr>
        <w:t>4.</w:t>
      </w:r>
      <w:r>
        <w:rPr>
          <w:rFonts w:hint="eastAsia" w:hAnsi="宋体"/>
          <w:bCs/>
          <w:color w:val="auto"/>
        </w:rPr>
        <w:t>质疑、投诉应当采用书面形式，质疑书、投诉书均应明确阐述采购文件、采购过程或成交结果中使自己合法权益受到损害的实质性内容，提供相关事实、依据和证据及其来源或线索，便于有关单位调查、答复和处理。（质疑、投诉不接受传真形式）</w:t>
      </w:r>
    </w:p>
    <w:p>
      <w:pPr>
        <w:spacing w:line="420" w:lineRule="exact"/>
        <w:ind w:firstLine="420"/>
        <w:rPr>
          <w:color w:val="auto"/>
        </w:rPr>
      </w:pPr>
      <w:r>
        <w:rPr>
          <w:rFonts w:hint="eastAsia"/>
          <w:color w:val="auto"/>
        </w:rPr>
        <w:t>质疑部门联系方式：钦州市政府采购中心    0777-288600</w:t>
      </w:r>
      <w:r>
        <w:rPr>
          <w:color w:val="auto"/>
        </w:rPr>
        <w:t>2</w:t>
      </w:r>
    </w:p>
    <w:p>
      <w:pPr>
        <w:spacing w:line="420" w:lineRule="exact"/>
        <w:ind w:firstLine="420"/>
        <w:rPr>
          <w:color w:val="auto"/>
        </w:rPr>
      </w:pPr>
      <w:r>
        <w:rPr>
          <w:rFonts w:hint="eastAsia"/>
          <w:color w:val="auto"/>
        </w:rPr>
        <w:t>采购监管部门联系方式：</w:t>
      </w:r>
      <w:r>
        <w:rPr>
          <w:rFonts w:hint="eastAsia"/>
          <w:color w:val="auto"/>
          <w:lang w:val="en-US" w:eastAsia="zh-CN"/>
        </w:rPr>
        <w:t>浦北县</w:t>
      </w:r>
      <w:r>
        <w:rPr>
          <w:rFonts w:hint="eastAsia"/>
          <w:color w:val="auto"/>
        </w:rPr>
        <w:t>财政局      0777-8314622</w:t>
      </w:r>
    </w:p>
    <w:p>
      <w:pPr>
        <w:spacing w:line="400" w:lineRule="exact"/>
        <w:ind w:firstLine="211" w:firstLineChars="100"/>
        <w:rPr>
          <w:b/>
          <w:bCs/>
          <w:color w:val="auto"/>
        </w:rPr>
      </w:pPr>
      <w:r>
        <w:rPr>
          <w:rFonts w:hint="eastAsia"/>
          <w:b/>
          <w:bCs/>
          <w:color w:val="auto"/>
        </w:rPr>
        <w:t xml:space="preserve">（十）查询媒体 </w:t>
      </w:r>
      <w:r>
        <w:rPr>
          <w:rFonts w:hint="eastAsia" w:hAnsi="宋体"/>
          <w:color w:val="auto"/>
        </w:rPr>
        <w:t>中国政府采购网、</w:t>
      </w:r>
      <w:r>
        <w:rPr>
          <w:color w:val="auto"/>
        </w:rPr>
        <w:fldChar w:fldCharType="begin"/>
      </w:r>
      <w:r>
        <w:rPr>
          <w:color w:val="auto"/>
        </w:rPr>
        <w:instrText xml:space="preserve"> HYPERLINK "http://zfcg.gxzf.gov.cn/" </w:instrText>
      </w:r>
      <w:r>
        <w:rPr>
          <w:color w:val="auto"/>
        </w:rPr>
        <w:fldChar w:fldCharType="separate"/>
      </w:r>
      <w:r>
        <w:rPr>
          <w:rStyle w:val="41"/>
          <w:rFonts w:hint="eastAsia" w:hAnsi="宋体"/>
          <w:color w:val="auto"/>
          <w:u w:val="none"/>
        </w:rPr>
        <w:t>广西政府采购网</w:t>
      </w:r>
      <w:r>
        <w:rPr>
          <w:rStyle w:val="41"/>
          <w:rFonts w:hint="eastAsia" w:hAnsi="宋体"/>
          <w:color w:val="auto"/>
          <w:u w:val="none"/>
        </w:rPr>
        <w:fldChar w:fldCharType="end"/>
      </w:r>
      <w:r>
        <w:rPr>
          <w:rFonts w:hint="eastAsia" w:hAnsi="宋体"/>
          <w:color w:val="auto"/>
        </w:rPr>
        <w:t>。</w:t>
      </w:r>
    </w:p>
    <w:p>
      <w:pPr>
        <w:pStyle w:val="4"/>
        <w:spacing w:line="420" w:lineRule="exact"/>
        <w:rPr>
          <w:color w:val="auto"/>
        </w:rPr>
      </w:pPr>
      <w:bookmarkStart w:id="67" w:name="_Toc352700416"/>
      <w:bookmarkStart w:id="68" w:name="_Toc353785286"/>
      <w:r>
        <w:rPr>
          <w:rFonts w:hint="eastAsia"/>
          <w:color w:val="auto"/>
        </w:rPr>
        <w:t>二、竞争性谈判采购文件</w:t>
      </w:r>
      <w:bookmarkEnd w:id="67"/>
      <w:bookmarkEnd w:id="68"/>
    </w:p>
    <w:p>
      <w:pPr>
        <w:spacing w:line="420" w:lineRule="exact"/>
        <w:ind w:firstLine="211" w:firstLineChars="100"/>
        <w:rPr>
          <w:b/>
          <w:bCs/>
          <w:color w:val="auto"/>
        </w:rPr>
      </w:pPr>
      <w:bookmarkStart w:id="69" w:name="_Toc353785287"/>
      <w:bookmarkStart w:id="70" w:name="_Toc352700417"/>
      <w:r>
        <w:rPr>
          <w:rFonts w:hint="eastAsia"/>
          <w:b/>
          <w:bCs/>
          <w:color w:val="auto"/>
        </w:rPr>
        <w:t>（一）竞争性谈判采购文件的组成</w:t>
      </w:r>
      <w:bookmarkEnd w:id="69"/>
      <w:bookmarkEnd w:id="70"/>
    </w:p>
    <w:p>
      <w:pPr>
        <w:pStyle w:val="20"/>
        <w:snapToGrid w:val="0"/>
        <w:spacing w:line="420" w:lineRule="exact"/>
        <w:ind w:firstLine="420" w:firstLineChars="200"/>
        <w:rPr>
          <w:rFonts w:hint="eastAsia" w:hAnsi="宋体"/>
          <w:color w:val="auto"/>
        </w:rPr>
      </w:pPr>
      <w:r>
        <w:rPr>
          <w:rFonts w:hint="eastAsia" w:hAnsi="宋体"/>
          <w:color w:val="auto"/>
        </w:rPr>
        <w:t>第一章 竞争性谈判公告</w:t>
      </w:r>
    </w:p>
    <w:p>
      <w:pPr>
        <w:pStyle w:val="20"/>
        <w:snapToGrid w:val="0"/>
        <w:spacing w:line="420" w:lineRule="exact"/>
        <w:ind w:firstLine="420" w:firstLineChars="200"/>
        <w:rPr>
          <w:rFonts w:hint="eastAsia" w:hAnsi="宋体"/>
          <w:color w:val="auto"/>
        </w:rPr>
      </w:pPr>
      <w:r>
        <w:rPr>
          <w:rFonts w:hint="eastAsia" w:hAnsi="宋体"/>
          <w:color w:val="auto"/>
        </w:rPr>
        <w:t>第二章 项目需求</w:t>
      </w:r>
    </w:p>
    <w:p>
      <w:pPr>
        <w:pStyle w:val="20"/>
        <w:snapToGrid w:val="0"/>
        <w:spacing w:line="420" w:lineRule="exact"/>
        <w:ind w:firstLine="420" w:firstLineChars="200"/>
        <w:rPr>
          <w:rFonts w:hint="eastAsia" w:hAnsi="宋体"/>
          <w:color w:val="auto"/>
        </w:rPr>
      </w:pPr>
      <w:r>
        <w:rPr>
          <w:rFonts w:hint="eastAsia" w:hAnsi="宋体"/>
          <w:color w:val="auto"/>
        </w:rPr>
        <w:t>第三章 供应商须知</w:t>
      </w:r>
    </w:p>
    <w:p>
      <w:pPr>
        <w:pStyle w:val="20"/>
        <w:snapToGrid w:val="0"/>
        <w:spacing w:line="420" w:lineRule="exact"/>
        <w:ind w:firstLine="420" w:firstLineChars="200"/>
        <w:rPr>
          <w:rFonts w:hint="eastAsia" w:hAnsi="宋体"/>
          <w:color w:val="auto"/>
        </w:rPr>
      </w:pPr>
      <w:r>
        <w:rPr>
          <w:rFonts w:hint="eastAsia" w:hAnsi="宋体"/>
          <w:color w:val="auto"/>
        </w:rPr>
        <w:t>第四章 评定标准及推荐原则</w:t>
      </w:r>
    </w:p>
    <w:p>
      <w:pPr>
        <w:pStyle w:val="20"/>
        <w:snapToGrid w:val="0"/>
        <w:spacing w:line="420" w:lineRule="exact"/>
        <w:ind w:firstLine="420" w:firstLineChars="200"/>
        <w:rPr>
          <w:rFonts w:hint="eastAsia" w:hAnsi="宋体"/>
          <w:color w:val="auto"/>
        </w:rPr>
      </w:pPr>
      <w:r>
        <w:rPr>
          <w:rFonts w:hint="eastAsia" w:hAnsi="宋体"/>
          <w:color w:val="auto"/>
        </w:rPr>
        <w:t>第五章 合同文本</w:t>
      </w:r>
    </w:p>
    <w:p>
      <w:pPr>
        <w:pStyle w:val="20"/>
        <w:snapToGrid w:val="0"/>
        <w:spacing w:line="420" w:lineRule="exact"/>
        <w:ind w:firstLine="420" w:firstLineChars="200"/>
        <w:rPr>
          <w:rFonts w:hint="eastAsia" w:hAnsi="宋体"/>
          <w:color w:val="auto"/>
        </w:rPr>
      </w:pPr>
      <w:r>
        <w:rPr>
          <w:rFonts w:hint="eastAsia" w:hAnsi="宋体"/>
          <w:color w:val="auto"/>
        </w:rPr>
        <w:t>第六章 响应文件格式</w:t>
      </w:r>
    </w:p>
    <w:p>
      <w:pPr>
        <w:spacing w:line="420" w:lineRule="exact"/>
        <w:ind w:firstLine="211" w:firstLineChars="100"/>
        <w:rPr>
          <w:b/>
          <w:bCs/>
          <w:color w:val="auto"/>
        </w:rPr>
      </w:pPr>
      <w:bookmarkStart w:id="71" w:name="_Toc353785289"/>
      <w:bookmarkStart w:id="72" w:name="_Toc352700419"/>
      <w:r>
        <w:rPr>
          <w:rFonts w:hint="eastAsia"/>
          <w:b/>
          <w:bCs/>
          <w:color w:val="auto"/>
        </w:rPr>
        <w:t>（二）竞争性谈判采购文件的澄清与修改</w:t>
      </w:r>
      <w:bookmarkEnd w:id="71"/>
      <w:bookmarkEnd w:id="72"/>
    </w:p>
    <w:p>
      <w:pPr>
        <w:pStyle w:val="20"/>
        <w:snapToGrid w:val="0"/>
        <w:spacing w:line="420" w:lineRule="exact"/>
        <w:ind w:firstLine="420"/>
        <w:jc w:val="left"/>
        <w:rPr>
          <w:rFonts w:hint="eastAsia" w:hAnsi="宋体"/>
          <w:color w:val="auto"/>
        </w:rPr>
      </w:pPr>
      <w:r>
        <w:rPr>
          <w:rFonts w:hint="eastAsia" w:hAnsi="宋体"/>
          <w:color w:val="auto"/>
        </w:rPr>
        <w:t>1</w:t>
      </w:r>
      <w:r>
        <w:rPr>
          <w:rFonts w:hAnsi="宋体"/>
          <w:color w:val="auto"/>
        </w:rPr>
        <w:t>.</w:t>
      </w:r>
      <w:r>
        <w:rPr>
          <w:rFonts w:hint="eastAsia" w:hAnsi="宋体"/>
          <w:color w:val="auto"/>
        </w:rPr>
        <w:t>提交首次响应文件截止之日前，采购人、本中心或者谈判小组可以对已发出的谈判文件进行必要的澄清或者修改，澄清或者修改的内容作为谈判文件的组成部分。澄清或者修改应当在原公告发布媒体上发布澄清公告。澄清或者修改的内容可能影响响应文件编制的，采购人、本中心或者谈判小组应当在提交首次响应文件截止之日3个工作日前，以书面形式通知所有依法接收谈判文件的供应商，不足3个工作日的，应当顺延提交首次响应文件截止之日。</w:t>
      </w:r>
    </w:p>
    <w:p>
      <w:pPr>
        <w:pStyle w:val="20"/>
        <w:snapToGrid w:val="0"/>
        <w:spacing w:line="420" w:lineRule="exact"/>
        <w:ind w:firstLine="420"/>
        <w:jc w:val="left"/>
        <w:rPr>
          <w:rFonts w:hint="eastAsia" w:hAnsi="宋体"/>
          <w:color w:val="auto"/>
        </w:rPr>
      </w:pPr>
      <w:r>
        <w:rPr>
          <w:rFonts w:hint="eastAsia" w:hAnsi="宋体"/>
          <w:color w:val="auto"/>
        </w:rPr>
        <w:t>2</w:t>
      </w:r>
      <w:r>
        <w:rPr>
          <w:rFonts w:hAnsi="宋体"/>
          <w:color w:val="auto"/>
        </w:rPr>
        <w:t>.</w:t>
      </w:r>
      <w:r>
        <w:rPr>
          <w:rFonts w:hint="eastAsia" w:hAnsi="宋体"/>
          <w:color w:val="auto"/>
        </w:rPr>
        <w:t>提供期限届满后，获取谈判文件的供应商不足3家的，本中心可以顺延提供期限，并予公告。</w:t>
      </w:r>
    </w:p>
    <w:p>
      <w:pPr>
        <w:pStyle w:val="4"/>
        <w:spacing w:line="420" w:lineRule="exact"/>
        <w:rPr>
          <w:color w:val="auto"/>
        </w:rPr>
      </w:pPr>
      <w:r>
        <w:rPr>
          <w:rFonts w:hint="eastAsia"/>
          <w:color w:val="auto"/>
        </w:rPr>
        <w:t>三、响应文件</w:t>
      </w:r>
    </w:p>
    <w:p>
      <w:pPr>
        <w:spacing w:line="420" w:lineRule="exact"/>
        <w:ind w:firstLine="211" w:firstLineChars="100"/>
        <w:rPr>
          <w:rFonts w:hint="eastAsia" w:hAnsi="宋体"/>
          <w:b/>
          <w:bCs/>
          <w:color w:val="auto"/>
        </w:rPr>
      </w:pPr>
      <w:r>
        <w:rPr>
          <w:rFonts w:hint="eastAsia" w:hAnsi="宋体"/>
          <w:b/>
          <w:bCs/>
          <w:color w:val="auto"/>
        </w:rPr>
        <w:t>（一）供应商的风险</w:t>
      </w:r>
    </w:p>
    <w:p>
      <w:pPr>
        <w:spacing w:line="420" w:lineRule="exact"/>
        <w:ind w:firstLine="420"/>
        <w:rPr>
          <w:rFonts w:hint="eastAsia" w:hAnsi="宋体"/>
          <w:color w:val="auto"/>
        </w:rPr>
      </w:pPr>
      <w:r>
        <w:rPr>
          <w:rFonts w:hAnsi="宋体"/>
          <w:color w:val="auto"/>
        </w:rPr>
        <w:t>1.</w:t>
      </w:r>
      <w:r>
        <w:rPr>
          <w:rFonts w:hint="eastAsia" w:hAnsi="宋体"/>
          <w:color w:val="auto"/>
        </w:rPr>
        <w:t>供应商应当按照谈判文件的要求编制响应文件，并对其提交的响应文件的真实性、合法性承担法律责任。</w:t>
      </w:r>
    </w:p>
    <w:p>
      <w:pPr>
        <w:spacing w:line="420" w:lineRule="exact"/>
        <w:ind w:firstLine="420"/>
        <w:rPr>
          <w:rFonts w:hint="eastAsia" w:hAnsi="宋体"/>
          <w:color w:val="auto"/>
        </w:rPr>
      </w:pPr>
      <w:r>
        <w:rPr>
          <w:rFonts w:hAnsi="宋体"/>
          <w:color w:val="auto"/>
        </w:rPr>
        <w:t>2.</w:t>
      </w:r>
      <w:r>
        <w:rPr>
          <w:rFonts w:hint="eastAsia" w:hAnsi="宋体"/>
          <w:color w:val="auto"/>
        </w:rPr>
        <w:t>供应商在采购活动中提供任何虚假材料的，谈判小组将报财政部门查处。</w:t>
      </w:r>
    </w:p>
    <w:p>
      <w:pPr>
        <w:snapToGrid w:val="0"/>
        <w:spacing w:line="420" w:lineRule="exact"/>
        <w:ind w:firstLine="211" w:firstLineChars="100"/>
        <w:rPr>
          <w:rFonts w:hint="eastAsia" w:ascii="宋体" w:hAnsi="宋体"/>
          <w:b/>
          <w:color w:val="auto"/>
          <w:szCs w:val="21"/>
        </w:rPr>
      </w:pPr>
      <w:r>
        <w:rPr>
          <w:rFonts w:hint="eastAsia" w:hAnsi="宋体"/>
          <w:b/>
          <w:bCs/>
          <w:color w:val="auto"/>
        </w:rPr>
        <w:t>（二）</w:t>
      </w:r>
      <w:r>
        <w:rPr>
          <w:rFonts w:hint="eastAsia" w:ascii="宋体" w:hAnsi="宋体"/>
          <w:b/>
          <w:color w:val="auto"/>
          <w:szCs w:val="21"/>
        </w:rPr>
        <w:t>响应文件的组成</w:t>
      </w:r>
    </w:p>
    <w:p>
      <w:pPr>
        <w:snapToGrid w:val="0"/>
        <w:spacing w:line="420" w:lineRule="exact"/>
        <w:ind w:firstLine="422"/>
        <w:rPr>
          <w:rFonts w:hint="eastAsia" w:ascii="宋体" w:hAnsi="宋体"/>
          <w:b/>
          <w:color w:val="auto"/>
          <w:szCs w:val="21"/>
        </w:rPr>
      </w:pPr>
      <w:bookmarkStart w:id="73" w:name="_Hlk92285760"/>
      <w:r>
        <w:rPr>
          <w:rFonts w:ascii="宋体" w:hAnsi="宋体"/>
          <w:b/>
          <w:color w:val="auto"/>
          <w:szCs w:val="21"/>
        </w:rPr>
        <w:t>1.</w:t>
      </w:r>
      <w:r>
        <w:rPr>
          <w:rFonts w:hint="eastAsia" w:ascii="宋体" w:hAnsi="宋体"/>
          <w:b/>
          <w:color w:val="auto"/>
          <w:szCs w:val="21"/>
        </w:rPr>
        <w:t>资格文件：</w:t>
      </w:r>
    </w:p>
    <w:p>
      <w:pPr>
        <w:tabs>
          <w:tab w:val="left" w:pos="3870"/>
          <w:tab w:val="left" w:pos="4085"/>
        </w:tabs>
        <w:snapToGrid w:val="0"/>
        <w:spacing w:line="420" w:lineRule="exact"/>
        <w:ind w:firstLine="420"/>
        <w:rPr>
          <w:rFonts w:hint="eastAsia" w:ascii="宋体" w:hAnsi="宋体"/>
          <w:color w:val="auto"/>
          <w:szCs w:val="21"/>
        </w:rPr>
      </w:pPr>
      <w:r>
        <w:rPr>
          <w:rFonts w:hint="eastAsia" w:ascii="宋体" w:hAnsi="宋体" w:cs="宋体"/>
          <w:bCs/>
          <w:color w:val="auto"/>
          <w:kern w:val="0"/>
          <w:szCs w:val="21"/>
        </w:rPr>
        <w:t>★</w:t>
      </w:r>
      <w:bookmarkStart w:id="74" w:name="_Hlk90369149"/>
      <w:r>
        <w:rPr>
          <w:rFonts w:hint="eastAsia" w:ascii="宋体" w:hAnsi="宋体"/>
          <w:color w:val="auto"/>
          <w:szCs w:val="21"/>
        </w:rPr>
        <w:t>(</w:t>
      </w:r>
      <w:r>
        <w:rPr>
          <w:rFonts w:ascii="宋体" w:hAnsi="宋体"/>
          <w:color w:val="auto"/>
          <w:szCs w:val="21"/>
        </w:rPr>
        <w:t>1)</w:t>
      </w:r>
      <w:r>
        <w:rPr>
          <w:rFonts w:hint="eastAsia" w:ascii="宋体" w:hAnsi="宋体"/>
          <w:color w:val="auto"/>
          <w:szCs w:val="21"/>
        </w:rPr>
        <w:t>法人或者其他组织的营业执照等证明文件</w:t>
      </w:r>
    </w:p>
    <w:bookmarkEnd w:id="74"/>
    <w:p>
      <w:pPr>
        <w:tabs>
          <w:tab w:val="left" w:pos="3870"/>
          <w:tab w:val="left" w:pos="4085"/>
        </w:tabs>
        <w:snapToGrid w:val="0"/>
        <w:spacing w:line="420" w:lineRule="exact"/>
        <w:ind w:firstLine="420"/>
        <w:rPr>
          <w:rFonts w:hint="eastAsia" w:ascii="宋体" w:hAnsi="宋体" w:cs="宋体"/>
          <w:color w:val="auto"/>
          <w:szCs w:val="21"/>
        </w:rPr>
      </w:pPr>
      <w:r>
        <w:rPr>
          <w:rFonts w:hint="eastAsia" w:ascii="宋体" w:hAnsi="宋体" w:cs="宋体"/>
          <w:bCs/>
          <w:color w:val="auto"/>
          <w:kern w:val="0"/>
          <w:szCs w:val="21"/>
        </w:rPr>
        <w:t>★(</w:t>
      </w:r>
      <w:r>
        <w:rPr>
          <w:rFonts w:ascii="宋体" w:hAnsi="宋体" w:cs="宋体"/>
          <w:bCs/>
          <w:color w:val="auto"/>
          <w:kern w:val="0"/>
          <w:szCs w:val="21"/>
        </w:rPr>
        <w:t>2)</w:t>
      </w:r>
      <w:bookmarkStart w:id="75" w:name="_Hlk147761368"/>
      <w:r>
        <w:rPr>
          <w:rFonts w:hint="eastAsia" w:ascii="宋体" w:hAnsi="宋体"/>
          <w:color w:val="auto"/>
          <w:szCs w:val="21"/>
        </w:rPr>
        <w:t>供应商具备参加政府采购活动条件的承诺书</w:t>
      </w:r>
      <w:r>
        <w:rPr>
          <w:rFonts w:hint="eastAsia" w:ascii="宋体" w:hAnsi="宋体" w:cs="宋体"/>
          <w:color w:val="auto"/>
          <w:szCs w:val="21"/>
        </w:rPr>
        <w:t>(格式见第六章</w:t>
      </w:r>
      <w:r>
        <w:rPr>
          <w:rFonts w:ascii="宋体" w:hAnsi="宋体" w:cs="宋体"/>
          <w:color w:val="auto"/>
          <w:szCs w:val="21"/>
        </w:rPr>
        <w:t>）</w:t>
      </w:r>
      <w:bookmarkEnd w:id="75"/>
    </w:p>
    <w:p>
      <w:pPr>
        <w:tabs>
          <w:tab w:val="left" w:pos="3870"/>
          <w:tab w:val="left" w:pos="4085"/>
        </w:tabs>
        <w:snapToGrid w:val="0"/>
        <w:spacing w:line="420" w:lineRule="exact"/>
        <w:ind w:firstLine="420"/>
        <w:rPr>
          <w:rFonts w:hint="eastAsia" w:hAnsi="宋体"/>
          <w:color w:val="auto"/>
          <w:spacing w:val="-4"/>
        </w:rPr>
      </w:pPr>
      <w:r>
        <w:rPr>
          <w:rFonts w:hint="eastAsia" w:ascii="宋体" w:hAnsi="宋体" w:cs="宋体"/>
          <w:bCs/>
          <w:color w:val="auto"/>
          <w:kern w:val="0"/>
          <w:szCs w:val="21"/>
        </w:rPr>
        <w:t>★(</w:t>
      </w:r>
      <w:r>
        <w:rPr>
          <w:rFonts w:ascii="宋体" w:hAnsi="宋体" w:cs="宋体"/>
          <w:bCs/>
          <w:color w:val="auto"/>
          <w:kern w:val="0"/>
          <w:szCs w:val="21"/>
        </w:rPr>
        <w:t>3)</w:t>
      </w:r>
      <w:r>
        <w:rPr>
          <w:rFonts w:hint="eastAsia" w:hAnsi="宋体"/>
          <w:color w:val="auto"/>
          <w:spacing w:val="-4"/>
        </w:rPr>
        <w:t>参加政府采购活动前3年内在经营活动中没有重大违法记录的书面声明(格式见第六章)</w:t>
      </w:r>
    </w:p>
    <w:p>
      <w:pPr>
        <w:snapToGrid w:val="0"/>
        <w:spacing w:line="420" w:lineRule="exact"/>
        <w:ind w:firstLine="422"/>
        <w:rPr>
          <w:rFonts w:hint="eastAsia" w:ascii="宋体" w:hAnsi="宋体"/>
          <w:b/>
          <w:color w:val="auto"/>
          <w:szCs w:val="21"/>
        </w:rPr>
      </w:pPr>
      <w:r>
        <w:rPr>
          <w:rFonts w:ascii="宋体" w:hAnsi="宋体"/>
          <w:b/>
          <w:color w:val="auto"/>
          <w:szCs w:val="21"/>
        </w:rPr>
        <w:t>2.</w:t>
      </w:r>
      <w:r>
        <w:rPr>
          <w:rFonts w:hint="eastAsia" w:ascii="宋体" w:hAnsi="宋体"/>
          <w:b/>
          <w:color w:val="auto"/>
          <w:szCs w:val="21"/>
        </w:rPr>
        <w:t>商务技术文件：</w:t>
      </w:r>
    </w:p>
    <w:p>
      <w:pPr>
        <w:tabs>
          <w:tab w:val="left" w:pos="3870"/>
          <w:tab w:val="left" w:pos="4085"/>
        </w:tabs>
        <w:snapToGrid w:val="0"/>
        <w:spacing w:line="420" w:lineRule="exact"/>
        <w:ind w:firstLine="420" w:firstLineChars="200"/>
        <w:rPr>
          <w:rFonts w:hint="eastAsia" w:ascii="宋体" w:hAnsi="宋体"/>
          <w:color w:val="auto"/>
          <w:szCs w:val="21"/>
        </w:rPr>
      </w:pPr>
      <w:r>
        <w:rPr>
          <w:rFonts w:hint="eastAsia" w:ascii="宋体" w:hAnsi="宋体" w:cs="宋体"/>
          <w:bCs/>
          <w:color w:val="auto"/>
          <w:kern w:val="0"/>
          <w:szCs w:val="21"/>
        </w:rPr>
        <w:t>★</w:t>
      </w:r>
      <w:r>
        <w:rPr>
          <w:rFonts w:hint="eastAsia" w:ascii="宋体" w:hAnsi="宋体"/>
          <w:color w:val="auto"/>
          <w:szCs w:val="21"/>
        </w:rPr>
        <w:t>(1</w:t>
      </w:r>
      <w:r>
        <w:rPr>
          <w:rFonts w:ascii="宋体" w:hAnsi="宋体"/>
          <w:color w:val="auto"/>
          <w:szCs w:val="21"/>
        </w:rPr>
        <w:t>)</w:t>
      </w:r>
      <w:r>
        <w:rPr>
          <w:rFonts w:hint="eastAsia" w:ascii="宋体" w:hAnsi="宋体"/>
          <w:color w:val="auto"/>
          <w:szCs w:val="21"/>
        </w:rPr>
        <w:t>谈判函（格式见第六章）</w:t>
      </w:r>
    </w:p>
    <w:p>
      <w:pPr>
        <w:tabs>
          <w:tab w:val="left" w:pos="3870"/>
          <w:tab w:val="left" w:pos="4085"/>
        </w:tabs>
        <w:snapToGrid w:val="0"/>
        <w:spacing w:line="420" w:lineRule="exact"/>
        <w:ind w:firstLine="420" w:firstLineChars="200"/>
        <w:rPr>
          <w:rFonts w:hint="eastAsia" w:ascii="宋体" w:hAnsi="宋体"/>
          <w:color w:val="auto"/>
          <w:szCs w:val="21"/>
        </w:rPr>
      </w:pPr>
      <w:r>
        <w:rPr>
          <w:rFonts w:hint="eastAsia" w:ascii="宋体" w:hAnsi="宋体" w:cs="宋体"/>
          <w:bCs/>
          <w:color w:val="auto"/>
          <w:kern w:val="0"/>
          <w:szCs w:val="21"/>
        </w:rPr>
        <w:t>★</w:t>
      </w:r>
      <w:r>
        <w:rPr>
          <w:rFonts w:hint="eastAsia" w:ascii="宋体" w:hAnsi="宋体"/>
          <w:color w:val="auto"/>
          <w:szCs w:val="21"/>
        </w:rPr>
        <w:t>(2</w:t>
      </w:r>
      <w:r>
        <w:rPr>
          <w:rFonts w:ascii="宋体" w:hAnsi="宋体"/>
          <w:color w:val="auto"/>
          <w:szCs w:val="21"/>
        </w:rPr>
        <w:t>)</w:t>
      </w:r>
      <w:r>
        <w:rPr>
          <w:rFonts w:hint="eastAsia" w:ascii="宋体" w:hAnsi="宋体"/>
          <w:color w:val="auto"/>
          <w:szCs w:val="21"/>
        </w:rPr>
        <w:t>法定代表人身份证</w:t>
      </w:r>
    </w:p>
    <w:p>
      <w:pPr>
        <w:snapToGrid w:val="0"/>
        <w:spacing w:line="420" w:lineRule="exact"/>
        <w:ind w:firstLine="420" w:firstLineChars="200"/>
        <w:rPr>
          <w:rFonts w:hint="eastAsia" w:ascii="宋体" w:hAnsi="宋体"/>
          <w:color w:val="auto"/>
          <w:szCs w:val="21"/>
        </w:rPr>
      </w:pPr>
      <w:r>
        <w:rPr>
          <w:rFonts w:hint="eastAsia" w:ascii="宋体" w:hAnsi="宋体"/>
          <w:color w:val="auto"/>
          <w:szCs w:val="21"/>
        </w:rPr>
        <w:t>★(3</w:t>
      </w:r>
      <w:r>
        <w:rPr>
          <w:rFonts w:ascii="宋体" w:hAnsi="宋体"/>
          <w:color w:val="auto"/>
          <w:szCs w:val="21"/>
        </w:rPr>
        <w:t>)</w:t>
      </w:r>
      <w:r>
        <w:rPr>
          <w:rFonts w:hint="eastAsia" w:ascii="宋体" w:hAnsi="宋体"/>
          <w:color w:val="auto"/>
          <w:szCs w:val="21"/>
        </w:rPr>
        <w:t>法定代表人授权委托书和代理人身份证（委托代理时必须提供，格式见第六章）</w:t>
      </w:r>
    </w:p>
    <w:p>
      <w:pPr>
        <w:snapToGrid w:val="0"/>
        <w:spacing w:line="420" w:lineRule="exact"/>
        <w:ind w:firstLine="422" w:firstLineChars="200"/>
        <w:rPr>
          <w:rFonts w:hint="eastAsia" w:ascii="宋体" w:hAnsi="宋体"/>
          <w:color w:val="auto"/>
          <w:szCs w:val="21"/>
        </w:rPr>
      </w:pPr>
      <w:r>
        <w:rPr>
          <w:rFonts w:hint="eastAsia" w:ascii="宋体" w:hAnsi="宋体"/>
          <w:b/>
          <w:color w:val="auto"/>
          <w:szCs w:val="21"/>
        </w:rPr>
        <w:t>★</w:t>
      </w:r>
      <w:r>
        <w:rPr>
          <w:rFonts w:hint="eastAsia" w:ascii="宋体" w:hAnsi="宋体"/>
          <w:color w:val="auto"/>
          <w:szCs w:val="21"/>
        </w:rPr>
        <w:t>(4</w:t>
      </w:r>
      <w:r>
        <w:rPr>
          <w:rFonts w:ascii="宋体" w:hAnsi="宋体"/>
          <w:color w:val="auto"/>
          <w:szCs w:val="21"/>
        </w:rPr>
        <w:t>)</w:t>
      </w:r>
      <w:r>
        <w:rPr>
          <w:rFonts w:ascii="宋体" w:hAnsi="宋体"/>
          <w:color w:val="auto"/>
        </w:rPr>
        <w:t>商务响应表(格式见第六章)</w:t>
      </w:r>
    </w:p>
    <w:p>
      <w:pPr>
        <w:snapToGrid w:val="0"/>
        <w:spacing w:line="420" w:lineRule="exact"/>
        <w:ind w:firstLine="422" w:firstLineChars="200"/>
        <w:rPr>
          <w:rFonts w:hint="eastAsia" w:ascii="宋体" w:hAnsi="宋体"/>
          <w:color w:val="auto"/>
        </w:rPr>
      </w:pPr>
      <w:bookmarkStart w:id="76" w:name="_Hlk111707698"/>
      <w:r>
        <w:rPr>
          <w:rFonts w:hint="eastAsia" w:ascii="宋体" w:hAnsi="宋体"/>
          <w:b/>
          <w:color w:val="auto"/>
          <w:szCs w:val="21"/>
        </w:rPr>
        <w:t>★</w:t>
      </w:r>
      <w:r>
        <w:rPr>
          <w:rFonts w:hint="eastAsia" w:ascii="宋体" w:hAnsi="宋体"/>
          <w:color w:val="auto"/>
        </w:rPr>
        <w:t>(5</w:t>
      </w:r>
      <w:r>
        <w:rPr>
          <w:rFonts w:ascii="宋体" w:hAnsi="宋体"/>
          <w:color w:val="auto"/>
        </w:rPr>
        <w:t>)</w:t>
      </w:r>
      <w:r>
        <w:rPr>
          <w:rFonts w:hint="eastAsia" w:ascii="宋体" w:hAnsi="宋体"/>
          <w:color w:val="auto"/>
          <w:szCs w:val="21"/>
        </w:rPr>
        <w:t>技术响应表</w:t>
      </w:r>
      <w:bookmarkStart w:id="77" w:name="_Hlk92285954"/>
      <w:r>
        <w:rPr>
          <w:rFonts w:ascii="宋体" w:hAnsi="宋体"/>
          <w:color w:val="auto"/>
        </w:rPr>
        <w:t>(格式见第六章)</w:t>
      </w:r>
      <w:bookmarkEnd w:id="77"/>
    </w:p>
    <w:p>
      <w:pPr>
        <w:snapToGrid w:val="0"/>
        <w:spacing w:line="420" w:lineRule="exact"/>
        <w:ind w:firstLine="422" w:firstLineChars="200"/>
        <w:rPr>
          <w:rFonts w:hint="eastAsia" w:ascii="宋体" w:hAnsi="宋体"/>
          <w:color w:val="auto"/>
          <w:szCs w:val="21"/>
        </w:rPr>
      </w:pPr>
      <w:r>
        <w:rPr>
          <w:rFonts w:hint="eastAsia" w:ascii="宋体" w:hAnsi="宋体"/>
          <w:b/>
          <w:color w:val="auto"/>
          <w:szCs w:val="21"/>
        </w:rPr>
        <w:t>★</w:t>
      </w:r>
      <w:r>
        <w:rPr>
          <w:rFonts w:hint="eastAsia" w:ascii="宋体" w:hAnsi="宋体"/>
          <w:color w:val="auto"/>
          <w:szCs w:val="21"/>
        </w:rPr>
        <w:t>(6</w:t>
      </w:r>
      <w:r>
        <w:rPr>
          <w:rFonts w:ascii="宋体" w:hAnsi="宋体"/>
          <w:color w:val="auto"/>
          <w:szCs w:val="21"/>
        </w:rPr>
        <w:t>)</w:t>
      </w:r>
      <w:r>
        <w:rPr>
          <w:rFonts w:hint="eastAsia" w:ascii="宋体" w:hAnsi="宋体"/>
          <w:color w:val="auto"/>
          <w:szCs w:val="21"/>
        </w:rPr>
        <w:t>《项目需求》中要求必须提供的材料</w:t>
      </w:r>
    </w:p>
    <w:p>
      <w:pPr>
        <w:snapToGrid w:val="0"/>
        <w:spacing w:line="420" w:lineRule="exact"/>
        <w:ind w:firstLine="422" w:firstLineChars="200"/>
        <w:rPr>
          <w:rFonts w:hint="eastAsia" w:ascii="宋体" w:hAnsi="宋体"/>
          <w:color w:val="auto"/>
        </w:rPr>
      </w:pPr>
      <w:r>
        <w:rPr>
          <w:rFonts w:hint="eastAsia" w:ascii="宋体" w:hAnsi="宋体"/>
          <w:b/>
          <w:color w:val="auto"/>
          <w:szCs w:val="21"/>
        </w:rPr>
        <w:t>★</w:t>
      </w:r>
      <w:r>
        <w:rPr>
          <w:rFonts w:hint="eastAsia" w:ascii="宋体" w:cs="宋体"/>
          <w:bCs/>
          <w:color w:val="auto"/>
          <w:kern w:val="0"/>
          <w:szCs w:val="21"/>
        </w:rPr>
        <w:t>(7</w:t>
      </w:r>
      <w:r>
        <w:rPr>
          <w:rFonts w:ascii="宋体" w:cs="宋体"/>
          <w:bCs/>
          <w:color w:val="auto"/>
          <w:kern w:val="0"/>
          <w:szCs w:val="21"/>
        </w:rPr>
        <w:t>)</w:t>
      </w:r>
      <w:r>
        <w:rPr>
          <w:rFonts w:hint="eastAsia" w:ascii="宋体" w:cs="宋体"/>
          <w:color w:val="auto"/>
          <w:kern w:val="0"/>
          <w:szCs w:val="21"/>
        </w:rPr>
        <w:t>售后服务方案</w:t>
      </w:r>
      <w:r>
        <w:rPr>
          <w:rFonts w:hint="eastAsia" w:ascii="宋体" w:cs="宋体"/>
          <w:bCs/>
          <w:color w:val="auto"/>
          <w:kern w:val="0"/>
          <w:szCs w:val="21"/>
        </w:rPr>
        <w:t>（根据项目需求要求提供，格式自拟）</w:t>
      </w:r>
    </w:p>
    <w:bookmarkEnd w:id="76"/>
    <w:p>
      <w:pPr>
        <w:snapToGrid w:val="0"/>
        <w:spacing w:line="420" w:lineRule="exact"/>
        <w:ind w:firstLine="422"/>
        <w:rPr>
          <w:rFonts w:hint="eastAsia" w:ascii="宋体" w:hAnsi="宋体"/>
          <w:b/>
          <w:color w:val="auto"/>
          <w:szCs w:val="21"/>
        </w:rPr>
      </w:pPr>
      <w:r>
        <w:rPr>
          <w:rFonts w:ascii="宋体" w:hAnsi="宋体"/>
          <w:b/>
          <w:color w:val="auto"/>
          <w:szCs w:val="21"/>
        </w:rPr>
        <w:t>3.</w:t>
      </w:r>
      <w:r>
        <w:rPr>
          <w:rFonts w:hint="eastAsia" w:ascii="宋体" w:hAnsi="宋体"/>
          <w:b/>
          <w:color w:val="auto"/>
          <w:szCs w:val="21"/>
        </w:rPr>
        <w:t>报价文件</w:t>
      </w:r>
    </w:p>
    <w:p>
      <w:pPr>
        <w:snapToGrid w:val="0"/>
        <w:spacing w:line="420" w:lineRule="exact"/>
        <w:rPr>
          <w:rFonts w:hint="eastAsia" w:ascii="宋体" w:hAnsi="宋体"/>
          <w:bCs/>
          <w:color w:val="auto"/>
          <w:szCs w:val="21"/>
        </w:rPr>
      </w:pPr>
      <w:bookmarkStart w:id="78" w:name="_Hlk92265738"/>
      <w:r>
        <w:rPr>
          <w:rFonts w:hint="eastAsia" w:ascii="宋体" w:hAnsi="宋体"/>
          <w:b/>
          <w:color w:val="auto"/>
          <w:szCs w:val="21"/>
        </w:rPr>
        <w:t xml:space="preserve"> </w:t>
      </w:r>
      <w:r>
        <w:rPr>
          <w:rFonts w:ascii="宋体" w:hAnsi="宋体"/>
          <w:b/>
          <w:color w:val="auto"/>
          <w:szCs w:val="21"/>
        </w:rPr>
        <w:t xml:space="preserve">   </w:t>
      </w:r>
      <w:r>
        <w:rPr>
          <w:rFonts w:hint="eastAsia" w:ascii="宋体" w:hAnsi="宋体"/>
          <w:b/>
          <w:color w:val="auto"/>
          <w:szCs w:val="21"/>
        </w:rPr>
        <w:t>★</w:t>
      </w:r>
      <w:r>
        <w:rPr>
          <w:rFonts w:hint="eastAsia" w:ascii="宋体" w:hAnsi="宋体"/>
          <w:bCs/>
          <w:color w:val="auto"/>
          <w:szCs w:val="21"/>
        </w:rPr>
        <w:t>报价明细表</w:t>
      </w:r>
      <w:bookmarkEnd w:id="78"/>
      <w:r>
        <w:rPr>
          <w:rFonts w:hint="eastAsia" w:ascii="宋体" w:hAnsi="宋体"/>
          <w:bCs/>
          <w:color w:val="auto"/>
          <w:szCs w:val="21"/>
        </w:rPr>
        <w:t>(格式见第六章)。</w:t>
      </w:r>
    </w:p>
    <w:bookmarkEnd w:id="73"/>
    <w:p>
      <w:pPr>
        <w:snapToGrid w:val="0"/>
        <w:spacing w:line="420" w:lineRule="exact"/>
        <w:ind w:firstLine="422"/>
        <w:rPr>
          <w:rFonts w:hint="eastAsia" w:ascii="宋体" w:hAnsi="宋体"/>
          <w:color w:val="auto"/>
          <w:szCs w:val="21"/>
        </w:rPr>
      </w:pPr>
      <w:r>
        <w:rPr>
          <w:rFonts w:hint="eastAsia" w:ascii="宋体" w:hAnsi="宋体"/>
          <w:color w:val="auto"/>
          <w:szCs w:val="21"/>
        </w:rPr>
        <w:t>注：标注★号的材料均为必须提供的材料须由供应商加盖公章，授权委托书必须由法定代表人签名，否则视为无效响应文件。</w:t>
      </w:r>
    </w:p>
    <w:p>
      <w:pPr>
        <w:spacing w:line="420" w:lineRule="exact"/>
        <w:ind w:firstLine="211" w:firstLineChars="100"/>
        <w:rPr>
          <w:rFonts w:hint="eastAsia" w:ascii="宋体" w:hAnsi="宋体"/>
          <w:b/>
          <w:bCs/>
          <w:color w:val="auto"/>
          <w:szCs w:val="21"/>
        </w:rPr>
      </w:pPr>
      <w:bookmarkStart w:id="79" w:name="_Hlk90906323"/>
      <w:r>
        <w:rPr>
          <w:rFonts w:hint="eastAsia" w:ascii="宋体" w:hAnsi="宋体"/>
          <w:b/>
          <w:color w:val="auto"/>
          <w:szCs w:val="21"/>
        </w:rPr>
        <w:t>（三）</w:t>
      </w:r>
      <w:bookmarkStart w:id="80" w:name="_Toc352700422"/>
      <w:bookmarkStart w:id="81" w:name="_Toc254970537"/>
      <w:bookmarkStart w:id="82" w:name="_Toc353785292"/>
      <w:bookmarkStart w:id="83" w:name="_Toc254970678"/>
      <w:r>
        <w:rPr>
          <w:rFonts w:hint="eastAsia" w:ascii="宋体" w:hAnsi="宋体"/>
          <w:b/>
          <w:bCs/>
          <w:color w:val="auto"/>
          <w:szCs w:val="21"/>
        </w:rPr>
        <w:t>响应文件的编制、签署及加密</w:t>
      </w:r>
    </w:p>
    <w:p>
      <w:pPr>
        <w:spacing w:line="420" w:lineRule="exact"/>
        <w:ind w:firstLine="420"/>
        <w:rPr>
          <w:rFonts w:hint="eastAsia" w:ascii="宋体" w:hAnsi="宋体"/>
          <w:color w:val="auto"/>
          <w:szCs w:val="21"/>
        </w:rPr>
      </w:pPr>
      <w:r>
        <w:rPr>
          <w:rFonts w:ascii="宋体" w:hAnsi="宋体"/>
          <w:color w:val="auto"/>
          <w:szCs w:val="21"/>
        </w:rPr>
        <w:t>1.</w:t>
      </w:r>
      <w:r>
        <w:rPr>
          <w:rFonts w:hint="eastAsia" w:ascii="宋体" w:hAnsi="宋体"/>
          <w:color w:val="auto"/>
          <w:szCs w:val="21"/>
        </w:rPr>
        <w:t>供应商应认真阅读、并充分理解招标文件的全部内容(包括所有的补充、修改内容)，承诺履行其各项条款的规定并按要求编制，响应文件应为电子文件或扫描件(样品除外)。</w:t>
      </w:r>
    </w:p>
    <w:p>
      <w:pPr>
        <w:spacing w:line="420" w:lineRule="exact"/>
        <w:ind w:firstLine="420"/>
        <w:rPr>
          <w:rFonts w:hint="eastAsia" w:ascii="宋体" w:hAnsi="宋体"/>
          <w:color w:val="auto"/>
          <w:szCs w:val="21"/>
        </w:rPr>
      </w:pPr>
      <w:r>
        <w:rPr>
          <w:rFonts w:ascii="宋体" w:hAnsi="宋体"/>
          <w:color w:val="auto"/>
          <w:szCs w:val="21"/>
        </w:rPr>
        <w:t>2.</w:t>
      </w:r>
      <w:r>
        <w:rPr>
          <w:rFonts w:hint="eastAsia" w:ascii="宋体" w:hAnsi="宋体"/>
          <w:color w:val="auto"/>
          <w:szCs w:val="21"/>
        </w:rPr>
        <w:t>供应商应通过广西政府采购云平台客户端编制加密响应文件。</w:t>
      </w:r>
    </w:p>
    <w:p>
      <w:pPr>
        <w:spacing w:line="420" w:lineRule="exact"/>
        <w:ind w:firstLine="420"/>
        <w:rPr>
          <w:rFonts w:hint="eastAsia" w:ascii="宋体" w:hAnsi="宋体"/>
          <w:color w:val="auto"/>
          <w:szCs w:val="21"/>
        </w:rPr>
      </w:pPr>
      <w:r>
        <w:rPr>
          <w:rFonts w:ascii="宋体" w:hAnsi="宋体"/>
          <w:color w:val="auto"/>
          <w:szCs w:val="21"/>
        </w:rPr>
        <w:t>3.</w:t>
      </w:r>
      <w:r>
        <w:rPr>
          <w:rFonts w:hint="eastAsia" w:ascii="宋体" w:hAnsi="宋体"/>
          <w:color w:val="auto"/>
          <w:szCs w:val="21"/>
        </w:rPr>
        <w:t>响应文件由资格文件、商务技术文件和报价文件组成，供应商应按规定的顺序编制并标注页码、准确设置评审关联点，未设置或未正确设置关联点而导致响应文件被误读、漏读或者查找不到相关响应内容的责任和后果由供应商承担。</w:t>
      </w:r>
    </w:p>
    <w:p>
      <w:pPr>
        <w:spacing w:line="420" w:lineRule="exact"/>
        <w:rPr>
          <w:rFonts w:hint="eastAsia" w:ascii="宋体" w:hAnsi="宋体"/>
          <w:b/>
          <w:bCs/>
          <w:color w:val="auto"/>
          <w:szCs w:val="21"/>
        </w:rPr>
      </w:pPr>
      <w:r>
        <w:rPr>
          <w:rFonts w:ascii="宋体" w:hAnsi="宋体"/>
          <w:color w:val="auto"/>
          <w:szCs w:val="21"/>
        </w:rPr>
        <w:tab/>
      </w:r>
      <w:r>
        <w:rPr>
          <w:rFonts w:ascii="宋体" w:hAnsi="宋体"/>
          <w:b/>
          <w:bCs/>
          <w:color w:val="auto"/>
          <w:szCs w:val="21"/>
        </w:rPr>
        <w:t>4.</w:t>
      </w:r>
      <w:bookmarkStart w:id="84" w:name="_Hlk112311085"/>
      <w:r>
        <w:rPr>
          <w:rFonts w:hint="eastAsia" w:ascii="宋体" w:hAnsi="宋体"/>
          <w:b/>
          <w:bCs/>
          <w:color w:val="auto"/>
          <w:szCs w:val="21"/>
        </w:rPr>
        <w:t>响应文件由供应商在规定位置由法定代表人或授权委托人签名（可为电子签名）、填写供应商名称并加盖公章(简称“盖章”，可为电子公章)，供应商名称应写全称。</w:t>
      </w:r>
      <w:bookmarkEnd w:id="84"/>
    </w:p>
    <w:p>
      <w:pPr>
        <w:snapToGrid w:val="0"/>
        <w:spacing w:line="420" w:lineRule="exact"/>
        <w:ind w:firstLine="210" w:firstLineChars="100"/>
        <w:rPr>
          <w:rFonts w:hint="eastAsia" w:ascii="宋体" w:hAnsi="宋体"/>
          <w:b/>
          <w:bCs/>
          <w:color w:val="auto"/>
          <w:szCs w:val="21"/>
        </w:rPr>
      </w:pPr>
      <w:r>
        <w:rPr>
          <w:rFonts w:ascii="宋体" w:hAnsi="宋体"/>
          <w:color w:val="auto"/>
          <w:szCs w:val="21"/>
        </w:rPr>
        <w:tab/>
      </w:r>
      <w:r>
        <w:rPr>
          <w:rFonts w:ascii="宋体" w:hAnsi="宋体"/>
          <w:color w:val="auto"/>
          <w:szCs w:val="21"/>
        </w:rPr>
        <w:t>5.</w:t>
      </w:r>
      <w:r>
        <w:rPr>
          <w:rFonts w:hint="eastAsia" w:ascii="宋体" w:hAnsi="宋体"/>
          <w:color w:val="auto"/>
          <w:szCs w:val="21"/>
        </w:rPr>
        <w:t>响应文件内容不完整、编排混乱、不清晰等原因导致被误读或漏读的责任和后果由供应商承担。</w:t>
      </w:r>
    </w:p>
    <w:bookmarkEnd w:id="79"/>
    <w:p>
      <w:pPr>
        <w:spacing w:line="420" w:lineRule="exact"/>
        <w:ind w:firstLine="211" w:firstLineChars="100"/>
        <w:rPr>
          <w:color w:val="auto"/>
        </w:rPr>
      </w:pPr>
      <w:r>
        <w:rPr>
          <w:rFonts w:hint="eastAsia"/>
          <w:b/>
          <w:bCs/>
          <w:color w:val="auto"/>
        </w:rPr>
        <w:t>（四）响应文件的语言及计量</w:t>
      </w:r>
      <w:bookmarkEnd w:id="80"/>
      <w:bookmarkEnd w:id="81"/>
      <w:bookmarkEnd w:id="82"/>
      <w:bookmarkEnd w:id="83"/>
    </w:p>
    <w:p>
      <w:pPr>
        <w:snapToGrid w:val="0"/>
        <w:spacing w:line="420" w:lineRule="exact"/>
        <w:ind w:firstLine="420"/>
        <w:rPr>
          <w:rFonts w:hint="eastAsia" w:ascii="宋体" w:hAnsi="宋体"/>
          <w:color w:val="auto"/>
          <w:szCs w:val="21"/>
        </w:rPr>
      </w:pPr>
      <w:r>
        <w:rPr>
          <w:rFonts w:ascii="宋体" w:hAnsi="宋体"/>
          <w:color w:val="auto"/>
          <w:szCs w:val="21"/>
        </w:rPr>
        <w:t>1.</w:t>
      </w:r>
      <w:r>
        <w:rPr>
          <w:rFonts w:hint="eastAsia" w:ascii="宋体" w:hAnsi="宋体"/>
          <w:color w:val="auto"/>
          <w:szCs w:val="21"/>
        </w:rPr>
        <w:t>响应文件以及供应商与采购人、本中心就有关事宜的所有来往函电，均应以中文汉语书写。除签名、盖章、专用名称等特殊情形外，以中文汉语以外的文字表述的视为无效文件。</w:t>
      </w:r>
    </w:p>
    <w:p>
      <w:pPr>
        <w:snapToGrid w:val="0"/>
        <w:spacing w:line="420" w:lineRule="exact"/>
        <w:ind w:firstLine="420"/>
        <w:rPr>
          <w:rFonts w:hint="eastAsia" w:ascii="宋体" w:hAnsi="宋体"/>
          <w:color w:val="auto"/>
          <w:szCs w:val="21"/>
        </w:rPr>
      </w:pPr>
      <w:r>
        <w:rPr>
          <w:rFonts w:ascii="宋体" w:hAnsi="宋体"/>
          <w:color w:val="auto"/>
          <w:szCs w:val="21"/>
        </w:rPr>
        <w:t>2.响应</w:t>
      </w:r>
      <w:r>
        <w:rPr>
          <w:rFonts w:hint="eastAsia" w:ascii="宋体" w:hAnsi="宋体"/>
          <w:color w:val="auto"/>
          <w:szCs w:val="21"/>
        </w:rPr>
        <w:t>文件的计量单位，采购文件已有明确规定的，使用采购文件规定的计量单位；采购文件没有规定的，应采用中华人民共和国法定计量单位（货币单位：人民币元），否则视为无效响应文件。</w:t>
      </w:r>
    </w:p>
    <w:p>
      <w:pPr>
        <w:pStyle w:val="4"/>
        <w:spacing w:before="0" w:after="0" w:line="440" w:lineRule="exact"/>
        <w:ind w:firstLine="211" w:firstLineChars="100"/>
        <w:rPr>
          <w:rFonts w:hint="eastAsia" w:ascii="宋体" w:hAnsi="宋体" w:eastAsia="宋体"/>
          <w:color w:val="auto"/>
          <w:sz w:val="21"/>
          <w:szCs w:val="21"/>
        </w:rPr>
      </w:pPr>
      <w:bookmarkStart w:id="85" w:name="_（五）报价"/>
      <w:bookmarkEnd w:id="85"/>
      <w:bookmarkStart w:id="86" w:name="_Toc254970679"/>
      <w:bookmarkStart w:id="87" w:name="_Toc353785293"/>
      <w:bookmarkStart w:id="88" w:name="_Toc352700423"/>
      <w:bookmarkStart w:id="89" w:name="_Toc254970538"/>
      <w:r>
        <w:rPr>
          <w:rFonts w:hint="eastAsia" w:ascii="宋体" w:hAnsi="宋体" w:eastAsia="宋体"/>
          <w:color w:val="auto"/>
          <w:sz w:val="21"/>
          <w:szCs w:val="21"/>
        </w:rPr>
        <w:t>（五）报价</w:t>
      </w:r>
      <w:bookmarkEnd w:id="86"/>
      <w:bookmarkEnd w:id="87"/>
      <w:bookmarkEnd w:id="88"/>
      <w:bookmarkEnd w:id="89"/>
    </w:p>
    <w:p>
      <w:pPr>
        <w:pStyle w:val="20"/>
        <w:snapToGrid w:val="0"/>
        <w:spacing w:line="420" w:lineRule="exact"/>
        <w:ind w:firstLine="420"/>
        <w:rPr>
          <w:rFonts w:hint="eastAsia" w:hAnsi="宋体"/>
          <w:color w:val="auto"/>
        </w:rPr>
      </w:pPr>
      <w:r>
        <w:rPr>
          <w:rFonts w:hAnsi="宋体"/>
          <w:color w:val="auto"/>
        </w:rPr>
        <w:t>1.</w:t>
      </w:r>
      <w:r>
        <w:rPr>
          <w:rFonts w:hint="eastAsia" w:hAnsi="宋体"/>
          <w:color w:val="auto"/>
        </w:rPr>
        <w:t>采购文件中未列明，而供应商认为必需的费用也须列入总报价。在合同实施时，采购人将不予支付成交供应商没有列入总报价的项目费用，并认为此项费用已包含在总报价中。</w:t>
      </w:r>
    </w:p>
    <w:p>
      <w:pPr>
        <w:pStyle w:val="20"/>
        <w:snapToGrid w:val="0"/>
        <w:spacing w:line="420" w:lineRule="exact"/>
        <w:ind w:firstLine="420"/>
        <w:rPr>
          <w:color w:val="auto"/>
        </w:rPr>
      </w:pPr>
      <w:r>
        <w:rPr>
          <w:rFonts w:hAnsi="宋体"/>
          <w:color w:val="auto"/>
        </w:rPr>
        <w:t>2</w:t>
      </w:r>
      <w:r>
        <w:rPr>
          <w:rFonts w:hint="eastAsia" w:hAnsi="宋体"/>
          <w:color w:val="auto"/>
        </w:rPr>
        <w:t>供应商</w:t>
      </w:r>
      <w:r>
        <w:rPr>
          <w:rFonts w:hint="eastAsia"/>
          <w:color w:val="auto"/>
        </w:rPr>
        <w:t>必须就《项目需求》货物和服务的内容作完整唯一报价</w:t>
      </w:r>
      <w:r>
        <w:rPr>
          <w:rFonts w:hint="eastAsia" w:hAnsi="宋体"/>
          <w:color w:val="auto"/>
        </w:rPr>
        <w:t>，有选择的或有条件的报价视为无效响应文件。</w:t>
      </w:r>
    </w:p>
    <w:p>
      <w:pPr>
        <w:tabs>
          <w:tab w:val="left" w:pos="525"/>
        </w:tabs>
        <w:snapToGrid w:val="0"/>
        <w:spacing w:line="420" w:lineRule="exact"/>
        <w:ind w:firstLine="420"/>
        <w:rPr>
          <w:rFonts w:hint="eastAsia" w:ascii="宋体" w:hAnsi="宋体"/>
          <w:color w:val="auto"/>
          <w:szCs w:val="21"/>
        </w:rPr>
      </w:pPr>
      <w:r>
        <w:rPr>
          <w:rFonts w:ascii="宋体" w:hAnsi="宋体"/>
          <w:color w:val="auto"/>
          <w:szCs w:val="21"/>
        </w:rPr>
        <w:t>3.</w:t>
      </w:r>
      <w:r>
        <w:rPr>
          <w:rFonts w:hint="eastAsia" w:ascii="宋体" w:hAnsi="宋体"/>
          <w:color w:val="auto"/>
          <w:szCs w:val="21"/>
        </w:rPr>
        <w:t>供应商的报价必须按采购文件或政府采购云平台规定的格式填写，并在规定时间内提交最后报价。</w:t>
      </w:r>
    </w:p>
    <w:p>
      <w:pPr>
        <w:tabs>
          <w:tab w:val="left" w:pos="525"/>
        </w:tabs>
        <w:snapToGrid w:val="0"/>
        <w:spacing w:line="420" w:lineRule="exact"/>
        <w:ind w:firstLine="420"/>
        <w:rPr>
          <w:rFonts w:hint="eastAsia" w:ascii="宋体" w:hAnsi="宋体"/>
          <w:color w:val="auto"/>
          <w:szCs w:val="21"/>
        </w:rPr>
      </w:pPr>
      <w:r>
        <w:rPr>
          <w:rFonts w:ascii="宋体" w:hAnsi="宋体"/>
          <w:color w:val="auto"/>
          <w:szCs w:val="21"/>
        </w:rPr>
        <w:t>4.</w:t>
      </w:r>
      <w:r>
        <w:rPr>
          <w:rFonts w:hint="eastAsia" w:ascii="宋体" w:hAnsi="宋体"/>
          <w:color w:val="auto"/>
          <w:szCs w:val="21"/>
        </w:rPr>
        <w:t>最后报价是供应商响应文件的有效组成部分。</w:t>
      </w:r>
    </w:p>
    <w:p>
      <w:pPr>
        <w:pStyle w:val="4"/>
        <w:spacing w:before="0" w:after="0" w:line="440" w:lineRule="exact"/>
        <w:ind w:firstLine="211" w:firstLineChars="100"/>
        <w:rPr>
          <w:rFonts w:hint="eastAsia" w:ascii="宋体" w:hAnsi="宋体" w:eastAsia="宋体"/>
          <w:color w:val="auto"/>
          <w:sz w:val="21"/>
          <w:szCs w:val="21"/>
        </w:rPr>
      </w:pPr>
      <w:bookmarkStart w:id="90" w:name="_（六）谈判保证金"/>
      <w:bookmarkEnd w:id="90"/>
      <w:bookmarkStart w:id="91" w:name="_Toc353785295"/>
      <w:bookmarkStart w:id="92" w:name="_Toc254970682"/>
      <w:bookmarkStart w:id="93" w:name="_Toc254970541"/>
      <w:bookmarkStart w:id="94" w:name="_Toc352700425"/>
      <w:r>
        <w:rPr>
          <w:rFonts w:hint="eastAsia" w:ascii="宋体" w:hAnsi="宋体" w:eastAsia="宋体"/>
          <w:color w:val="auto"/>
          <w:sz w:val="21"/>
          <w:szCs w:val="21"/>
        </w:rPr>
        <w:t>（六）谈判保证金</w:t>
      </w:r>
      <w:bookmarkEnd w:id="91"/>
      <w:bookmarkEnd w:id="92"/>
      <w:bookmarkEnd w:id="93"/>
      <w:bookmarkEnd w:id="94"/>
    </w:p>
    <w:p>
      <w:pPr>
        <w:widowControl/>
        <w:spacing w:line="420" w:lineRule="exact"/>
        <w:ind w:firstLine="420" w:firstLineChars="200"/>
        <w:jc w:val="left"/>
        <w:rPr>
          <w:color w:val="auto"/>
        </w:rPr>
      </w:pPr>
      <w:bookmarkStart w:id="95" w:name="_Toc352700426"/>
      <w:bookmarkStart w:id="96" w:name="_Toc254970542"/>
      <w:bookmarkStart w:id="97" w:name="_Toc353785296"/>
      <w:bookmarkStart w:id="98" w:name="_Toc254970683"/>
      <w:r>
        <w:rPr>
          <w:rFonts w:hint="eastAsia" w:ascii="宋体" w:hAnsi="宋体"/>
          <w:color w:val="auto"/>
          <w:szCs w:val="21"/>
        </w:rPr>
        <w:t>本项目免收谈判保证金。</w:t>
      </w:r>
    </w:p>
    <w:bookmarkEnd w:id="95"/>
    <w:bookmarkEnd w:id="96"/>
    <w:bookmarkEnd w:id="97"/>
    <w:bookmarkEnd w:id="98"/>
    <w:p>
      <w:pPr>
        <w:spacing w:line="420" w:lineRule="exact"/>
        <w:ind w:firstLine="211" w:firstLineChars="100"/>
        <w:rPr>
          <w:b/>
          <w:bCs/>
          <w:color w:val="auto"/>
        </w:rPr>
      </w:pPr>
      <w:r>
        <w:rPr>
          <w:rFonts w:hint="eastAsia"/>
          <w:b/>
          <w:bCs/>
          <w:color w:val="auto"/>
        </w:rPr>
        <w:t>（七）响应文件的上传、提交、修改、撤回</w:t>
      </w:r>
    </w:p>
    <w:p>
      <w:pPr>
        <w:snapToGrid w:val="0"/>
        <w:spacing w:line="420" w:lineRule="exact"/>
        <w:ind w:firstLine="420" w:firstLineChars="200"/>
        <w:rPr>
          <w:rFonts w:hint="eastAsia" w:ascii="宋体" w:hAnsi="宋体"/>
          <w:color w:val="auto"/>
          <w:szCs w:val="21"/>
        </w:rPr>
      </w:pPr>
      <w:r>
        <w:rPr>
          <w:rFonts w:ascii="宋体" w:hAnsi="宋体"/>
          <w:color w:val="auto"/>
          <w:szCs w:val="21"/>
        </w:rPr>
        <w:t>1.</w:t>
      </w:r>
      <w:r>
        <w:rPr>
          <w:rFonts w:hint="eastAsia" w:ascii="宋体" w:hAnsi="宋体"/>
          <w:color w:val="auto"/>
          <w:szCs w:val="21"/>
        </w:rPr>
        <w:t>响应文件的上传和提交:供应商须将编制好的加密响应文件上传至政府采购云平台，并在响应文件提交截止时间前提交，否则</w:t>
      </w:r>
      <w:bookmarkStart w:id="99" w:name="_Hlk91772691"/>
      <w:r>
        <w:rPr>
          <w:rFonts w:hint="eastAsia" w:ascii="宋体" w:hAnsi="宋体"/>
          <w:color w:val="auto"/>
          <w:szCs w:val="21"/>
        </w:rPr>
        <w:t>政府采购云平台</w:t>
      </w:r>
      <w:bookmarkEnd w:id="99"/>
      <w:r>
        <w:rPr>
          <w:rFonts w:hint="eastAsia" w:ascii="宋体" w:hAnsi="宋体"/>
          <w:color w:val="auto"/>
          <w:szCs w:val="21"/>
        </w:rPr>
        <w:t>将予以拒收。</w:t>
      </w:r>
    </w:p>
    <w:p>
      <w:pPr>
        <w:snapToGrid w:val="0"/>
        <w:spacing w:line="420" w:lineRule="exact"/>
        <w:ind w:firstLine="420" w:firstLineChars="200"/>
        <w:rPr>
          <w:rFonts w:hint="eastAsia" w:ascii="宋体" w:hAnsi="宋体"/>
          <w:color w:val="auto"/>
          <w:szCs w:val="21"/>
        </w:rPr>
      </w:pPr>
      <w:r>
        <w:rPr>
          <w:rFonts w:ascii="宋体" w:hAnsi="宋体"/>
          <w:color w:val="auto"/>
          <w:szCs w:val="21"/>
        </w:rPr>
        <w:t>2.</w:t>
      </w:r>
      <w:r>
        <w:rPr>
          <w:rFonts w:hint="eastAsia" w:ascii="宋体" w:hAnsi="宋体"/>
          <w:color w:val="auto"/>
          <w:szCs w:val="21"/>
        </w:rPr>
        <w:t>响应文件的修改和撤回：</w:t>
      </w:r>
      <w:r>
        <w:rPr>
          <w:rFonts w:hint="eastAsia"/>
          <w:color w:val="auto"/>
          <w:szCs w:val="21"/>
        </w:rPr>
        <w:t>供应商在提交响应文件截止时间前，可以对所提交的响应文件进行补充、修改或者撤回</w:t>
      </w:r>
      <w:r>
        <w:rPr>
          <w:rFonts w:hint="eastAsia" w:ascii="宋体" w:hAnsi="宋体"/>
          <w:color w:val="auto"/>
          <w:szCs w:val="21"/>
        </w:rPr>
        <w:t>。补充或者修改响应文件的，应当先行撤回原响应文件，补充、修改后重新上传、提交。响应文件提交截止时间前未完成重新提交的，视为撤回响应文件，响应文件提交截止时间后提交响应文件的，政府采购云平台将予以拒收。响应文件提交截止时间后，供应商不得撤回响应文件。</w:t>
      </w:r>
      <w:r>
        <w:rPr>
          <w:rFonts w:hint="eastAsia"/>
          <w:color w:val="auto"/>
          <w:szCs w:val="21"/>
        </w:rPr>
        <w:t>补充、修改的内容作为响应文件的组成部分。补充、修改的内容与响应文件不一致的，以补充、修改的内容为准。</w:t>
      </w:r>
    </w:p>
    <w:p>
      <w:pPr>
        <w:pStyle w:val="4"/>
        <w:spacing w:line="420" w:lineRule="exact"/>
        <w:rPr>
          <w:color w:val="auto"/>
        </w:rPr>
      </w:pPr>
      <w:bookmarkStart w:id="100" w:name="_四、响应文件开启"/>
      <w:bookmarkEnd w:id="100"/>
      <w:r>
        <w:rPr>
          <w:rFonts w:hint="eastAsia"/>
          <w:color w:val="auto"/>
        </w:rPr>
        <w:t>四、</w:t>
      </w:r>
      <w:bookmarkStart w:id="101" w:name="_Toc353785300"/>
      <w:bookmarkStart w:id="102" w:name="_Toc352700430"/>
      <w:r>
        <w:rPr>
          <w:rFonts w:hint="eastAsia"/>
          <w:color w:val="auto"/>
        </w:rPr>
        <w:t>响应文件开启</w:t>
      </w:r>
    </w:p>
    <w:bookmarkEnd w:id="101"/>
    <w:bookmarkEnd w:id="102"/>
    <w:p>
      <w:pPr>
        <w:spacing w:line="420" w:lineRule="exact"/>
        <w:ind w:firstLine="210" w:firstLineChars="100"/>
        <w:rPr>
          <w:rFonts w:ascii="方正小标宋_GBK" w:hAnsi="Arial" w:eastAsia="方正小标宋_GBK"/>
          <w:bCs/>
          <w:color w:val="auto"/>
          <w:sz w:val="24"/>
        </w:rPr>
      </w:pPr>
      <w:r>
        <w:rPr>
          <w:rFonts w:hint="eastAsia"/>
          <w:color w:val="auto"/>
        </w:rPr>
        <w:t>（一）本中心将在响应文件提交截止时间后在</w:t>
      </w:r>
      <w:bookmarkStart w:id="103" w:name="_Hlk90300735"/>
      <w:r>
        <w:rPr>
          <w:rFonts w:hint="eastAsia"/>
          <w:color w:val="auto"/>
        </w:rPr>
        <w:t>政采云远程开标大厅</w:t>
      </w:r>
      <w:bookmarkEnd w:id="103"/>
      <w:r>
        <w:rPr>
          <w:rFonts w:hint="eastAsia"/>
          <w:color w:val="auto"/>
        </w:rPr>
        <w:t>进行响应文件开启，供应商法定代表人或委托代理人须按时登录</w:t>
      </w:r>
      <w:bookmarkStart w:id="104" w:name="_Hlk90300780"/>
      <w:r>
        <w:rPr>
          <w:rFonts w:hint="eastAsia"/>
          <w:color w:val="auto"/>
        </w:rPr>
        <w:t>政采云远程开标大厅</w:t>
      </w:r>
      <w:bookmarkEnd w:id="104"/>
      <w:r>
        <w:rPr>
          <w:rFonts w:hint="eastAsia"/>
          <w:color w:val="auto"/>
        </w:rPr>
        <w:t>（政府采购云平台-应用中心-项目采购-开标评标），保持全程在线并关注评审、谈判进度，评审期间谈判小组提出澄清等要求时，供应商须在规定时间内进行应答，否则按采购文件或政采云平台的相关规定执行。</w:t>
      </w:r>
      <w:bookmarkStart w:id="105" w:name="_Toc353785301"/>
      <w:bookmarkStart w:id="106" w:name="_Toc352700431"/>
    </w:p>
    <w:p>
      <w:pPr>
        <w:spacing w:line="420" w:lineRule="exact"/>
        <w:ind w:firstLine="210" w:firstLineChars="100"/>
        <w:rPr>
          <w:rFonts w:ascii="方正小标宋_GBK" w:hAnsi="Arial" w:eastAsia="方正小标宋_GBK"/>
          <w:bCs/>
          <w:color w:val="auto"/>
          <w:sz w:val="24"/>
        </w:rPr>
      </w:pPr>
      <w:r>
        <w:rPr>
          <w:rFonts w:hint="eastAsia"/>
          <w:color w:val="auto"/>
        </w:rPr>
        <w:t>（二）</w:t>
      </w:r>
      <w:bookmarkEnd w:id="105"/>
      <w:bookmarkEnd w:id="106"/>
      <w:r>
        <w:rPr>
          <w:rFonts w:hint="eastAsia"/>
          <w:color w:val="auto"/>
        </w:rPr>
        <w:t>解密</w:t>
      </w:r>
    </w:p>
    <w:p>
      <w:pPr>
        <w:spacing w:line="420" w:lineRule="exact"/>
        <w:ind w:firstLine="420" w:firstLineChars="200"/>
        <w:rPr>
          <w:color w:val="auto"/>
        </w:rPr>
      </w:pPr>
      <w:r>
        <w:rPr>
          <w:rFonts w:hint="eastAsia"/>
          <w:color w:val="auto"/>
        </w:rPr>
        <w:t>响应文件提交时间截止后，我中心将向各提交响应文件的供应商发出电子加密响应文件解密通知，供应商代表应当在接到解密通知后30分钟内对已加密的电子响应文件进行在线解密。供应商未在规定时间内完成解密的，政府采购云平台视为供应商自主放弃谈判。</w:t>
      </w:r>
    </w:p>
    <w:p>
      <w:pPr>
        <w:spacing w:line="420" w:lineRule="exact"/>
        <w:ind w:firstLine="211" w:firstLineChars="100"/>
        <w:rPr>
          <w:b/>
          <w:bCs/>
          <w:color w:val="auto"/>
        </w:rPr>
      </w:pPr>
      <w:r>
        <w:rPr>
          <w:rFonts w:hint="eastAsia"/>
          <w:b/>
          <w:bCs/>
          <w:color w:val="auto"/>
        </w:rPr>
        <w:t>（三）资格审查</w:t>
      </w:r>
    </w:p>
    <w:p>
      <w:pPr>
        <w:spacing w:line="420" w:lineRule="exact"/>
        <w:ind w:firstLine="420" w:firstLineChars="200"/>
        <w:rPr>
          <w:rFonts w:hint="eastAsia" w:ascii="宋体" w:hAnsi="宋体"/>
          <w:color w:val="auto"/>
          <w:szCs w:val="21"/>
        </w:rPr>
      </w:pPr>
      <w:r>
        <w:rPr>
          <w:rFonts w:hint="eastAsia" w:ascii="宋体" w:hAnsi="宋体"/>
          <w:color w:val="auto"/>
          <w:szCs w:val="21"/>
        </w:rPr>
        <w:t>1</w:t>
      </w:r>
      <w:r>
        <w:rPr>
          <w:rFonts w:ascii="宋体" w:hAnsi="宋体"/>
          <w:color w:val="auto"/>
          <w:szCs w:val="21"/>
        </w:rPr>
        <w:t>.</w:t>
      </w:r>
      <w:r>
        <w:rPr>
          <w:rFonts w:hint="eastAsia" w:ascii="宋体" w:hAnsi="宋体"/>
          <w:color w:val="auto"/>
          <w:szCs w:val="21"/>
        </w:rPr>
        <w:t>采购人依法对供应商的资格进行审查，资格性审查时，如发现下列情形之一的，响应文件将被视为无效：</w:t>
      </w:r>
    </w:p>
    <w:p>
      <w:pPr>
        <w:spacing w:line="420" w:lineRule="exact"/>
        <w:ind w:firstLine="420" w:firstLineChars="200"/>
        <w:rPr>
          <w:rFonts w:hint="eastAsia" w:ascii="宋体" w:hAnsi="宋体"/>
          <w:color w:val="auto"/>
          <w:szCs w:val="21"/>
        </w:rPr>
      </w:pPr>
      <w:r>
        <w:rPr>
          <w:rFonts w:hint="eastAsia" w:ascii="宋体" w:hAnsi="宋体"/>
          <w:color w:val="auto"/>
          <w:szCs w:val="21"/>
        </w:rPr>
        <w:t>(1)超越了按照法律法规规定必须获得行政许可或者行政审批的经营范围的；</w:t>
      </w:r>
    </w:p>
    <w:p>
      <w:pPr>
        <w:spacing w:line="420" w:lineRule="exact"/>
        <w:ind w:firstLine="420" w:firstLineChars="200"/>
        <w:rPr>
          <w:rFonts w:hint="eastAsia" w:ascii="宋体" w:hAnsi="宋体"/>
          <w:color w:val="auto"/>
          <w:szCs w:val="21"/>
        </w:rPr>
      </w:pPr>
      <w:r>
        <w:rPr>
          <w:rFonts w:hint="eastAsia" w:ascii="宋体" w:hAnsi="宋体"/>
          <w:color w:val="auto"/>
          <w:szCs w:val="21"/>
        </w:rPr>
        <w:t>(2)资格证明文件不全的，或者不符合采购文件标明的资格要求的；</w:t>
      </w:r>
    </w:p>
    <w:p>
      <w:pPr>
        <w:snapToGrid w:val="0"/>
        <w:spacing w:line="420" w:lineRule="exact"/>
        <w:ind w:firstLine="420" w:firstLineChars="200"/>
        <w:jc w:val="left"/>
        <w:rPr>
          <w:rFonts w:hint="eastAsia" w:ascii="宋体" w:hAnsi="宋体"/>
          <w:color w:val="auto"/>
          <w:szCs w:val="21"/>
        </w:rPr>
      </w:pPr>
      <w:r>
        <w:rPr>
          <w:rFonts w:ascii="宋体" w:hAnsi="宋体"/>
          <w:color w:val="auto"/>
          <w:szCs w:val="21"/>
        </w:rPr>
        <w:t>2.</w:t>
      </w:r>
      <w:r>
        <w:rPr>
          <w:rFonts w:hint="eastAsia" w:ascii="宋体" w:hAnsi="宋体"/>
          <w:color w:val="auto"/>
          <w:szCs w:val="21"/>
        </w:rPr>
        <w:t>采购人或本中心将通过信用中国网站（www.creditchina.gov.cn）、中国政府采购网（www.ccgp.gov.cn）等渠道查询供应商的信用信息记录。供应商被列入失信被执行人、重大税收违法案件当事人名单、政府采购严重违法失信行为记录名单且有效期在响应文件递交截止时间的，将被拒绝参与本项目政府采购活动。</w:t>
      </w:r>
    </w:p>
    <w:p>
      <w:pPr>
        <w:pStyle w:val="4"/>
        <w:spacing w:line="420" w:lineRule="exact"/>
        <w:rPr>
          <w:rFonts w:hint="eastAsia" w:ascii="宋体" w:hAnsi="宋体"/>
          <w:color w:val="auto"/>
          <w:szCs w:val="21"/>
        </w:rPr>
      </w:pPr>
      <w:bookmarkStart w:id="107" w:name="_五、评审与谈判"/>
      <w:bookmarkEnd w:id="107"/>
      <w:bookmarkStart w:id="108" w:name="_Toc254970686"/>
      <w:bookmarkStart w:id="109" w:name="_Toc254970545"/>
      <w:bookmarkStart w:id="110" w:name="_Toc353785302"/>
      <w:bookmarkStart w:id="111" w:name="_Toc352700432"/>
      <w:r>
        <w:rPr>
          <w:rFonts w:hint="eastAsia"/>
          <w:color w:val="auto"/>
        </w:rPr>
        <w:t>五、</w:t>
      </w:r>
      <w:bookmarkEnd w:id="108"/>
      <w:bookmarkEnd w:id="109"/>
      <w:bookmarkEnd w:id="110"/>
      <w:bookmarkEnd w:id="111"/>
      <w:r>
        <w:rPr>
          <w:rFonts w:hint="eastAsia" w:ascii="宋体" w:hAnsi="宋体"/>
          <w:color w:val="auto"/>
          <w:szCs w:val="21"/>
        </w:rPr>
        <w:t>评审与谈判</w:t>
      </w:r>
    </w:p>
    <w:p>
      <w:pPr>
        <w:snapToGrid w:val="0"/>
        <w:spacing w:line="420" w:lineRule="exact"/>
        <w:ind w:firstLine="211" w:firstLineChars="100"/>
        <w:rPr>
          <w:rFonts w:hint="eastAsia" w:ascii="宋体" w:hAnsi="宋体"/>
          <w:b/>
          <w:bCs/>
          <w:color w:val="auto"/>
          <w:szCs w:val="21"/>
        </w:rPr>
      </w:pPr>
      <w:bookmarkStart w:id="112" w:name="_Toc352700433"/>
      <w:bookmarkStart w:id="113" w:name="_Toc353785303"/>
      <w:r>
        <w:rPr>
          <w:rFonts w:hint="eastAsia" w:ascii="宋体" w:hAnsi="宋体"/>
          <w:b/>
          <w:bCs/>
          <w:color w:val="auto"/>
          <w:szCs w:val="21"/>
        </w:rPr>
        <w:t>（一）评审原则：</w:t>
      </w:r>
    </w:p>
    <w:p>
      <w:pPr>
        <w:snapToGrid w:val="0"/>
        <w:spacing w:line="420" w:lineRule="exact"/>
        <w:ind w:firstLine="420" w:firstLineChars="200"/>
        <w:rPr>
          <w:rFonts w:hint="eastAsia" w:ascii="宋体" w:hAnsi="宋体"/>
          <w:color w:val="auto"/>
          <w:szCs w:val="21"/>
        </w:rPr>
      </w:pPr>
      <w:r>
        <w:rPr>
          <w:rFonts w:ascii="宋体" w:hAnsi="宋体"/>
          <w:color w:val="auto"/>
          <w:szCs w:val="21"/>
        </w:rPr>
        <w:t>1.</w:t>
      </w:r>
      <w:r>
        <w:rPr>
          <w:rFonts w:hint="eastAsia" w:ascii="宋体" w:hAnsi="宋体"/>
          <w:color w:val="auto"/>
          <w:szCs w:val="21"/>
        </w:rPr>
        <w:t>谈判小组必须公平、公正、客观，不带任何倾向性和启发性；不得向外界透露任何与评审有关的内容；任何单位和个人不得干扰、影响评审的正常进行；谈判小组及有关工作人员不得私下接触供应商。</w:t>
      </w:r>
    </w:p>
    <w:p>
      <w:pPr>
        <w:snapToGrid w:val="0"/>
        <w:spacing w:line="420" w:lineRule="exact"/>
        <w:ind w:firstLine="420" w:firstLineChars="200"/>
        <w:rPr>
          <w:rFonts w:hint="eastAsia" w:ascii="宋体" w:hAnsi="宋体"/>
          <w:color w:val="auto"/>
          <w:szCs w:val="21"/>
        </w:rPr>
      </w:pPr>
      <w:r>
        <w:rPr>
          <w:rFonts w:ascii="宋体" w:hAnsi="宋体"/>
          <w:color w:val="auto"/>
          <w:szCs w:val="21"/>
        </w:rPr>
        <w:t>2.</w:t>
      </w:r>
      <w:r>
        <w:rPr>
          <w:rFonts w:hint="eastAsia" w:ascii="宋体" w:hAnsi="宋体" w:cs="Courier New"/>
          <w:color w:val="auto"/>
          <w:szCs w:val="21"/>
        </w:rPr>
        <w:t>本项目采用不公开方式评审，评审的依据为采购文件和响应文件。</w:t>
      </w:r>
    </w:p>
    <w:p>
      <w:pPr>
        <w:snapToGrid w:val="0"/>
        <w:spacing w:line="420" w:lineRule="exact"/>
        <w:ind w:firstLine="211" w:firstLineChars="100"/>
        <w:rPr>
          <w:rFonts w:hint="eastAsia" w:ascii="宋体" w:hAnsi="宋体"/>
          <w:b/>
          <w:bCs/>
          <w:color w:val="auto"/>
          <w:szCs w:val="21"/>
        </w:rPr>
      </w:pPr>
      <w:r>
        <w:rPr>
          <w:rFonts w:hint="eastAsia"/>
          <w:b/>
          <w:bCs/>
          <w:color w:val="auto"/>
        </w:rPr>
        <w:t>（二）成立谈判小组</w:t>
      </w:r>
    </w:p>
    <w:p>
      <w:pPr>
        <w:snapToGrid w:val="0"/>
        <w:spacing w:line="420" w:lineRule="exact"/>
        <w:ind w:firstLine="420" w:firstLineChars="200"/>
        <w:rPr>
          <w:rFonts w:hint="eastAsia" w:ascii="宋体" w:hAnsi="宋体"/>
          <w:color w:val="auto"/>
          <w:szCs w:val="21"/>
        </w:rPr>
      </w:pPr>
      <w:r>
        <w:rPr>
          <w:rFonts w:hint="eastAsia" w:ascii="宋体" w:hAnsi="宋体" w:cs="Courier New"/>
          <w:bCs/>
          <w:color w:val="auto"/>
          <w:szCs w:val="21"/>
        </w:rPr>
        <w:t>谈判小组</w:t>
      </w:r>
      <w:bookmarkEnd w:id="112"/>
      <w:bookmarkEnd w:id="113"/>
      <w:r>
        <w:rPr>
          <w:rFonts w:hint="eastAsia" w:ascii="宋体" w:hAnsi="宋体" w:cs="Courier New"/>
          <w:bCs/>
          <w:color w:val="auto"/>
          <w:szCs w:val="21"/>
        </w:rPr>
        <w:t>由采购人代表和评审专家共3人以上单数组成，其中评审专家人数不得少于谈判小组成员总数的2/3。</w:t>
      </w:r>
    </w:p>
    <w:p>
      <w:pPr>
        <w:spacing w:line="420" w:lineRule="exact"/>
        <w:ind w:firstLine="211" w:firstLineChars="100"/>
        <w:rPr>
          <w:rFonts w:hint="eastAsia" w:ascii="宋体" w:hAnsi="宋体"/>
          <w:b/>
          <w:bCs/>
          <w:color w:val="auto"/>
          <w:szCs w:val="21"/>
        </w:rPr>
      </w:pPr>
      <w:r>
        <w:rPr>
          <w:rFonts w:hint="eastAsia" w:ascii="宋体" w:hAnsi="宋体"/>
          <w:b/>
          <w:bCs/>
          <w:color w:val="auto"/>
          <w:szCs w:val="21"/>
        </w:rPr>
        <w:t>（三）确认谈判文件</w:t>
      </w:r>
    </w:p>
    <w:p>
      <w:pPr>
        <w:spacing w:line="420" w:lineRule="exact"/>
        <w:ind w:firstLine="420" w:firstLineChars="200"/>
        <w:rPr>
          <w:rFonts w:hint="eastAsia" w:ascii="宋体" w:hAnsi="宋体"/>
          <w:b/>
          <w:bCs/>
          <w:color w:val="auto"/>
          <w:szCs w:val="21"/>
        </w:rPr>
      </w:pPr>
      <w:r>
        <w:rPr>
          <w:rFonts w:hint="eastAsia" w:hAnsi="宋体"/>
          <w:color w:val="auto"/>
        </w:rPr>
        <w:t>谈判小组对谈判文件进行确认，认可谈判文件的内容，符合法律法规的规定、不存在歧视性或排他性内容。</w:t>
      </w:r>
    </w:p>
    <w:p>
      <w:pPr>
        <w:spacing w:line="420" w:lineRule="exact"/>
        <w:ind w:firstLine="211" w:firstLineChars="100"/>
        <w:rPr>
          <w:rFonts w:hint="eastAsia" w:ascii="宋体" w:hAnsi="宋体" w:cs="Courier New"/>
          <w:color w:val="auto"/>
          <w:szCs w:val="21"/>
        </w:rPr>
      </w:pPr>
      <w:r>
        <w:rPr>
          <w:rFonts w:hint="eastAsia" w:ascii="宋体" w:hAnsi="宋体"/>
          <w:b/>
          <w:bCs/>
          <w:color w:val="auto"/>
          <w:szCs w:val="21"/>
        </w:rPr>
        <w:t>（四）实质性审查</w:t>
      </w:r>
    </w:p>
    <w:p>
      <w:pPr>
        <w:snapToGrid w:val="0"/>
        <w:spacing w:line="420" w:lineRule="exact"/>
        <w:ind w:firstLine="420" w:firstLineChars="200"/>
        <w:rPr>
          <w:rFonts w:hint="eastAsia" w:ascii="宋体" w:hAnsi="宋体"/>
          <w:color w:val="auto"/>
          <w:szCs w:val="21"/>
        </w:rPr>
      </w:pPr>
      <w:r>
        <w:rPr>
          <w:rFonts w:hint="eastAsia" w:ascii="宋体" w:hAnsi="宋体"/>
          <w:color w:val="auto"/>
          <w:szCs w:val="21"/>
        </w:rPr>
        <w:t>1</w:t>
      </w:r>
      <w:r>
        <w:rPr>
          <w:rFonts w:ascii="宋体" w:hAnsi="宋体"/>
          <w:color w:val="auto"/>
          <w:szCs w:val="21"/>
        </w:rPr>
        <w:t>.</w:t>
      </w:r>
      <w:r>
        <w:rPr>
          <w:rFonts w:hint="eastAsia" w:ascii="宋体" w:hAnsi="宋体"/>
          <w:color w:val="auto"/>
          <w:szCs w:val="21"/>
        </w:rPr>
        <w:t>谈判小组从符合相应资格条件的供应商名单中确定不少于3家的供应商参加谈判，对参加谈判的供应商响应文件进行评审，并根据谈判文件规定的程序、评定成交的标准等事项与实质性响应谈判文件要求的供应商进行谈判。未实质性响应竞争性谈判采购文件的响应文件按无效处理，谈判小组应当告知有关供应商。</w:t>
      </w:r>
    </w:p>
    <w:p>
      <w:pPr>
        <w:snapToGrid w:val="0"/>
        <w:spacing w:line="420" w:lineRule="exact"/>
        <w:ind w:firstLine="422" w:firstLineChars="200"/>
        <w:rPr>
          <w:rFonts w:hint="eastAsia" w:ascii="宋体" w:hAnsi="宋体"/>
          <w:b/>
          <w:bCs/>
          <w:color w:val="auto"/>
          <w:szCs w:val="21"/>
        </w:rPr>
      </w:pPr>
      <w:r>
        <w:rPr>
          <w:rFonts w:hint="eastAsia" w:ascii="宋体" w:hAnsi="宋体"/>
          <w:b/>
          <w:bCs/>
          <w:color w:val="auto"/>
          <w:szCs w:val="21"/>
        </w:rPr>
        <w:t>2</w:t>
      </w:r>
      <w:r>
        <w:rPr>
          <w:rFonts w:ascii="宋体" w:hAnsi="宋体"/>
          <w:b/>
          <w:bCs/>
          <w:color w:val="auto"/>
          <w:szCs w:val="21"/>
        </w:rPr>
        <w:t>.</w:t>
      </w:r>
      <w:r>
        <w:rPr>
          <w:rFonts w:hint="eastAsia" w:ascii="宋体" w:hAnsi="宋体"/>
          <w:b/>
          <w:bCs/>
          <w:color w:val="auto"/>
          <w:szCs w:val="21"/>
        </w:rPr>
        <w:t>实质性审查时，如发现下列情形之一的，响应文件将被视为无效：</w:t>
      </w:r>
    </w:p>
    <w:p>
      <w:pPr>
        <w:snapToGrid w:val="0"/>
        <w:spacing w:line="420" w:lineRule="exact"/>
        <w:ind w:firstLine="525" w:firstLineChars="250"/>
        <w:rPr>
          <w:rFonts w:hint="eastAsia" w:ascii="宋体" w:hAnsi="宋体"/>
          <w:color w:val="auto"/>
          <w:szCs w:val="21"/>
        </w:rPr>
      </w:pPr>
      <w:bookmarkStart w:id="114" w:name="_Hlk112311783"/>
      <w:r>
        <w:rPr>
          <w:rFonts w:hint="eastAsia" w:ascii="宋体" w:hAnsi="宋体"/>
          <w:color w:val="auto"/>
          <w:szCs w:val="21"/>
        </w:rPr>
        <w:t>①响应文件未按响应文件编制要求提供或内容虚假的；</w:t>
      </w:r>
    </w:p>
    <w:p>
      <w:pPr>
        <w:snapToGrid w:val="0"/>
        <w:spacing w:line="420" w:lineRule="exact"/>
        <w:ind w:firstLine="525" w:firstLineChars="250"/>
        <w:rPr>
          <w:rFonts w:hint="eastAsia" w:ascii="宋体" w:hAnsi="宋体"/>
          <w:color w:val="auto"/>
          <w:szCs w:val="21"/>
        </w:rPr>
      </w:pPr>
      <w:r>
        <w:rPr>
          <w:rFonts w:hint="eastAsia" w:ascii="宋体" w:hAnsi="宋体"/>
          <w:color w:val="auto"/>
          <w:szCs w:val="21"/>
        </w:rPr>
        <w:t>②响应文件无法定代表人或其委托代理人签署、未提供授权委托书，或未按规定盖章的；</w:t>
      </w:r>
    </w:p>
    <w:p>
      <w:pPr>
        <w:snapToGrid w:val="0"/>
        <w:spacing w:line="420" w:lineRule="exact"/>
        <w:ind w:firstLine="525" w:firstLineChars="250"/>
        <w:rPr>
          <w:rFonts w:hint="eastAsia" w:ascii="宋体" w:hAnsi="宋体"/>
          <w:color w:val="auto"/>
          <w:szCs w:val="21"/>
        </w:rPr>
      </w:pPr>
      <w:r>
        <w:rPr>
          <w:rFonts w:hint="eastAsia" w:ascii="宋体" w:hAnsi="宋体"/>
          <w:color w:val="auto"/>
          <w:szCs w:val="21"/>
        </w:rPr>
        <w:t>③供应商代表未能出具身份证明或与法定代表人委托代理人身份不符的；</w:t>
      </w:r>
    </w:p>
    <w:p>
      <w:pPr>
        <w:snapToGrid w:val="0"/>
        <w:spacing w:line="420" w:lineRule="exact"/>
        <w:ind w:firstLine="525" w:firstLineChars="250"/>
        <w:rPr>
          <w:rFonts w:hint="eastAsia" w:ascii="宋体" w:hAnsi="宋体"/>
          <w:color w:val="auto"/>
          <w:szCs w:val="21"/>
        </w:rPr>
      </w:pPr>
      <w:r>
        <w:rPr>
          <w:rFonts w:hint="eastAsia" w:ascii="宋体" w:hAnsi="宋体"/>
          <w:color w:val="auto"/>
          <w:szCs w:val="21"/>
        </w:rPr>
        <w:t>④未实质性响应采购文件采购需求的技术、服务要求的；</w:t>
      </w:r>
    </w:p>
    <w:p>
      <w:pPr>
        <w:snapToGrid w:val="0"/>
        <w:spacing w:line="420" w:lineRule="exact"/>
        <w:ind w:firstLine="525" w:firstLineChars="250"/>
        <w:rPr>
          <w:rFonts w:hint="eastAsia" w:ascii="宋体" w:hAnsi="宋体"/>
          <w:color w:val="auto"/>
          <w:szCs w:val="21"/>
        </w:rPr>
      </w:pPr>
      <w:r>
        <w:rPr>
          <w:rFonts w:hint="eastAsia" w:ascii="宋体" w:hAnsi="宋体"/>
          <w:color w:val="auto"/>
          <w:szCs w:val="21"/>
        </w:rPr>
        <w:t>⑤</w:t>
      </w:r>
      <w:r>
        <w:rPr>
          <w:rFonts w:hint="eastAsia" w:ascii="宋体" w:hAnsi="宋体"/>
          <w:color w:val="auto"/>
          <w:spacing w:val="-4"/>
          <w:szCs w:val="21"/>
        </w:rPr>
        <w:t>不符合采购文件要求的质量标准，或者与采购文件中的技术指标、功能、服务事项发生较大偏离，已不符合采购人需求的；</w:t>
      </w:r>
    </w:p>
    <w:p>
      <w:pPr>
        <w:snapToGrid w:val="0"/>
        <w:spacing w:line="420" w:lineRule="exact"/>
        <w:ind w:firstLine="525" w:firstLineChars="250"/>
        <w:rPr>
          <w:rFonts w:hint="eastAsia" w:ascii="宋体" w:hAnsi="宋体"/>
          <w:color w:val="auto"/>
          <w:szCs w:val="21"/>
        </w:rPr>
      </w:pPr>
      <w:r>
        <w:rPr>
          <w:rFonts w:hint="eastAsia" w:ascii="宋体" w:hAnsi="宋体"/>
          <w:color w:val="auto"/>
          <w:szCs w:val="21"/>
        </w:rPr>
        <w:t>⑥响应文件有采购人不能接受的附加条件的。</w:t>
      </w:r>
    </w:p>
    <w:p>
      <w:pPr>
        <w:snapToGrid w:val="0"/>
        <w:spacing w:line="420" w:lineRule="exact"/>
        <w:ind w:firstLine="505" w:firstLineChars="250"/>
        <w:rPr>
          <w:rFonts w:hint="eastAsia" w:ascii="宋体" w:hAnsi="宋体"/>
          <w:color w:val="auto"/>
          <w:spacing w:val="-4"/>
          <w:szCs w:val="21"/>
        </w:rPr>
      </w:pPr>
      <w:r>
        <w:rPr>
          <w:rFonts w:hint="eastAsia" w:ascii="宋体" w:hAnsi="宋体"/>
          <w:color w:val="auto"/>
          <w:spacing w:val="-4"/>
          <w:szCs w:val="21"/>
        </w:rPr>
        <w:t>⑦响应文件技术方案不明确，存在一个或一个以上备选(替代)响应方案的；</w:t>
      </w:r>
    </w:p>
    <w:p>
      <w:pPr>
        <w:snapToGrid w:val="0"/>
        <w:spacing w:line="420" w:lineRule="exact"/>
        <w:ind w:firstLine="525" w:firstLineChars="250"/>
        <w:rPr>
          <w:rFonts w:hint="eastAsia" w:ascii="宋体" w:hAnsi="宋体"/>
          <w:color w:val="auto"/>
          <w:szCs w:val="21"/>
        </w:rPr>
      </w:pPr>
      <w:r>
        <w:rPr>
          <w:rFonts w:hint="eastAsia" w:ascii="宋体" w:hAnsi="宋体"/>
          <w:color w:val="auto"/>
          <w:szCs w:val="21"/>
        </w:rPr>
        <w:t>⑧响应文件的实质性内容未使用中文表述、意思表述不明确、前后矛盾或者使用计量单位不符合采购文件要求的。</w:t>
      </w:r>
    </w:p>
    <w:bookmarkEnd w:id="114"/>
    <w:p>
      <w:pPr>
        <w:spacing w:line="420" w:lineRule="exact"/>
        <w:ind w:firstLine="211" w:firstLineChars="100"/>
        <w:rPr>
          <w:b/>
          <w:bCs/>
          <w:color w:val="auto"/>
        </w:rPr>
      </w:pPr>
      <w:r>
        <w:rPr>
          <w:rFonts w:hint="eastAsia"/>
          <w:b/>
          <w:bCs/>
          <w:color w:val="auto"/>
        </w:rPr>
        <w:t>（五）谈判</w:t>
      </w:r>
    </w:p>
    <w:p>
      <w:pPr>
        <w:pStyle w:val="20"/>
        <w:spacing w:line="420" w:lineRule="exact"/>
        <w:ind w:firstLine="420" w:firstLineChars="200"/>
        <w:rPr>
          <w:color w:val="auto"/>
        </w:rPr>
      </w:pPr>
      <w:r>
        <w:rPr>
          <w:rFonts w:hint="eastAsia" w:hAnsi="宋体"/>
          <w:bCs/>
          <w:color w:val="auto"/>
        </w:rPr>
        <w:t>1</w:t>
      </w:r>
      <w:r>
        <w:rPr>
          <w:rFonts w:hAnsi="宋体"/>
          <w:bCs/>
          <w:color w:val="auto"/>
        </w:rPr>
        <w:t>.</w:t>
      </w:r>
      <w:r>
        <w:rPr>
          <w:rFonts w:hint="eastAsia"/>
          <w:color w:val="auto"/>
        </w:rPr>
        <w:t>谈判小组所有成员应当集中与单一供应商分别进行谈判，并给予所有参加谈判的供应商平等的谈判机会。</w:t>
      </w:r>
    </w:p>
    <w:p>
      <w:pPr>
        <w:pStyle w:val="20"/>
        <w:spacing w:line="420" w:lineRule="exact"/>
        <w:ind w:firstLine="420" w:firstLineChars="200"/>
        <w:rPr>
          <w:rFonts w:hint="eastAsia" w:hAnsi="宋体"/>
          <w:bCs/>
          <w:color w:val="auto"/>
        </w:rPr>
      </w:pPr>
      <w:r>
        <w:rPr>
          <w:rFonts w:hint="eastAsia" w:hAnsi="宋体"/>
          <w:bCs/>
          <w:color w:val="auto"/>
        </w:rPr>
        <w:t>2</w:t>
      </w:r>
      <w:r>
        <w:rPr>
          <w:rFonts w:hAnsi="宋体"/>
          <w:bCs/>
          <w:color w:val="auto"/>
        </w:rPr>
        <w:t>.</w:t>
      </w:r>
      <w:r>
        <w:rPr>
          <w:rFonts w:hint="eastAsia" w:hAnsi="宋体"/>
          <w:bCs/>
          <w:color w:val="auto"/>
        </w:rPr>
        <w:t>谈判小组可以根据谈判文件和谈判情况实质性变动采购需求中的技术、服务要求以及合同草案条款，但不得变动谈判文件中的其他内容。实质性变动的内容，须经采购人代表确认。</w:t>
      </w:r>
    </w:p>
    <w:p>
      <w:pPr>
        <w:pStyle w:val="20"/>
        <w:spacing w:line="420" w:lineRule="exact"/>
        <w:ind w:firstLine="420" w:firstLineChars="200"/>
        <w:rPr>
          <w:rFonts w:hint="eastAsia" w:hAnsi="宋体"/>
          <w:bCs/>
          <w:color w:val="auto"/>
        </w:rPr>
      </w:pPr>
      <w:r>
        <w:rPr>
          <w:rFonts w:hAnsi="宋体"/>
          <w:bCs/>
          <w:color w:val="auto"/>
        </w:rPr>
        <w:t>3.</w:t>
      </w:r>
      <w:r>
        <w:rPr>
          <w:rFonts w:hint="eastAsia" w:hAnsi="宋体"/>
          <w:bCs/>
          <w:color w:val="auto"/>
        </w:rPr>
        <w:t>对谈判文件作出的实质性变动是谈判文件的有效组成部分，谈判小组应当及时以书面形式同时通知所有参加谈判的供应商。</w:t>
      </w:r>
    </w:p>
    <w:p>
      <w:pPr>
        <w:pStyle w:val="20"/>
        <w:spacing w:line="420" w:lineRule="exact"/>
        <w:ind w:firstLine="420" w:firstLineChars="200"/>
        <w:rPr>
          <w:rFonts w:hint="eastAsia" w:hAnsi="宋体"/>
          <w:bCs/>
          <w:color w:val="auto"/>
        </w:rPr>
      </w:pPr>
      <w:r>
        <w:rPr>
          <w:rFonts w:hint="eastAsia" w:hAnsi="宋体"/>
          <w:bCs/>
          <w:color w:val="auto"/>
        </w:rPr>
        <w:t>4</w:t>
      </w:r>
      <w:r>
        <w:rPr>
          <w:rFonts w:hAnsi="宋体"/>
          <w:bCs/>
          <w:color w:val="auto"/>
        </w:rPr>
        <w:t>.</w:t>
      </w:r>
      <w:r>
        <w:rPr>
          <w:rFonts w:hint="eastAsia" w:hAnsi="宋体"/>
          <w:bCs/>
          <w:color w:val="auto"/>
        </w:rPr>
        <w:t>供应商应当按照谈判文件的变动情况和谈判小组的要求重新提交响应文件，并由其法定代表人或授权代表签名或者加盖公章。由授权代表签名的，应当附法定代表人授权书。</w:t>
      </w:r>
      <w:bookmarkStart w:id="115" w:name="_Hlk92985140"/>
      <w:r>
        <w:rPr>
          <w:rFonts w:hint="eastAsia" w:hAnsi="宋体"/>
          <w:bCs/>
          <w:color w:val="auto"/>
        </w:rPr>
        <w:t>供应商为自然人的，应当由本人签名并附身份证明。</w:t>
      </w:r>
      <w:bookmarkEnd w:id="115"/>
      <w:r>
        <w:rPr>
          <w:rFonts w:hint="eastAsia" w:hAnsi="宋体"/>
          <w:bCs/>
          <w:color w:val="auto"/>
        </w:rPr>
        <w:t>逾时不提交的，视同放弃谈判。</w:t>
      </w:r>
    </w:p>
    <w:p>
      <w:pPr>
        <w:pStyle w:val="20"/>
        <w:spacing w:line="420" w:lineRule="exact"/>
        <w:ind w:firstLine="420" w:firstLineChars="200"/>
        <w:rPr>
          <w:rFonts w:hint="eastAsia" w:hAnsi="宋体"/>
          <w:bCs/>
          <w:color w:val="auto"/>
        </w:rPr>
      </w:pPr>
      <w:r>
        <w:rPr>
          <w:rFonts w:hint="eastAsia" w:hAnsi="宋体"/>
          <w:bCs/>
          <w:color w:val="auto"/>
        </w:rPr>
        <w:t>5</w:t>
      </w:r>
      <w:r>
        <w:rPr>
          <w:rFonts w:hAnsi="宋体"/>
          <w:bCs/>
          <w:color w:val="auto"/>
        </w:rPr>
        <w:t>.</w:t>
      </w:r>
      <w:r>
        <w:rPr>
          <w:rFonts w:hint="eastAsia"/>
          <w:color w:val="auto"/>
        </w:rPr>
        <w:t>已提交响应文件的供应商，在提交最后报价之前，可以根据谈判情况退出谈判。</w:t>
      </w:r>
    </w:p>
    <w:p>
      <w:pPr>
        <w:spacing w:line="420" w:lineRule="exact"/>
        <w:ind w:firstLine="211" w:firstLineChars="100"/>
        <w:rPr>
          <w:b/>
          <w:bCs/>
          <w:color w:val="auto"/>
        </w:rPr>
      </w:pPr>
      <w:r>
        <w:rPr>
          <w:rFonts w:hint="eastAsia"/>
          <w:b/>
          <w:bCs/>
          <w:color w:val="auto"/>
        </w:rPr>
        <w:t>（六）最后报价</w:t>
      </w:r>
    </w:p>
    <w:p>
      <w:pPr>
        <w:spacing w:line="420" w:lineRule="exact"/>
        <w:ind w:firstLine="420" w:firstLineChars="200"/>
        <w:rPr>
          <w:color w:val="auto"/>
        </w:rPr>
      </w:pPr>
      <w:r>
        <w:rPr>
          <w:color w:val="auto"/>
        </w:rPr>
        <w:t>1.</w:t>
      </w:r>
      <w:r>
        <w:rPr>
          <w:rFonts w:hint="eastAsia"/>
          <w:color w:val="auto"/>
        </w:rPr>
        <w:t>谈判文件能够详细列明采购标的的技术、服务要求的，谈判结束后，谈判小组应当要求所有继续参加谈判的供应商在规定时间内提交最后报价，提交最后报价的供应商不得少于3家。</w:t>
      </w:r>
    </w:p>
    <w:p>
      <w:pPr>
        <w:spacing w:line="420" w:lineRule="exact"/>
        <w:ind w:firstLine="420" w:firstLineChars="200"/>
        <w:rPr>
          <w:color w:val="auto"/>
        </w:rPr>
      </w:pPr>
      <w:r>
        <w:rPr>
          <w:rFonts w:hint="eastAsia"/>
          <w:color w:val="auto"/>
        </w:rPr>
        <w:t>谈判文件不能详细列明采购标的的技术、服务要求，需经谈判由供应商提供最终设计方案或解决方案的，谈判结束后，谈判小组应当按照少数服从多数的原则投票推荐3家以上供应商的设计方案或者解决方案，并要求其在规定时间内提交最后报价。</w:t>
      </w:r>
    </w:p>
    <w:p>
      <w:pPr>
        <w:spacing w:line="420" w:lineRule="exact"/>
        <w:ind w:firstLine="420" w:firstLineChars="200"/>
        <w:rPr>
          <w:color w:val="auto"/>
        </w:rPr>
      </w:pPr>
      <w:r>
        <w:rPr>
          <w:color w:val="auto"/>
        </w:rPr>
        <w:t>2.</w:t>
      </w:r>
      <w:r>
        <w:rPr>
          <w:rFonts w:hint="eastAsia"/>
          <w:color w:val="auto"/>
        </w:rPr>
        <w:t>最后报价应由其法定代表人或授权代表签名或者加盖公章，最后报价即系供应商响应报价。</w:t>
      </w:r>
    </w:p>
    <w:p>
      <w:pPr>
        <w:spacing w:line="420" w:lineRule="exact"/>
        <w:ind w:firstLine="422" w:firstLineChars="200"/>
        <w:rPr>
          <w:color w:val="auto"/>
        </w:rPr>
      </w:pPr>
      <w:r>
        <w:rPr>
          <w:rFonts w:hint="eastAsia"/>
          <w:b/>
          <w:bCs/>
          <w:color w:val="auto"/>
        </w:rPr>
        <w:t>3</w:t>
      </w:r>
      <w:r>
        <w:rPr>
          <w:rFonts w:hint="eastAsia" w:ascii="宋体" w:hAnsi="宋体" w:cs="Courier New"/>
          <w:b/>
          <w:color w:val="auto"/>
          <w:szCs w:val="21"/>
        </w:rPr>
        <w:t>.在报价评审时，如发现下列情形之一的，响应文件将被视为无效：</w:t>
      </w:r>
    </w:p>
    <w:p>
      <w:pPr>
        <w:snapToGrid w:val="0"/>
        <w:spacing w:line="420" w:lineRule="exact"/>
        <w:ind w:firstLine="420" w:firstLineChars="200"/>
        <w:rPr>
          <w:rFonts w:hint="eastAsia" w:ascii="宋体" w:hAnsi="宋体"/>
          <w:color w:val="auto"/>
          <w:szCs w:val="21"/>
        </w:rPr>
      </w:pPr>
      <w:bookmarkStart w:id="116" w:name="_Hlk112312387"/>
      <w:r>
        <w:rPr>
          <w:rFonts w:hint="eastAsia" w:ascii="宋体" w:hAnsi="宋体"/>
          <w:color w:val="auto"/>
          <w:szCs w:val="21"/>
        </w:rPr>
        <w:t>(</w:t>
      </w:r>
      <w:r>
        <w:rPr>
          <w:rFonts w:ascii="宋体" w:hAnsi="宋体"/>
          <w:color w:val="auto"/>
          <w:szCs w:val="21"/>
        </w:rPr>
        <w:t>1)</w:t>
      </w:r>
      <w:r>
        <w:rPr>
          <w:rFonts w:hint="eastAsia" w:ascii="宋体" w:hAnsi="宋体"/>
          <w:color w:val="auto"/>
          <w:szCs w:val="21"/>
        </w:rPr>
        <w:t>报价未采用人民币或者未按照采购文件标明的币种报价的；</w:t>
      </w:r>
    </w:p>
    <w:p>
      <w:pPr>
        <w:snapToGrid w:val="0"/>
        <w:spacing w:line="420" w:lineRule="exact"/>
        <w:ind w:firstLine="420" w:firstLineChars="200"/>
        <w:rPr>
          <w:rFonts w:hint="eastAsia" w:ascii="宋体" w:hAnsi="宋体"/>
          <w:color w:val="auto"/>
          <w:szCs w:val="21"/>
        </w:rPr>
      </w:pPr>
      <w:r>
        <w:rPr>
          <w:rFonts w:ascii="宋体" w:hAnsi="宋体"/>
          <w:color w:val="auto"/>
          <w:szCs w:val="21"/>
        </w:rPr>
        <w:t>(2)</w:t>
      </w:r>
      <w:r>
        <w:rPr>
          <w:rFonts w:hint="eastAsia" w:ascii="宋体" w:hAnsi="宋体"/>
          <w:color w:val="auto"/>
          <w:szCs w:val="21"/>
        </w:rPr>
        <w:t>报价明细表中货物品牌、规格、型号、服务事项未明确或与响应文件中相应内容不一致的；</w:t>
      </w:r>
    </w:p>
    <w:p>
      <w:pPr>
        <w:snapToGrid w:val="0"/>
        <w:spacing w:line="420" w:lineRule="exact"/>
        <w:ind w:firstLine="420" w:firstLineChars="200"/>
        <w:rPr>
          <w:rFonts w:hint="eastAsia" w:ascii="宋体" w:hAnsi="宋体"/>
          <w:color w:val="auto"/>
          <w:szCs w:val="21"/>
        </w:rPr>
      </w:pPr>
      <w:r>
        <w:rPr>
          <w:rFonts w:ascii="宋体" w:hAnsi="宋体"/>
          <w:color w:val="auto"/>
          <w:szCs w:val="21"/>
        </w:rPr>
        <w:t>(3)</w:t>
      </w:r>
      <w:r>
        <w:rPr>
          <w:rFonts w:hint="eastAsia" w:ascii="宋体" w:hAnsi="宋体"/>
          <w:color w:val="auto"/>
          <w:szCs w:val="21"/>
        </w:rPr>
        <w:t>报价具有选择性的；</w:t>
      </w:r>
    </w:p>
    <w:p>
      <w:pPr>
        <w:snapToGrid w:val="0"/>
        <w:spacing w:line="420" w:lineRule="exact"/>
        <w:ind w:firstLine="420" w:firstLineChars="200"/>
        <w:rPr>
          <w:rFonts w:hint="eastAsia" w:ascii="宋体" w:hAnsi="宋体"/>
          <w:color w:val="auto"/>
          <w:szCs w:val="21"/>
        </w:rPr>
      </w:pPr>
      <w:r>
        <w:rPr>
          <w:rFonts w:ascii="宋体" w:hAnsi="宋体"/>
          <w:color w:val="auto"/>
          <w:szCs w:val="21"/>
        </w:rPr>
        <w:t>(4)</w:t>
      </w:r>
      <w:r>
        <w:rPr>
          <w:rFonts w:hint="eastAsia" w:ascii="宋体" w:hAnsi="宋体"/>
          <w:color w:val="auto"/>
          <w:szCs w:val="21"/>
        </w:rPr>
        <w:t>报价未按采购文件或政府采购云平台规定的格式填写，或未在规定时间内提交最后报价的。</w:t>
      </w:r>
    </w:p>
    <w:bookmarkEnd w:id="116"/>
    <w:p>
      <w:pPr>
        <w:spacing w:line="420" w:lineRule="exact"/>
        <w:ind w:firstLine="211" w:firstLineChars="100"/>
        <w:rPr>
          <w:b/>
          <w:bCs/>
          <w:color w:val="auto"/>
        </w:rPr>
      </w:pPr>
      <w:r>
        <w:rPr>
          <w:rFonts w:hint="eastAsia"/>
          <w:b/>
          <w:bCs/>
          <w:color w:val="auto"/>
        </w:rPr>
        <w:t>（七）澄清、说明或者更正的形式</w:t>
      </w:r>
    </w:p>
    <w:p>
      <w:pPr>
        <w:pStyle w:val="20"/>
        <w:spacing w:line="420" w:lineRule="exact"/>
        <w:ind w:firstLine="420"/>
        <w:rPr>
          <w:rFonts w:hint="eastAsia" w:hAnsi="宋体"/>
          <w:bCs/>
          <w:color w:val="auto"/>
        </w:rPr>
      </w:pPr>
      <w:r>
        <w:rPr>
          <w:rFonts w:hint="eastAsia" w:hAnsi="宋体"/>
          <w:bCs/>
          <w:color w:val="auto"/>
        </w:rPr>
        <w:t>1</w:t>
      </w:r>
      <w:r>
        <w:rPr>
          <w:rFonts w:hAnsi="宋体"/>
          <w:bCs/>
          <w:color w:val="auto"/>
        </w:rPr>
        <w:t>.</w:t>
      </w:r>
      <w:r>
        <w:rPr>
          <w:rFonts w:hint="eastAsia" w:hAnsi="宋体"/>
          <w:bCs/>
          <w:color w:val="auto"/>
        </w:rPr>
        <w:t>谈判小组在对响应文件的有效性、完整性和响应程度进行审查时，可以要求供应商对响应文件中含义不明确、同类问题表述不一致或者有明显文字和计算错误的内容等作出必要的</w:t>
      </w:r>
      <w:bookmarkStart w:id="117" w:name="_Hlk92462362"/>
      <w:r>
        <w:rPr>
          <w:rFonts w:hint="eastAsia" w:hAnsi="宋体"/>
          <w:bCs/>
          <w:color w:val="auto"/>
        </w:rPr>
        <w:t>澄清、说明或者更正</w:t>
      </w:r>
      <w:bookmarkEnd w:id="117"/>
      <w:r>
        <w:rPr>
          <w:rFonts w:hint="eastAsia" w:hAnsi="宋体"/>
          <w:bCs/>
          <w:color w:val="auto"/>
        </w:rPr>
        <w:t>。供应商的澄清、说明或者更正不得超出响应文件的范围或者改变响应文件的实质性内容。</w:t>
      </w:r>
    </w:p>
    <w:p>
      <w:pPr>
        <w:pStyle w:val="20"/>
        <w:spacing w:line="420" w:lineRule="exact"/>
        <w:ind w:firstLine="420"/>
        <w:rPr>
          <w:rFonts w:hint="eastAsia" w:hAnsi="宋体"/>
          <w:bCs/>
          <w:color w:val="auto"/>
        </w:rPr>
      </w:pPr>
      <w:r>
        <w:rPr>
          <w:rFonts w:hint="eastAsia" w:hAnsi="宋体"/>
          <w:bCs/>
          <w:color w:val="auto"/>
        </w:rPr>
        <w:t>2</w:t>
      </w:r>
      <w:r>
        <w:rPr>
          <w:rFonts w:hAnsi="宋体"/>
          <w:bCs/>
          <w:color w:val="auto"/>
        </w:rPr>
        <w:t>.</w:t>
      </w:r>
      <w:r>
        <w:rPr>
          <w:rFonts w:hint="eastAsia" w:hAnsi="宋体"/>
          <w:bCs/>
          <w:color w:val="auto"/>
        </w:rPr>
        <w:t>谈判小组要求供应商澄清、说明或者更正响应文件应当以书面形式作出。供应商的澄清、说明或者更正应当由法定代表人或其授权代表签名或者加盖公章。由授权代表签名的，应当附法定代表人授权书。供应商为自然人的，应当由本人签名并附身份证明。</w:t>
      </w:r>
    </w:p>
    <w:p>
      <w:pPr>
        <w:spacing w:line="420" w:lineRule="exact"/>
        <w:ind w:firstLine="211" w:firstLineChars="100"/>
        <w:rPr>
          <w:b/>
          <w:bCs/>
          <w:color w:val="auto"/>
        </w:rPr>
      </w:pPr>
      <w:r>
        <w:rPr>
          <w:rFonts w:hint="eastAsia"/>
          <w:b/>
          <w:bCs/>
          <w:color w:val="auto"/>
        </w:rPr>
        <w:t>（八）评定标准及推荐原则</w:t>
      </w:r>
    </w:p>
    <w:p>
      <w:pPr>
        <w:spacing w:line="420" w:lineRule="exact"/>
        <w:ind w:firstLine="420" w:firstLineChars="200"/>
        <w:rPr>
          <w:color w:val="auto"/>
        </w:rPr>
      </w:pPr>
      <w:r>
        <w:rPr>
          <w:rFonts w:hint="eastAsia" w:ascii="宋体" w:hAnsi="Courier New" w:cs="Courier New"/>
          <w:color w:val="auto"/>
          <w:szCs w:val="21"/>
        </w:rPr>
        <w:t>详见第四章《评定标准及推荐原则》。</w:t>
      </w:r>
    </w:p>
    <w:p>
      <w:pPr>
        <w:pStyle w:val="20"/>
        <w:spacing w:line="420" w:lineRule="exact"/>
        <w:ind w:firstLine="211" w:firstLineChars="100"/>
        <w:rPr>
          <w:rFonts w:hint="eastAsia" w:hAnsi="宋体"/>
          <w:b/>
          <w:color w:val="auto"/>
        </w:rPr>
      </w:pPr>
      <w:r>
        <w:rPr>
          <w:rFonts w:hint="eastAsia" w:hAnsi="宋体"/>
          <w:b/>
          <w:color w:val="auto"/>
        </w:rPr>
        <w:t>（九）供应商有下列情形之一的，属于恶意串通：</w:t>
      </w:r>
    </w:p>
    <w:p>
      <w:pPr>
        <w:pStyle w:val="20"/>
        <w:spacing w:line="420" w:lineRule="exact"/>
        <w:ind w:firstLine="420" w:firstLineChars="200"/>
        <w:rPr>
          <w:rFonts w:hint="eastAsia" w:hAnsi="宋体" w:cs="Times New Roman"/>
          <w:color w:val="auto"/>
        </w:rPr>
      </w:pPr>
      <w:r>
        <w:rPr>
          <w:rFonts w:hint="eastAsia" w:hAnsi="宋体" w:cs="Times New Roman"/>
          <w:color w:val="auto"/>
        </w:rPr>
        <w:t>1</w:t>
      </w:r>
      <w:r>
        <w:rPr>
          <w:rFonts w:hAnsi="宋体" w:cs="Times New Roman"/>
          <w:color w:val="auto"/>
        </w:rPr>
        <w:t>.</w:t>
      </w:r>
      <w:r>
        <w:rPr>
          <w:rFonts w:hint="eastAsia" w:hAnsi="宋体" w:cs="Times New Roman"/>
          <w:color w:val="auto"/>
        </w:rPr>
        <w:t>供应商直接或者间接从采购人或者采购代理机构处获得其他供应商的相关情况并修改其响应文件；</w:t>
      </w:r>
    </w:p>
    <w:p>
      <w:pPr>
        <w:pStyle w:val="20"/>
        <w:spacing w:line="420" w:lineRule="exact"/>
        <w:ind w:firstLine="420" w:firstLineChars="200"/>
        <w:rPr>
          <w:rFonts w:hint="eastAsia" w:hAnsi="宋体" w:cs="Times New Roman"/>
          <w:color w:val="auto"/>
        </w:rPr>
      </w:pPr>
      <w:r>
        <w:rPr>
          <w:rFonts w:hint="eastAsia" w:hAnsi="宋体" w:cs="Times New Roman"/>
          <w:color w:val="auto"/>
        </w:rPr>
        <w:t>2</w:t>
      </w:r>
      <w:r>
        <w:rPr>
          <w:rFonts w:hAnsi="宋体" w:cs="Times New Roman"/>
          <w:color w:val="auto"/>
        </w:rPr>
        <w:t>.</w:t>
      </w:r>
      <w:r>
        <w:rPr>
          <w:rFonts w:hint="eastAsia" w:hAnsi="宋体" w:cs="Times New Roman"/>
          <w:color w:val="auto"/>
        </w:rPr>
        <w:t>供应商按照采购人或者采购代理机构的授意撤换、修改响应文件；</w:t>
      </w:r>
    </w:p>
    <w:p>
      <w:pPr>
        <w:pStyle w:val="20"/>
        <w:spacing w:line="420" w:lineRule="exact"/>
        <w:ind w:firstLine="420" w:firstLineChars="200"/>
        <w:rPr>
          <w:rFonts w:hint="eastAsia" w:hAnsi="宋体" w:cs="Times New Roman"/>
          <w:color w:val="auto"/>
        </w:rPr>
      </w:pPr>
      <w:r>
        <w:rPr>
          <w:rFonts w:hint="eastAsia" w:hAnsi="宋体" w:cs="Times New Roman"/>
          <w:color w:val="auto"/>
        </w:rPr>
        <w:t>3</w:t>
      </w:r>
      <w:r>
        <w:rPr>
          <w:rFonts w:hAnsi="宋体" w:cs="Times New Roman"/>
          <w:color w:val="auto"/>
        </w:rPr>
        <w:t>.</w:t>
      </w:r>
      <w:r>
        <w:rPr>
          <w:rFonts w:hint="eastAsia" w:hAnsi="宋体" w:cs="Times New Roman"/>
          <w:color w:val="auto"/>
        </w:rPr>
        <w:t>供应商之间协商报价、技术方案等响应文件的实质性内容；</w:t>
      </w:r>
    </w:p>
    <w:p>
      <w:pPr>
        <w:pStyle w:val="20"/>
        <w:spacing w:line="420" w:lineRule="exact"/>
        <w:ind w:firstLine="420" w:firstLineChars="200"/>
        <w:rPr>
          <w:rFonts w:hint="eastAsia" w:hAnsi="宋体" w:cs="Times New Roman"/>
          <w:color w:val="auto"/>
        </w:rPr>
      </w:pPr>
      <w:r>
        <w:rPr>
          <w:rFonts w:hint="eastAsia" w:hAnsi="宋体" w:cs="Times New Roman"/>
          <w:color w:val="auto"/>
        </w:rPr>
        <w:t>4</w:t>
      </w:r>
      <w:r>
        <w:rPr>
          <w:rFonts w:hAnsi="宋体" w:cs="Times New Roman"/>
          <w:color w:val="auto"/>
        </w:rPr>
        <w:t>.</w:t>
      </w:r>
      <w:r>
        <w:rPr>
          <w:rFonts w:hint="eastAsia" w:hAnsi="宋体" w:cs="Times New Roman"/>
          <w:color w:val="auto"/>
        </w:rPr>
        <w:t>属于同一集团、协会、商会等组织成员的供应商按照该组织要求协同参加政府采购活动；</w:t>
      </w:r>
    </w:p>
    <w:p>
      <w:pPr>
        <w:pStyle w:val="20"/>
        <w:spacing w:line="420" w:lineRule="exact"/>
        <w:ind w:firstLine="420" w:firstLineChars="200"/>
        <w:rPr>
          <w:rFonts w:hint="eastAsia" w:hAnsi="宋体" w:cs="Times New Roman"/>
          <w:color w:val="auto"/>
        </w:rPr>
      </w:pPr>
      <w:r>
        <w:rPr>
          <w:rFonts w:hint="eastAsia" w:hAnsi="宋体" w:cs="Times New Roman"/>
          <w:color w:val="auto"/>
        </w:rPr>
        <w:t>5</w:t>
      </w:r>
      <w:r>
        <w:rPr>
          <w:rFonts w:hAnsi="宋体" w:cs="Times New Roman"/>
          <w:color w:val="auto"/>
        </w:rPr>
        <w:t>.</w:t>
      </w:r>
      <w:r>
        <w:rPr>
          <w:rFonts w:hint="eastAsia" w:hAnsi="宋体" w:cs="Times New Roman"/>
          <w:color w:val="auto"/>
        </w:rPr>
        <w:t>供应商之间事先约定由某一特定供应商成交；</w:t>
      </w:r>
    </w:p>
    <w:p>
      <w:pPr>
        <w:pStyle w:val="20"/>
        <w:spacing w:line="420" w:lineRule="exact"/>
        <w:ind w:firstLine="420" w:firstLineChars="200"/>
        <w:rPr>
          <w:rFonts w:hint="eastAsia" w:hAnsi="宋体" w:cs="Times New Roman"/>
          <w:color w:val="auto"/>
        </w:rPr>
      </w:pPr>
      <w:r>
        <w:rPr>
          <w:rFonts w:hint="eastAsia" w:hAnsi="宋体" w:cs="Times New Roman"/>
          <w:color w:val="auto"/>
        </w:rPr>
        <w:t>6</w:t>
      </w:r>
      <w:r>
        <w:rPr>
          <w:rFonts w:hAnsi="宋体" w:cs="Times New Roman"/>
          <w:color w:val="auto"/>
        </w:rPr>
        <w:t>.</w:t>
      </w:r>
      <w:r>
        <w:rPr>
          <w:rFonts w:hint="eastAsia" w:hAnsi="宋体" w:cs="Times New Roman"/>
          <w:color w:val="auto"/>
        </w:rPr>
        <w:t>供应商之间商定部分供应商放弃参加政府采购活动或者放弃成交；</w:t>
      </w:r>
    </w:p>
    <w:p>
      <w:pPr>
        <w:pStyle w:val="20"/>
        <w:spacing w:line="420" w:lineRule="exact"/>
        <w:ind w:firstLine="420" w:firstLineChars="200"/>
        <w:rPr>
          <w:rFonts w:hint="eastAsia" w:hAnsi="宋体" w:cs="Times New Roman"/>
          <w:color w:val="auto"/>
        </w:rPr>
      </w:pPr>
      <w:r>
        <w:rPr>
          <w:rFonts w:hint="eastAsia" w:hAnsi="宋体" w:cs="Times New Roman"/>
          <w:color w:val="auto"/>
        </w:rPr>
        <w:t>7</w:t>
      </w:r>
      <w:r>
        <w:rPr>
          <w:rFonts w:hAnsi="宋体" w:cs="Times New Roman"/>
          <w:color w:val="auto"/>
        </w:rPr>
        <w:t>.</w:t>
      </w:r>
      <w:r>
        <w:rPr>
          <w:rFonts w:hint="eastAsia" w:hAnsi="宋体" w:cs="Times New Roman"/>
          <w:color w:val="auto"/>
        </w:rPr>
        <w:t>供应商与采购人或者采购代理机构之间、供应商相互之间，为谋求特定供应商成交或者排斥其他供应商的其他串通行为。</w:t>
      </w:r>
    </w:p>
    <w:p>
      <w:pPr>
        <w:pStyle w:val="20"/>
        <w:spacing w:line="420" w:lineRule="exact"/>
        <w:ind w:firstLine="211" w:firstLineChars="100"/>
        <w:rPr>
          <w:rFonts w:hint="eastAsia" w:hAnsi="宋体"/>
          <w:b/>
          <w:color w:val="auto"/>
        </w:rPr>
      </w:pPr>
      <w:r>
        <w:rPr>
          <w:rFonts w:hint="eastAsia" w:hAnsi="宋体"/>
          <w:b/>
          <w:color w:val="auto"/>
        </w:rPr>
        <w:t>（十）评审报告</w:t>
      </w:r>
    </w:p>
    <w:p>
      <w:pPr>
        <w:widowControl/>
        <w:tabs>
          <w:tab w:val="left" w:pos="540"/>
        </w:tabs>
        <w:spacing w:line="420" w:lineRule="exact"/>
        <w:ind w:firstLine="420" w:firstLineChars="200"/>
        <w:jc w:val="left"/>
        <w:rPr>
          <w:color w:val="auto"/>
          <w:szCs w:val="21"/>
        </w:rPr>
      </w:pPr>
      <w:r>
        <w:rPr>
          <w:rFonts w:hint="eastAsia"/>
          <w:color w:val="auto"/>
          <w:szCs w:val="21"/>
        </w:rPr>
        <w:t>1</w:t>
      </w:r>
      <w:r>
        <w:rPr>
          <w:color w:val="auto"/>
          <w:szCs w:val="21"/>
        </w:rPr>
        <w:t>.</w:t>
      </w:r>
      <w:r>
        <w:rPr>
          <w:rFonts w:hint="eastAsia"/>
          <w:color w:val="auto"/>
          <w:szCs w:val="21"/>
        </w:rPr>
        <w:t>谈判小组应当根据评审记录和评审结果编写评审报告，主要内容包括：</w:t>
      </w:r>
    </w:p>
    <w:p>
      <w:pPr>
        <w:widowControl/>
        <w:tabs>
          <w:tab w:val="left" w:pos="540"/>
        </w:tabs>
        <w:spacing w:line="420" w:lineRule="exact"/>
        <w:ind w:firstLine="420" w:firstLineChars="200"/>
        <w:jc w:val="left"/>
        <w:rPr>
          <w:color w:val="auto"/>
          <w:szCs w:val="21"/>
        </w:rPr>
      </w:pPr>
      <w:r>
        <w:rPr>
          <w:rFonts w:hint="eastAsia"/>
          <w:color w:val="auto"/>
          <w:szCs w:val="21"/>
        </w:rPr>
        <w:t>(</w:t>
      </w:r>
      <w:r>
        <w:rPr>
          <w:color w:val="auto"/>
          <w:szCs w:val="21"/>
        </w:rPr>
        <w:t>1)</w:t>
      </w:r>
      <w:r>
        <w:rPr>
          <w:rFonts w:hint="eastAsia"/>
          <w:color w:val="auto"/>
          <w:szCs w:val="21"/>
        </w:rPr>
        <w:t>邀请供应商参加采购活动的具体方式和相关情况，以及参加采购活动的供应商名单；</w:t>
      </w:r>
    </w:p>
    <w:p>
      <w:pPr>
        <w:widowControl/>
        <w:tabs>
          <w:tab w:val="left" w:pos="540"/>
        </w:tabs>
        <w:spacing w:line="420" w:lineRule="exact"/>
        <w:ind w:firstLine="420" w:firstLineChars="200"/>
        <w:jc w:val="left"/>
        <w:rPr>
          <w:color w:val="auto"/>
          <w:szCs w:val="21"/>
        </w:rPr>
      </w:pPr>
      <w:r>
        <w:rPr>
          <w:rFonts w:hint="eastAsia"/>
          <w:color w:val="auto"/>
          <w:szCs w:val="21"/>
        </w:rPr>
        <w:t>(</w:t>
      </w:r>
      <w:r>
        <w:rPr>
          <w:color w:val="auto"/>
          <w:szCs w:val="21"/>
        </w:rPr>
        <w:t>2)</w:t>
      </w:r>
      <w:r>
        <w:rPr>
          <w:rFonts w:hint="eastAsia"/>
          <w:color w:val="auto"/>
          <w:szCs w:val="21"/>
        </w:rPr>
        <w:t>评审日期和地点，谈判小组成员名单；</w:t>
      </w:r>
    </w:p>
    <w:p>
      <w:pPr>
        <w:widowControl/>
        <w:tabs>
          <w:tab w:val="left" w:pos="540"/>
        </w:tabs>
        <w:spacing w:line="420" w:lineRule="exact"/>
        <w:ind w:firstLine="420" w:firstLineChars="200"/>
        <w:jc w:val="left"/>
        <w:rPr>
          <w:color w:val="auto"/>
          <w:szCs w:val="21"/>
        </w:rPr>
      </w:pPr>
      <w:r>
        <w:rPr>
          <w:rFonts w:hint="eastAsia"/>
          <w:color w:val="auto"/>
          <w:szCs w:val="21"/>
        </w:rPr>
        <w:t>(</w:t>
      </w:r>
      <w:r>
        <w:rPr>
          <w:color w:val="auto"/>
          <w:szCs w:val="21"/>
        </w:rPr>
        <w:t>3)</w:t>
      </w:r>
      <w:r>
        <w:rPr>
          <w:rFonts w:hint="eastAsia"/>
          <w:color w:val="auto"/>
          <w:szCs w:val="21"/>
        </w:rPr>
        <w:t>评审情况记录和说明，包括对供应商的资格审查情况、供应商响应文件评审情况、谈判情况、报价情况等；</w:t>
      </w:r>
    </w:p>
    <w:p>
      <w:pPr>
        <w:widowControl/>
        <w:tabs>
          <w:tab w:val="left" w:pos="540"/>
        </w:tabs>
        <w:spacing w:line="420" w:lineRule="exact"/>
        <w:ind w:firstLine="420" w:firstLineChars="200"/>
        <w:jc w:val="left"/>
        <w:rPr>
          <w:rFonts w:hint="eastAsia" w:eastAsia="宋体"/>
          <w:color w:val="auto"/>
          <w:lang w:eastAsia="zh-CN"/>
        </w:rPr>
      </w:pPr>
      <w:r>
        <w:rPr>
          <w:rFonts w:hint="eastAsia"/>
          <w:color w:val="auto"/>
        </w:rPr>
        <w:t>(</w:t>
      </w:r>
      <w:r>
        <w:rPr>
          <w:color w:val="auto"/>
        </w:rPr>
        <w:t>4)</w:t>
      </w:r>
      <w:r>
        <w:rPr>
          <w:rFonts w:hint="eastAsia"/>
          <w:color w:val="auto"/>
        </w:rPr>
        <w:t>提出的成交候选人的名单及理由。</w:t>
      </w:r>
    </w:p>
    <w:p>
      <w:pPr>
        <w:widowControl/>
        <w:tabs>
          <w:tab w:val="left" w:pos="540"/>
        </w:tabs>
        <w:spacing w:line="420" w:lineRule="exact"/>
        <w:ind w:firstLine="420" w:firstLineChars="200"/>
        <w:jc w:val="left"/>
        <w:rPr>
          <w:color w:val="auto"/>
          <w:szCs w:val="21"/>
        </w:rPr>
      </w:pPr>
      <w:r>
        <w:rPr>
          <w:rFonts w:hint="eastAsia"/>
          <w:color w:val="auto"/>
        </w:rPr>
        <w:t>　　2</w:t>
      </w:r>
      <w:r>
        <w:rPr>
          <w:color w:val="auto"/>
        </w:rPr>
        <w:t>.</w:t>
      </w:r>
      <w:r>
        <w:rPr>
          <w:rFonts w:hint="eastAsia"/>
          <w:color w:val="auto"/>
        </w:rPr>
        <w:t>评审报告应当由谈判小组全体人员签名认可。谈判小组成员对评审报告有异议的，谈判小组按照少数服从多数的原则推荐成交候选人，采购程序继续进行。对评审报告有异议的谈判小组成员，应当在报告上签署不同意见并说明理由，由谈判小组书面记录相关情况。谈判小组成员拒绝在报告上签名又不书面说明其不同意见和理由的，视为同意评审报告。</w:t>
      </w:r>
    </w:p>
    <w:p>
      <w:pPr>
        <w:pStyle w:val="20"/>
        <w:spacing w:line="420" w:lineRule="exact"/>
        <w:ind w:firstLine="211" w:firstLineChars="100"/>
        <w:rPr>
          <w:rFonts w:hint="eastAsia" w:hAnsi="宋体"/>
          <w:color w:val="auto"/>
        </w:rPr>
      </w:pPr>
      <w:r>
        <w:rPr>
          <w:rFonts w:hint="eastAsia" w:hAnsi="宋体"/>
          <w:b/>
          <w:bCs/>
          <w:color w:val="auto"/>
        </w:rPr>
        <w:t>（十一）</w:t>
      </w:r>
      <w:r>
        <w:rPr>
          <w:rFonts w:hint="eastAsia" w:hAnsi="宋体"/>
          <w:b/>
          <w:color w:val="auto"/>
        </w:rPr>
        <w:t>出现下列情形之一的，本中心将终止竞争性谈判采购活动：</w:t>
      </w:r>
    </w:p>
    <w:p>
      <w:pPr>
        <w:pStyle w:val="20"/>
        <w:spacing w:line="420" w:lineRule="exact"/>
        <w:ind w:firstLine="420" w:firstLineChars="200"/>
        <w:rPr>
          <w:rFonts w:hint="eastAsia" w:hAnsi="宋体"/>
          <w:color w:val="auto"/>
        </w:rPr>
      </w:pPr>
      <w:r>
        <w:rPr>
          <w:rFonts w:hint="eastAsia" w:hAnsi="宋体"/>
          <w:color w:val="auto"/>
        </w:rPr>
        <w:t>1</w:t>
      </w:r>
      <w:r>
        <w:rPr>
          <w:rFonts w:hAnsi="宋体"/>
          <w:color w:val="auto"/>
        </w:rPr>
        <w:t>.</w:t>
      </w:r>
      <w:r>
        <w:rPr>
          <w:rFonts w:hint="eastAsia" w:hAnsi="宋体"/>
          <w:color w:val="auto"/>
        </w:rPr>
        <w:t>因情况变化，不再符合规定的竞争性谈判采购方式适用情形的；</w:t>
      </w:r>
    </w:p>
    <w:p>
      <w:pPr>
        <w:pStyle w:val="20"/>
        <w:spacing w:line="420" w:lineRule="exact"/>
        <w:ind w:firstLine="420" w:firstLineChars="200"/>
        <w:rPr>
          <w:rFonts w:hint="eastAsia" w:hAnsi="宋体"/>
          <w:color w:val="auto"/>
        </w:rPr>
      </w:pPr>
      <w:r>
        <w:rPr>
          <w:rFonts w:hint="eastAsia" w:hAnsi="宋体"/>
          <w:color w:val="auto"/>
        </w:rPr>
        <w:t>2</w:t>
      </w:r>
      <w:r>
        <w:rPr>
          <w:rFonts w:hAnsi="宋体"/>
          <w:color w:val="auto"/>
        </w:rPr>
        <w:t>.</w:t>
      </w:r>
      <w:r>
        <w:rPr>
          <w:rFonts w:hint="eastAsia" w:hAnsi="宋体"/>
          <w:color w:val="auto"/>
        </w:rPr>
        <w:t>出现影响采购公正的违法、违规行为的；</w:t>
      </w:r>
    </w:p>
    <w:p>
      <w:pPr>
        <w:pStyle w:val="20"/>
        <w:spacing w:line="420" w:lineRule="exact"/>
        <w:ind w:firstLine="420" w:firstLineChars="200"/>
        <w:rPr>
          <w:rFonts w:hint="eastAsia" w:hAnsi="宋体"/>
          <w:color w:val="auto"/>
        </w:rPr>
      </w:pPr>
      <w:r>
        <w:rPr>
          <w:rFonts w:hint="eastAsia" w:hAnsi="宋体"/>
          <w:color w:val="auto"/>
        </w:rPr>
        <w:t>3</w:t>
      </w:r>
      <w:r>
        <w:rPr>
          <w:rFonts w:hAnsi="宋体"/>
          <w:color w:val="auto"/>
        </w:rPr>
        <w:t>.</w:t>
      </w:r>
      <w:r>
        <w:rPr>
          <w:rFonts w:hint="eastAsia" w:hAnsi="宋体"/>
          <w:color w:val="auto"/>
        </w:rPr>
        <w:t>在采购过程中符合竞争要求的供应商或者报价未超过采购预算的供应商不足3家的。</w:t>
      </w:r>
    </w:p>
    <w:p>
      <w:pPr>
        <w:pStyle w:val="4"/>
        <w:spacing w:line="420" w:lineRule="exact"/>
        <w:rPr>
          <w:color w:val="auto"/>
        </w:rPr>
      </w:pPr>
      <w:r>
        <w:rPr>
          <w:rFonts w:hint="eastAsia"/>
          <w:color w:val="auto"/>
        </w:rPr>
        <w:t>六、确定成交供应商</w:t>
      </w:r>
    </w:p>
    <w:p>
      <w:pPr>
        <w:pStyle w:val="20"/>
        <w:spacing w:line="420" w:lineRule="exact"/>
        <w:ind w:firstLine="420"/>
        <w:rPr>
          <w:rFonts w:hint="eastAsia" w:hAnsi="宋体"/>
          <w:color w:val="auto"/>
        </w:rPr>
      </w:pPr>
      <w:r>
        <w:rPr>
          <w:rFonts w:hint="eastAsia" w:hAnsi="宋体"/>
          <w:color w:val="auto"/>
        </w:rPr>
        <w:t>1</w:t>
      </w:r>
      <w:r>
        <w:rPr>
          <w:rFonts w:hAnsi="宋体"/>
          <w:color w:val="auto"/>
        </w:rPr>
        <w:t>.</w:t>
      </w:r>
      <w:r>
        <w:rPr>
          <w:rFonts w:hint="eastAsia" w:hAnsi="宋体"/>
          <w:color w:val="auto"/>
        </w:rPr>
        <w:t>本中心应当在评审结束后2个工作日内将评审报告送采购人确认。</w:t>
      </w:r>
    </w:p>
    <w:p>
      <w:pPr>
        <w:pStyle w:val="20"/>
        <w:spacing w:line="420" w:lineRule="exact"/>
        <w:ind w:firstLine="420"/>
        <w:rPr>
          <w:rFonts w:hint="eastAsia" w:hAnsi="宋体"/>
          <w:color w:val="auto"/>
        </w:rPr>
      </w:pPr>
      <w:r>
        <w:rPr>
          <w:rFonts w:hAnsi="宋体"/>
          <w:color w:val="auto"/>
        </w:rPr>
        <w:t>2.</w:t>
      </w:r>
      <w:r>
        <w:rPr>
          <w:rFonts w:hint="eastAsia" w:hAnsi="宋体"/>
          <w:color w:val="auto"/>
        </w:rPr>
        <w:t>采购人应当在收到评审报告后5个工作日内，从评审报告提出的成交候选人中，根据质量和服务均能满足采购文件实质性响应要求且最后报价最低的原则确定成交供应商，也可以书面授权谈判小组直接确定成交供应商。采购人逾期未确定成交供应商且不提出异议的，视为确定评审报告提出的最后报价最低的供应商为成交供应商。</w:t>
      </w:r>
    </w:p>
    <w:p>
      <w:pPr>
        <w:pStyle w:val="4"/>
        <w:spacing w:line="420" w:lineRule="exact"/>
        <w:rPr>
          <w:color w:val="auto"/>
        </w:rPr>
      </w:pPr>
      <w:r>
        <w:rPr>
          <w:rFonts w:hint="eastAsia"/>
          <w:color w:val="auto"/>
        </w:rPr>
        <w:t>七、结果公告</w:t>
      </w:r>
    </w:p>
    <w:p>
      <w:pPr>
        <w:pStyle w:val="20"/>
        <w:spacing w:line="420" w:lineRule="exact"/>
        <w:ind w:firstLine="420" w:firstLineChars="200"/>
        <w:rPr>
          <w:rFonts w:hint="eastAsia" w:hAnsi="宋体"/>
          <w:color w:val="auto"/>
        </w:rPr>
      </w:pPr>
      <w:r>
        <w:rPr>
          <w:rFonts w:hint="eastAsia" w:hAnsi="宋体"/>
          <w:color w:val="auto"/>
        </w:rPr>
        <w:t>本中心在成交供应商确定后2个工作日内，</w:t>
      </w:r>
      <w:r>
        <w:rPr>
          <w:rFonts w:hint="eastAsia"/>
          <w:color w:val="auto"/>
        </w:rPr>
        <w:t>在省级以上财政部门指定的媒体上公告</w:t>
      </w:r>
      <w:r>
        <w:rPr>
          <w:rFonts w:hint="eastAsia" w:hAnsi="宋体"/>
          <w:color w:val="auto"/>
        </w:rPr>
        <w:t>成交结果，同时向成交供应商发出成交通知书。</w:t>
      </w:r>
    </w:p>
    <w:p>
      <w:pPr>
        <w:pStyle w:val="4"/>
        <w:spacing w:line="420" w:lineRule="exact"/>
        <w:rPr>
          <w:color w:val="auto"/>
        </w:rPr>
      </w:pPr>
      <w:r>
        <w:rPr>
          <w:rFonts w:hint="eastAsia"/>
          <w:color w:val="auto"/>
        </w:rPr>
        <w:t>八、签订合同</w:t>
      </w:r>
    </w:p>
    <w:p>
      <w:pPr>
        <w:spacing w:line="420" w:lineRule="exact"/>
        <w:ind w:firstLine="210" w:firstLineChars="100"/>
        <w:rPr>
          <w:rFonts w:hint="eastAsia" w:ascii="宋体" w:hAnsi="宋体" w:cs="Courier New"/>
          <w:color w:val="auto"/>
          <w:szCs w:val="21"/>
        </w:rPr>
      </w:pPr>
      <w:r>
        <w:rPr>
          <w:rFonts w:hint="eastAsia" w:ascii="宋体" w:hAnsi="宋体"/>
          <w:color w:val="auto"/>
          <w:szCs w:val="21"/>
        </w:rPr>
        <w:t>（一）</w:t>
      </w:r>
      <w:r>
        <w:rPr>
          <w:rFonts w:hint="eastAsia" w:ascii="宋体" w:hAnsi="宋体" w:cs="Courier New"/>
          <w:color w:val="auto"/>
          <w:szCs w:val="21"/>
        </w:rPr>
        <w:t>采购人与成交供应商应当在成交通知书发出之日起</w:t>
      </w:r>
      <w:r>
        <w:rPr>
          <w:rFonts w:ascii="宋体" w:hAnsi="宋体" w:cs="Courier New"/>
          <w:color w:val="auto"/>
          <w:szCs w:val="21"/>
        </w:rPr>
        <w:t>15</w:t>
      </w:r>
      <w:r>
        <w:rPr>
          <w:rFonts w:hint="eastAsia" w:ascii="宋体" w:hAnsi="宋体" w:cs="Courier New"/>
          <w:color w:val="auto"/>
          <w:szCs w:val="21"/>
        </w:rPr>
        <w:t>日内，</w:t>
      </w:r>
      <w:r>
        <w:rPr>
          <w:rFonts w:hint="eastAsia"/>
          <w:color w:val="auto"/>
          <w:szCs w:val="21"/>
        </w:rPr>
        <w:t>按照采购文件确定的合同文本以及采购标的、规格型号、采购金额、采购数量、技术和服务要求等事项签订政府采购合同。</w:t>
      </w:r>
    </w:p>
    <w:p>
      <w:pPr>
        <w:widowControl/>
        <w:spacing w:line="420" w:lineRule="exact"/>
        <w:ind w:firstLine="210" w:firstLineChars="100"/>
        <w:jc w:val="left"/>
        <w:rPr>
          <w:rFonts w:hint="eastAsia" w:ascii="宋体" w:hAnsi="宋体" w:cs="宋体"/>
          <w:color w:val="auto"/>
          <w:kern w:val="0"/>
          <w:szCs w:val="21"/>
        </w:rPr>
      </w:pPr>
      <w:r>
        <w:rPr>
          <w:rFonts w:hint="eastAsia" w:ascii="宋体" w:hAnsi="宋体" w:cs="Courier New"/>
          <w:color w:val="auto"/>
          <w:szCs w:val="21"/>
        </w:rPr>
        <w:t>（二）</w:t>
      </w:r>
      <w:r>
        <w:rPr>
          <w:rFonts w:hint="eastAsia" w:ascii="宋体" w:hAnsi="宋体" w:cs="宋体"/>
          <w:color w:val="auto"/>
          <w:kern w:val="0"/>
          <w:szCs w:val="21"/>
        </w:rPr>
        <w:t>采购人不得向成交供应商提出超出采购文件以外的任何要求作为签订合同的条件，不得与成交供应商订立背离采购文件确定的合同文本以及采购标的、规格型号、采购金额、采购数量、技术和服务要求等实质性内容的协议。</w:t>
      </w:r>
    </w:p>
    <w:p>
      <w:pPr>
        <w:widowControl/>
        <w:spacing w:line="420" w:lineRule="exact"/>
        <w:ind w:firstLine="210" w:firstLineChars="100"/>
        <w:jc w:val="left"/>
        <w:rPr>
          <w:rFonts w:hint="eastAsia" w:ascii="宋体" w:hAnsi="宋体" w:cs="宋体"/>
          <w:color w:val="auto"/>
          <w:kern w:val="0"/>
          <w:szCs w:val="21"/>
        </w:rPr>
      </w:pPr>
      <w:r>
        <w:rPr>
          <w:rFonts w:hint="eastAsia" w:ascii="宋体" w:hAnsi="宋体" w:cs="宋体"/>
          <w:color w:val="auto"/>
          <w:kern w:val="0"/>
          <w:szCs w:val="21"/>
        </w:rPr>
        <w:t>（三）供应商可凭成交通知书或政府采购合同等在内的相关材料、信息，通过中征应收账款融资服务平台向银行业金融机构在线申请“政采贷”融资。</w:t>
      </w:r>
    </w:p>
    <w:p>
      <w:pPr>
        <w:widowControl/>
        <w:spacing w:line="420" w:lineRule="exact"/>
        <w:ind w:firstLine="210" w:firstLineChars="100"/>
        <w:jc w:val="left"/>
        <w:rPr>
          <w:rFonts w:hint="eastAsia" w:ascii="宋体" w:hAnsi="宋体" w:cs="宋体"/>
          <w:color w:val="auto"/>
          <w:kern w:val="0"/>
          <w:szCs w:val="21"/>
        </w:rPr>
      </w:pPr>
      <w:r>
        <w:rPr>
          <w:rFonts w:hint="eastAsia" w:ascii="宋体" w:hAnsi="宋体" w:cs="宋体"/>
          <w:color w:val="auto"/>
          <w:kern w:val="0"/>
          <w:szCs w:val="21"/>
        </w:rPr>
        <w:t>（四）除不可抗力等因素外，成交通知书发出后，采购人改变成交结果，或者成交供应商拒绝签订政府采购合同的，应当承担相应的法律责任。</w:t>
      </w:r>
    </w:p>
    <w:p>
      <w:pPr>
        <w:widowControl/>
        <w:spacing w:line="420" w:lineRule="exact"/>
        <w:ind w:firstLine="210" w:firstLineChars="100"/>
        <w:jc w:val="left"/>
        <w:rPr>
          <w:rFonts w:hint="eastAsia" w:ascii="宋体" w:hAnsi="宋体" w:cs="宋体"/>
          <w:color w:val="auto"/>
          <w:kern w:val="0"/>
          <w:szCs w:val="21"/>
        </w:rPr>
      </w:pPr>
      <w:r>
        <w:rPr>
          <w:rFonts w:hint="eastAsia" w:ascii="宋体" w:hAnsi="宋体" w:cs="宋体"/>
          <w:color w:val="auto"/>
          <w:kern w:val="0"/>
          <w:szCs w:val="21"/>
        </w:rPr>
        <w:t>（五）</w:t>
      </w:r>
      <w:r>
        <w:rPr>
          <w:rFonts w:ascii="Arial" w:hAnsi="Arial" w:cs="Arial"/>
          <w:color w:val="auto"/>
          <w:kern w:val="0"/>
          <w:szCs w:val="21"/>
        </w:rPr>
        <w:t>政府采购合同</w:t>
      </w:r>
      <w:r>
        <w:rPr>
          <w:rFonts w:hint="eastAsia" w:ascii="Arial" w:hAnsi="Arial" w:cs="Arial"/>
          <w:color w:val="auto"/>
          <w:kern w:val="0"/>
          <w:szCs w:val="21"/>
        </w:rPr>
        <w:t>适用《中华人民共和国民法典》</w:t>
      </w:r>
      <w:r>
        <w:rPr>
          <w:rFonts w:ascii="Arial" w:hAnsi="Arial" w:cs="Arial"/>
          <w:color w:val="auto"/>
          <w:kern w:val="0"/>
          <w:szCs w:val="21"/>
        </w:rPr>
        <w:t>。</w:t>
      </w:r>
    </w:p>
    <w:p>
      <w:pPr>
        <w:widowControl/>
        <w:spacing w:line="420" w:lineRule="exact"/>
        <w:ind w:firstLine="210" w:firstLineChars="100"/>
        <w:jc w:val="left"/>
        <w:rPr>
          <w:rFonts w:hint="eastAsia" w:ascii="宋体" w:hAnsi="宋体" w:cs="宋体"/>
          <w:color w:val="auto"/>
          <w:kern w:val="0"/>
          <w:szCs w:val="21"/>
        </w:rPr>
      </w:pPr>
      <w:r>
        <w:rPr>
          <w:rFonts w:hint="eastAsia" w:ascii="宋体" w:hAnsi="宋体" w:cs="宋体"/>
          <w:color w:val="auto"/>
          <w:kern w:val="0"/>
          <w:szCs w:val="21"/>
        </w:rPr>
        <w:t>（六）成交供应商拒绝签订政府采购合同的，采购人可以按照推荐原则确定其他供应商作为成交供应商并签订政府采购合同，也可以重新开展采购活动。拒绝签订政府采购合同的成交供应商不得参加对该项目重新开展的采购活动。</w:t>
      </w:r>
    </w:p>
    <w:p>
      <w:pPr>
        <w:pStyle w:val="4"/>
        <w:spacing w:line="420" w:lineRule="exact"/>
        <w:rPr>
          <w:color w:val="auto"/>
        </w:rPr>
      </w:pPr>
      <w:r>
        <w:rPr>
          <w:rFonts w:hint="eastAsia"/>
          <w:color w:val="auto"/>
        </w:rPr>
        <w:t>九、适用法律</w:t>
      </w:r>
    </w:p>
    <w:p>
      <w:pPr>
        <w:spacing w:line="420" w:lineRule="exact"/>
        <w:ind w:firstLine="420" w:firstLineChars="200"/>
        <w:rPr>
          <w:rFonts w:hint="eastAsia" w:ascii="宋体" w:hAnsi="宋体"/>
          <w:color w:val="auto"/>
          <w:szCs w:val="21"/>
        </w:rPr>
      </w:pPr>
      <w:bookmarkStart w:id="118" w:name="_Hlk92794186"/>
      <w:r>
        <w:rPr>
          <w:rFonts w:hint="eastAsia" w:ascii="宋体" w:hAnsi="宋体"/>
          <w:color w:val="auto"/>
          <w:szCs w:val="21"/>
        </w:rPr>
        <w:t>本项目采购活动适用于《中华人民共和国政府采购法》及其实施条例、《政府采购非招标采购方式管理办法》等规定。</w:t>
      </w:r>
    </w:p>
    <w:bookmarkEnd w:id="118"/>
    <w:p>
      <w:pPr>
        <w:pStyle w:val="4"/>
        <w:spacing w:line="420" w:lineRule="exact"/>
        <w:rPr>
          <w:color w:val="auto"/>
        </w:rPr>
      </w:pPr>
      <w:bookmarkStart w:id="119" w:name="_十、其他事项"/>
      <w:bookmarkEnd w:id="119"/>
      <w:r>
        <w:rPr>
          <w:rFonts w:hint="eastAsia"/>
          <w:color w:val="auto"/>
        </w:rPr>
        <w:t>十、其他事项</w:t>
      </w:r>
    </w:p>
    <w:p>
      <w:pPr>
        <w:spacing w:line="420" w:lineRule="exact"/>
        <w:ind w:firstLine="210" w:firstLineChars="100"/>
        <w:rPr>
          <w:rFonts w:hint="eastAsia" w:hAnsi="宋体"/>
          <w:color w:val="auto"/>
        </w:rPr>
      </w:pPr>
      <w:r>
        <w:rPr>
          <w:rFonts w:hint="eastAsia" w:hAnsi="宋体"/>
          <w:color w:val="auto"/>
        </w:rPr>
        <w:t>（一）代理服务费</w:t>
      </w:r>
    </w:p>
    <w:p>
      <w:pPr>
        <w:spacing w:line="420" w:lineRule="exact"/>
        <w:ind w:firstLine="420" w:firstLineChars="200"/>
        <w:rPr>
          <w:rFonts w:hint="eastAsia" w:hAnsi="宋体"/>
          <w:color w:val="auto"/>
        </w:rPr>
      </w:pPr>
      <w:r>
        <w:rPr>
          <w:rFonts w:hint="eastAsia" w:hAnsi="宋体"/>
          <w:color w:val="auto"/>
        </w:rPr>
        <w:t>1</w:t>
      </w:r>
      <w:r>
        <w:rPr>
          <w:rFonts w:hAnsi="宋体"/>
          <w:color w:val="auto"/>
        </w:rPr>
        <w:t>.</w:t>
      </w:r>
      <w:r>
        <w:rPr>
          <w:rFonts w:hint="eastAsia" w:hAnsi="宋体"/>
          <w:color w:val="auto"/>
        </w:rPr>
        <w:t>本中心按钦州市物价局“钦市价费﹝2013﹞4号”文件规定向成交供应商收取代理服务费，成交供应商须向本中心一次付清代理服务费。</w:t>
      </w:r>
    </w:p>
    <w:p>
      <w:pPr>
        <w:spacing w:line="420" w:lineRule="exact"/>
        <w:ind w:firstLine="420" w:firstLineChars="200"/>
        <w:rPr>
          <w:rFonts w:hint="eastAsia" w:hAnsi="宋体"/>
          <w:color w:val="auto"/>
        </w:rPr>
      </w:pPr>
      <w:r>
        <w:rPr>
          <w:rFonts w:hint="eastAsia" w:hAnsi="宋体"/>
          <w:color w:val="auto"/>
        </w:rPr>
        <w:t>2</w:t>
      </w:r>
      <w:r>
        <w:rPr>
          <w:rFonts w:hAnsi="宋体"/>
          <w:color w:val="auto"/>
        </w:rPr>
        <w:t>.</w:t>
      </w:r>
      <w:r>
        <w:rPr>
          <w:rFonts w:hint="eastAsia" w:hAnsi="宋体"/>
          <w:bCs/>
          <w:color w:val="auto"/>
        </w:rPr>
        <w:t>代理服务收费标准：</w:t>
      </w:r>
    </w:p>
    <w:tbl>
      <w:tblPr>
        <w:tblStyle w:val="34"/>
        <w:tblW w:w="0" w:type="auto"/>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38"/>
        <w:gridCol w:w="1932"/>
        <w:gridCol w:w="1800"/>
        <w:gridCol w:w="1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trPr>
        <w:tc>
          <w:tcPr>
            <w:tcW w:w="3438" w:type="dxa"/>
            <w:vMerge w:val="restart"/>
          </w:tcPr>
          <w:p>
            <w:pPr>
              <w:spacing w:line="330" w:lineRule="exact"/>
              <w:ind w:firstLine="2310" w:firstLineChars="1100"/>
              <w:rPr>
                <w:rFonts w:hint="eastAsia" w:hAnsi="宋体"/>
                <w:color w:val="auto"/>
              </w:rPr>
            </w:pPr>
            <w:r>
              <w:rPr>
                <w:rFonts w:hAnsi="宋体"/>
                <w:color w:val="auto"/>
              </w:rPr>
              <mc:AlternateContent>
                <mc:Choice Requires="wps">
                  <w:drawing>
                    <wp:anchor distT="0" distB="0" distL="114300" distR="114300" simplePos="0" relativeHeight="251660288" behindDoc="0" locked="0" layoutInCell="1" allowOverlap="1">
                      <wp:simplePos x="0" y="0"/>
                      <wp:positionH relativeFrom="column">
                        <wp:posOffset>-85090</wp:posOffset>
                      </wp:positionH>
                      <wp:positionV relativeFrom="paragraph">
                        <wp:posOffset>21590</wp:posOffset>
                      </wp:positionV>
                      <wp:extent cx="2172335" cy="1444625"/>
                      <wp:effectExtent l="6350" t="5080" r="12065" b="7620"/>
                      <wp:wrapNone/>
                      <wp:docPr id="4" name="直线 3"/>
                      <wp:cNvGraphicFramePr/>
                      <a:graphic xmlns:a="http://schemas.openxmlformats.org/drawingml/2006/main">
                        <a:graphicData uri="http://schemas.microsoft.com/office/word/2010/wordprocessingShape">
                          <wps:wsp>
                            <wps:cNvCnPr>
                              <a:cxnSpLocks noChangeShapeType="1"/>
                            </wps:cNvCnPr>
                            <wps:spPr bwMode="auto">
                              <a:xfrm flipH="1" flipV="1">
                                <a:off x="0" y="0"/>
                                <a:ext cx="2172335" cy="1444625"/>
                              </a:xfrm>
                              <a:prstGeom prst="line">
                                <a:avLst/>
                              </a:prstGeom>
                              <a:noFill/>
                              <a:ln w="9525">
                                <a:solidFill>
                                  <a:srgbClr val="000000"/>
                                </a:solidFill>
                                <a:round/>
                              </a:ln>
                            </wps:spPr>
                            <wps:bodyPr/>
                          </wps:wsp>
                        </a:graphicData>
                      </a:graphic>
                    </wp:anchor>
                  </w:drawing>
                </mc:Choice>
                <mc:Fallback>
                  <w:pict>
                    <v:line id="直线 3" o:spid="_x0000_s1026" o:spt="20" style="position:absolute;left:0pt;flip:x y;margin-left:-6.7pt;margin-top:1.7pt;height:113.75pt;width:171.05pt;z-index:251660288;mso-width-relative:page;mso-height-relative:page;" filled="f" stroked="t" coordsize="21600,21600" o:gfxdata="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9bw0+dUAAAAJ&#10;AQAADwAAAAAAAAABACAAAAAiAAAAZHJzL2Rvd25yZXYueG1sUEsBAhQAFAAAAAgAh07iQHWmW7Lm&#10;AQAAuwMAAA4AAAAAAAAAAQAgAAAAJAEAAGRycy9lMm9Eb2MueG1sUEsFBgAAAAAGAAYAWQEAAHwF&#10;AAAAAA==&#10;">
                      <v:fill on="f" focussize="0,0"/>
                      <v:stroke color="#000000" joinstyle="round"/>
                      <v:imagedata o:title=""/>
                      <o:lock v:ext="edit" aspectratio="f"/>
                    </v:line>
                  </w:pict>
                </mc:Fallback>
              </mc:AlternateContent>
            </w:r>
            <w:r>
              <w:rPr>
                <w:rFonts w:hAnsi="宋体"/>
                <w:color w:val="auto"/>
              </w:rPr>
              <mc:AlternateContent>
                <mc:Choice Requires="wps">
                  <w:drawing>
                    <wp:anchor distT="0" distB="0" distL="114300" distR="114300" simplePos="0" relativeHeight="251659264" behindDoc="0" locked="0" layoutInCell="1" allowOverlap="1">
                      <wp:simplePos x="0" y="0"/>
                      <wp:positionH relativeFrom="column">
                        <wp:posOffset>940435</wp:posOffset>
                      </wp:positionH>
                      <wp:positionV relativeFrom="paragraph">
                        <wp:posOffset>19685</wp:posOffset>
                      </wp:positionV>
                      <wp:extent cx="1143635" cy="1444625"/>
                      <wp:effectExtent l="12700" t="12700" r="5715" b="9525"/>
                      <wp:wrapNone/>
                      <wp:docPr id="3" name="直线 4"/>
                      <wp:cNvGraphicFramePr/>
                      <a:graphic xmlns:a="http://schemas.openxmlformats.org/drawingml/2006/main">
                        <a:graphicData uri="http://schemas.microsoft.com/office/word/2010/wordprocessingShape">
                          <wps:wsp>
                            <wps:cNvCnPr>
                              <a:cxnSpLocks noChangeShapeType="1"/>
                            </wps:cNvCnPr>
                            <wps:spPr bwMode="auto">
                              <a:xfrm flipH="1" flipV="1">
                                <a:off x="0" y="0"/>
                                <a:ext cx="1143635" cy="1444625"/>
                              </a:xfrm>
                              <a:prstGeom prst="line">
                                <a:avLst/>
                              </a:prstGeom>
                              <a:noFill/>
                              <a:ln w="9525">
                                <a:solidFill>
                                  <a:srgbClr val="000000"/>
                                </a:solidFill>
                                <a:round/>
                              </a:ln>
                            </wps:spPr>
                            <wps:bodyPr/>
                          </wps:wsp>
                        </a:graphicData>
                      </a:graphic>
                    </wp:anchor>
                  </w:drawing>
                </mc:Choice>
                <mc:Fallback>
                  <w:pict>
                    <v:line id="直线 4" o:spid="_x0000_s1026" o:spt="20" style="position:absolute;left:0pt;flip:x y;margin-left:74.05pt;margin-top:1.55pt;height:113.75pt;width:90.05pt;z-index:251659264;mso-width-relative:page;mso-height-relative:page;" filled="f" stroked="t" coordsize="21600,21600" o:gfxdata="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esssL1AAAAAkB&#10;AAAPAAAAAAAAAAEAIAAAACIAAABkcnMvZG93bnJldi54bWxQSwECFAAUAAAACACHTuJA8flnDOYB&#10;AAC7AwAADgAAAAAAAAABACAAAAAjAQAAZHJzL2Uyb0RvYy54bWxQSwUGAAAAAAYABgBZAQAAewUA&#10;AAAA&#10;">
                      <v:fill on="f" focussize="0,0"/>
                      <v:stroke color="#000000" joinstyle="round"/>
                      <v:imagedata o:title=""/>
                      <o:lock v:ext="edit" aspectratio="f"/>
                    </v:line>
                  </w:pict>
                </mc:Fallback>
              </mc:AlternateContent>
            </w:r>
            <w:r>
              <w:rPr>
                <w:rFonts w:hint="eastAsia" w:hAnsi="宋体"/>
                <w:color w:val="auto"/>
              </w:rPr>
              <w:t>采购类型</w:t>
            </w:r>
          </w:p>
          <w:p>
            <w:pPr>
              <w:spacing w:line="330" w:lineRule="exact"/>
              <w:rPr>
                <w:rFonts w:hint="eastAsia" w:hAnsi="宋体"/>
                <w:color w:val="auto"/>
              </w:rPr>
            </w:pPr>
          </w:p>
          <w:p>
            <w:pPr>
              <w:spacing w:line="330" w:lineRule="exact"/>
              <w:ind w:firstLine="1575" w:firstLineChars="750"/>
              <w:jc w:val="left"/>
              <w:rPr>
                <w:rFonts w:hint="eastAsia" w:hAnsi="宋体"/>
                <w:color w:val="auto"/>
              </w:rPr>
            </w:pPr>
            <w:r>
              <w:rPr>
                <w:rFonts w:hint="eastAsia" w:hAnsi="宋体"/>
                <w:color w:val="auto"/>
              </w:rPr>
              <w:t>费率</w:t>
            </w:r>
          </w:p>
          <w:p>
            <w:pPr>
              <w:spacing w:line="330" w:lineRule="exact"/>
              <w:ind w:leftChars="-1" w:hanging="2" w:hangingChars="1"/>
              <w:jc w:val="left"/>
              <w:rPr>
                <w:rFonts w:hint="eastAsia" w:hAnsi="宋体"/>
                <w:color w:val="auto"/>
              </w:rPr>
            </w:pPr>
          </w:p>
          <w:p>
            <w:pPr>
              <w:spacing w:line="330" w:lineRule="exact"/>
              <w:ind w:leftChars="-1" w:hanging="2" w:hangingChars="1"/>
              <w:jc w:val="left"/>
              <w:rPr>
                <w:rFonts w:hint="eastAsia" w:hAnsi="宋体"/>
                <w:color w:val="auto"/>
              </w:rPr>
            </w:pPr>
          </w:p>
          <w:p>
            <w:pPr>
              <w:spacing w:line="330" w:lineRule="exact"/>
              <w:jc w:val="left"/>
              <w:rPr>
                <w:rFonts w:hint="eastAsia" w:hAnsi="宋体"/>
                <w:color w:val="auto"/>
              </w:rPr>
            </w:pPr>
            <w:r>
              <w:rPr>
                <w:rFonts w:hint="eastAsia" w:hAnsi="宋体"/>
                <w:color w:val="auto"/>
              </w:rPr>
              <w:t>成交金额（万元）</w:t>
            </w:r>
          </w:p>
        </w:tc>
        <w:tc>
          <w:tcPr>
            <w:tcW w:w="5708" w:type="dxa"/>
            <w:gridSpan w:val="3"/>
            <w:vAlign w:val="center"/>
          </w:tcPr>
          <w:p>
            <w:pPr>
              <w:spacing w:line="330" w:lineRule="exact"/>
              <w:rPr>
                <w:rFonts w:hint="eastAsia" w:hAnsi="宋体"/>
                <w:color w:val="auto"/>
              </w:rPr>
            </w:pPr>
            <w:r>
              <w:rPr>
                <w:rFonts w:hint="eastAsia" w:hAnsi="宋体"/>
                <w:color w:val="auto"/>
              </w:rPr>
              <w:t>公开招标、邀请招标、竞争性谈判方式采购代理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3438" w:type="dxa"/>
            <w:vMerge w:val="continue"/>
          </w:tcPr>
          <w:p>
            <w:pPr>
              <w:spacing w:line="330" w:lineRule="exact"/>
              <w:ind w:firstLine="2620" w:firstLineChars="1248"/>
              <w:rPr>
                <w:rFonts w:hint="eastAsia" w:hAnsi="宋体"/>
                <w:color w:val="auto"/>
              </w:rPr>
            </w:pPr>
          </w:p>
        </w:tc>
        <w:tc>
          <w:tcPr>
            <w:tcW w:w="1932" w:type="dxa"/>
            <w:vAlign w:val="center"/>
          </w:tcPr>
          <w:p>
            <w:pPr>
              <w:spacing w:line="330" w:lineRule="exact"/>
              <w:jc w:val="center"/>
              <w:rPr>
                <w:rFonts w:hint="eastAsia" w:hAnsi="宋体"/>
                <w:color w:val="auto"/>
              </w:rPr>
            </w:pPr>
            <w:r>
              <w:rPr>
                <w:rFonts w:hint="eastAsia" w:hAnsi="宋体"/>
                <w:color w:val="auto"/>
              </w:rPr>
              <w:t>货物类</w:t>
            </w:r>
          </w:p>
        </w:tc>
        <w:tc>
          <w:tcPr>
            <w:tcW w:w="1800" w:type="dxa"/>
            <w:vAlign w:val="center"/>
          </w:tcPr>
          <w:p>
            <w:pPr>
              <w:spacing w:line="330" w:lineRule="exact"/>
              <w:jc w:val="center"/>
              <w:rPr>
                <w:rFonts w:hint="eastAsia" w:hAnsi="宋体"/>
                <w:color w:val="auto"/>
              </w:rPr>
            </w:pPr>
            <w:r>
              <w:rPr>
                <w:rFonts w:hint="eastAsia" w:hAnsi="宋体"/>
                <w:color w:val="auto"/>
              </w:rPr>
              <w:t>服务类</w:t>
            </w:r>
          </w:p>
        </w:tc>
        <w:tc>
          <w:tcPr>
            <w:tcW w:w="1976" w:type="dxa"/>
            <w:vAlign w:val="center"/>
          </w:tcPr>
          <w:p>
            <w:pPr>
              <w:widowControl/>
              <w:spacing w:line="330" w:lineRule="exact"/>
              <w:jc w:val="center"/>
              <w:rPr>
                <w:rFonts w:hint="eastAsia" w:hAnsi="宋体"/>
                <w:color w:val="auto"/>
              </w:rPr>
            </w:pPr>
            <w:r>
              <w:rPr>
                <w:rFonts w:hint="eastAsia" w:hAnsi="宋体"/>
                <w:color w:val="auto"/>
              </w:rPr>
              <w:t>工程类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3438" w:type="dxa"/>
            <w:vAlign w:val="center"/>
          </w:tcPr>
          <w:p>
            <w:pPr>
              <w:spacing w:line="330" w:lineRule="exact"/>
              <w:jc w:val="center"/>
              <w:rPr>
                <w:rFonts w:hint="eastAsia" w:hAnsi="宋体"/>
                <w:color w:val="auto"/>
              </w:rPr>
            </w:pPr>
            <w:r>
              <w:rPr>
                <w:rFonts w:hint="eastAsia" w:hAnsi="宋体"/>
                <w:color w:val="auto"/>
              </w:rPr>
              <w:t>100以下</w:t>
            </w:r>
          </w:p>
        </w:tc>
        <w:tc>
          <w:tcPr>
            <w:tcW w:w="1932" w:type="dxa"/>
            <w:vAlign w:val="center"/>
          </w:tcPr>
          <w:p>
            <w:pPr>
              <w:spacing w:line="330" w:lineRule="exact"/>
              <w:jc w:val="center"/>
              <w:rPr>
                <w:rFonts w:hint="eastAsia" w:hAnsi="宋体"/>
                <w:color w:val="auto"/>
              </w:rPr>
            </w:pPr>
            <w:r>
              <w:rPr>
                <w:rFonts w:hint="eastAsia" w:hAnsi="宋体"/>
                <w:color w:val="auto"/>
              </w:rPr>
              <w:t>1.2%</w:t>
            </w:r>
          </w:p>
        </w:tc>
        <w:tc>
          <w:tcPr>
            <w:tcW w:w="1800" w:type="dxa"/>
            <w:vAlign w:val="center"/>
          </w:tcPr>
          <w:p>
            <w:pPr>
              <w:spacing w:line="330" w:lineRule="exact"/>
              <w:jc w:val="center"/>
              <w:rPr>
                <w:rFonts w:hint="eastAsia" w:hAnsi="宋体"/>
                <w:color w:val="auto"/>
              </w:rPr>
            </w:pPr>
            <w:r>
              <w:rPr>
                <w:rFonts w:hint="eastAsia" w:hAnsi="宋体"/>
                <w:color w:val="auto"/>
              </w:rPr>
              <w:t>1.2%</w:t>
            </w:r>
          </w:p>
        </w:tc>
        <w:tc>
          <w:tcPr>
            <w:tcW w:w="1976" w:type="dxa"/>
            <w:vAlign w:val="center"/>
          </w:tcPr>
          <w:p>
            <w:pPr>
              <w:spacing w:line="330" w:lineRule="exact"/>
              <w:jc w:val="center"/>
              <w:rPr>
                <w:rFonts w:hint="eastAsia" w:hAnsi="宋体"/>
                <w:color w:val="auto"/>
              </w:rPr>
            </w:pPr>
            <w:r>
              <w:rPr>
                <w:rFonts w:hint="eastAsia" w:hAnsi="宋体"/>
                <w:color w:val="auto"/>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38" w:type="dxa"/>
            <w:vAlign w:val="center"/>
          </w:tcPr>
          <w:p>
            <w:pPr>
              <w:spacing w:line="330" w:lineRule="exact"/>
              <w:jc w:val="center"/>
              <w:rPr>
                <w:rFonts w:hint="eastAsia" w:hAnsi="宋体"/>
                <w:color w:val="auto"/>
              </w:rPr>
            </w:pPr>
            <w:r>
              <w:rPr>
                <w:rFonts w:hint="eastAsia" w:hAnsi="宋体"/>
                <w:color w:val="auto"/>
              </w:rPr>
              <w:t>100-500</w:t>
            </w:r>
          </w:p>
        </w:tc>
        <w:tc>
          <w:tcPr>
            <w:tcW w:w="1932" w:type="dxa"/>
            <w:vAlign w:val="center"/>
          </w:tcPr>
          <w:p>
            <w:pPr>
              <w:spacing w:line="330" w:lineRule="exact"/>
              <w:jc w:val="center"/>
              <w:rPr>
                <w:rFonts w:hint="eastAsia" w:hAnsi="宋体"/>
                <w:color w:val="auto"/>
              </w:rPr>
            </w:pPr>
            <w:r>
              <w:rPr>
                <w:rFonts w:hint="eastAsia" w:hAnsi="宋体"/>
                <w:color w:val="auto"/>
              </w:rPr>
              <w:t>0.88%</w:t>
            </w:r>
          </w:p>
        </w:tc>
        <w:tc>
          <w:tcPr>
            <w:tcW w:w="1800" w:type="dxa"/>
            <w:vAlign w:val="center"/>
          </w:tcPr>
          <w:p>
            <w:pPr>
              <w:spacing w:line="330" w:lineRule="exact"/>
              <w:jc w:val="center"/>
              <w:rPr>
                <w:rFonts w:hint="eastAsia" w:hAnsi="宋体"/>
                <w:color w:val="auto"/>
              </w:rPr>
            </w:pPr>
            <w:r>
              <w:rPr>
                <w:rFonts w:hint="eastAsia" w:hAnsi="宋体"/>
                <w:color w:val="auto"/>
              </w:rPr>
              <w:t>0.64%</w:t>
            </w:r>
          </w:p>
        </w:tc>
        <w:tc>
          <w:tcPr>
            <w:tcW w:w="1976" w:type="dxa"/>
            <w:vAlign w:val="center"/>
          </w:tcPr>
          <w:p>
            <w:pPr>
              <w:spacing w:line="330" w:lineRule="exact"/>
              <w:jc w:val="center"/>
              <w:rPr>
                <w:rFonts w:hint="eastAsia" w:hAnsi="宋体"/>
                <w:color w:val="auto"/>
              </w:rPr>
            </w:pPr>
            <w:r>
              <w:rPr>
                <w:rFonts w:hint="eastAsia" w:hAnsi="宋体"/>
                <w:color w:val="auto"/>
              </w:rPr>
              <w:t>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3438" w:type="dxa"/>
            <w:vAlign w:val="center"/>
          </w:tcPr>
          <w:p>
            <w:pPr>
              <w:spacing w:line="330" w:lineRule="exact"/>
              <w:jc w:val="center"/>
              <w:rPr>
                <w:rFonts w:hint="eastAsia" w:hAnsi="宋体"/>
                <w:color w:val="auto"/>
              </w:rPr>
            </w:pPr>
            <w:r>
              <w:rPr>
                <w:rFonts w:hint="eastAsia" w:hAnsi="宋体"/>
                <w:color w:val="auto"/>
              </w:rPr>
              <w:t>500-1000</w:t>
            </w:r>
          </w:p>
        </w:tc>
        <w:tc>
          <w:tcPr>
            <w:tcW w:w="1932" w:type="dxa"/>
            <w:vAlign w:val="center"/>
          </w:tcPr>
          <w:p>
            <w:pPr>
              <w:spacing w:line="330" w:lineRule="exact"/>
              <w:jc w:val="center"/>
              <w:rPr>
                <w:rFonts w:hint="eastAsia" w:hAnsi="宋体"/>
                <w:color w:val="auto"/>
              </w:rPr>
            </w:pPr>
            <w:r>
              <w:rPr>
                <w:rFonts w:hint="eastAsia" w:hAnsi="宋体"/>
                <w:color w:val="auto"/>
              </w:rPr>
              <w:t>0.64%</w:t>
            </w:r>
          </w:p>
        </w:tc>
        <w:tc>
          <w:tcPr>
            <w:tcW w:w="1800" w:type="dxa"/>
            <w:vAlign w:val="center"/>
          </w:tcPr>
          <w:p>
            <w:pPr>
              <w:spacing w:line="330" w:lineRule="exact"/>
              <w:jc w:val="center"/>
              <w:rPr>
                <w:rFonts w:hint="eastAsia" w:hAnsi="宋体"/>
                <w:color w:val="auto"/>
              </w:rPr>
            </w:pPr>
            <w:r>
              <w:rPr>
                <w:rFonts w:hint="eastAsia" w:hAnsi="宋体"/>
                <w:color w:val="auto"/>
              </w:rPr>
              <w:t>0.36%</w:t>
            </w:r>
          </w:p>
        </w:tc>
        <w:tc>
          <w:tcPr>
            <w:tcW w:w="1976" w:type="dxa"/>
            <w:vAlign w:val="center"/>
          </w:tcPr>
          <w:p>
            <w:pPr>
              <w:spacing w:line="330" w:lineRule="exact"/>
              <w:jc w:val="center"/>
              <w:rPr>
                <w:rFonts w:hint="eastAsia" w:hAnsi="宋体"/>
                <w:color w:val="auto"/>
              </w:rPr>
            </w:pPr>
            <w:r>
              <w:rPr>
                <w:rFonts w:hint="eastAsia" w:hAnsi="宋体"/>
                <w:color w:val="auto"/>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3438" w:type="dxa"/>
            <w:vAlign w:val="center"/>
          </w:tcPr>
          <w:p>
            <w:pPr>
              <w:spacing w:line="330" w:lineRule="exact"/>
              <w:jc w:val="center"/>
              <w:rPr>
                <w:rFonts w:hint="eastAsia" w:hAnsi="宋体"/>
                <w:color w:val="auto"/>
              </w:rPr>
            </w:pPr>
            <w:r>
              <w:rPr>
                <w:rFonts w:hint="eastAsia" w:hAnsi="宋体"/>
                <w:color w:val="auto"/>
              </w:rPr>
              <w:t>1000-5000</w:t>
            </w:r>
          </w:p>
        </w:tc>
        <w:tc>
          <w:tcPr>
            <w:tcW w:w="1932" w:type="dxa"/>
            <w:vAlign w:val="center"/>
          </w:tcPr>
          <w:p>
            <w:pPr>
              <w:spacing w:line="330" w:lineRule="exact"/>
              <w:jc w:val="center"/>
              <w:rPr>
                <w:rFonts w:hint="eastAsia" w:hAnsi="宋体"/>
                <w:color w:val="auto"/>
              </w:rPr>
            </w:pPr>
            <w:r>
              <w:rPr>
                <w:rFonts w:hint="eastAsia" w:hAnsi="宋体"/>
                <w:color w:val="auto"/>
              </w:rPr>
              <w:t>0.4%</w:t>
            </w:r>
          </w:p>
        </w:tc>
        <w:tc>
          <w:tcPr>
            <w:tcW w:w="1800" w:type="dxa"/>
            <w:vAlign w:val="center"/>
          </w:tcPr>
          <w:p>
            <w:pPr>
              <w:spacing w:line="330" w:lineRule="exact"/>
              <w:jc w:val="center"/>
              <w:rPr>
                <w:rFonts w:hint="eastAsia" w:hAnsi="宋体"/>
                <w:color w:val="auto"/>
              </w:rPr>
            </w:pPr>
            <w:r>
              <w:rPr>
                <w:rFonts w:hint="eastAsia" w:hAnsi="宋体"/>
                <w:color w:val="auto"/>
              </w:rPr>
              <w:t>0.2%</w:t>
            </w:r>
          </w:p>
        </w:tc>
        <w:tc>
          <w:tcPr>
            <w:tcW w:w="1976" w:type="dxa"/>
            <w:vAlign w:val="center"/>
          </w:tcPr>
          <w:p>
            <w:pPr>
              <w:spacing w:line="330" w:lineRule="exact"/>
              <w:jc w:val="center"/>
              <w:rPr>
                <w:rFonts w:hint="eastAsia" w:hAnsi="宋体"/>
                <w:color w:val="auto"/>
              </w:rPr>
            </w:pPr>
            <w:r>
              <w:rPr>
                <w:rFonts w:hint="eastAsia" w:hAnsi="宋体"/>
                <w:color w:val="auto"/>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3438" w:type="dxa"/>
            <w:vAlign w:val="center"/>
          </w:tcPr>
          <w:p>
            <w:pPr>
              <w:spacing w:line="330" w:lineRule="exact"/>
              <w:jc w:val="center"/>
              <w:rPr>
                <w:rFonts w:hint="eastAsia" w:hAnsi="宋体"/>
                <w:color w:val="auto"/>
              </w:rPr>
            </w:pPr>
            <w:r>
              <w:rPr>
                <w:rFonts w:hint="eastAsia" w:hAnsi="宋体"/>
                <w:color w:val="auto"/>
              </w:rPr>
              <w:t>5000-10000</w:t>
            </w:r>
          </w:p>
        </w:tc>
        <w:tc>
          <w:tcPr>
            <w:tcW w:w="1932" w:type="dxa"/>
            <w:vAlign w:val="center"/>
          </w:tcPr>
          <w:p>
            <w:pPr>
              <w:spacing w:line="330" w:lineRule="exact"/>
              <w:jc w:val="center"/>
              <w:rPr>
                <w:rFonts w:hint="eastAsia" w:hAnsi="宋体"/>
                <w:color w:val="auto"/>
              </w:rPr>
            </w:pPr>
            <w:r>
              <w:rPr>
                <w:rFonts w:hint="eastAsia" w:hAnsi="宋体"/>
                <w:color w:val="auto"/>
              </w:rPr>
              <w:t>0.2%</w:t>
            </w:r>
          </w:p>
        </w:tc>
        <w:tc>
          <w:tcPr>
            <w:tcW w:w="1800" w:type="dxa"/>
            <w:vAlign w:val="center"/>
          </w:tcPr>
          <w:p>
            <w:pPr>
              <w:spacing w:line="330" w:lineRule="exact"/>
              <w:jc w:val="center"/>
              <w:rPr>
                <w:rFonts w:hint="eastAsia" w:hAnsi="宋体"/>
                <w:color w:val="auto"/>
              </w:rPr>
            </w:pPr>
            <w:r>
              <w:rPr>
                <w:rFonts w:hint="eastAsia" w:hAnsi="宋体"/>
                <w:color w:val="auto"/>
              </w:rPr>
              <w:t>0.08%</w:t>
            </w:r>
          </w:p>
        </w:tc>
        <w:tc>
          <w:tcPr>
            <w:tcW w:w="1976" w:type="dxa"/>
            <w:vAlign w:val="center"/>
          </w:tcPr>
          <w:p>
            <w:pPr>
              <w:spacing w:line="330" w:lineRule="exact"/>
              <w:jc w:val="center"/>
              <w:rPr>
                <w:rFonts w:hint="eastAsia" w:hAnsi="宋体"/>
                <w:color w:val="auto"/>
              </w:rPr>
            </w:pPr>
            <w:r>
              <w:rPr>
                <w:rFonts w:hint="eastAsia" w:hAnsi="宋体"/>
                <w:color w:val="auto"/>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3438" w:type="dxa"/>
            <w:vAlign w:val="center"/>
          </w:tcPr>
          <w:p>
            <w:pPr>
              <w:spacing w:line="330" w:lineRule="exact"/>
              <w:jc w:val="center"/>
              <w:rPr>
                <w:rFonts w:hint="eastAsia" w:hAnsi="宋体"/>
                <w:color w:val="auto"/>
              </w:rPr>
            </w:pPr>
            <w:r>
              <w:rPr>
                <w:rFonts w:hint="eastAsia" w:hAnsi="宋体"/>
                <w:color w:val="auto"/>
              </w:rPr>
              <w:t>10000-100000</w:t>
            </w:r>
          </w:p>
        </w:tc>
        <w:tc>
          <w:tcPr>
            <w:tcW w:w="1932" w:type="dxa"/>
            <w:vAlign w:val="center"/>
          </w:tcPr>
          <w:p>
            <w:pPr>
              <w:spacing w:line="330" w:lineRule="exact"/>
              <w:jc w:val="center"/>
              <w:rPr>
                <w:rFonts w:hint="eastAsia" w:hAnsi="宋体"/>
                <w:color w:val="auto"/>
              </w:rPr>
            </w:pPr>
            <w:r>
              <w:rPr>
                <w:rFonts w:hint="eastAsia" w:hAnsi="宋体"/>
                <w:color w:val="auto"/>
              </w:rPr>
              <w:t>0.04%</w:t>
            </w:r>
          </w:p>
        </w:tc>
        <w:tc>
          <w:tcPr>
            <w:tcW w:w="1800" w:type="dxa"/>
            <w:vAlign w:val="center"/>
          </w:tcPr>
          <w:p>
            <w:pPr>
              <w:spacing w:line="330" w:lineRule="exact"/>
              <w:jc w:val="center"/>
              <w:rPr>
                <w:rFonts w:hint="eastAsia" w:hAnsi="宋体"/>
                <w:color w:val="auto"/>
              </w:rPr>
            </w:pPr>
            <w:r>
              <w:rPr>
                <w:rFonts w:hint="eastAsia" w:hAnsi="宋体"/>
                <w:color w:val="auto"/>
              </w:rPr>
              <w:t>0.04%</w:t>
            </w:r>
          </w:p>
        </w:tc>
        <w:tc>
          <w:tcPr>
            <w:tcW w:w="1976" w:type="dxa"/>
            <w:vAlign w:val="center"/>
          </w:tcPr>
          <w:p>
            <w:pPr>
              <w:spacing w:line="330" w:lineRule="exact"/>
              <w:jc w:val="center"/>
              <w:rPr>
                <w:rFonts w:hint="eastAsia" w:hAnsi="宋体"/>
                <w:color w:val="auto"/>
              </w:rPr>
            </w:pPr>
            <w:r>
              <w:rPr>
                <w:rFonts w:hint="eastAsia" w:hAnsi="宋体"/>
                <w:color w:val="auto"/>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3438" w:type="dxa"/>
            <w:vAlign w:val="center"/>
          </w:tcPr>
          <w:p>
            <w:pPr>
              <w:spacing w:line="330" w:lineRule="exact"/>
              <w:jc w:val="center"/>
              <w:rPr>
                <w:rFonts w:hint="eastAsia" w:hAnsi="宋体"/>
                <w:color w:val="auto"/>
              </w:rPr>
            </w:pPr>
            <w:r>
              <w:rPr>
                <w:rFonts w:hint="eastAsia" w:hAnsi="宋体"/>
                <w:color w:val="auto"/>
              </w:rPr>
              <w:t>100000以上</w:t>
            </w:r>
          </w:p>
        </w:tc>
        <w:tc>
          <w:tcPr>
            <w:tcW w:w="1932" w:type="dxa"/>
            <w:vAlign w:val="center"/>
          </w:tcPr>
          <w:p>
            <w:pPr>
              <w:spacing w:line="330" w:lineRule="exact"/>
              <w:jc w:val="center"/>
              <w:rPr>
                <w:rFonts w:hint="eastAsia" w:hAnsi="宋体"/>
                <w:color w:val="auto"/>
              </w:rPr>
            </w:pPr>
            <w:r>
              <w:rPr>
                <w:rFonts w:hint="eastAsia" w:hAnsi="宋体"/>
                <w:color w:val="auto"/>
              </w:rPr>
              <w:t>0.008%</w:t>
            </w:r>
          </w:p>
        </w:tc>
        <w:tc>
          <w:tcPr>
            <w:tcW w:w="1800" w:type="dxa"/>
            <w:vAlign w:val="center"/>
          </w:tcPr>
          <w:p>
            <w:pPr>
              <w:spacing w:line="330" w:lineRule="exact"/>
              <w:jc w:val="center"/>
              <w:rPr>
                <w:rFonts w:hint="eastAsia" w:hAnsi="宋体"/>
                <w:color w:val="auto"/>
              </w:rPr>
            </w:pPr>
            <w:r>
              <w:rPr>
                <w:rFonts w:hint="eastAsia" w:hAnsi="宋体"/>
                <w:color w:val="auto"/>
              </w:rPr>
              <w:t>0.008%</w:t>
            </w:r>
          </w:p>
        </w:tc>
        <w:tc>
          <w:tcPr>
            <w:tcW w:w="1976" w:type="dxa"/>
            <w:vAlign w:val="center"/>
          </w:tcPr>
          <w:p>
            <w:pPr>
              <w:spacing w:line="330" w:lineRule="exact"/>
              <w:jc w:val="center"/>
              <w:rPr>
                <w:rFonts w:hint="eastAsia" w:hAnsi="宋体"/>
                <w:color w:val="auto"/>
              </w:rPr>
            </w:pPr>
            <w:r>
              <w:rPr>
                <w:rFonts w:hint="eastAsia" w:hAnsi="宋体"/>
                <w:color w:val="auto"/>
              </w:rPr>
              <w:t>0.008%</w:t>
            </w:r>
          </w:p>
        </w:tc>
      </w:tr>
    </w:tbl>
    <w:p>
      <w:pPr>
        <w:pStyle w:val="20"/>
        <w:spacing w:line="400" w:lineRule="exact"/>
        <w:ind w:firstLine="420" w:firstLineChars="200"/>
        <w:rPr>
          <w:rFonts w:hint="eastAsia" w:hAnsi="宋体"/>
          <w:color w:val="auto"/>
        </w:rPr>
      </w:pPr>
      <w:r>
        <w:rPr>
          <w:rFonts w:hint="eastAsia" w:hAnsi="宋体"/>
          <w:color w:val="auto"/>
        </w:rPr>
        <w:t>注：代理服务收费按差额定率累进法计算。</w:t>
      </w:r>
    </w:p>
    <w:p>
      <w:pPr>
        <w:pStyle w:val="20"/>
        <w:spacing w:line="400" w:lineRule="exact"/>
        <w:ind w:firstLine="420" w:firstLineChars="200"/>
        <w:rPr>
          <w:rFonts w:hint="eastAsia" w:hAnsi="宋体"/>
          <w:bCs/>
          <w:color w:val="auto"/>
        </w:rPr>
      </w:pPr>
      <w:r>
        <w:rPr>
          <w:rFonts w:hint="eastAsia" w:hAnsi="宋体"/>
          <w:bCs/>
          <w:color w:val="auto"/>
        </w:rPr>
        <w:t>3.缴纳代理服务费银行账户：</w:t>
      </w:r>
    </w:p>
    <w:p>
      <w:pPr>
        <w:pStyle w:val="20"/>
        <w:spacing w:line="400" w:lineRule="exact"/>
        <w:ind w:firstLine="420" w:firstLineChars="200"/>
        <w:rPr>
          <w:rFonts w:hint="eastAsia" w:hAnsi="宋体"/>
          <w:bCs/>
          <w:color w:val="auto"/>
        </w:rPr>
      </w:pPr>
      <w:r>
        <w:rPr>
          <w:rFonts w:hint="eastAsia" w:hAnsi="宋体"/>
          <w:bCs/>
          <w:color w:val="auto"/>
        </w:rPr>
        <w:t>开户名称:钦州市政府采购中心</w:t>
      </w:r>
    </w:p>
    <w:p>
      <w:pPr>
        <w:pStyle w:val="20"/>
        <w:spacing w:line="400" w:lineRule="exact"/>
        <w:ind w:firstLine="420" w:firstLineChars="200"/>
        <w:rPr>
          <w:rFonts w:hint="eastAsia" w:hAnsi="宋体"/>
          <w:bCs/>
          <w:color w:val="auto"/>
        </w:rPr>
      </w:pPr>
      <w:r>
        <w:rPr>
          <w:rFonts w:hint="eastAsia" w:hAnsi="宋体"/>
          <w:bCs/>
          <w:color w:val="auto"/>
        </w:rPr>
        <w:t>开户银行:兴业银行钦州支行</w:t>
      </w:r>
    </w:p>
    <w:p>
      <w:pPr>
        <w:pStyle w:val="20"/>
        <w:spacing w:line="400" w:lineRule="exact"/>
        <w:ind w:firstLine="420" w:firstLineChars="200"/>
        <w:rPr>
          <w:rFonts w:hint="eastAsia" w:hAnsi="宋体"/>
          <w:bCs/>
          <w:color w:val="auto"/>
        </w:rPr>
      </w:pPr>
      <w:r>
        <w:rPr>
          <w:rFonts w:hint="eastAsia" w:hAnsi="宋体"/>
          <w:bCs/>
          <w:color w:val="auto"/>
        </w:rPr>
        <w:t>银行账号:554010100100129709</w:t>
      </w:r>
    </w:p>
    <w:p>
      <w:pPr>
        <w:pStyle w:val="20"/>
        <w:spacing w:line="400" w:lineRule="exact"/>
        <w:ind w:firstLine="210" w:firstLineChars="100"/>
        <w:rPr>
          <w:rFonts w:hint="eastAsia" w:hAnsi="宋体"/>
          <w:color w:val="auto"/>
          <w:spacing w:val="-4"/>
        </w:rPr>
      </w:pPr>
      <w:r>
        <w:rPr>
          <w:rFonts w:hint="eastAsia" w:hAnsi="宋体"/>
          <w:bCs/>
          <w:color w:val="auto"/>
        </w:rPr>
        <w:t>（二）解释权：</w:t>
      </w:r>
      <w:r>
        <w:rPr>
          <w:rFonts w:hint="eastAsia" w:hAnsi="宋体"/>
          <w:color w:val="auto"/>
          <w:spacing w:val="-4"/>
        </w:rPr>
        <w:t>本采购文件解释权属本中心。</w:t>
      </w:r>
    </w:p>
    <w:p>
      <w:pPr>
        <w:pStyle w:val="20"/>
        <w:spacing w:line="400" w:lineRule="exact"/>
        <w:ind w:firstLine="210" w:firstLineChars="100"/>
        <w:rPr>
          <w:rFonts w:hint="eastAsia" w:hAnsi="宋体"/>
          <w:color w:val="auto"/>
          <w:spacing w:val="-4"/>
        </w:rPr>
      </w:pPr>
      <w:r>
        <w:rPr>
          <w:rFonts w:hint="eastAsia" w:hAnsi="宋体"/>
          <w:bCs/>
          <w:color w:val="auto"/>
        </w:rPr>
        <w:t>（三）有关事宜</w:t>
      </w:r>
    </w:p>
    <w:p>
      <w:pPr>
        <w:spacing w:line="400" w:lineRule="exact"/>
        <w:ind w:firstLine="420" w:firstLineChars="200"/>
        <w:rPr>
          <w:color w:val="auto"/>
        </w:rPr>
      </w:pPr>
      <w:r>
        <w:rPr>
          <w:rFonts w:hint="eastAsia"/>
          <w:color w:val="auto"/>
        </w:rPr>
        <w:t>所有与采购文件有关的函件请按下列通讯地址联系：</w:t>
      </w:r>
    </w:p>
    <w:p>
      <w:pPr>
        <w:widowControl/>
        <w:spacing w:line="400" w:lineRule="exact"/>
        <w:ind w:firstLine="420" w:firstLineChars="200"/>
        <w:jc w:val="left"/>
        <w:rPr>
          <w:color w:val="auto"/>
        </w:rPr>
      </w:pPr>
      <w:r>
        <w:rPr>
          <w:rFonts w:hint="eastAsia"/>
          <w:color w:val="auto"/>
        </w:rPr>
        <w:t>钦州市政府采购中心</w:t>
      </w:r>
    </w:p>
    <w:p>
      <w:pPr>
        <w:widowControl/>
        <w:spacing w:line="400" w:lineRule="exact"/>
        <w:ind w:firstLine="420" w:firstLineChars="200"/>
        <w:jc w:val="left"/>
        <w:rPr>
          <w:color w:val="auto"/>
        </w:rPr>
      </w:pPr>
      <w:r>
        <w:rPr>
          <w:rFonts w:hint="eastAsia"/>
          <w:color w:val="auto"/>
        </w:rPr>
        <w:t>通讯地址：钦州市金海湾东大街8号</w:t>
      </w:r>
    </w:p>
    <w:p>
      <w:pPr>
        <w:widowControl/>
        <w:spacing w:line="400" w:lineRule="exact"/>
        <w:ind w:firstLine="420" w:firstLineChars="200"/>
        <w:jc w:val="left"/>
        <w:rPr>
          <w:color w:val="auto"/>
        </w:rPr>
      </w:pPr>
      <w:r>
        <w:rPr>
          <w:rFonts w:hint="eastAsia"/>
          <w:color w:val="auto"/>
        </w:rPr>
        <w:t>邮政编码：535000</w:t>
      </w:r>
    </w:p>
    <w:p>
      <w:pPr>
        <w:widowControl/>
        <w:spacing w:line="400" w:lineRule="exact"/>
        <w:ind w:firstLine="420" w:firstLineChars="200"/>
        <w:jc w:val="left"/>
        <w:rPr>
          <w:color w:val="auto"/>
        </w:rPr>
      </w:pPr>
      <w:r>
        <w:rPr>
          <w:rFonts w:hint="eastAsia"/>
          <w:color w:val="auto"/>
        </w:rPr>
        <w:t>钦州市政府采购中心联系方式：</w:t>
      </w:r>
    </w:p>
    <w:p>
      <w:pPr>
        <w:widowControl/>
        <w:spacing w:line="400" w:lineRule="exact"/>
        <w:ind w:firstLine="420" w:firstLineChars="200"/>
        <w:jc w:val="left"/>
        <w:rPr>
          <w:color w:val="auto"/>
        </w:rPr>
      </w:pPr>
      <w:r>
        <w:rPr>
          <w:rFonts w:hint="eastAsia"/>
          <w:color w:val="auto"/>
        </w:rPr>
        <w:t>(1)采购部(采购文件)</w:t>
      </w:r>
    </w:p>
    <w:p>
      <w:pPr>
        <w:widowControl/>
        <w:spacing w:line="400" w:lineRule="exact"/>
        <w:ind w:firstLine="420" w:firstLineChars="200"/>
        <w:jc w:val="left"/>
        <w:rPr>
          <w:color w:val="auto"/>
        </w:rPr>
      </w:pPr>
      <w:r>
        <w:rPr>
          <w:rFonts w:hint="eastAsia"/>
          <w:color w:val="auto"/>
        </w:rPr>
        <w:t>联系人：</w:t>
      </w:r>
      <w:r>
        <w:rPr>
          <w:rFonts w:hint="eastAsia"/>
          <w:color w:val="auto"/>
          <w:lang w:val="en-US" w:eastAsia="zh-CN"/>
        </w:rPr>
        <w:t>黄忠秀</w:t>
      </w:r>
      <w:r>
        <w:rPr>
          <w:rFonts w:hint="eastAsia"/>
          <w:color w:val="auto"/>
        </w:rPr>
        <w:t xml:space="preserve"> </w:t>
      </w:r>
      <w:r>
        <w:rPr>
          <w:color w:val="auto"/>
        </w:rPr>
        <w:t xml:space="preserve"> </w:t>
      </w:r>
      <w:r>
        <w:rPr>
          <w:rFonts w:hint="eastAsia"/>
          <w:color w:val="auto"/>
        </w:rPr>
        <w:t xml:space="preserve"> 联系方式：0777-2886022</w:t>
      </w:r>
    </w:p>
    <w:p>
      <w:pPr>
        <w:widowControl/>
        <w:spacing w:line="400" w:lineRule="exact"/>
        <w:ind w:firstLine="420" w:firstLineChars="200"/>
        <w:jc w:val="left"/>
        <w:rPr>
          <w:color w:val="auto"/>
        </w:rPr>
      </w:pPr>
      <w:r>
        <w:rPr>
          <w:rFonts w:hint="eastAsia"/>
          <w:color w:val="auto"/>
        </w:rPr>
        <w:t>(2)综合二部(评审、谈判、成交及合同管理)</w:t>
      </w:r>
    </w:p>
    <w:p>
      <w:pPr>
        <w:widowControl/>
        <w:spacing w:line="400" w:lineRule="exact"/>
        <w:ind w:firstLine="420" w:firstLineChars="200"/>
        <w:jc w:val="left"/>
        <w:rPr>
          <w:color w:val="auto"/>
        </w:rPr>
      </w:pPr>
      <w:r>
        <w:rPr>
          <w:rFonts w:hint="eastAsia"/>
          <w:color w:val="auto"/>
        </w:rPr>
        <w:t xml:space="preserve">联系人：陈启梅、陈侃 </w:t>
      </w:r>
      <w:r>
        <w:rPr>
          <w:color w:val="auto"/>
        </w:rPr>
        <w:t xml:space="preserve">  </w:t>
      </w:r>
      <w:r>
        <w:rPr>
          <w:rFonts w:hint="eastAsia"/>
          <w:color w:val="auto"/>
        </w:rPr>
        <w:t>联系方式：0777-2886006</w:t>
      </w:r>
    </w:p>
    <w:p>
      <w:pPr>
        <w:widowControl/>
        <w:spacing w:line="400" w:lineRule="exact"/>
        <w:ind w:firstLine="420" w:firstLineChars="200"/>
        <w:jc w:val="left"/>
        <w:rPr>
          <w:color w:val="auto"/>
        </w:rPr>
      </w:pPr>
      <w:r>
        <w:rPr>
          <w:rFonts w:hint="eastAsia"/>
          <w:color w:val="auto"/>
        </w:rPr>
        <w:t>(</w:t>
      </w:r>
      <w:r>
        <w:rPr>
          <w:color w:val="auto"/>
        </w:rPr>
        <w:t>3)</w:t>
      </w:r>
      <w:r>
        <w:rPr>
          <w:rFonts w:hint="eastAsia"/>
          <w:color w:val="auto"/>
        </w:rPr>
        <w:t>邮箱：qzzfcgzx@126.com</w:t>
      </w:r>
    </w:p>
    <w:p>
      <w:pPr>
        <w:widowControl/>
        <w:spacing w:line="400" w:lineRule="exact"/>
        <w:ind w:firstLine="420" w:firstLineChars="200"/>
        <w:jc w:val="left"/>
        <w:rPr>
          <w:color w:val="auto"/>
        </w:rPr>
      </w:pPr>
      <w:r>
        <w:rPr>
          <w:color w:val="auto"/>
        </w:rPr>
        <w:t>(4)</w:t>
      </w:r>
      <w:r>
        <w:rPr>
          <w:rFonts w:hint="eastAsia"/>
          <w:color w:val="auto"/>
        </w:rPr>
        <w:t>政采云技术支持热线：</w:t>
      </w:r>
      <w:r>
        <w:rPr>
          <w:rFonts w:hAnsi="宋体"/>
          <w:color w:val="auto"/>
        </w:rPr>
        <w:t>95763</w:t>
      </w:r>
    </w:p>
    <w:p>
      <w:pPr>
        <w:widowControl/>
        <w:jc w:val="left"/>
        <w:rPr>
          <w:color w:val="auto"/>
        </w:rPr>
      </w:pPr>
      <w:r>
        <w:rPr>
          <w:color w:val="auto"/>
        </w:rPr>
        <w:br w:type="page"/>
      </w:r>
    </w:p>
    <w:p>
      <w:pPr>
        <w:widowControl/>
        <w:spacing w:line="400" w:lineRule="exact"/>
        <w:jc w:val="left"/>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pStyle w:val="3"/>
        <w:spacing w:line="400" w:lineRule="exact"/>
        <w:rPr>
          <w:rFonts w:hint="eastAsia" w:ascii="方正小标宋_GBK" w:hAnsi="宋体" w:eastAsia="方正小标宋_GBK"/>
          <w:color w:val="auto"/>
        </w:rPr>
      </w:pPr>
      <w:bookmarkStart w:id="120" w:name="_第四章__评定标准及推荐原则"/>
      <w:bookmarkEnd w:id="120"/>
      <w:bookmarkStart w:id="121" w:name="_Toc92355026"/>
      <w:r>
        <w:rPr>
          <w:rFonts w:hint="eastAsia" w:ascii="方正小标宋_GBK" w:hAnsi="宋体" w:eastAsia="方正小标宋_GBK"/>
          <w:color w:val="auto"/>
        </w:rPr>
        <w:t>第四章  评定标准及推荐原则</w:t>
      </w:r>
      <w:bookmarkEnd w:id="121"/>
    </w:p>
    <w:p>
      <w:pPr>
        <w:pStyle w:val="20"/>
        <w:spacing w:line="280" w:lineRule="exact"/>
        <w:jc w:val="center"/>
        <w:rPr>
          <w:rFonts w:hint="eastAsia" w:hAnsi="宋体"/>
          <w:b/>
          <w:bCs/>
          <w:color w:val="auto"/>
          <w:sz w:val="30"/>
          <w:szCs w:val="30"/>
        </w:rPr>
      </w:pPr>
      <w:r>
        <w:rPr>
          <w:rFonts w:hAnsi="宋体"/>
          <w:b/>
          <w:bCs/>
          <w:color w:val="auto"/>
        </w:rPr>
        <w:br w:type="page"/>
      </w:r>
    </w:p>
    <w:p>
      <w:pPr>
        <w:rPr>
          <w:color w:val="auto"/>
        </w:rPr>
      </w:pPr>
    </w:p>
    <w:p>
      <w:pPr>
        <w:pStyle w:val="20"/>
        <w:spacing w:line="500" w:lineRule="exact"/>
        <w:jc w:val="center"/>
        <w:rPr>
          <w:rFonts w:hint="eastAsia" w:hAnsi="宋体"/>
          <w:b/>
          <w:bCs/>
          <w:color w:val="auto"/>
          <w:sz w:val="44"/>
          <w:szCs w:val="44"/>
        </w:rPr>
      </w:pPr>
      <w:bookmarkStart w:id="122" w:name="_Hlk92463826"/>
      <w:r>
        <w:rPr>
          <w:rFonts w:hint="eastAsia" w:hAnsi="宋体"/>
          <w:b/>
          <w:bCs/>
          <w:color w:val="auto"/>
          <w:sz w:val="44"/>
          <w:szCs w:val="44"/>
        </w:rPr>
        <w:t>评定标准及推荐原则</w:t>
      </w:r>
    </w:p>
    <w:bookmarkEnd w:id="122"/>
    <w:p>
      <w:pPr>
        <w:rPr>
          <w:color w:val="auto"/>
        </w:rPr>
      </w:pPr>
    </w:p>
    <w:p>
      <w:pPr>
        <w:pStyle w:val="20"/>
        <w:spacing w:line="540" w:lineRule="exact"/>
        <w:rPr>
          <w:rFonts w:hint="eastAsia" w:hAnsi="宋体"/>
          <w:b/>
          <w:bCs/>
          <w:color w:val="auto"/>
        </w:rPr>
      </w:pPr>
      <w:r>
        <w:rPr>
          <w:rFonts w:hint="eastAsia" w:hAnsi="宋体"/>
          <w:b/>
          <w:bCs/>
          <w:color w:val="auto"/>
        </w:rPr>
        <w:t>一、评审原则</w:t>
      </w:r>
    </w:p>
    <w:p>
      <w:pPr>
        <w:pStyle w:val="20"/>
        <w:spacing w:line="540" w:lineRule="exact"/>
        <w:ind w:firstLine="420" w:firstLineChars="200"/>
        <w:rPr>
          <w:rFonts w:hint="eastAsia" w:hAnsi="宋体"/>
          <w:bCs/>
          <w:color w:val="auto"/>
        </w:rPr>
      </w:pPr>
      <w:r>
        <w:rPr>
          <w:rFonts w:hint="eastAsia" w:hAnsi="宋体"/>
          <w:bCs/>
          <w:color w:val="auto"/>
        </w:rPr>
        <w:t>(一)谈判小组组成：</w:t>
      </w:r>
      <w:bookmarkStart w:id="123" w:name="_Hlk89353643"/>
      <w:r>
        <w:rPr>
          <w:rFonts w:hint="eastAsia" w:hAnsi="宋体"/>
          <w:bCs/>
          <w:color w:val="auto"/>
        </w:rPr>
        <w:t>谈判小组由采购人代表和评审专家共3人以上单数组成，其中评审专家人数不得少于谈判小组成员总数的2/3。</w:t>
      </w:r>
      <w:bookmarkEnd w:id="123"/>
    </w:p>
    <w:p>
      <w:pPr>
        <w:pStyle w:val="20"/>
        <w:spacing w:line="540" w:lineRule="exact"/>
        <w:ind w:firstLine="420" w:firstLineChars="200"/>
        <w:rPr>
          <w:rFonts w:hint="eastAsia" w:hAnsi="宋体"/>
          <w:b/>
          <w:bCs/>
          <w:color w:val="auto"/>
        </w:rPr>
      </w:pPr>
      <w:r>
        <w:rPr>
          <w:rFonts w:hint="eastAsia" w:hAnsi="宋体"/>
          <w:bCs/>
          <w:color w:val="auto"/>
        </w:rPr>
        <w:t>(二)评审依据：以竞争性谈判采购文件和响应文件为评定依据。</w:t>
      </w:r>
    </w:p>
    <w:p>
      <w:pPr>
        <w:pStyle w:val="20"/>
        <w:spacing w:line="540" w:lineRule="exact"/>
        <w:rPr>
          <w:rFonts w:hint="eastAsia" w:hAnsi="宋体"/>
          <w:b/>
          <w:bCs/>
          <w:color w:val="auto"/>
        </w:rPr>
      </w:pPr>
      <w:r>
        <w:rPr>
          <w:rFonts w:hint="eastAsia" w:hAnsi="宋体"/>
          <w:b/>
          <w:bCs/>
          <w:color w:val="auto"/>
        </w:rPr>
        <w:t>二、评定标准</w:t>
      </w:r>
    </w:p>
    <w:p>
      <w:pPr>
        <w:pStyle w:val="20"/>
        <w:spacing w:line="540" w:lineRule="exact"/>
        <w:ind w:firstLine="420" w:firstLineChars="200"/>
        <w:rPr>
          <w:color w:val="auto"/>
        </w:rPr>
      </w:pPr>
      <w:r>
        <w:rPr>
          <w:rFonts w:hint="eastAsia"/>
          <w:color w:val="auto"/>
        </w:rPr>
        <w:t>（一）成交候选人的推荐原则：</w:t>
      </w:r>
    </w:p>
    <w:p>
      <w:pPr>
        <w:pStyle w:val="20"/>
        <w:spacing w:line="540" w:lineRule="exact"/>
        <w:ind w:firstLine="420" w:firstLineChars="200"/>
        <w:rPr>
          <w:color w:val="auto"/>
        </w:rPr>
      </w:pPr>
      <w:r>
        <w:rPr>
          <w:rFonts w:hint="eastAsia"/>
          <w:color w:val="auto"/>
        </w:rPr>
        <w:t>谈判小组从质量和服务均能满足采购文件实质性响应要求的供应商中，按照最后报价由低到高的顺序提出3名以上成交候选人（最后报价相同的，由谈判小组集体讨论确定排序）。</w:t>
      </w:r>
    </w:p>
    <w:p>
      <w:pPr>
        <w:pStyle w:val="20"/>
        <w:spacing w:line="540" w:lineRule="exact"/>
        <w:ind w:firstLine="420" w:firstLineChars="200"/>
        <w:rPr>
          <w:color w:val="auto"/>
        </w:rPr>
      </w:pPr>
      <w:r>
        <w:rPr>
          <w:rFonts w:hint="eastAsia"/>
          <w:color w:val="auto"/>
        </w:rPr>
        <w:t>（二）落实政府采购政策：</w:t>
      </w:r>
    </w:p>
    <w:p>
      <w:pPr>
        <w:pStyle w:val="20"/>
        <w:spacing w:line="540" w:lineRule="exact"/>
        <w:ind w:firstLine="420" w:firstLineChars="200"/>
        <w:rPr>
          <w:color w:val="auto"/>
        </w:rPr>
      </w:pPr>
      <w:r>
        <w:rPr>
          <w:rFonts w:hint="eastAsia"/>
          <w:color w:val="auto"/>
        </w:rPr>
        <w:t>1.供应商提供的全部货物或服务符合《政府采购促进中小企业发展管理办法》（财库﹝2020﹞46 号）规定，并在响应文件中提供《中小企业声明函》（格式见第六章，供应商须对声明内容的真实性负责）。评审中将对小微型企业报价给予</w:t>
      </w:r>
      <w:r>
        <w:rPr>
          <w:color w:val="auto"/>
        </w:rPr>
        <w:t>2</w:t>
      </w:r>
      <w:r>
        <w:rPr>
          <w:rFonts w:hint="eastAsia"/>
          <w:color w:val="auto"/>
        </w:rPr>
        <w:t>0%的扣除，用扣除后的价格参加评审。</w:t>
      </w:r>
    </w:p>
    <w:p>
      <w:pPr>
        <w:pStyle w:val="20"/>
        <w:spacing w:line="540" w:lineRule="exact"/>
        <w:ind w:firstLine="420" w:firstLineChars="200"/>
        <w:rPr>
          <w:color w:val="auto"/>
        </w:rPr>
      </w:pPr>
      <w:r>
        <w:rPr>
          <w:color w:val="auto"/>
        </w:rPr>
        <w:t>2.</w:t>
      </w:r>
      <w:r>
        <w:rPr>
          <w:rFonts w:hint="eastAsia"/>
          <w:color w:val="auto"/>
        </w:rPr>
        <w:t>供应商按《关于政府采购支持监狱企业发展有关问题的通知》(财库﹝2014﹞68号)认定为监狱企业的，在政府采购活动中，监狱企业视同小型、微型企业。监狱企业参加政府采购活动时，应当提供由省级以上监狱管理局、戒毒管理局(含新疆生产建设兵团)出具的属于监狱企业的证明文件。</w:t>
      </w:r>
    </w:p>
    <w:p>
      <w:pPr>
        <w:pStyle w:val="20"/>
        <w:spacing w:line="540" w:lineRule="exact"/>
        <w:ind w:firstLine="420" w:firstLineChars="200"/>
        <w:rPr>
          <w:color w:val="auto"/>
        </w:rPr>
      </w:pPr>
      <w:r>
        <w:rPr>
          <w:color w:val="auto"/>
        </w:rPr>
        <w:t>3</w:t>
      </w:r>
      <w:r>
        <w:rPr>
          <w:rFonts w:hint="eastAsia"/>
          <w:color w:val="auto"/>
        </w:rPr>
        <w:t>.供应商按《关于促进残疾人就业政府采购政策的通知》(财库〔2017〕141号)认定为残疾人福利性单位的，在政府采购活动中，残疾人福利性单位视同小型、微型企业。残疾人福利性单位参加政府采购活动时，应当提供该通知规定的《残疾人福利性单位声明函》（供应商须对声明内容的真实性负责）。</w:t>
      </w:r>
    </w:p>
    <w:p>
      <w:pPr>
        <w:pStyle w:val="20"/>
        <w:spacing w:line="540" w:lineRule="exact"/>
        <w:ind w:firstLine="420" w:firstLineChars="200"/>
        <w:rPr>
          <w:color w:val="auto"/>
        </w:rPr>
      </w:pPr>
      <w:r>
        <w:rPr>
          <w:color w:val="auto"/>
        </w:rPr>
        <w:t>4</w:t>
      </w:r>
      <w:r>
        <w:rPr>
          <w:rFonts w:hint="eastAsia"/>
          <w:color w:val="auto"/>
        </w:rPr>
        <w:t>.采购人采购的产品属于《</w:t>
      </w:r>
      <w:r>
        <w:rPr>
          <w:color w:val="auto"/>
        </w:rPr>
        <w:t>节能产品政府采购品目清单</w:t>
      </w:r>
      <w:r>
        <w:rPr>
          <w:rFonts w:hint="eastAsia"/>
          <w:color w:val="auto"/>
        </w:rPr>
        <w:t>》《环境标志产品政府采购品目清单》中品目的，在性能、技术、服务等指标同等条件下，应当依据国家确定的认证机构出具的、处于有效期之内的节能产品、环境标志产品认证证书，对获得证书的产品实施政府优先采购。</w:t>
      </w:r>
    </w:p>
    <w:p>
      <w:pPr>
        <w:widowControl/>
        <w:jc w:val="left"/>
        <w:rPr>
          <w:color w:val="auto"/>
        </w:rPr>
      </w:pPr>
      <w:r>
        <w:rPr>
          <w:color w:val="auto"/>
        </w:rPr>
        <w:br w:type="page"/>
      </w:r>
    </w:p>
    <w:p>
      <w:pPr>
        <w:widowControl/>
        <w:jc w:val="left"/>
        <w:rPr>
          <w:rFonts w:ascii="宋体" w:hAnsi="Courier New" w:cs="Courier New"/>
          <w:color w:val="auto"/>
          <w:szCs w:val="21"/>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pStyle w:val="3"/>
        <w:spacing w:line="400" w:lineRule="exact"/>
        <w:rPr>
          <w:rFonts w:ascii="方正小标宋_GBK" w:eastAsia="方正小标宋_GBK"/>
          <w:color w:val="auto"/>
        </w:rPr>
      </w:pPr>
      <w:bookmarkStart w:id="124" w:name="_Toc92355027"/>
      <w:r>
        <w:rPr>
          <w:rFonts w:hint="eastAsia" w:ascii="方正小标宋_GBK" w:eastAsia="方正小标宋_GBK"/>
          <w:color w:val="auto"/>
        </w:rPr>
        <w:t>第五章  合同文本</w:t>
      </w:r>
      <w:bookmarkEnd w:id="124"/>
    </w:p>
    <w:p>
      <w:pPr>
        <w:widowControl/>
        <w:jc w:val="left"/>
        <w:rPr>
          <w:color w:val="auto"/>
        </w:rPr>
      </w:pPr>
      <w:r>
        <w:rPr>
          <w:color w:val="auto"/>
        </w:rPr>
        <w:br w:type="page"/>
      </w:r>
    </w:p>
    <w:p>
      <w:pPr>
        <w:spacing w:line="400" w:lineRule="exact"/>
        <w:jc w:val="left"/>
        <w:rPr>
          <w:rFonts w:ascii="宋体" w:hAnsi="Courier New" w:cs="Courier New"/>
          <w:color w:val="auto"/>
          <w:szCs w:val="21"/>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宋体" w:hAnsi="宋体" w:cs="宋体"/>
          <w:b/>
          <w:bCs/>
          <w:color w:val="auto"/>
          <w:spacing w:val="-20"/>
          <w:kern w:val="44"/>
          <w:sz w:val="48"/>
          <w:szCs w:val="48"/>
        </w:rPr>
      </w:pPr>
      <w:r>
        <w:rPr>
          <w:rFonts w:hint="eastAsia" w:ascii="宋体" w:hAnsi="宋体" w:cs="宋体"/>
          <w:b/>
          <w:bCs/>
          <w:color w:val="auto"/>
          <w:spacing w:val="-20"/>
          <w:kern w:val="44"/>
          <w:sz w:val="48"/>
          <w:szCs w:val="48"/>
        </w:rPr>
        <w:t>钦州市政府采购货物买卖合同</w:t>
      </w: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spacing w:line="360" w:lineRule="auto"/>
        <w:ind w:left="420" w:leftChars="200" w:firstLine="1600" w:firstLineChars="500"/>
        <w:rPr>
          <w:color w:val="auto"/>
          <w:sz w:val="32"/>
          <w:szCs w:val="32"/>
        </w:rPr>
      </w:pPr>
      <w:r>
        <w:rPr>
          <w:rFonts w:hint="eastAsia" w:ascii="宋体" w:hAnsi="宋体" w:cs="宋体"/>
          <w:color w:val="auto"/>
          <w:kern w:val="0"/>
          <w:sz w:val="32"/>
          <w:szCs w:val="32"/>
        </w:rPr>
        <w:t>项目名称：</w:t>
      </w:r>
      <w:r>
        <w:rPr>
          <w:rFonts w:hint="eastAsia"/>
          <w:color w:val="auto"/>
          <w:sz w:val="32"/>
          <w:szCs w:val="32"/>
          <w:u w:val="single"/>
        </w:rPr>
        <w:t xml:space="preserve">                            </w:t>
      </w:r>
    </w:p>
    <w:p>
      <w:pPr>
        <w:spacing w:line="360" w:lineRule="auto"/>
        <w:ind w:left="420" w:leftChars="200" w:firstLine="1600" w:firstLineChars="500"/>
        <w:rPr>
          <w:color w:val="auto"/>
          <w:sz w:val="32"/>
          <w:szCs w:val="32"/>
          <w:u w:val="single"/>
        </w:rPr>
      </w:pPr>
      <w:r>
        <w:rPr>
          <w:rFonts w:hint="eastAsia"/>
          <w:color w:val="auto"/>
          <w:sz w:val="32"/>
          <w:szCs w:val="32"/>
        </w:rPr>
        <w:t>合同编号：</w:t>
      </w:r>
      <w:r>
        <w:rPr>
          <w:rFonts w:hint="eastAsia"/>
          <w:color w:val="auto"/>
          <w:sz w:val="32"/>
          <w:szCs w:val="32"/>
          <w:u w:val="single"/>
        </w:rPr>
        <w:t xml:space="preserve">                            </w:t>
      </w:r>
    </w:p>
    <w:p>
      <w:pPr>
        <w:spacing w:line="360" w:lineRule="auto"/>
        <w:ind w:left="420" w:leftChars="200" w:firstLine="1600" w:firstLineChars="500"/>
        <w:rPr>
          <w:color w:val="auto"/>
          <w:sz w:val="32"/>
          <w:szCs w:val="32"/>
        </w:rPr>
      </w:pPr>
      <w:r>
        <w:rPr>
          <w:rFonts w:hint="eastAsia"/>
          <w:color w:val="auto"/>
          <w:sz w:val="32"/>
          <w:szCs w:val="32"/>
        </w:rPr>
        <w:t>甲    方：</w:t>
      </w:r>
      <w:r>
        <w:rPr>
          <w:rFonts w:hint="eastAsia"/>
          <w:color w:val="auto"/>
          <w:sz w:val="32"/>
          <w:szCs w:val="32"/>
          <w:u w:val="single"/>
        </w:rPr>
        <w:t xml:space="preserve">                            </w:t>
      </w:r>
    </w:p>
    <w:p>
      <w:pPr>
        <w:spacing w:line="360" w:lineRule="auto"/>
        <w:ind w:left="420" w:leftChars="200" w:firstLine="1600" w:firstLineChars="500"/>
        <w:rPr>
          <w:color w:val="auto"/>
          <w:sz w:val="32"/>
          <w:szCs w:val="32"/>
          <w:u w:val="single"/>
        </w:rPr>
      </w:pPr>
      <w:r>
        <w:rPr>
          <w:rFonts w:hint="eastAsia"/>
          <w:color w:val="auto"/>
          <w:sz w:val="32"/>
          <w:szCs w:val="32"/>
        </w:rPr>
        <w:t>乙    方：</w:t>
      </w:r>
      <w:r>
        <w:rPr>
          <w:rFonts w:hint="eastAsia"/>
          <w:color w:val="auto"/>
          <w:sz w:val="32"/>
          <w:szCs w:val="32"/>
          <w:u w:val="single"/>
        </w:rPr>
        <w:t xml:space="preserve">                            </w:t>
      </w:r>
    </w:p>
    <w:p>
      <w:pPr>
        <w:spacing w:line="360" w:lineRule="auto"/>
        <w:ind w:left="420" w:leftChars="200" w:firstLine="1600" w:firstLineChars="500"/>
        <w:rPr>
          <w:color w:val="auto"/>
          <w:sz w:val="32"/>
          <w:szCs w:val="32"/>
        </w:rPr>
      </w:pPr>
      <w:r>
        <w:rPr>
          <w:rFonts w:hint="eastAsia"/>
          <w:color w:val="auto"/>
          <w:sz w:val="32"/>
          <w:szCs w:val="32"/>
        </w:rPr>
        <w:t>签订时间：</w:t>
      </w:r>
      <w:r>
        <w:rPr>
          <w:rFonts w:hint="eastAsia"/>
          <w:color w:val="auto"/>
          <w:sz w:val="32"/>
          <w:szCs w:val="32"/>
          <w:u w:val="single"/>
        </w:rPr>
        <w:t xml:space="preserve">      </w:t>
      </w:r>
      <w:r>
        <w:rPr>
          <w:color w:val="auto"/>
          <w:sz w:val="32"/>
          <w:szCs w:val="32"/>
          <w:u w:val="single"/>
        </w:rPr>
        <w:t xml:space="preserve">           </w:t>
      </w:r>
      <w:r>
        <w:rPr>
          <w:rFonts w:hint="eastAsia"/>
          <w:color w:val="auto"/>
          <w:sz w:val="32"/>
          <w:szCs w:val="32"/>
          <w:u w:val="single"/>
        </w:rPr>
        <w:t xml:space="preserve">           </w:t>
      </w:r>
    </w:p>
    <w:p>
      <w:pPr>
        <w:rPr>
          <w:color w:val="auto"/>
        </w:rPr>
      </w:pPr>
    </w:p>
    <w:p>
      <w:pPr>
        <w:spacing w:line="400" w:lineRule="exact"/>
        <w:rPr>
          <w:color w:val="auto"/>
        </w:rPr>
      </w:pPr>
      <w:r>
        <w:rPr>
          <w:rFonts w:eastAsia="黑体"/>
          <w:color w:val="auto"/>
          <w:sz w:val="44"/>
          <w:szCs w:val="44"/>
        </w:rPr>
        <w:br w:type="page"/>
      </w:r>
    </w:p>
    <w:p>
      <w:pPr>
        <w:jc w:val="center"/>
        <w:rPr>
          <w:rFonts w:eastAsia="黑体"/>
          <w:color w:val="auto"/>
          <w:sz w:val="44"/>
          <w:szCs w:val="44"/>
        </w:rPr>
      </w:pPr>
      <w:r>
        <w:rPr>
          <w:rFonts w:hint="eastAsia" w:eastAsia="黑体"/>
          <w:color w:val="auto"/>
          <w:sz w:val="44"/>
          <w:szCs w:val="44"/>
        </w:rPr>
        <w:t>使 用 说 明</w:t>
      </w:r>
    </w:p>
    <w:p>
      <w:pPr>
        <w:spacing w:line="400" w:lineRule="exact"/>
        <w:rPr>
          <w:color w:val="auto"/>
        </w:rPr>
      </w:pPr>
    </w:p>
    <w:p>
      <w:pPr>
        <w:ind w:firstLine="600" w:firstLineChars="200"/>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1.本合同标准文本适用于购买现成货物的采购项目，不包括需要供应商定制开发、创新研发的货物采购项目。</w:t>
      </w:r>
    </w:p>
    <w:p>
      <w:pPr>
        <w:rPr>
          <w:rFonts w:eastAsia="黑体"/>
          <w:color w:val="auto"/>
          <w:sz w:val="30"/>
          <w:szCs w:val="30"/>
        </w:rPr>
      </w:pPr>
      <w:r>
        <w:rPr>
          <w:rFonts w:hint="eastAsia" w:eastAsia="黑体"/>
          <w:color w:val="auto"/>
          <w:sz w:val="30"/>
          <w:szCs w:val="30"/>
        </w:rPr>
        <w:t xml:space="preserve">   </w:t>
      </w:r>
      <w:r>
        <w:rPr>
          <w:rFonts w:hint="eastAsia" w:ascii="仿宋_GB2312" w:hAnsi="仿宋_GB2312" w:eastAsia="仿宋_GB2312" w:cs="仿宋_GB2312"/>
          <w:color w:val="auto"/>
          <w:sz w:val="30"/>
          <w:szCs w:val="30"/>
        </w:rPr>
        <w:t>2.本合同标准文本为政府采购货物买卖合同编制提供参考，可以结合采购项目具体情况，对文本作必要的调整修订后使用。</w:t>
      </w:r>
    </w:p>
    <w:p>
      <w:pPr>
        <w:ind w:firstLine="600" w:firstLineChars="200"/>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3.本合同标准文本各条款中，如涉及填写多家供应商、制造商，多种采购标的、分包主要内容等信息的，可根据采购项目具体情况添加信息项。</w:t>
      </w:r>
    </w:p>
    <w:p>
      <w:pPr>
        <w:keepNext/>
        <w:keepLines/>
        <w:adjustRightInd w:val="0"/>
        <w:snapToGrid w:val="0"/>
        <w:spacing w:line="400" w:lineRule="exact"/>
        <w:jc w:val="center"/>
        <w:outlineLvl w:val="1"/>
        <w:rPr>
          <w:rFonts w:hint="eastAsia" w:ascii="黑体" w:hAnsi="黑体" w:eastAsia="黑体"/>
          <w:b/>
          <w:bCs/>
          <w:color w:val="auto"/>
          <w:sz w:val="28"/>
          <w:szCs w:val="28"/>
        </w:rPr>
      </w:pPr>
      <w:bookmarkStart w:id="125" w:name="_Toc22209"/>
    </w:p>
    <w:p>
      <w:pPr>
        <w:keepNext/>
        <w:keepLines/>
        <w:adjustRightInd w:val="0"/>
        <w:snapToGrid w:val="0"/>
        <w:spacing w:line="400" w:lineRule="exact"/>
        <w:jc w:val="center"/>
        <w:outlineLvl w:val="1"/>
        <w:rPr>
          <w:rFonts w:hint="eastAsia" w:ascii="黑体" w:hAnsi="华文中宋" w:eastAsia="黑体"/>
          <w:color w:val="auto"/>
          <w:sz w:val="28"/>
          <w:szCs w:val="28"/>
        </w:rPr>
      </w:pPr>
      <w:r>
        <w:rPr>
          <w:rFonts w:hint="eastAsia" w:ascii="黑体" w:hAnsi="黑体" w:eastAsia="黑体"/>
          <w:color w:val="auto"/>
          <w:sz w:val="28"/>
          <w:szCs w:val="28"/>
        </w:rPr>
        <w:t xml:space="preserve">第一节 </w:t>
      </w:r>
      <w:r>
        <w:rPr>
          <w:rFonts w:hint="eastAsia" w:ascii="黑体" w:hAnsi="华文中宋" w:eastAsia="黑体"/>
          <w:color w:val="auto"/>
          <w:sz w:val="28"/>
          <w:szCs w:val="28"/>
        </w:rPr>
        <w:t>政府采购合同协议书</w:t>
      </w:r>
      <w:bookmarkEnd w:id="125"/>
    </w:p>
    <w:p>
      <w:pPr>
        <w:keepNext/>
        <w:keepLines/>
        <w:adjustRightInd w:val="0"/>
        <w:snapToGrid w:val="0"/>
        <w:spacing w:line="400" w:lineRule="exact"/>
        <w:jc w:val="center"/>
        <w:outlineLvl w:val="1"/>
        <w:rPr>
          <w:rFonts w:hint="eastAsia" w:ascii="黑体" w:hAnsi="华文中宋" w:eastAsia="黑体"/>
          <w:color w:val="auto"/>
          <w:sz w:val="28"/>
          <w:szCs w:val="28"/>
        </w:rPr>
      </w:pPr>
    </w:p>
    <w:p>
      <w:pPr>
        <w:adjustRightInd w:val="0"/>
        <w:snapToGrid w:val="0"/>
        <w:spacing w:line="420" w:lineRule="exact"/>
        <w:rPr>
          <w:rFonts w:hint="eastAsia" w:ascii="宋体" w:hAnsi="宋体"/>
          <w:color w:val="auto"/>
          <w:szCs w:val="21"/>
        </w:rPr>
      </w:pPr>
      <w:r>
        <w:rPr>
          <w:rFonts w:hint="eastAsia" w:ascii="宋体" w:hAnsi="宋体"/>
          <w:color w:val="auto"/>
          <w:szCs w:val="21"/>
        </w:rPr>
        <w:t>甲方（全称）：</w:t>
      </w:r>
      <w:r>
        <w:rPr>
          <w:rFonts w:hint="eastAsia" w:ascii="宋体" w:hAnsi="宋体"/>
          <w:color w:val="auto"/>
          <w:szCs w:val="21"/>
          <w:u w:val="single"/>
        </w:rPr>
        <w:t xml:space="preserve">                    </w:t>
      </w:r>
      <w:r>
        <w:rPr>
          <w:rFonts w:hint="eastAsia" w:ascii="宋体" w:hAnsi="宋体"/>
          <w:color w:val="auto"/>
          <w:szCs w:val="21"/>
        </w:rPr>
        <w:t xml:space="preserve">（采购人、受采购人委托签订合同的单位或采购文件约定的合同甲方） </w:t>
      </w:r>
    </w:p>
    <w:p>
      <w:pPr>
        <w:adjustRightInd w:val="0"/>
        <w:snapToGrid w:val="0"/>
        <w:spacing w:line="420" w:lineRule="exact"/>
        <w:rPr>
          <w:rFonts w:hint="eastAsia" w:ascii="宋体" w:hAnsi="宋体"/>
          <w:color w:val="auto"/>
          <w:szCs w:val="21"/>
        </w:rPr>
      </w:pPr>
      <w:r>
        <w:rPr>
          <w:rFonts w:hint="eastAsia" w:ascii="宋体" w:hAnsi="宋体"/>
          <w:color w:val="auto"/>
          <w:szCs w:val="21"/>
        </w:rPr>
        <w:t>乙方1（全称）：</w:t>
      </w:r>
      <w:r>
        <w:rPr>
          <w:rFonts w:hint="eastAsia" w:ascii="宋体" w:hAnsi="宋体"/>
          <w:color w:val="auto"/>
          <w:szCs w:val="21"/>
          <w:u w:val="single"/>
        </w:rPr>
        <w:t xml:space="preserve">                   </w:t>
      </w:r>
      <w:r>
        <w:rPr>
          <w:rFonts w:hint="eastAsia" w:ascii="宋体" w:hAnsi="宋体"/>
          <w:color w:val="auto"/>
          <w:szCs w:val="21"/>
        </w:rPr>
        <w:t>（供应商）</w:t>
      </w:r>
    </w:p>
    <w:p>
      <w:pPr>
        <w:adjustRightInd w:val="0"/>
        <w:snapToGrid w:val="0"/>
        <w:spacing w:line="420" w:lineRule="exact"/>
        <w:rPr>
          <w:rFonts w:hint="eastAsia" w:ascii="宋体" w:hAnsi="宋体"/>
          <w:color w:val="auto"/>
          <w:szCs w:val="21"/>
        </w:rPr>
      </w:pPr>
      <w:r>
        <w:rPr>
          <w:rFonts w:hint="eastAsia" w:ascii="宋体" w:hAnsi="宋体"/>
          <w:color w:val="auto"/>
          <w:szCs w:val="21"/>
        </w:rPr>
        <w:t>乙方2（全称）：</w:t>
      </w:r>
      <w:r>
        <w:rPr>
          <w:rFonts w:hint="eastAsia" w:ascii="宋体" w:hAnsi="宋体"/>
          <w:color w:val="auto"/>
          <w:szCs w:val="21"/>
          <w:u w:val="single"/>
        </w:rPr>
        <w:t xml:space="preserve">                   </w:t>
      </w:r>
      <w:r>
        <w:rPr>
          <w:rFonts w:hint="eastAsia" w:ascii="宋体" w:hAnsi="宋体"/>
          <w:color w:val="auto"/>
          <w:szCs w:val="21"/>
        </w:rPr>
        <w:t>（联合体成员供应商或其他合同主体）（如有）</w:t>
      </w:r>
    </w:p>
    <w:p>
      <w:pPr>
        <w:adjustRightInd w:val="0"/>
        <w:snapToGrid w:val="0"/>
        <w:spacing w:line="420" w:lineRule="exact"/>
        <w:rPr>
          <w:rFonts w:hint="eastAsia" w:ascii="宋体" w:hAnsi="宋体"/>
          <w:color w:val="auto"/>
          <w:szCs w:val="21"/>
        </w:rPr>
      </w:pPr>
      <w:r>
        <w:rPr>
          <w:rFonts w:hint="eastAsia"/>
          <w:color w:val="auto"/>
        </w:rPr>
        <w:t>乙方</w:t>
      </w:r>
      <w:r>
        <w:rPr>
          <w:rFonts w:hint="eastAsia" w:ascii="宋体" w:hAnsi="宋体"/>
          <w:color w:val="auto"/>
          <w:szCs w:val="21"/>
        </w:rPr>
        <w:t>3</w:t>
      </w:r>
      <w:r>
        <w:rPr>
          <w:rFonts w:hint="eastAsia"/>
          <w:color w:val="auto"/>
        </w:rPr>
        <w:t>（全称）</w:t>
      </w:r>
      <w:r>
        <w:rPr>
          <w:rFonts w:hint="eastAsia" w:ascii="宋体" w:hAnsi="宋体"/>
          <w:color w:val="auto"/>
          <w:szCs w:val="21"/>
          <w:u w:val="single"/>
        </w:rPr>
        <w:t xml:space="preserve">                    </w:t>
      </w:r>
      <w:r>
        <w:rPr>
          <w:rFonts w:hint="eastAsia" w:ascii="宋体" w:hAnsi="宋体"/>
          <w:color w:val="auto"/>
          <w:szCs w:val="21"/>
        </w:rPr>
        <w:t>（联合体成员供应商或其他合同主体）（如有）</w:t>
      </w:r>
    </w:p>
    <w:p>
      <w:pPr>
        <w:spacing w:line="420" w:lineRule="exact"/>
        <w:rPr>
          <w:color w:val="auto"/>
        </w:rPr>
      </w:pPr>
    </w:p>
    <w:p>
      <w:pPr>
        <w:adjustRightInd w:val="0"/>
        <w:snapToGrid w:val="0"/>
        <w:spacing w:line="420" w:lineRule="exact"/>
        <w:ind w:firstLine="420" w:firstLineChars="200"/>
        <w:rPr>
          <w:rFonts w:hint="eastAsia" w:ascii="宋体" w:hAnsi="宋体"/>
          <w:color w:val="auto"/>
          <w:szCs w:val="21"/>
        </w:rPr>
      </w:pPr>
      <w:r>
        <w:rPr>
          <w:rFonts w:hint="eastAsia" w:ascii="宋体" w:hAnsi="宋体"/>
          <w:color w:val="auto"/>
          <w:szCs w:val="21"/>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pPr>
        <w:numPr>
          <w:ilvl w:val="0"/>
          <w:numId w:val="5"/>
        </w:numPr>
        <w:adjustRightInd w:val="0"/>
        <w:snapToGrid w:val="0"/>
        <w:spacing w:line="420" w:lineRule="exact"/>
        <w:ind w:firstLine="422" w:firstLineChars="200"/>
        <w:rPr>
          <w:rFonts w:hint="eastAsia" w:ascii="宋体" w:hAnsi="宋体"/>
          <w:b/>
          <w:color w:val="auto"/>
          <w:szCs w:val="21"/>
        </w:rPr>
      </w:pPr>
      <w:r>
        <w:rPr>
          <w:rFonts w:hint="eastAsia" w:ascii="宋体" w:hAnsi="宋体"/>
          <w:b/>
          <w:color w:val="auto"/>
          <w:szCs w:val="21"/>
        </w:rPr>
        <w:t>项目信息</w:t>
      </w:r>
    </w:p>
    <w:p>
      <w:pPr>
        <w:adjustRightInd w:val="0"/>
        <w:snapToGrid w:val="0"/>
        <w:spacing w:line="420" w:lineRule="exact"/>
        <w:ind w:firstLine="210" w:firstLineChars="100"/>
        <w:rPr>
          <w:rFonts w:hint="eastAsia" w:ascii="宋体" w:hAnsi="宋体"/>
          <w:color w:val="auto"/>
          <w:szCs w:val="21"/>
          <w:u w:val="single"/>
        </w:rPr>
      </w:pPr>
      <w:r>
        <w:rPr>
          <w:rFonts w:hint="eastAsia" w:ascii="宋体" w:hAnsi="宋体"/>
          <w:color w:val="auto"/>
          <w:szCs w:val="21"/>
        </w:rPr>
        <w:t>（1）采购项目名称：</w:t>
      </w:r>
      <w:r>
        <w:rPr>
          <w:rFonts w:ascii="宋体" w:hAnsi="宋体"/>
          <w:color w:val="auto"/>
          <w:szCs w:val="21"/>
          <w:u w:val="single"/>
        </w:rPr>
        <w:t xml:space="preserve">                                      </w:t>
      </w:r>
      <w:r>
        <w:rPr>
          <w:rFonts w:hint="eastAsia" w:ascii="宋体" w:hAnsi="宋体"/>
          <w:color w:val="auto"/>
          <w:szCs w:val="21"/>
          <w:u w:val="single"/>
        </w:rPr>
        <w:t xml:space="preserve">  </w:t>
      </w:r>
      <w:r>
        <w:rPr>
          <w:rFonts w:ascii="宋体" w:hAnsi="宋体"/>
          <w:color w:val="auto"/>
          <w:szCs w:val="21"/>
          <w:u w:val="single"/>
        </w:rPr>
        <w:t xml:space="preserve">    </w:t>
      </w:r>
    </w:p>
    <w:p>
      <w:pPr>
        <w:numPr>
          <w:ilvl w:val="255"/>
          <w:numId w:val="0"/>
        </w:numPr>
        <w:tabs>
          <w:tab w:val="left" w:pos="999"/>
        </w:tabs>
        <w:adjustRightInd w:val="0"/>
        <w:snapToGrid w:val="0"/>
        <w:spacing w:line="420" w:lineRule="exact"/>
        <w:rPr>
          <w:rFonts w:hint="eastAsia" w:ascii="宋体" w:hAnsi="宋体"/>
          <w:color w:val="auto"/>
          <w:szCs w:val="21"/>
        </w:rPr>
      </w:pPr>
      <w:r>
        <w:rPr>
          <w:rFonts w:hint="eastAsia" w:ascii="宋体" w:hAnsi="宋体"/>
          <w:color w:val="auto"/>
          <w:szCs w:val="21"/>
        </w:rPr>
        <w:t xml:space="preserve">       采购项目编号：</w:t>
      </w:r>
      <w:r>
        <w:rPr>
          <w:rFonts w:ascii="宋体" w:hAnsi="宋体"/>
          <w:color w:val="auto"/>
          <w:szCs w:val="21"/>
          <w:u w:val="single"/>
        </w:rPr>
        <w:t xml:space="preserve">                                          </w:t>
      </w:r>
    </w:p>
    <w:p>
      <w:pPr>
        <w:adjustRightInd w:val="0"/>
        <w:snapToGrid w:val="0"/>
        <w:spacing w:line="420" w:lineRule="exact"/>
        <w:ind w:firstLine="199" w:firstLineChars="95"/>
        <w:rPr>
          <w:rFonts w:hint="eastAsia" w:ascii="宋体" w:hAnsi="宋体"/>
          <w:color w:val="auto"/>
          <w:szCs w:val="21"/>
        </w:rPr>
      </w:pPr>
      <w:r>
        <w:rPr>
          <w:rFonts w:hint="eastAsia" w:ascii="宋体" w:hAnsi="宋体"/>
          <w:color w:val="auto"/>
          <w:szCs w:val="21"/>
        </w:rPr>
        <w:t>（2）采购计划编号：</w:t>
      </w:r>
      <w:r>
        <w:rPr>
          <w:rFonts w:ascii="宋体" w:hAnsi="宋体"/>
          <w:color w:val="auto"/>
          <w:szCs w:val="21"/>
          <w:u w:val="single"/>
        </w:rPr>
        <w:t xml:space="preserve">                     </w:t>
      </w:r>
      <w:r>
        <w:rPr>
          <w:rFonts w:hint="eastAsia" w:ascii="宋体" w:hAnsi="宋体"/>
          <w:color w:val="auto"/>
          <w:szCs w:val="21"/>
          <w:u w:val="single"/>
        </w:rPr>
        <w:t xml:space="preserve">                </w:t>
      </w:r>
      <w:r>
        <w:rPr>
          <w:rFonts w:ascii="宋体" w:hAnsi="宋体"/>
          <w:color w:val="auto"/>
          <w:szCs w:val="21"/>
          <w:u w:val="single"/>
        </w:rPr>
        <w:t xml:space="preserve">  </w:t>
      </w:r>
      <w:r>
        <w:rPr>
          <w:rFonts w:hint="eastAsia" w:ascii="宋体" w:hAnsi="宋体"/>
          <w:color w:val="auto"/>
          <w:szCs w:val="21"/>
          <w:u w:val="single"/>
        </w:rPr>
        <w:t xml:space="preserve">  </w:t>
      </w:r>
      <w:r>
        <w:rPr>
          <w:rFonts w:ascii="宋体" w:hAnsi="宋体"/>
          <w:color w:val="auto"/>
          <w:szCs w:val="21"/>
          <w:u w:val="single"/>
        </w:rPr>
        <w:t xml:space="preserve">   </w:t>
      </w:r>
      <w:r>
        <w:rPr>
          <w:rFonts w:ascii="宋体" w:hAnsi="宋体"/>
          <w:color w:val="auto"/>
          <w:szCs w:val="21"/>
        </w:rPr>
        <w:t xml:space="preserve"> </w:t>
      </w:r>
    </w:p>
    <w:p>
      <w:pPr>
        <w:adjustRightInd w:val="0"/>
        <w:snapToGrid w:val="0"/>
        <w:spacing w:line="420" w:lineRule="exact"/>
        <w:ind w:firstLine="199" w:firstLineChars="95"/>
        <w:rPr>
          <w:rFonts w:hint="eastAsia" w:ascii="宋体" w:hAnsi="宋体"/>
          <w:color w:val="auto"/>
          <w:szCs w:val="21"/>
        </w:rPr>
      </w:pPr>
      <w:r>
        <w:rPr>
          <w:rFonts w:hint="eastAsia" w:ascii="宋体" w:hAnsi="宋体"/>
          <w:color w:val="auto"/>
          <w:szCs w:val="21"/>
        </w:rPr>
        <w:t>（3）项目内容：</w:t>
      </w:r>
    </w:p>
    <w:p>
      <w:pPr>
        <w:adjustRightInd w:val="0"/>
        <w:snapToGrid w:val="0"/>
        <w:spacing w:line="420" w:lineRule="exact"/>
        <w:ind w:firstLine="420" w:firstLineChars="200"/>
        <w:rPr>
          <w:rFonts w:hint="eastAsia" w:ascii="宋体" w:hAnsi="宋体"/>
          <w:color w:val="auto"/>
          <w:szCs w:val="21"/>
        </w:rPr>
      </w:pPr>
      <w:r>
        <w:rPr>
          <w:rFonts w:hint="eastAsia" w:ascii="宋体" w:hAnsi="宋体"/>
          <w:color w:val="auto"/>
          <w:szCs w:val="21"/>
        </w:rPr>
        <w:t xml:space="preserve">   采购标的及数量（台/套</w:t>
      </w:r>
      <w:r>
        <w:rPr>
          <w:rFonts w:ascii="宋体" w:hAnsi="宋体"/>
          <w:color w:val="auto"/>
          <w:szCs w:val="21"/>
          <w:lang w:val="en"/>
        </w:rPr>
        <w:t>/</w:t>
      </w:r>
      <w:r>
        <w:rPr>
          <w:rFonts w:hint="eastAsia" w:ascii="宋体" w:hAnsi="宋体"/>
          <w:color w:val="auto"/>
          <w:szCs w:val="21"/>
          <w:lang w:val="en"/>
        </w:rPr>
        <w:t>个</w:t>
      </w:r>
      <w:r>
        <w:rPr>
          <w:rFonts w:ascii="宋体" w:hAnsi="宋体"/>
          <w:color w:val="auto"/>
          <w:szCs w:val="21"/>
          <w:lang w:val="en"/>
        </w:rPr>
        <w:t>/</w:t>
      </w:r>
      <w:r>
        <w:rPr>
          <w:rFonts w:hint="eastAsia" w:ascii="宋体" w:hAnsi="宋体"/>
          <w:color w:val="auto"/>
          <w:szCs w:val="21"/>
          <w:lang w:val="en"/>
        </w:rPr>
        <w:t>架</w:t>
      </w:r>
      <w:r>
        <w:rPr>
          <w:rFonts w:ascii="宋体" w:hAnsi="宋体"/>
          <w:color w:val="auto"/>
          <w:szCs w:val="21"/>
          <w:lang w:val="en"/>
        </w:rPr>
        <w:t>/</w:t>
      </w:r>
      <w:r>
        <w:rPr>
          <w:rFonts w:hint="eastAsia" w:ascii="宋体" w:hAnsi="宋体"/>
          <w:color w:val="auto"/>
          <w:szCs w:val="21"/>
          <w:lang w:val="en"/>
        </w:rPr>
        <w:t>组等</w:t>
      </w:r>
      <w:r>
        <w:rPr>
          <w:rFonts w:hint="eastAsia" w:ascii="宋体" w:hAnsi="宋体"/>
          <w:color w:val="auto"/>
          <w:szCs w:val="21"/>
        </w:rPr>
        <w:t>）：</w:t>
      </w:r>
      <w:r>
        <w:rPr>
          <w:rFonts w:hint="eastAsia" w:ascii="宋体" w:hAnsi="宋体"/>
          <w:color w:val="auto"/>
          <w:szCs w:val="21"/>
          <w:u w:val="single"/>
        </w:rPr>
        <w:t xml:space="preserve">                                         </w:t>
      </w:r>
      <w:r>
        <w:rPr>
          <w:rFonts w:hint="eastAsia" w:ascii="宋体" w:hAnsi="宋体"/>
          <w:color w:val="auto"/>
          <w:szCs w:val="21"/>
        </w:rPr>
        <w:t xml:space="preserve"> </w:t>
      </w:r>
    </w:p>
    <w:p>
      <w:pPr>
        <w:numPr>
          <w:ilvl w:val="255"/>
          <w:numId w:val="0"/>
        </w:numPr>
        <w:adjustRightInd w:val="0"/>
        <w:snapToGrid w:val="0"/>
        <w:spacing w:line="420" w:lineRule="exact"/>
        <w:ind w:firstLine="420" w:firstLineChars="200"/>
        <w:rPr>
          <w:rFonts w:hint="eastAsia" w:ascii="宋体" w:hAnsi="宋体" w:cs="宋体"/>
          <w:color w:val="auto"/>
          <w:szCs w:val="21"/>
          <w:lang w:val="en"/>
        </w:rPr>
      </w:pPr>
      <w:r>
        <w:rPr>
          <w:rFonts w:hint="eastAsia" w:ascii="宋体" w:hAnsi="宋体"/>
          <w:color w:val="auto"/>
          <w:szCs w:val="21"/>
        </w:rPr>
        <w:t xml:space="preserve">   </w:t>
      </w:r>
      <w:r>
        <w:rPr>
          <w:rFonts w:hint="eastAsia" w:ascii="宋体" w:hAnsi="宋体" w:cs="宋体"/>
          <w:color w:val="auto"/>
          <w:szCs w:val="21"/>
        </w:rPr>
        <w:t>品牌：</w:t>
      </w:r>
      <w:r>
        <w:rPr>
          <w:rFonts w:hint="eastAsia" w:ascii="宋体" w:hAnsi="宋体" w:cs="宋体"/>
          <w:color w:val="auto"/>
          <w:szCs w:val="21"/>
          <w:u w:val="single"/>
        </w:rPr>
        <w:t xml:space="preserve">      </w:t>
      </w:r>
      <w:r>
        <w:rPr>
          <w:rFonts w:ascii="宋体" w:hAnsi="宋体" w:cs="宋体"/>
          <w:color w:val="auto"/>
          <w:szCs w:val="21"/>
          <w:u w:val="single"/>
          <w:lang w:val="en"/>
        </w:rPr>
        <w:t xml:space="preserve">   </w:t>
      </w:r>
      <w:r>
        <w:rPr>
          <w:rFonts w:hint="eastAsia" w:ascii="宋体" w:hAnsi="宋体" w:cs="宋体"/>
          <w:color w:val="auto"/>
          <w:szCs w:val="21"/>
          <w:u w:val="single"/>
        </w:rPr>
        <w:t xml:space="preserve">    </w:t>
      </w:r>
      <w:r>
        <w:rPr>
          <w:rFonts w:ascii="宋体" w:hAnsi="宋体" w:cs="宋体"/>
          <w:color w:val="auto"/>
          <w:szCs w:val="21"/>
          <w:u w:val="single"/>
          <w:lang w:val="en"/>
        </w:rPr>
        <w:t xml:space="preserve"> </w:t>
      </w:r>
      <w:r>
        <w:rPr>
          <w:rFonts w:hint="eastAsia" w:ascii="宋体" w:hAnsi="宋体" w:cs="宋体"/>
          <w:color w:val="auto"/>
          <w:szCs w:val="21"/>
          <w:u w:val="single"/>
        </w:rPr>
        <w:t xml:space="preserve"> </w:t>
      </w:r>
      <w:r>
        <w:rPr>
          <w:rFonts w:ascii="宋体" w:hAnsi="宋体" w:cs="宋体"/>
          <w:color w:val="auto"/>
          <w:szCs w:val="21"/>
          <w:lang w:val="en"/>
        </w:rPr>
        <w:t xml:space="preserve">     </w:t>
      </w:r>
      <w:r>
        <w:rPr>
          <w:rFonts w:hint="eastAsia" w:ascii="宋体" w:hAnsi="宋体" w:cs="宋体"/>
          <w:color w:val="auto"/>
          <w:szCs w:val="21"/>
        </w:rPr>
        <w:t>规格型号：</w:t>
      </w:r>
      <w:r>
        <w:rPr>
          <w:rFonts w:hint="eastAsia" w:ascii="宋体" w:hAnsi="宋体" w:cs="宋体"/>
          <w:color w:val="auto"/>
          <w:szCs w:val="21"/>
          <w:u w:val="single"/>
        </w:rPr>
        <w:t xml:space="preserve">   </w:t>
      </w:r>
      <w:r>
        <w:rPr>
          <w:rFonts w:ascii="宋体" w:hAnsi="宋体" w:cs="宋体"/>
          <w:color w:val="auto"/>
          <w:szCs w:val="21"/>
          <w:u w:val="single"/>
          <w:lang w:val="en"/>
        </w:rPr>
        <w:t xml:space="preserve">  </w:t>
      </w:r>
      <w:r>
        <w:rPr>
          <w:rFonts w:hint="eastAsia" w:ascii="宋体" w:hAnsi="宋体" w:cs="宋体"/>
          <w:color w:val="auto"/>
          <w:szCs w:val="21"/>
          <w:u w:val="single"/>
        </w:rPr>
        <w:t xml:space="preserve">       </w:t>
      </w:r>
      <w:r>
        <w:rPr>
          <w:rFonts w:ascii="宋体" w:hAnsi="宋体" w:cs="宋体"/>
          <w:color w:val="auto"/>
          <w:szCs w:val="21"/>
          <w:u w:val="single"/>
          <w:lang w:val="en"/>
        </w:rPr>
        <w:t xml:space="preserve">   </w:t>
      </w:r>
    </w:p>
    <w:p>
      <w:pPr>
        <w:numPr>
          <w:ilvl w:val="255"/>
          <w:numId w:val="0"/>
        </w:numPr>
        <w:adjustRightInd w:val="0"/>
        <w:snapToGrid w:val="0"/>
        <w:spacing w:line="420" w:lineRule="exact"/>
        <w:ind w:firstLine="735" w:firstLineChars="350"/>
        <w:rPr>
          <w:rFonts w:hint="eastAsia" w:ascii="宋体" w:hAnsi="宋体" w:cs="宋体"/>
          <w:color w:val="auto"/>
          <w:szCs w:val="21"/>
          <w:lang w:val="en"/>
        </w:rPr>
      </w:pPr>
      <w:r>
        <w:rPr>
          <w:rFonts w:hint="eastAsia" w:ascii="宋体" w:hAnsi="宋体"/>
          <w:color w:val="auto"/>
          <w:szCs w:val="21"/>
        </w:rPr>
        <w:t>采购标的的技术要求、商务要求具体见附件。</w:t>
      </w:r>
    </w:p>
    <w:p>
      <w:pPr>
        <w:numPr>
          <w:ilvl w:val="255"/>
          <w:numId w:val="0"/>
        </w:numPr>
        <w:adjustRightInd w:val="0"/>
        <w:snapToGrid w:val="0"/>
        <w:spacing w:line="420" w:lineRule="exact"/>
        <w:ind w:firstLine="735" w:firstLineChars="350"/>
        <w:rPr>
          <w:rFonts w:hint="eastAsia" w:ascii="宋体" w:hAnsi="宋体" w:cs="宋体"/>
          <w:color w:val="auto"/>
          <w:szCs w:val="21"/>
        </w:rPr>
      </w:pPr>
      <w:r>
        <w:rPr>
          <w:rFonts w:hint="eastAsia" w:ascii="汉仪书宋二S" w:hAnsi="汉仪书宋二S" w:eastAsia="汉仪书宋二S" w:cs="汉仪书宋二S"/>
          <w:color w:val="auto"/>
          <w:szCs w:val="21"/>
        </w:rPr>
        <w:t>①</w:t>
      </w:r>
      <w:r>
        <w:rPr>
          <w:rFonts w:hint="eastAsia" w:ascii="宋体" w:hAnsi="宋体" w:cs="宋体"/>
          <w:color w:val="auto"/>
          <w:szCs w:val="21"/>
        </w:rPr>
        <w:t>涉及信息类产品，请填写该产品关键部件的品牌、型号：</w:t>
      </w:r>
    </w:p>
    <w:p>
      <w:pPr>
        <w:numPr>
          <w:ilvl w:val="255"/>
          <w:numId w:val="0"/>
        </w:numPr>
        <w:adjustRightInd w:val="0"/>
        <w:snapToGrid w:val="0"/>
        <w:spacing w:line="420" w:lineRule="exact"/>
        <w:ind w:firstLine="420" w:firstLineChars="200"/>
        <w:rPr>
          <w:rFonts w:hint="eastAsia" w:ascii="宋体" w:hAnsi="宋体" w:cs="宋体"/>
          <w:color w:val="auto"/>
          <w:kern w:val="0"/>
          <w:szCs w:val="21"/>
          <w:u w:val="single"/>
        </w:rPr>
      </w:pPr>
      <w:r>
        <w:rPr>
          <w:rFonts w:hint="eastAsia" w:ascii="宋体" w:hAnsi="宋体" w:cs="宋体"/>
          <w:color w:val="auto"/>
          <w:szCs w:val="21"/>
        </w:rPr>
        <w:t xml:space="preserve">   标的名称：</w:t>
      </w:r>
      <w:r>
        <w:rPr>
          <w:rFonts w:hint="eastAsia" w:ascii="宋体" w:hAnsi="宋体" w:cs="宋体"/>
          <w:color w:val="auto"/>
          <w:kern w:val="0"/>
          <w:szCs w:val="21"/>
          <w:u w:val="single"/>
        </w:rPr>
        <w:t xml:space="preserve">      </w:t>
      </w:r>
      <w:r>
        <w:rPr>
          <w:rFonts w:ascii="宋体" w:hAnsi="宋体" w:cs="宋体"/>
          <w:color w:val="auto"/>
          <w:kern w:val="0"/>
          <w:szCs w:val="21"/>
          <w:u w:val="single"/>
          <w:lang w:val="en"/>
        </w:rPr>
        <w:t xml:space="preserve">               </w:t>
      </w:r>
      <w:r>
        <w:rPr>
          <w:rFonts w:hint="eastAsia" w:ascii="宋体" w:hAnsi="宋体" w:cs="宋体"/>
          <w:color w:val="auto"/>
          <w:kern w:val="0"/>
          <w:szCs w:val="21"/>
          <w:u w:val="single"/>
        </w:rPr>
        <w:t xml:space="preserve">    </w:t>
      </w:r>
    </w:p>
    <w:p>
      <w:pPr>
        <w:numPr>
          <w:ilvl w:val="255"/>
          <w:numId w:val="0"/>
        </w:numPr>
        <w:adjustRightInd w:val="0"/>
        <w:snapToGrid w:val="0"/>
        <w:spacing w:line="420" w:lineRule="exact"/>
        <w:ind w:firstLine="420" w:firstLineChars="200"/>
        <w:rPr>
          <w:rFonts w:hint="eastAsia" w:ascii="宋体" w:hAnsi="宋体" w:cs="宋体"/>
          <w:color w:val="auto"/>
          <w:szCs w:val="21"/>
        </w:rPr>
      </w:pPr>
      <w:r>
        <w:rPr>
          <w:rFonts w:hint="eastAsia" w:ascii="宋体" w:hAnsi="宋体" w:cs="宋体"/>
          <w:color w:val="auto"/>
          <w:szCs w:val="21"/>
        </w:rPr>
        <w:t xml:space="preserve">   关键部件：</w:t>
      </w:r>
      <w:r>
        <w:rPr>
          <w:rFonts w:hint="eastAsia" w:ascii="宋体" w:hAnsi="宋体" w:cs="宋体"/>
          <w:color w:val="auto"/>
          <w:kern w:val="0"/>
          <w:szCs w:val="21"/>
          <w:u w:val="single"/>
        </w:rPr>
        <w:t xml:space="preserve">          </w:t>
      </w:r>
      <w:r>
        <w:rPr>
          <w:rFonts w:hint="eastAsia" w:ascii="宋体" w:hAnsi="宋体" w:cs="宋体"/>
          <w:color w:val="auto"/>
          <w:kern w:val="0"/>
          <w:szCs w:val="21"/>
        </w:rPr>
        <w:t xml:space="preserve"> </w:t>
      </w:r>
      <w:r>
        <w:rPr>
          <w:rFonts w:hint="eastAsia" w:ascii="宋体" w:hAnsi="宋体" w:cs="宋体"/>
          <w:color w:val="auto"/>
          <w:szCs w:val="21"/>
        </w:rPr>
        <w:t>品牌：</w:t>
      </w:r>
      <w:r>
        <w:rPr>
          <w:rFonts w:hint="eastAsia" w:ascii="宋体" w:hAnsi="宋体" w:cs="宋体"/>
          <w:color w:val="auto"/>
          <w:szCs w:val="21"/>
          <w:u w:val="single"/>
        </w:rPr>
        <w:t xml:space="preserve">        </w:t>
      </w:r>
      <w:r>
        <w:rPr>
          <w:rFonts w:hint="eastAsia" w:ascii="宋体" w:hAnsi="宋体" w:cs="宋体"/>
          <w:color w:val="auto"/>
          <w:szCs w:val="21"/>
        </w:rPr>
        <w:t xml:space="preserve"> 型号：</w:t>
      </w:r>
      <w:r>
        <w:rPr>
          <w:rFonts w:hint="eastAsia" w:ascii="宋体" w:hAnsi="宋体" w:cs="宋体"/>
          <w:color w:val="auto"/>
          <w:szCs w:val="21"/>
          <w:u w:val="single"/>
        </w:rPr>
        <w:t xml:space="preserve">          </w:t>
      </w:r>
    </w:p>
    <w:p>
      <w:pPr>
        <w:widowControl/>
        <w:autoSpaceDE w:val="0"/>
        <w:autoSpaceDN w:val="0"/>
        <w:adjustRightInd w:val="0"/>
        <w:spacing w:line="420" w:lineRule="exact"/>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 xml:space="preserve">   </w:t>
      </w:r>
      <w:r>
        <w:rPr>
          <w:rFonts w:hint="eastAsia" w:ascii="宋体" w:hAnsi="宋体" w:cs="宋体"/>
          <w:color w:val="auto"/>
          <w:szCs w:val="21"/>
        </w:rPr>
        <w:t>关键部件</w:t>
      </w:r>
      <w:r>
        <w:rPr>
          <w:rFonts w:hint="eastAsia" w:ascii="宋体" w:hAnsi="宋体" w:cs="宋体"/>
          <w:color w:val="auto"/>
          <w:kern w:val="0"/>
          <w:szCs w:val="21"/>
        </w:rPr>
        <w:t>：</w:t>
      </w:r>
      <w:r>
        <w:rPr>
          <w:rFonts w:hint="eastAsia" w:ascii="宋体" w:hAnsi="宋体" w:cs="宋体"/>
          <w:color w:val="auto"/>
          <w:kern w:val="0"/>
          <w:szCs w:val="21"/>
          <w:u w:val="single"/>
        </w:rPr>
        <w:t xml:space="preserve">          </w:t>
      </w:r>
      <w:r>
        <w:rPr>
          <w:rFonts w:hint="eastAsia" w:ascii="宋体" w:hAnsi="宋体" w:cs="宋体"/>
          <w:color w:val="auto"/>
          <w:kern w:val="0"/>
          <w:szCs w:val="21"/>
        </w:rPr>
        <w:t xml:space="preserve"> 品牌：</w:t>
      </w:r>
      <w:r>
        <w:rPr>
          <w:rFonts w:hint="eastAsia" w:ascii="宋体" w:hAnsi="宋体" w:cs="宋体"/>
          <w:color w:val="auto"/>
          <w:kern w:val="0"/>
          <w:szCs w:val="21"/>
          <w:u w:val="single"/>
        </w:rPr>
        <w:t xml:space="preserve">        </w:t>
      </w:r>
      <w:r>
        <w:rPr>
          <w:rFonts w:hint="eastAsia" w:ascii="宋体" w:hAnsi="宋体" w:cs="宋体"/>
          <w:color w:val="auto"/>
          <w:kern w:val="0"/>
          <w:szCs w:val="21"/>
        </w:rPr>
        <w:t xml:space="preserve"> 型号：</w:t>
      </w:r>
      <w:r>
        <w:rPr>
          <w:rFonts w:hint="eastAsia" w:ascii="宋体" w:hAnsi="宋体" w:cs="宋体"/>
          <w:color w:val="auto"/>
          <w:kern w:val="0"/>
          <w:szCs w:val="21"/>
          <w:u w:val="single"/>
        </w:rPr>
        <w:t xml:space="preserve">          </w:t>
      </w:r>
    </w:p>
    <w:p>
      <w:pPr>
        <w:widowControl/>
        <w:autoSpaceDE w:val="0"/>
        <w:autoSpaceDN w:val="0"/>
        <w:adjustRightInd w:val="0"/>
        <w:spacing w:line="420" w:lineRule="exact"/>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 xml:space="preserve">   关键部件：</w:t>
      </w:r>
      <w:r>
        <w:rPr>
          <w:rFonts w:hint="eastAsia" w:ascii="宋体" w:hAnsi="宋体" w:cs="宋体"/>
          <w:color w:val="auto"/>
          <w:kern w:val="0"/>
          <w:szCs w:val="21"/>
          <w:u w:val="single"/>
        </w:rPr>
        <w:t xml:space="preserve">          </w:t>
      </w:r>
      <w:r>
        <w:rPr>
          <w:rFonts w:hint="eastAsia" w:ascii="宋体" w:hAnsi="宋体" w:cs="宋体"/>
          <w:color w:val="auto"/>
          <w:kern w:val="0"/>
          <w:szCs w:val="21"/>
        </w:rPr>
        <w:t xml:space="preserve"> 品牌：</w:t>
      </w:r>
      <w:r>
        <w:rPr>
          <w:rFonts w:hint="eastAsia" w:ascii="宋体" w:hAnsi="宋体" w:cs="宋体"/>
          <w:color w:val="auto"/>
          <w:kern w:val="0"/>
          <w:szCs w:val="21"/>
          <w:u w:val="single"/>
        </w:rPr>
        <w:t xml:space="preserve">        </w:t>
      </w:r>
      <w:r>
        <w:rPr>
          <w:rFonts w:hint="eastAsia" w:ascii="宋体" w:hAnsi="宋体" w:cs="宋体"/>
          <w:color w:val="auto"/>
          <w:kern w:val="0"/>
          <w:szCs w:val="21"/>
        </w:rPr>
        <w:t xml:space="preserve"> 型号：</w:t>
      </w:r>
      <w:r>
        <w:rPr>
          <w:rFonts w:hint="eastAsia" w:ascii="宋体" w:hAnsi="宋体" w:cs="宋体"/>
          <w:color w:val="auto"/>
          <w:kern w:val="0"/>
          <w:szCs w:val="21"/>
          <w:u w:val="single"/>
        </w:rPr>
        <w:t xml:space="preserve">          </w:t>
      </w:r>
    </w:p>
    <w:p>
      <w:pPr>
        <w:widowControl/>
        <w:numPr>
          <w:ilvl w:val="255"/>
          <w:numId w:val="0"/>
        </w:numPr>
        <w:autoSpaceDE w:val="0"/>
        <w:autoSpaceDN w:val="0"/>
        <w:adjustRightInd w:val="0"/>
        <w:snapToGrid w:val="0"/>
        <w:spacing w:line="420" w:lineRule="exact"/>
        <w:jc w:val="left"/>
        <w:rPr>
          <w:rFonts w:hint="eastAsia" w:ascii="宋体" w:hAnsi="宋体" w:cs="宋体"/>
          <w:color w:val="auto"/>
          <w:kern w:val="0"/>
          <w:szCs w:val="21"/>
        </w:rPr>
      </w:pPr>
      <w:r>
        <w:rPr>
          <w:rFonts w:hint="eastAsia" w:ascii="宋体" w:hAnsi="宋体" w:cs="宋体"/>
          <w:color w:val="auto"/>
          <w:kern w:val="0"/>
          <w:szCs w:val="21"/>
        </w:rPr>
        <w:t xml:space="preserve">   （注：关键部件是指财政部会同有关部门发布的政府采购需求标准规定的需要通过国家有关部门指定的测评机构开展的安全可靠测评的软硬件，如CPU芯片、操作系统、数据库等。）</w:t>
      </w:r>
    </w:p>
    <w:p>
      <w:pPr>
        <w:widowControl/>
        <w:numPr>
          <w:ilvl w:val="255"/>
          <w:numId w:val="0"/>
        </w:numPr>
        <w:autoSpaceDE w:val="0"/>
        <w:autoSpaceDN w:val="0"/>
        <w:adjustRightInd w:val="0"/>
        <w:snapToGrid w:val="0"/>
        <w:spacing w:line="420" w:lineRule="exact"/>
        <w:jc w:val="left"/>
        <w:rPr>
          <w:rFonts w:hint="eastAsia" w:ascii="宋体" w:hAnsi="宋体" w:cs="宋体"/>
          <w:color w:val="auto"/>
          <w:kern w:val="0"/>
          <w:szCs w:val="21"/>
        </w:rPr>
      </w:pPr>
      <w:r>
        <w:rPr>
          <w:rFonts w:hint="eastAsia" w:ascii="宋体" w:hAnsi="宋体" w:cs="宋体"/>
          <w:color w:val="auto"/>
          <w:kern w:val="0"/>
          <w:szCs w:val="21"/>
        </w:rPr>
        <w:t xml:space="preserve">         </w:t>
      </w:r>
      <w:r>
        <w:rPr>
          <w:rFonts w:hint="eastAsia" w:ascii="汉仪书宋二S" w:hAnsi="汉仪书宋二S" w:eastAsia="汉仪书宋二S" w:cs="汉仪书宋二S"/>
          <w:color w:val="auto"/>
          <w:kern w:val="0"/>
          <w:szCs w:val="21"/>
        </w:rPr>
        <w:t>②</w:t>
      </w:r>
      <w:r>
        <w:rPr>
          <w:rFonts w:hint="eastAsia" w:ascii="宋体" w:hAnsi="宋体" w:cs="宋体"/>
          <w:color w:val="auto"/>
          <w:kern w:val="0"/>
          <w:szCs w:val="21"/>
        </w:rPr>
        <w:t>涉及车辆采购，请填写是否属于新能源汽车：</w:t>
      </w:r>
    </w:p>
    <w:p>
      <w:pPr>
        <w:widowControl/>
        <w:numPr>
          <w:ilvl w:val="255"/>
          <w:numId w:val="0"/>
        </w:numPr>
        <w:autoSpaceDE w:val="0"/>
        <w:autoSpaceDN w:val="0"/>
        <w:adjustRightInd w:val="0"/>
        <w:snapToGrid w:val="0"/>
        <w:spacing w:line="420" w:lineRule="exact"/>
        <w:jc w:val="left"/>
        <w:rPr>
          <w:rFonts w:hint="eastAsia" w:ascii="宋体" w:hAnsi="宋体" w:cs="宋体"/>
          <w:color w:val="auto"/>
          <w:kern w:val="0"/>
          <w:szCs w:val="21"/>
        </w:rPr>
      </w:pPr>
      <w:r>
        <w:rPr>
          <w:rFonts w:hint="eastAsia" w:ascii="宋体" w:hAnsi="宋体" w:cs="宋体"/>
          <w:color w:val="auto"/>
          <w:kern w:val="0"/>
          <w:szCs w:val="21"/>
        </w:rPr>
        <w:t xml:space="preserve">         </w:t>
      </w:r>
      <w:r>
        <w:rPr>
          <w:rFonts w:hint="eastAsia" w:ascii="宋体" w:hAnsi="宋体" w:cs="宋体"/>
          <w:color w:val="auto"/>
          <w:kern w:val="0"/>
          <w:szCs w:val="21"/>
        </w:rPr>
        <w:sym w:font="Wingdings" w:char="00A8"/>
      </w:r>
      <w:r>
        <w:rPr>
          <w:rFonts w:hint="eastAsia" w:ascii="宋体" w:hAnsi="宋体" w:cs="宋体"/>
          <w:color w:val="auto"/>
          <w:kern w:val="0"/>
          <w:szCs w:val="21"/>
        </w:rPr>
        <w:t>是，《政府采购品目分类目录》底级品目名称：</w:t>
      </w:r>
      <w:r>
        <w:rPr>
          <w:rFonts w:hint="eastAsia" w:ascii="宋体" w:hAnsi="宋体" w:cs="宋体"/>
          <w:color w:val="auto"/>
          <w:kern w:val="0"/>
          <w:szCs w:val="21"/>
          <w:u w:val="single"/>
        </w:rPr>
        <w:t xml:space="preserve">      </w:t>
      </w:r>
      <w:r>
        <w:rPr>
          <w:rFonts w:hint="eastAsia" w:ascii="宋体" w:hAnsi="宋体" w:cs="宋体"/>
          <w:color w:val="auto"/>
          <w:kern w:val="0"/>
          <w:szCs w:val="21"/>
        </w:rPr>
        <w:t xml:space="preserve"> 数量：</w:t>
      </w:r>
      <w:r>
        <w:rPr>
          <w:rFonts w:hint="eastAsia" w:ascii="宋体" w:hAnsi="宋体" w:cs="宋体"/>
          <w:color w:val="auto"/>
          <w:kern w:val="0"/>
          <w:szCs w:val="21"/>
          <w:u w:val="single"/>
        </w:rPr>
        <w:t xml:space="preserve">     </w:t>
      </w:r>
      <w:r>
        <w:rPr>
          <w:rFonts w:hint="eastAsia" w:ascii="宋体" w:hAnsi="宋体" w:cs="宋体"/>
          <w:color w:val="auto"/>
          <w:kern w:val="0"/>
          <w:szCs w:val="21"/>
        </w:rPr>
        <w:t xml:space="preserve"> 金额：</w:t>
      </w:r>
      <w:r>
        <w:rPr>
          <w:rFonts w:hint="eastAsia" w:ascii="宋体" w:hAnsi="宋体" w:cs="宋体"/>
          <w:color w:val="auto"/>
          <w:kern w:val="0"/>
          <w:szCs w:val="21"/>
          <w:u w:val="single"/>
        </w:rPr>
        <w:t xml:space="preserve">          </w:t>
      </w:r>
    </w:p>
    <w:p>
      <w:pPr>
        <w:widowControl/>
        <w:numPr>
          <w:ilvl w:val="255"/>
          <w:numId w:val="0"/>
        </w:numPr>
        <w:autoSpaceDE w:val="0"/>
        <w:autoSpaceDN w:val="0"/>
        <w:adjustRightInd w:val="0"/>
        <w:snapToGrid w:val="0"/>
        <w:spacing w:line="420" w:lineRule="exact"/>
        <w:jc w:val="left"/>
        <w:rPr>
          <w:rFonts w:hint="eastAsia" w:ascii="宋体" w:hAnsi="宋体" w:cs="宋体"/>
          <w:color w:val="auto"/>
          <w:kern w:val="0"/>
          <w:szCs w:val="21"/>
        </w:rPr>
      </w:pPr>
      <w:r>
        <w:rPr>
          <w:rFonts w:hint="eastAsia" w:ascii="宋体" w:hAnsi="宋体" w:cs="宋体"/>
          <w:color w:val="auto"/>
          <w:kern w:val="0"/>
          <w:szCs w:val="21"/>
        </w:rPr>
        <w:t xml:space="preserve">         </w:t>
      </w:r>
      <w:r>
        <w:rPr>
          <w:rFonts w:hint="eastAsia" w:ascii="宋体" w:hAnsi="宋体" w:cs="宋体"/>
          <w:color w:val="auto"/>
          <w:kern w:val="0"/>
          <w:szCs w:val="21"/>
        </w:rPr>
        <w:sym w:font="Wingdings" w:char="00A8"/>
      </w:r>
      <w:r>
        <w:rPr>
          <w:rFonts w:hint="eastAsia" w:ascii="宋体" w:hAnsi="宋体" w:cs="宋体"/>
          <w:color w:val="auto"/>
          <w:kern w:val="0"/>
          <w:szCs w:val="21"/>
        </w:rPr>
        <w:t>否</w:t>
      </w:r>
    </w:p>
    <w:p>
      <w:pPr>
        <w:widowControl/>
        <w:numPr>
          <w:ilvl w:val="255"/>
          <w:numId w:val="0"/>
        </w:numPr>
        <w:autoSpaceDE w:val="0"/>
        <w:autoSpaceDN w:val="0"/>
        <w:adjustRightInd w:val="0"/>
        <w:snapToGrid w:val="0"/>
        <w:spacing w:line="420" w:lineRule="exact"/>
        <w:jc w:val="left"/>
        <w:rPr>
          <w:rFonts w:hint="eastAsia" w:ascii="宋体" w:hAnsi="宋体" w:cs="宋体"/>
          <w:color w:val="auto"/>
          <w:kern w:val="0"/>
          <w:szCs w:val="21"/>
        </w:rPr>
      </w:pPr>
      <w:r>
        <w:rPr>
          <w:rFonts w:hint="eastAsia" w:ascii="宋体" w:hAnsi="宋体" w:cs="宋体"/>
          <w:color w:val="auto"/>
          <w:kern w:val="0"/>
          <w:szCs w:val="21"/>
        </w:rPr>
        <w:t xml:space="preserve">   （</w:t>
      </w:r>
      <w:r>
        <w:rPr>
          <w:rFonts w:ascii="宋体" w:hAnsi="宋体" w:cs="宋体"/>
          <w:color w:val="auto"/>
          <w:kern w:val="0"/>
          <w:szCs w:val="21"/>
          <w:lang w:val="en"/>
        </w:rPr>
        <w:t>4</w:t>
      </w:r>
      <w:r>
        <w:rPr>
          <w:rFonts w:hint="eastAsia" w:ascii="宋体" w:hAnsi="宋体" w:cs="宋体"/>
          <w:color w:val="auto"/>
          <w:kern w:val="0"/>
          <w:szCs w:val="21"/>
        </w:rPr>
        <w:t>）政府采购组织形式：</w:t>
      </w:r>
      <w:r>
        <w:rPr>
          <w:rFonts w:hint="eastAsia" w:ascii="宋体" w:hAnsi="宋体" w:cs="宋体"/>
          <w:color w:val="auto"/>
          <w:kern w:val="0"/>
          <w:szCs w:val="21"/>
        </w:rPr>
        <w:sym w:font="Wingdings" w:char="00A8"/>
      </w:r>
      <w:r>
        <w:rPr>
          <w:rFonts w:hint="eastAsia" w:ascii="宋体" w:hAnsi="宋体" w:cs="宋体"/>
          <w:color w:val="auto"/>
          <w:kern w:val="0"/>
          <w:szCs w:val="21"/>
        </w:rPr>
        <w:t xml:space="preserve">政府集中采购  </w:t>
      </w:r>
      <w:r>
        <w:rPr>
          <w:rFonts w:hint="eastAsia" w:ascii="宋体" w:hAnsi="宋体" w:cs="宋体"/>
          <w:color w:val="auto"/>
          <w:kern w:val="0"/>
          <w:szCs w:val="21"/>
        </w:rPr>
        <w:sym w:font="Wingdings" w:char="00A8"/>
      </w:r>
      <w:r>
        <w:rPr>
          <w:rFonts w:hint="eastAsia" w:ascii="宋体" w:hAnsi="宋体" w:cs="宋体"/>
          <w:color w:val="auto"/>
          <w:kern w:val="0"/>
          <w:szCs w:val="21"/>
        </w:rPr>
        <w:t xml:space="preserve">部门集中采购  </w:t>
      </w:r>
      <w:r>
        <w:rPr>
          <w:rFonts w:hint="eastAsia" w:ascii="宋体" w:hAnsi="宋体" w:cs="宋体"/>
          <w:color w:val="auto"/>
          <w:kern w:val="0"/>
          <w:szCs w:val="21"/>
        </w:rPr>
        <w:sym w:font="Wingdings" w:char="00A8"/>
      </w:r>
      <w:r>
        <w:rPr>
          <w:rFonts w:hint="eastAsia" w:ascii="宋体" w:hAnsi="宋体" w:cs="宋体"/>
          <w:color w:val="auto"/>
          <w:kern w:val="0"/>
          <w:szCs w:val="21"/>
        </w:rPr>
        <w:t>分散采购</w:t>
      </w:r>
    </w:p>
    <w:p>
      <w:pPr>
        <w:widowControl/>
        <w:numPr>
          <w:ilvl w:val="255"/>
          <w:numId w:val="0"/>
        </w:numPr>
        <w:autoSpaceDE w:val="0"/>
        <w:autoSpaceDN w:val="0"/>
        <w:adjustRightInd w:val="0"/>
        <w:snapToGrid w:val="0"/>
        <w:spacing w:line="420" w:lineRule="exact"/>
        <w:ind w:firstLine="283" w:firstLineChars="135"/>
        <w:jc w:val="left"/>
        <w:rPr>
          <w:rFonts w:hint="eastAsia" w:ascii="宋体" w:hAnsi="宋体" w:cs="宋体"/>
          <w:color w:val="auto"/>
          <w:kern w:val="0"/>
          <w:szCs w:val="21"/>
        </w:rPr>
      </w:pPr>
      <w:r>
        <w:rPr>
          <w:rFonts w:hint="eastAsia" w:ascii="宋体" w:hAnsi="宋体" w:cs="宋体"/>
          <w:color w:val="auto"/>
          <w:kern w:val="0"/>
          <w:szCs w:val="21"/>
        </w:rPr>
        <w:t>（</w:t>
      </w:r>
      <w:r>
        <w:rPr>
          <w:rFonts w:ascii="宋体" w:hAnsi="宋体" w:cs="宋体"/>
          <w:color w:val="auto"/>
          <w:kern w:val="0"/>
          <w:szCs w:val="21"/>
          <w:lang w:val="en"/>
        </w:rPr>
        <w:t>5</w:t>
      </w:r>
      <w:r>
        <w:rPr>
          <w:rFonts w:hint="eastAsia" w:ascii="宋体" w:hAnsi="宋体" w:cs="宋体"/>
          <w:color w:val="auto"/>
          <w:kern w:val="0"/>
          <w:szCs w:val="21"/>
        </w:rPr>
        <w:t>）政府采购方式：</w:t>
      </w:r>
      <w:r>
        <w:rPr>
          <w:rFonts w:hint="eastAsia" w:ascii="宋体" w:hAnsi="宋体" w:cs="宋体"/>
          <w:color w:val="auto"/>
          <w:kern w:val="0"/>
          <w:szCs w:val="21"/>
        </w:rPr>
        <w:sym w:font="Wingdings" w:char="00A8"/>
      </w:r>
      <w:r>
        <w:rPr>
          <w:rFonts w:hint="eastAsia" w:ascii="宋体" w:hAnsi="宋体" w:cs="宋体"/>
          <w:color w:val="auto"/>
          <w:kern w:val="0"/>
          <w:szCs w:val="21"/>
        </w:rPr>
        <w:t xml:space="preserve">公开招标 </w:t>
      </w:r>
      <w:r>
        <w:rPr>
          <w:rFonts w:hint="eastAsia" w:ascii="宋体" w:hAnsi="宋体" w:cs="宋体"/>
          <w:color w:val="auto"/>
          <w:kern w:val="0"/>
          <w:szCs w:val="21"/>
        </w:rPr>
        <w:sym w:font="Wingdings" w:char="00A8"/>
      </w:r>
      <w:r>
        <w:rPr>
          <w:rFonts w:hint="eastAsia" w:ascii="宋体" w:hAnsi="宋体" w:cs="宋体"/>
          <w:color w:val="auto"/>
          <w:kern w:val="0"/>
          <w:szCs w:val="21"/>
        </w:rPr>
        <w:t xml:space="preserve">邀请招标 </w:t>
      </w:r>
      <w:r>
        <w:rPr>
          <w:rFonts w:hint="eastAsia" w:ascii="宋体" w:hAnsi="宋体" w:cs="宋体"/>
          <w:color w:val="auto"/>
          <w:kern w:val="0"/>
          <w:szCs w:val="21"/>
        </w:rPr>
        <w:sym w:font="Wingdings" w:char="00A8"/>
      </w:r>
      <w:r>
        <w:rPr>
          <w:rFonts w:hint="eastAsia" w:ascii="宋体" w:hAnsi="宋体" w:cs="宋体"/>
          <w:color w:val="auto"/>
          <w:kern w:val="0"/>
          <w:szCs w:val="21"/>
        </w:rPr>
        <w:t xml:space="preserve">竞争性谈判 </w:t>
      </w:r>
      <w:r>
        <w:rPr>
          <w:rFonts w:hint="eastAsia" w:ascii="宋体" w:hAnsi="宋体" w:cs="宋体"/>
          <w:color w:val="auto"/>
          <w:kern w:val="0"/>
          <w:szCs w:val="21"/>
        </w:rPr>
        <w:sym w:font="Wingdings" w:char="00A8"/>
      </w:r>
      <w:r>
        <w:rPr>
          <w:rFonts w:hint="eastAsia" w:ascii="宋体" w:hAnsi="宋体" w:cs="宋体"/>
          <w:color w:val="auto"/>
          <w:kern w:val="0"/>
          <w:szCs w:val="21"/>
        </w:rPr>
        <w:t>竞争性磋商</w:t>
      </w:r>
    </w:p>
    <w:p>
      <w:pPr>
        <w:widowControl/>
        <w:numPr>
          <w:ilvl w:val="255"/>
          <w:numId w:val="0"/>
        </w:numPr>
        <w:autoSpaceDE w:val="0"/>
        <w:autoSpaceDN w:val="0"/>
        <w:adjustRightInd w:val="0"/>
        <w:snapToGrid w:val="0"/>
        <w:spacing w:line="420" w:lineRule="exact"/>
        <w:ind w:firstLine="420"/>
        <w:jc w:val="left"/>
        <w:rPr>
          <w:rFonts w:hint="eastAsia" w:ascii="宋体" w:hAnsi="宋体" w:cs="宋体"/>
          <w:color w:val="auto"/>
          <w:kern w:val="0"/>
          <w:szCs w:val="21"/>
          <w:u w:val="single"/>
        </w:rPr>
      </w:pPr>
      <w:r>
        <w:rPr>
          <w:rFonts w:hint="eastAsia" w:ascii="宋体" w:hAnsi="宋体" w:eastAsia="华文楷体" w:cs="宋体"/>
          <w:color w:val="auto"/>
          <w:kern w:val="0"/>
          <w:sz w:val="22"/>
          <w:szCs w:val="21"/>
        </w:rPr>
        <w:t xml:space="preserve">                 </w:t>
      </w:r>
      <w:r>
        <w:rPr>
          <w:rFonts w:hint="eastAsia" w:ascii="宋体" w:hAnsi="宋体" w:cs="宋体"/>
          <w:color w:val="auto"/>
          <w:kern w:val="0"/>
          <w:szCs w:val="21"/>
        </w:rPr>
        <w:sym w:font="Wingdings" w:char="00A8"/>
      </w:r>
      <w:r>
        <w:rPr>
          <w:rFonts w:hint="eastAsia" w:ascii="宋体" w:hAnsi="宋体" w:cs="宋体"/>
          <w:color w:val="auto"/>
          <w:kern w:val="0"/>
          <w:szCs w:val="21"/>
        </w:rPr>
        <w:t xml:space="preserve">询价 </w:t>
      </w:r>
      <w:r>
        <w:rPr>
          <w:rFonts w:hint="eastAsia" w:ascii="宋体" w:hAnsi="宋体" w:cs="宋体"/>
          <w:color w:val="auto"/>
          <w:kern w:val="0"/>
          <w:szCs w:val="21"/>
        </w:rPr>
        <w:sym w:font="Wingdings" w:char="00A8"/>
      </w:r>
      <w:r>
        <w:rPr>
          <w:rFonts w:hint="eastAsia" w:ascii="宋体" w:hAnsi="宋体" w:cs="宋体"/>
          <w:color w:val="auto"/>
          <w:kern w:val="0"/>
          <w:szCs w:val="21"/>
        </w:rPr>
        <w:t xml:space="preserve">单一来源 </w:t>
      </w:r>
      <w:r>
        <w:rPr>
          <w:rFonts w:hint="eastAsia" w:ascii="宋体" w:hAnsi="宋体" w:cs="宋体"/>
          <w:color w:val="auto"/>
          <w:kern w:val="0"/>
          <w:szCs w:val="21"/>
        </w:rPr>
        <w:sym w:font="Wingdings" w:char="00A8"/>
      </w:r>
      <w:r>
        <w:rPr>
          <w:rFonts w:hint="eastAsia" w:ascii="宋体" w:hAnsi="宋体" w:cs="宋体"/>
          <w:color w:val="auto"/>
          <w:kern w:val="0"/>
          <w:szCs w:val="21"/>
        </w:rPr>
        <w:t xml:space="preserve">框架协议 </w:t>
      </w:r>
      <w:r>
        <w:rPr>
          <w:rFonts w:hint="eastAsia" w:ascii="宋体" w:hAnsi="宋体" w:cs="宋体"/>
          <w:color w:val="auto"/>
          <w:kern w:val="0"/>
          <w:szCs w:val="21"/>
        </w:rPr>
        <w:sym w:font="Wingdings" w:char="00A8"/>
      </w:r>
      <w:r>
        <w:rPr>
          <w:rFonts w:hint="eastAsia" w:ascii="宋体" w:hAnsi="宋体" w:cs="宋体"/>
          <w:color w:val="auto"/>
          <w:kern w:val="0"/>
          <w:szCs w:val="21"/>
        </w:rPr>
        <w:t>其他：</w:t>
      </w:r>
      <w:r>
        <w:rPr>
          <w:rFonts w:hint="eastAsia" w:ascii="宋体" w:hAnsi="宋体" w:cs="宋体"/>
          <w:color w:val="auto"/>
          <w:kern w:val="0"/>
          <w:szCs w:val="21"/>
          <w:u w:val="single"/>
        </w:rPr>
        <w:t xml:space="preserve">          </w:t>
      </w:r>
    </w:p>
    <w:p>
      <w:pPr>
        <w:widowControl/>
        <w:numPr>
          <w:ilvl w:val="255"/>
          <w:numId w:val="0"/>
        </w:numPr>
        <w:autoSpaceDE w:val="0"/>
        <w:autoSpaceDN w:val="0"/>
        <w:adjustRightInd w:val="0"/>
        <w:snapToGrid w:val="0"/>
        <w:spacing w:line="420" w:lineRule="exact"/>
        <w:ind w:firstLine="283" w:firstLineChars="135"/>
        <w:jc w:val="left"/>
        <w:rPr>
          <w:rFonts w:hint="eastAsia" w:ascii="宋体" w:hAnsi="宋体"/>
          <w:color w:val="auto"/>
          <w:szCs w:val="21"/>
        </w:rPr>
      </w:pPr>
      <w:r>
        <w:rPr>
          <w:rFonts w:hint="eastAsia" w:ascii="宋体" w:hAnsi="宋体" w:cs="华文楷体"/>
          <w:color w:val="auto"/>
          <w:kern w:val="0"/>
          <w:szCs w:val="21"/>
        </w:rPr>
        <w:t>（6）</w:t>
      </w:r>
      <w:r>
        <w:rPr>
          <w:rFonts w:hint="eastAsia" w:ascii="宋体" w:hAnsi="宋体"/>
          <w:color w:val="auto"/>
          <w:szCs w:val="21"/>
        </w:rPr>
        <w:t>中标（成交）采购标的制造商是否为中小企业：</w:t>
      </w:r>
      <w:r>
        <w:rPr>
          <w:rFonts w:hint="eastAsia" w:ascii="宋体" w:hAnsi="宋体"/>
          <w:color w:val="auto"/>
          <w:szCs w:val="21"/>
        </w:rPr>
        <w:sym w:font="Wingdings" w:char="00A8"/>
      </w:r>
      <w:r>
        <w:rPr>
          <w:rFonts w:hint="eastAsia" w:ascii="宋体" w:hAnsi="宋体"/>
          <w:color w:val="auto"/>
          <w:szCs w:val="21"/>
        </w:rPr>
        <w:t xml:space="preserve">是  </w:t>
      </w:r>
      <w:r>
        <w:rPr>
          <w:rFonts w:hint="eastAsia" w:ascii="宋体" w:hAnsi="宋体"/>
          <w:color w:val="auto"/>
          <w:szCs w:val="21"/>
        </w:rPr>
        <w:sym w:font="Wingdings" w:char="00A8"/>
      </w:r>
      <w:r>
        <w:rPr>
          <w:rFonts w:hint="eastAsia" w:ascii="宋体" w:hAnsi="宋体"/>
          <w:color w:val="auto"/>
          <w:szCs w:val="21"/>
        </w:rPr>
        <w:t>否</w:t>
      </w:r>
    </w:p>
    <w:p>
      <w:pPr>
        <w:numPr>
          <w:ilvl w:val="255"/>
          <w:numId w:val="0"/>
        </w:numPr>
        <w:adjustRightInd w:val="0"/>
        <w:snapToGrid w:val="0"/>
        <w:spacing w:line="420" w:lineRule="exact"/>
        <w:rPr>
          <w:rFonts w:hint="eastAsia" w:ascii="宋体" w:hAnsi="宋体"/>
          <w:iCs/>
          <w:color w:val="auto"/>
          <w:szCs w:val="21"/>
        </w:rPr>
      </w:pPr>
      <w:r>
        <w:rPr>
          <w:rFonts w:hint="eastAsia" w:ascii="宋体" w:hAnsi="宋体"/>
          <w:color w:val="auto"/>
          <w:szCs w:val="21"/>
        </w:rPr>
        <w:t xml:space="preserve">        本合同是否为专门面向中小企业的采购合同（中小企业预留合同）：</w:t>
      </w:r>
      <w:r>
        <w:rPr>
          <w:rFonts w:hint="eastAsia" w:ascii="宋体" w:hAnsi="宋体"/>
          <w:iCs/>
          <w:color w:val="auto"/>
          <w:szCs w:val="21"/>
        </w:rPr>
        <w:sym w:font="Wingdings" w:char="00A8"/>
      </w:r>
      <w:r>
        <w:rPr>
          <w:rFonts w:hint="eastAsia" w:ascii="宋体" w:hAnsi="宋体"/>
          <w:iCs/>
          <w:color w:val="auto"/>
          <w:szCs w:val="21"/>
        </w:rPr>
        <w:t xml:space="preserve">是  </w:t>
      </w:r>
      <w:r>
        <w:rPr>
          <w:rFonts w:hint="eastAsia" w:ascii="宋体" w:hAnsi="宋体"/>
          <w:iCs/>
          <w:color w:val="auto"/>
          <w:szCs w:val="21"/>
        </w:rPr>
        <w:sym w:font="Wingdings" w:char="00A8"/>
      </w:r>
      <w:r>
        <w:rPr>
          <w:rFonts w:hint="eastAsia" w:ascii="宋体" w:hAnsi="宋体"/>
          <w:iCs/>
          <w:color w:val="auto"/>
          <w:szCs w:val="21"/>
        </w:rPr>
        <w:t>否</w:t>
      </w:r>
    </w:p>
    <w:p>
      <w:pPr>
        <w:numPr>
          <w:ilvl w:val="255"/>
          <w:numId w:val="0"/>
        </w:numPr>
        <w:adjustRightInd w:val="0"/>
        <w:snapToGrid w:val="0"/>
        <w:spacing w:line="420" w:lineRule="exact"/>
        <w:rPr>
          <w:rFonts w:hint="eastAsia" w:ascii="宋体" w:hAnsi="宋体"/>
          <w:iCs/>
          <w:color w:val="auto"/>
          <w:szCs w:val="21"/>
        </w:rPr>
      </w:pPr>
      <w:r>
        <w:rPr>
          <w:rFonts w:hint="eastAsia"/>
          <w:color w:val="auto"/>
        </w:rPr>
        <w:t xml:space="preserve">        若本项目不专门面向中小企业采购，是否给予小微企业评审优惠：</w:t>
      </w:r>
      <w:r>
        <w:rPr>
          <w:rFonts w:hint="eastAsia" w:ascii="宋体" w:hAnsi="宋体"/>
          <w:iCs/>
          <w:color w:val="auto"/>
          <w:szCs w:val="21"/>
        </w:rPr>
        <w:sym w:font="Wingdings" w:char="00A8"/>
      </w:r>
      <w:r>
        <w:rPr>
          <w:rFonts w:hint="eastAsia" w:ascii="宋体" w:hAnsi="宋体"/>
          <w:iCs/>
          <w:color w:val="auto"/>
          <w:szCs w:val="21"/>
        </w:rPr>
        <w:t xml:space="preserve">是  </w:t>
      </w:r>
      <w:r>
        <w:rPr>
          <w:rFonts w:hint="eastAsia" w:ascii="宋体" w:hAnsi="宋体"/>
          <w:iCs/>
          <w:color w:val="auto"/>
          <w:szCs w:val="21"/>
        </w:rPr>
        <w:sym w:font="Wingdings" w:char="00A8"/>
      </w:r>
      <w:r>
        <w:rPr>
          <w:rFonts w:hint="eastAsia" w:ascii="宋体" w:hAnsi="宋体"/>
          <w:iCs/>
          <w:color w:val="auto"/>
          <w:szCs w:val="21"/>
        </w:rPr>
        <w:t>否</w:t>
      </w:r>
    </w:p>
    <w:p>
      <w:pPr>
        <w:numPr>
          <w:ilvl w:val="255"/>
          <w:numId w:val="0"/>
        </w:numPr>
        <w:adjustRightInd w:val="0"/>
        <w:snapToGrid w:val="0"/>
        <w:spacing w:line="420" w:lineRule="exact"/>
        <w:rPr>
          <w:rFonts w:hint="eastAsia" w:ascii="宋体" w:hAnsi="宋体"/>
          <w:iCs/>
          <w:color w:val="auto"/>
          <w:szCs w:val="21"/>
        </w:rPr>
      </w:pPr>
      <w:r>
        <w:rPr>
          <w:rFonts w:hint="eastAsia"/>
          <w:color w:val="auto"/>
        </w:rPr>
        <w:t xml:space="preserve">        中标（成交）采购标的制造商是否为残疾人福利性单位：</w:t>
      </w:r>
      <w:r>
        <w:rPr>
          <w:rFonts w:hint="eastAsia" w:ascii="宋体" w:hAnsi="宋体"/>
          <w:iCs/>
          <w:color w:val="auto"/>
          <w:szCs w:val="21"/>
        </w:rPr>
        <w:sym w:font="Wingdings" w:char="00A8"/>
      </w:r>
      <w:r>
        <w:rPr>
          <w:rFonts w:hint="eastAsia" w:ascii="宋体" w:hAnsi="宋体"/>
          <w:iCs/>
          <w:color w:val="auto"/>
          <w:szCs w:val="21"/>
        </w:rPr>
        <w:t xml:space="preserve">是  </w:t>
      </w:r>
      <w:r>
        <w:rPr>
          <w:rFonts w:hint="eastAsia" w:ascii="宋体" w:hAnsi="宋体"/>
          <w:iCs/>
          <w:color w:val="auto"/>
          <w:szCs w:val="21"/>
        </w:rPr>
        <w:sym w:font="Wingdings" w:char="00A8"/>
      </w:r>
      <w:r>
        <w:rPr>
          <w:rFonts w:hint="eastAsia" w:ascii="宋体" w:hAnsi="宋体"/>
          <w:iCs/>
          <w:color w:val="auto"/>
          <w:szCs w:val="21"/>
        </w:rPr>
        <w:t>否</w:t>
      </w:r>
    </w:p>
    <w:p>
      <w:pPr>
        <w:snapToGrid w:val="0"/>
        <w:spacing w:line="420" w:lineRule="exact"/>
        <w:rPr>
          <w:color w:val="auto"/>
        </w:rPr>
      </w:pPr>
      <w:r>
        <w:rPr>
          <w:rFonts w:hint="eastAsia"/>
          <w:color w:val="auto"/>
        </w:rPr>
        <w:t xml:space="preserve">        中标（成交）采购标的制造商是否为监狱企业：</w:t>
      </w:r>
      <w:r>
        <w:rPr>
          <w:rFonts w:hint="eastAsia" w:ascii="宋体" w:hAnsi="宋体"/>
          <w:iCs/>
          <w:color w:val="auto"/>
          <w:szCs w:val="21"/>
        </w:rPr>
        <w:sym w:font="Wingdings" w:char="00A8"/>
      </w:r>
      <w:r>
        <w:rPr>
          <w:rFonts w:hint="eastAsia" w:ascii="宋体" w:hAnsi="宋体"/>
          <w:iCs/>
          <w:color w:val="auto"/>
          <w:szCs w:val="21"/>
        </w:rPr>
        <w:t xml:space="preserve">是  </w:t>
      </w:r>
      <w:r>
        <w:rPr>
          <w:rFonts w:hint="eastAsia" w:ascii="宋体" w:hAnsi="宋体"/>
          <w:iCs/>
          <w:color w:val="auto"/>
          <w:szCs w:val="21"/>
        </w:rPr>
        <w:sym w:font="Wingdings" w:char="00A8"/>
      </w:r>
      <w:r>
        <w:rPr>
          <w:rFonts w:hint="eastAsia" w:ascii="宋体" w:hAnsi="宋体"/>
          <w:iCs/>
          <w:color w:val="auto"/>
          <w:szCs w:val="21"/>
        </w:rPr>
        <w:t>否</w:t>
      </w:r>
    </w:p>
    <w:p>
      <w:pPr>
        <w:adjustRightInd w:val="0"/>
        <w:snapToGrid w:val="0"/>
        <w:spacing w:line="420" w:lineRule="exact"/>
        <w:ind w:firstLine="409" w:firstLineChars="195"/>
        <w:rPr>
          <w:rFonts w:hint="eastAsia" w:ascii="宋体" w:hAnsi="宋体"/>
          <w:color w:val="auto"/>
          <w:szCs w:val="21"/>
        </w:rPr>
      </w:pPr>
      <w:r>
        <w:rPr>
          <w:rFonts w:hint="eastAsia" w:ascii="宋体" w:hAnsi="宋体"/>
          <w:color w:val="auto"/>
          <w:szCs w:val="21"/>
        </w:rPr>
        <w:t>(</w:t>
      </w:r>
      <w:r>
        <w:rPr>
          <w:rFonts w:ascii="宋体" w:hAnsi="宋体"/>
          <w:color w:val="auto"/>
          <w:szCs w:val="21"/>
          <w:lang w:val="en"/>
        </w:rPr>
        <w:t>7</w:t>
      </w:r>
      <w:r>
        <w:rPr>
          <w:rFonts w:ascii="宋体" w:hAnsi="宋体"/>
          <w:color w:val="auto"/>
          <w:szCs w:val="21"/>
        </w:rPr>
        <w:t>）</w:t>
      </w:r>
      <w:r>
        <w:rPr>
          <w:rFonts w:hint="eastAsia" w:ascii="宋体" w:hAnsi="宋体"/>
          <w:color w:val="auto"/>
          <w:szCs w:val="21"/>
        </w:rPr>
        <w:t>合同是否分包：</w:t>
      </w:r>
      <w:r>
        <w:rPr>
          <w:rFonts w:hint="eastAsia" w:ascii="宋体" w:hAnsi="宋体"/>
          <w:iCs/>
          <w:color w:val="auto"/>
          <w:szCs w:val="21"/>
        </w:rPr>
        <w:sym w:font="Wingdings" w:char="00A8"/>
      </w:r>
      <w:r>
        <w:rPr>
          <w:rFonts w:hint="eastAsia" w:ascii="宋体" w:hAnsi="宋体"/>
          <w:iCs/>
          <w:color w:val="auto"/>
          <w:szCs w:val="21"/>
        </w:rPr>
        <w:t xml:space="preserve">是  </w:t>
      </w:r>
      <w:r>
        <w:rPr>
          <w:rFonts w:hint="eastAsia" w:ascii="宋体" w:hAnsi="宋体"/>
          <w:iCs/>
          <w:color w:val="auto"/>
          <w:szCs w:val="21"/>
        </w:rPr>
        <w:sym w:font="Wingdings" w:char="00A8"/>
      </w:r>
      <w:r>
        <w:rPr>
          <w:rFonts w:hint="eastAsia" w:ascii="宋体" w:hAnsi="宋体"/>
          <w:iCs/>
          <w:color w:val="auto"/>
          <w:szCs w:val="21"/>
        </w:rPr>
        <w:t>否</w:t>
      </w:r>
    </w:p>
    <w:p>
      <w:pPr>
        <w:adjustRightInd w:val="0"/>
        <w:snapToGrid w:val="0"/>
        <w:spacing w:line="420" w:lineRule="exact"/>
        <w:ind w:firstLine="840" w:firstLineChars="400"/>
        <w:rPr>
          <w:rFonts w:hint="eastAsia" w:ascii="宋体" w:hAnsi="宋体"/>
          <w:color w:val="auto"/>
          <w:szCs w:val="21"/>
          <w:u w:val="single"/>
        </w:rPr>
      </w:pPr>
      <w:r>
        <w:rPr>
          <w:rFonts w:hint="eastAsia" w:ascii="宋体" w:hAnsi="宋体"/>
          <w:color w:val="auto"/>
          <w:szCs w:val="21"/>
        </w:rPr>
        <w:t>分包主要内容：</w:t>
      </w:r>
      <w:r>
        <w:rPr>
          <w:rFonts w:hint="eastAsia" w:ascii="宋体" w:hAnsi="宋体"/>
          <w:color w:val="auto"/>
          <w:szCs w:val="21"/>
          <w:u w:val="single"/>
        </w:rPr>
        <w:t xml:space="preserve">                                                         </w:t>
      </w:r>
    </w:p>
    <w:p>
      <w:pPr>
        <w:adjustRightInd w:val="0"/>
        <w:snapToGrid w:val="0"/>
        <w:spacing w:line="420" w:lineRule="exact"/>
        <w:ind w:firstLine="840" w:firstLineChars="400"/>
        <w:rPr>
          <w:rFonts w:hint="eastAsia" w:ascii="宋体" w:hAnsi="宋体"/>
          <w:color w:val="auto"/>
          <w:szCs w:val="21"/>
        </w:rPr>
      </w:pPr>
      <w:r>
        <w:rPr>
          <w:rFonts w:hint="eastAsia" w:ascii="宋体" w:hAnsi="宋体"/>
          <w:color w:val="auto"/>
          <w:szCs w:val="21"/>
        </w:rPr>
        <w:t>分包供应商/制造商名称（如供应商和制造商不同，请分别填写）：</w:t>
      </w:r>
    </w:p>
    <w:p>
      <w:pPr>
        <w:adjustRightInd w:val="0"/>
        <w:snapToGrid w:val="0"/>
        <w:spacing w:line="420" w:lineRule="exact"/>
        <w:ind w:firstLine="840" w:firstLineChars="400"/>
        <w:rPr>
          <w:rFonts w:hint="eastAsia" w:ascii="宋体" w:hAnsi="宋体"/>
          <w:color w:val="auto"/>
          <w:szCs w:val="21"/>
          <w:u w:val="single"/>
        </w:rPr>
      </w:pPr>
      <w:r>
        <w:rPr>
          <w:rFonts w:hint="eastAsia" w:ascii="宋体" w:hAnsi="宋体"/>
          <w:color w:val="auto"/>
          <w:szCs w:val="21"/>
        </w:rPr>
        <w:t xml:space="preserve"> </w:t>
      </w:r>
      <w:r>
        <w:rPr>
          <w:rFonts w:hint="eastAsia" w:ascii="宋体" w:hAnsi="宋体"/>
          <w:color w:val="auto"/>
          <w:szCs w:val="21"/>
          <w:u w:val="single"/>
        </w:rPr>
        <w:t xml:space="preserve">                                                                       </w:t>
      </w:r>
    </w:p>
    <w:p>
      <w:pPr>
        <w:adjustRightInd w:val="0"/>
        <w:snapToGrid w:val="0"/>
        <w:spacing w:line="420" w:lineRule="exact"/>
        <w:ind w:firstLine="840" w:firstLineChars="400"/>
        <w:rPr>
          <w:rFonts w:hint="eastAsia" w:ascii="宋体" w:hAnsi="宋体"/>
          <w:color w:val="auto"/>
          <w:szCs w:val="21"/>
        </w:rPr>
      </w:pPr>
      <w:r>
        <w:rPr>
          <w:rFonts w:hint="eastAsia" w:ascii="宋体" w:hAnsi="宋体"/>
          <w:color w:val="auto"/>
          <w:szCs w:val="21"/>
        </w:rPr>
        <w:t>分包供应商/制造商类型（如果供应商和制造商不同，只填写制造商类型）：</w:t>
      </w:r>
    </w:p>
    <w:p>
      <w:pPr>
        <w:adjustRightInd w:val="0"/>
        <w:snapToGrid w:val="0"/>
        <w:spacing w:line="420" w:lineRule="exact"/>
        <w:ind w:firstLine="840" w:firstLineChars="400"/>
        <w:rPr>
          <w:rFonts w:hint="eastAsia" w:ascii="宋体" w:hAnsi="宋体"/>
          <w:iCs/>
          <w:color w:val="auto"/>
          <w:szCs w:val="21"/>
        </w:rPr>
      </w:pPr>
      <w:r>
        <w:rPr>
          <w:rFonts w:hint="eastAsia" w:ascii="宋体" w:hAnsi="宋体"/>
          <w:iCs/>
          <w:color w:val="auto"/>
          <w:szCs w:val="21"/>
        </w:rPr>
        <w:sym w:font="Wingdings" w:char="00A8"/>
      </w:r>
      <w:r>
        <w:rPr>
          <w:rFonts w:hint="eastAsia" w:ascii="宋体" w:hAnsi="宋体"/>
          <w:iCs/>
          <w:color w:val="auto"/>
          <w:szCs w:val="21"/>
        </w:rPr>
        <w:t xml:space="preserve">大型企业  </w:t>
      </w:r>
      <w:r>
        <w:rPr>
          <w:rFonts w:hint="eastAsia" w:ascii="宋体" w:hAnsi="宋体"/>
          <w:iCs/>
          <w:color w:val="auto"/>
          <w:szCs w:val="21"/>
        </w:rPr>
        <w:sym w:font="Wingdings" w:char="00A8"/>
      </w:r>
      <w:r>
        <w:rPr>
          <w:rFonts w:hint="eastAsia" w:ascii="宋体" w:hAnsi="宋体"/>
          <w:iCs/>
          <w:color w:val="auto"/>
          <w:szCs w:val="21"/>
        </w:rPr>
        <w:t xml:space="preserve">中型企业  </w:t>
      </w:r>
      <w:r>
        <w:rPr>
          <w:rFonts w:hint="eastAsia" w:ascii="宋体" w:hAnsi="宋体"/>
          <w:iCs/>
          <w:color w:val="auto"/>
          <w:szCs w:val="21"/>
        </w:rPr>
        <w:sym w:font="Wingdings" w:char="00A8"/>
      </w:r>
      <w:r>
        <w:rPr>
          <w:rFonts w:hint="eastAsia" w:ascii="宋体" w:hAnsi="宋体"/>
          <w:iCs/>
          <w:color w:val="auto"/>
          <w:szCs w:val="21"/>
        </w:rPr>
        <w:t>小微型企业</w:t>
      </w:r>
    </w:p>
    <w:p>
      <w:pPr>
        <w:adjustRightInd w:val="0"/>
        <w:snapToGrid w:val="0"/>
        <w:spacing w:line="420" w:lineRule="exact"/>
        <w:ind w:firstLine="735" w:firstLineChars="350"/>
        <w:rPr>
          <w:rFonts w:eastAsia="华文楷体"/>
          <w:color w:val="auto"/>
        </w:rPr>
      </w:pPr>
      <w:r>
        <w:rPr>
          <w:rFonts w:hint="eastAsia" w:ascii="宋体" w:hAnsi="宋体"/>
          <w:iCs/>
          <w:color w:val="auto"/>
          <w:szCs w:val="21"/>
        </w:rPr>
        <w:t xml:space="preserve"> </w:t>
      </w:r>
      <w:r>
        <w:rPr>
          <w:rFonts w:hint="eastAsia" w:ascii="宋体" w:hAnsi="宋体"/>
          <w:iCs/>
          <w:color w:val="auto"/>
          <w:szCs w:val="21"/>
        </w:rPr>
        <w:sym w:font="Wingdings" w:char="00A8"/>
      </w:r>
      <w:r>
        <w:rPr>
          <w:rFonts w:hint="eastAsia" w:ascii="宋体" w:hAnsi="宋体"/>
          <w:iCs/>
          <w:color w:val="auto"/>
          <w:szCs w:val="21"/>
        </w:rPr>
        <w:t xml:space="preserve">残疾人福利性单位 </w:t>
      </w:r>
      <w:r>
        <w:rPr>
          <w:rFonts w:hint="eastAsia" w:ascii="宋体" w:hAnsi="宋体"/>
          <w:iCs/>
          <w:color w:val="auto"/>
          <w:szCs w:val="21"/>
        </w:rPr>
        <w:sym w:font="Wingdings" w:char="00A8"/>
      </w:r>
      <w:r>
        <w:rPr>
          <w:rFonts w:hint="eastAsia" w:ascii="宋体" w:hAnsi="宋体"/>
          <w:iCs/>
          <w:color w:val="auto"/>
          <w:szCs w:val="21"/>
        </w:rPr>
        <w:t xml:space="preserve">监狱企业 </w:t>
      </w:r>
      <w:r>
        <w:rPr>
          <w:rFonts w:hint="eastAsia" w:ascii="宋体" w:hAnsi="宋体"/>
          <w:iCs/>
          <w:color w:val="auto"/>
          <w:szCs w:val="21"/>
        </w:rPr>
        <w:sym w:font="Wingdings" w:char="00A8"/>
      </w:r>
      <w:r>
        <w:rPr>
          <w:rFonts w:hint="eastAsia" w:ascii="宋体" w:hAnsi="宋体"/>
          <w:iCs/>
          <w:color w:val="auto"/>
          <w:szCs w:val="21"/>
        </w:rPr>
        <w:t>其他</w:t>
      </w:r>
    </w:p>
    <w:p>
      <w:pPr>
        <w:numPr>
          <w:ilvl w:val="255"/>
          <w:numId w:val="0"/>
        </w:numPr>
        <w:adjustRightInd w:val="0"/>
        <w:snapToGrid w:val="0"/>
        <w:spacing w:line="420" w:lineRule="exact"/>
        <w:rPr>
          <w:rFonts w:hint="eastAsia" w:ascii="宋体" w:hAnsi="宋体" w:cs="宋体"/>
          <w:iCs/>
          <w:color w:val="auto"/>
          <w:szCs w:val="21"/>
        </w:rPr>
      </w:pPr>
      <w:r>
        <w:rPr>
          <w:rFonts w:hint="eastAsia" w:ascii="宋体" w:hAnsi="宋体"/>
          <w:color w:val="auto"/>
          <w:szCs w:val="21"/>
        </w:rPr>
        <w:t xml:space="preserve">   </w:t>
      </w:r>
      <w:r>
        <w:rPr>
          <w:rFonts w:hint="eastAsia" w:ascii="宋体" w:hAnsi="宋体" w:cs="宋体"/>
          <w:color w:val="auto"/>
          <w:szCs w:val="21"/>
        </w:rPr>
        <w:t>（</w:t>
      </w:r>
      <w:r>
        <w:rPr>
          <w:rFonts w:ascii="宋体" w:hAnsi="宋体" w:cs="宋体"/>
          <w:color w:val="auto"/>
          <w:szCs w:val="21"/>
          <w:lang w:val="en"/>
        </w:rPr>
        <w:t>8</w:t>
      </w:r>
      <w:r>
        <w:rPr>
          <w:rFonts w:hint="eastAsia" w:ascii="宋体" w:hAnsi="宋体" w:cs="宋体"/>
          <w:color w:val="auto"/>
          <w:szCs w:val="21"/>
        </w:rPr>
        <w:t>）中标（成交）供应商是否为外商投资企业：</w:t>
      </w:r>
      <w:r>
        <w:rPr>
          <w:rFonts w:hint="eastAsia" w:ascii="宋体" w:hAnsi="宋体" w:cs="宋体"/>
          <w:iCs/>
          <w:color w:val="auto"/>
          <w:szCs w:val="21"/>
        </w:rPr>
        <w:sym w:font="Wingdings" w:char="00A8"/>
      </w:r>
      <w:r>
        <w:rPr>
          <w:rFonts w:hint="eastAsia" w:ascii="宋体" w:hAnsi="宋体" w:cs="宋体"/>
          <w:iCs/>
          <w:color w:val="auto"/>
          <w:szCs w:val="21"/>
        </w:rPr>
        <w:t xml:space="preserve">是  </w:t>
      </w:r>
      <w:r>
        <w:rPr>
          <w:rFonts w:hint="eastAsia" w:ascii="宋体" w:hAnsi="宋体" w:cs="宋体"/>
          <w:iCs/>
          <w:color w:val="auto"/>
          <w:szCs w:val="21"/>
        </w:rPr>
        <w:sym w:font="Wingdings" w:char="00A8"/>
      </w:r>
      <w:r>
        <w:rPr>
          <w:rFonts w:hint="eastAsia" w:ascii="宋体" w:hAnsi="宋体" w:cs="宋体"/>
          <w:iCs/>
          <w:color w:val="auto"/>
          <w:szCs w:val="21"/>
        </w:rPr>
        <w:t>否</w:t>
      </w:r>
    </w:p>
    <w:p>
      <w:pPr>
        <w:widowControl/>
        <w:tabs>
          <w:tab w:val="left" w:pos="1340"/>
        </w:tabs>
        <w:autoSpaceDE w:val="0"/>
        <w:autoSpaceDN w:val="0"/>
        <w:adjustRightInd w:val="0"/>
        <w:spacing w:line="420" w:lineRule="exact"/>
        <w:ind w:firstLine="420" w:firstLineChars="200"/>
        <w:jc w:val="left"/>
        <w:rPr>
          <w:rFonts w:hint="eastAsia" w:ascii="宋体" w:hAnsi="宋体" w:cs="宋体"/>
          <w:color w:val="auto"/>
          <w:kern w:val="0"/>
          <w:szCs w:val="21"/>
          <w:u w:val="single"/>
        </w:rPr>
      </w:pPr>
      <w:r>
        <w:rPr>
          <w:rFonts w:hint="eastAsia" w:ascii="宋体" w:hAnsi="宋体" w:cs="宋体"/>
          <w:color w:val="auto"/>
          <w:kern w:val="0"/>
          <w:szCs w:val="21"/>
        </w:rPr>
        <w:t xml:space="preserve">    外商投资企业类型：</w:t>
      </w:r>
      <w:r>
        <w:rPr>
          <w:rFonts w:hint="eastAsia" w:ascii="宋体" w:hAnsi="宋体" w:cs="宋体"/>
          <w:iCs/>
          <w:color w:val="auto"/>
          <w:kern w:val="0"/>
          <w:szCs w:val="21"/>
        </w:rPr>
        <w:sym w:font="Wingdings" w:char="00A8"/>
      </w:r>
      <w:r>
        <w:rPr>
          <w:rFonts w:hint="eastAsia" w:ascii="宋体" w:hAnsi="宋体" w:cs="宋体"/>
          <w:color w:val="auto"/>
          <w:kern w:val="0"/>
          <w:szCs w:val="21"/>
        </w:rPr>
        <w:t xml:space="preserve">全部由外国投资者投资  </w:t>
      </w:r>
      <w:r>
        <w:rPr>
          <w:rFonts w:hint="eastAsia" w:ascii="宋体" w:hAnsi="宋体" w:cs="宋体"/>
          <w:iCs/>
          <w:color w:val="auto"/>
          <w:kern w:val="0"/>
          <w:szCs w:val="21"/>
        </w:rPr>
        <w:sym w:font="Wingdings" w:char="00A8"/>
      </w:r>
      <w:r>
        <w:rPr>
          <w:rFonts w:hint="eastAsia" w:ascii="宋体" w:hAnsi="宋体" w:cs="宋体"/>
          <w:iCs/>
          <w:color w:val="auto"/>
          <w:kern w:val="0"/>
          <w:szCs w:val="21"/>
        </w:rPr>
        <w:t>部分由外国投资者投资</w:t>
      </w:r>
    </w:p>
    <w:p>
      <w:pPr>
        <w:numPr>
          <w:ilvl w:val="255"/>
          <w:numId w:val="0"/>
        </w:numPr>
        <w:adjustRightInd w:val="0"/>
        <w:snapToGrid w:val="0"/>
        <w:spacing w:line="420" w:lineRule="exact"/>
        <w:ind w:firstLine="304" w:firstLineChars="145"/>
        <w:rPr>
          <w:rFonts w:hint="eastAsia" w:ascii="宋体" w:hAnsi="宋体" w:cs="宋体"/>
          <w:color w:val="auto"/>
          <w:szCs w:val="21"/>
        </w:rPr>
      </w:pPr>
      <w:r>
        <w:rPr>
          <w:rFonts w:hint="eastAsia" w:ascii="宋体" w:hAnsi="宋体" w:cs="宋体"/>
          <w:color w:val="auto"/>
          <w:szCs w:val="21"/>
        </w:rPr>
        <w:t>（</w:t>
      </w:r>
      <w:r>
        <w:rPr>
          <w:rFonts w:ascii="宋体" w:hAnsi="宋体" w:cs="宋体"/>
          <w:color w:val="auto"/>
          <w:szCs w:val="21"/>
          <w:lang w:val="en"/>
        </w:rPr>
        <w:t>9</w:t>
      </w:r>
      <w:r>
        <w:rPr>
          <w:rFonts w:hint="eastAsia" w:ascii="宋体" w:hAnsi="宋体" w:cs="宋体"/>
          <w:color w:val="auto"/>
          <w:szCs w:val="21"/>
        </w:rPr>
        <w:t>）是否涉及进口产品：</w:t>
      </w:r>
    </w:p>
    <w:p>
      <w:pPr>
        <w:numPr>
          <w:ilvl w:val="255"/>
          <w:numId w:val="0"/>
        </w:numPr>
        <w:adjustRightInd w:val="0"/>
        <w:snapToGrid w:val="0"/>
        <w:spacing w:line="420" w:lineRule="exact"/>
        <w:ind w:firstLine="735" w:firstLineChars="350"/>
        <w:rPr>
          <w:rFonts w:hint="eastAsia" w:ascii="宋体" w:hAnsi="宋体" w:cs="宋体"/>
          <w:color w:val="auto"/>
          <w:szCs w:val="21"/>
          <w:u w:val="single"/>
        </w:rPr>
      </w:pPr>
      <w:r>
        <w:rPr>
          <w:rFonts w:hint="eastAsia" w:ascii="宋体" w:hAnsi="宋体" w:cs="宋体"/>
          <w:color w:val="auto"/>
          <w:szCs w:val="21"/>
        </w:rPr>
        <w:t xml:space="preserve"> </w:t>
      </w:r>
      <w:r>
        <w:rPr>
          <w:rFonts w:hint="eastAsia" w:ascii="宋体" w:hAnsi="宋体" w:cs="宋体"/>
          <w:color w:val="auto"/>
          <w:szCs w:val="21"/>
        </w:rPr>
        <w:sym w:font="Wingdings" w:char="00A8"/>
      </w:r>
      <w:r>
        <w:rPr>
          <w:rFonts w:hint="eastAsia" w:ascii="宋体" w:hAnsi="宋体" w:cs="宋体"/>
          <w:color w:val="auto"/>
          <w:szCs w:val="21"/>
        </w:rPr>
        <w:t>是，《政府采购品目分类目录》底级品目名称：</w:t>
      </w:r>
      <w:r>
        <w:rPr>
          <w:rFonts w:hint="eastAsia" w:ascii="宋体" w:hAnsi="宋体" w:cs="宋体"/>
          <w:color w:val="auto"/>
          <w:szCs w:val="21"/>
          <w:u w:val="single"/>
        </w:rPr>
        <w:t xml:space="preserve">         </w:t>
      </w:r>
      <w:r>
        <w:rPr>
          <w:rFonts w:hint="eastAsia" w:ascii="宋体" w:hAnsi="宋体" w:cs="宋体"/>
          <w:color w:val="auto"/>
          <w:szCs w:val="21"/>
        </w:rPr>
        <w:t xml:space="preserve"> 金额：</w:t>
      </w:r>
      <w:r>
        <w:rPr>
          <w:rFonts w:hint="eastAsia" w:ascii="宋体" w:hAnsi="宋体" w:cs="宋体"/>
          <w:color w:val="auto"/>
          <w:szCs w:val="21"/>
          <w:u w:val="single"/>
        </w:rPr>
        <w:t xml:space="preserve">            </w:t>
      </w:r>
    </w:p>
    <w:p>
      <w:pPr>
        <w:numPr>
          <w:ilvl w:val="255"/>
          <w:numId w:val="0"/>
        </w:numPr>
        <w:adjustRightInd w:val="0"/>
        <w:snapToGrid w:val="0"/>
        <w:spacing w:line="420" w:lineRule="exact"/>
        <w:ind w:firstLine="840" w:firstLineChars="400"/>
        <w:rPr>
          <w:rFonts w:hint="eastAsia" w:ascii="宋体" w:hAnsi="宋体"/>
          <w:color w:val="auto"/>
          <w:szCs w:val="21"/>
        </w:rPr>
      </w:pPr>
      <w:r>
        <w:rPr>
          <w:rFonts w:hint="eastAsia" w:ascii="宋体" w:hAnsi="宋体" w:cs="宋体"/>
          <w:color w:val="auto"/>
          <w:szCs w:val="21"/>
        </w:rPr>
        <w:t>国别：</w:t>
      </w:r>
      <w:r>
        <w:rPr>
          <w:rFonts w:hint="eastAsia" w:ascii="宋体" w:hAnsi="宋体" w:cs="宋体"/>
          <w:color w:val="auto"/>
          <w:szCs w:val="21"/>
          <w:u w:val="single"/>
        </w:rPr>
        <w:t xml:space="preserve">              </w:t>
      </w:r>
      <w:r>
        <w:rPr>
          <w:rFonts w:hint="eastAsia" w:ascii="宋体" w:hAnsi="宋体" w:cs="宋体"/>
          <w:color w:val="auto"/>
          <w:szCs w:val="21"/>
        </w:rPr>
        <w:t xml:space="preserve"> 品牌：</w:t>
      </w:r>
      <w:r>
        <w:rPr>
          <w:rFonts w:hint="eastAsia" w:ascii="宋体" w:hAnsi="宋体" w:cs="宋体"/>
          <w:color w:val="auto"/>
          <w:szCs w:val="21"/>
          <w:u w:val="single"/>
        </w:rPr>
        <w:t xml:space="preserve">             </w:t>
      </w:r>
      <w:r>
        <w:rPr>
          <w:rFonts w:hint="eastAsia" w:ascii="宋体" w:hAnsi="宋体" w:cs="宋体"/>
          <w:color w:val="auto"/>
          <w:szCs w:val="21"/>
        </w:rPr>
        <w:t xml:space="preserve"> 规格型号：</w:t>
      </w:r>
      <w:r>
        <w:rPr>
          <w:rFonts w:hint="eastAsia" w:ascii="宋体" w:hAnsi="宋体" w:cs="宋体"/>
          <w:color w:val="auto"/>
          <w:szCs w:val="21"/>
          <w:u w:val="single"/>
        </w:rPr>
        <w:t xml:space="preserve">                  </w:t>
      </w:r>
    </w:p>
    <w:p>
      <w:pPr>
        <w:adjustRightInd w:val="0"/>
        <w:snapToGrid w:val="0"/>
        <w:spacing w:line="420" w:lineRule="exact"/>
        <w:ind w:firstLine="840" w:firstLineChars="400"/>
        <w:rPr>
          <w:rFonts w:hint="eastAsia" w:ascii="宋体" w:hAnsi="宋体"/>
          <w:color w:val="auto"/>
          <w:szCs w:val="21"/>
        </w:rPr>
      </w:pPr>
      <w:r>
        <w:rPr>
          <w:rFonts w:hint="eastAsia" w:ascii="宋体" w:hAnsi="宋体"/>
          <w:color w:val="auto"/>
          <w:szCs w:val="21"/>
        </w:rPr>
        <w:sym w:font="Wingdings" w:char="00A8"/>
      </w:r>
      <w:r>
        <w:rPr>
          <w:rFonts w:hint="eastAsia" w:ascii="宋体" w:hAnsi="宋体"/>
          <w:color w:val="auto"/>
          <w:szCs w:val="21"/>
        </w:rPr>
        <w:t>否</w:t>
      </w:r>
    </w:p>
    <w:p>
      <w:pPr>
        <w:numPr>
          <w:ilvl w:val="255"/>
          <w:numId w:val="0"/>
        </w:numPr>
        <w:tabs>
          <w:tab w:val="left" w:pos="740"/>
        </w:tabs>
        <w:adjustRightInd w:val="0"/>
        <w:snapToGrid w:val="0"/>
        <w:spacing w:line="420" w:lineRule="exact"/>
        <w:rPr>
          <w:rFonts w:hint="eastAsia" w:ascii="宋体" w:hAnsi="宋体"/>
          <w:color w:val="auto"/>
          <w:szCs w:val="21"/>
        </w:rPr>
      </w:pPr>
      <w:r>
        <w:rPr>
          <w:rFonts w:hint="eastAsia" w:ascii="宋体" w:hAnsi="宋体"/>
          <w:color w:val="auto"/>
          <w:szCs w:val="21"/>
        </w:rPr>
        <w:t xml:space="preserve">   （1</w:t>
      </w:r>
      <w:r>
        <w:rPr>
          <w:rFonts w:ascii="宋体" w:hAnsi="宋体"/>
          <w:color w:val="auto"/>
          <w:szCs w:val="21"/>
          <w:lang w:val="en"/>
        </w:rPr>
        <w:t>0</w:t>
      </w:r>
      <w:r>
        <w:rPr>
          <w:rFonts w:hint="eastAsia" w:ascii="宋体" w:hAnsi="宋体"/>
          <w:color w:val="auto"/>
          <w:szCs w:val="21"/>
        </w:rPr>
        <w:t>）是否涉及节能产品：</w:t>
      </w:r>
    </w:p>
    <w:p>
      <w:pPr>
        <w:numPr>
          <w:ilvl w:val="255"/>
          <w:numId w:val="0"/>
        </w:numPr>
        <w:tabs>
          <w:tab w:val="left" w:pos="740"/>
        </w:tabs>
        <w:adjustRightInd w:val="0"/>
        <w:snapToGrid w:val="0"/>
        <w:spacing w:line="420" w:lineRule="exact"/>
        <w:rPr>
          <w:rFonts w:hint="eastAsia" w:ascii="宋体" w:hAnsi="宋体"/>
          <w:iCs/>
          <w:color w:val="auto"/>
          <w:szCs w:val="21"/>
        </w:rPr>
      </w:pPr>
      <w:r>
        <w:rPr>
          <w:rFonts w:hint="eastAsia" w:ascii="宋体" w:hAnsi="宋体"/>
          <w:color w:val="auto"/>
          <w:szCs w:val="21"/>
        </w:rPr>
        <w:t xml:space="preserve">        </w:t>
      </w:r>
      <w:r>
        <w:rPr>
          <w:rFonts w:hint="eastAsia" w:ascii="宋体" w:hAnsi="宋体"/>
          <w:color w:val="auto"/>
          <w:szCs w:val="21"/>
        </w:rPr>
        <w:sym w:font="Wingdings" w:char="00A8"/>
      </w:r>
      <w:r>
        <w:rPr>
          <w:rFonts w:hint="eastAsia" w:ascii="宋体" w:hAnsi="宋体"/>
          <w:color w:val="auto"/>
          <w:szCs w:val="21"/>
        </w:rPr>
        <w:t>是，《节能产品政府采购品目清单》的底级品目名称：</w:t>
      </w:r>
      <w:r>
        <w:rPr>
          <w:rFonts w:hint="eastAsia" w:ascii="宋体" w:hAnsi="宋体"/>
          <w:color w:val="auto"/>
          <w:szCs w:val="21"/>
          <w:u w:val="single"/>
        </w:rPr>
        <w:t xml:space="preserve">                      </w:t>
      </w:r>
    </w:p>
    <w:p>
      <w:pPr>
        <w:numPr>
          <w:ilvl w:val="255"/>
          <w:numId w:val="0"/>
        </w:numPr>
        <w:tabs>
          <w:tab w:val="left" w:pos="740"/>
        </w:tabs>
        <w:adjustRightInd w:val="0"/>
        <w:snapToGrid w:val="0"/>
        <w:spacing w:line="420" w:lineRule="exact"/>
        <w:rPr>
          <w:rFonts w:hint="eastAsia" w:ascii="宋体" w:hAnsi="宋体"/>
          <w:iCs/>
          <w:color w:val="auto"/>
          <w:szCs w:val="21"/>
        </w:rPr>
      </w:pPr>
      <w:r>
        <w:rPr>
          <w:rFonts w:hint="eastAsia" w:ascii="宋体" w:hAnsi="宋体"/>
          <w:iCs/>
          <w:color w:val="auto"/>
          <w:szCs w:val="21"/>
        </w:rPr>
        <w:t xml:space="preserve">        </w:t>
      </w:r>
      <w:r>
        <w:rPr>
          <w:rFonts w:hint="eastAsia" w:ascii="宋体" w:hAnsi="宋体"/>
          <w:iCs/>
          <w:color w:val="auto"/>
          <w:szCs w:val="21"/>
        </w:rPr>
        <w:sym w:font="Wingdings" w:char="00A8"/>
      </w:r>
      <w:r>
        <w:rPr>
          <w:rFonts w:hint="eastAsia" w:ascii="宋体" w:hAnsi="宋体"/>
          <w:iCs/>
          <w:color w:val="auto"/>
          <w:szCs w:val="21"/>
        </w:rPr>
        <w:t xml:space="preserve">强制采购  </w:t>
      </w:r>
      <w:r>
        <w:rPr>
          <w:rFonts w:hint="eastAsia" w:ascii="宋体" w:hAnsi="宋体"/>
          <w:iCs/>
          <w:color w:val="auto"/>
          <w:szCs w:val="21"/>
        </w:rPr>
        <w:sym w:font="Wingdings" w:char="00A8"/>
      </w:r>
      <w:r>
        <w:rPr>
          <w:rFonts w:hint="eastAsia" w:ascii="宋体" w:hAnsi="宋体"/>
          <w:iCs/>
          <w:color w:val="auto"/>
          <w:szCs w:val="21"/>
        </w:rPr>
        <w:t xml:space="preserve">优先采购  </w:t>
      </w:r>
      <w:r>
        <w:rPr>
          <w:rFonts w:hint="eastAsia" w:ascii="宋体" w:hAnsi="宋体"/>
          <w:color w:val="auto"/>
          <w:szCs w:val="21"/>
        </w:rPr>
        <w:sym w:font="Wingdings" w:char="00A8"/>
      </w:r>
      <w:r>
        <w:rPr>
          <w:rFonts w:hint="eastAsia" w:ascii="宋体" w:hAnsi="宋体"/>
          <w:color w:val="auto"/>
          <w:szCs w:val="21"/>
        </w:rPr>
        <w:t>否</w:t>
      </w:r>
    </w:p>
    <w:p>
      <w:pPr>
        <w:numPr>
          <w:ilvl w:val="255"/>
          <w:numId w:val="0"/>
        </w:numPr>
        <w:tabs>
          <w:tab w:val="left" w:pos="740"/>
        </w:tabs>
        <w:adjustRightInd w:val="0"/>
        <w:snapToGrid w:val="0"/>
        <w:spacing w:line="420" w:lineRule="exact"/>
        <w:rPr>
          <w:rFonts w:hint="eastAsia" w:ascii="宋体" w:hAnsi="宋体"/>
          <w:color w:val="auto"/>
          <w:szCs w:val="21"/>
        </w:rPr>
      </w:pPr>
      <w:r>
        <w:rPr>
          <w:rFonts w:hint="eastAsia" w:ascii="宋体" w:hAnsi="宋体"/>
          <w:color w:val="auto"/>
          <w:szCs w:val="21"/>
        </w:rPr>
        <w:t xml:space="preserve">        是否涉及环境标志产品：</w:t>
      </w:r>
    </w:p>
    <w:p>
      <w:pPr>
        <w:numPr>
          <w:ilvl w:val="255"/>
          <w:numId w:val="0"/>
        </w:numPr>
        <w:tabs>
          <w:tab w:val="left" w:pos="740"/>
        </w:tabs>
        <w:adjustRightInd w:val="0"/>
        <w:snapToGrid w:val="0"/>
        <w:spacing w:line="420" w:lineRule="exact"/>
        <w:rPr>
          <w:rFonts w:hint="eastAsia" w:ascii="宋体" w:hAnsi="宋体"/>
          <w:color w:val="auto"/>
          <w:szCs w:val="21"/>
        </w:rPr>
      </w:pPr>
      <w:r>
        <w:rPr>
          <w:rFonts w:hint="eastAsia" w:ascii="宋体" w:hAnsi="宋体"/>
          <w:color w:val="auto"/>
          <w:szCs w:val="21"/>
        </w:rPr>
        <w:t xml:space="preserve">        </w:t>
      </w:r>
      <w:r>
        <w:rPr>
          <w:rFonts w:hint="eastAsia" w:ascii="宋体" w:hAnsi="宋体"/>
          <w:color w:val="auto"/>
          <w:szCs w:val="21"/>
        </w:rPr>
        <w:sym w:font="Wingdings" w:char="00A8"/>
      </w:r>
      <w:r>
        <w:rPr>
          <w:rFonts w:hint="eastAsia" w:ascii="宋体" w:hAnsi="宋体"/>
          <w:color w:val="auto"/>
          <w:szCs w:val="21"/>
        </w:rPr>
        <w:t>是，《环境标志产品政府采购品目清单》的底级品目名称：</w:t>
      </w:r>
      <w:r>
        <w:rPr>
          <w:rFonts w:hint="eastAsia" w:ascii="宋体" w:hAnsi="宋体"/>
          <w:color w:val="auto"/>
          <w:szCs w:val="21"/>
          <w:u w:val="single"/>
        </w:rPr>
        <w:t xml:space="preserve">                  </w:t>
      </w:r>
    </w:p>
    <w:p>
      <w:pPr>
        <w:numPr>
          <w:ilvl w:val="255"/>
          <w:numId w:val="0"/>
        </w:numPr>
        <w:tabs>
          <w:tab w:val="left" w:pos="740"/>
        </w:tabs>
        <w:adjustRightInd w:val="0"/>
        <w:snapToGrid w:val="0"/>
        <w:spacing w:line="420" w:lineRule="exact"/>
        <w:rPr>
          <w:rFonts w:hint="eastAsia" w:ascii="宋体" w:hAnsi="宋体"/>
          <w:iCs/>
          <w:color w:val="auto"/>
          <w:szCs w:val="21"/>
        </w:rPr>
      </w:pPr>
      <w:r>
        <w:rPr>
          <w:rFonts w:hint="eastAsia" w:ascii="宋体" w:hAnsi="宋体"/>
          <w:iCs/>
          <w:color w:val="auto"/>
          <w:szCs w:val="21"/>
        </w:rPr>
        <w:t xml:space="preserve">        </w:t>
      </w:r>
      <w:r>
        <w:rPr>
          <w:rFonts w:hint="eastAsia" w:ascii="宋体" w:hAnsi="宋体"/>
          <w:iCs/>
          <w:color w:val="auto"/>
          <w:szCs w:val="21"/>
        </w:rPr>
        <w:sym w:font="Wingdings" w:char="00A8"/>
      </w:r>
      <w:r>
        <w:rPr>
          <w:rFonts w:hint="eastAsia" w:ascii="宋体" w:hAnsi="宋体"/>
          <w:iCs/>
          <w:color w:val="auto"/>
          <w:szCs w:val="21"/>
        </w:rPr>
        <w:t xml:space="preserve">强制采购  </w:t>
      </w:r>
      <w:r>
        <w:rPr>
          <w:rFonts w:hint="eastAsia" w:ascii="宋体" w:hAnsi="宋体"/>
          <w:iCs/>
          <w:color w:val="auto"/>
          <w:szCs w:val="21"/>
        </w:rPr>
        <w:sym w:font="Wingdings" w:char="00A8"/>
      </w:r>
      <w:r>
        <w:rPr>
          <w:rFonts w:hint="eastAsia" w:ascii="宋体" w:hAnsi="宋体"/>
          <w:iCs/>
          <w:color w:val="auto"/>
          <w:szCs w:val="21"/>
        </w:rPr>
        <w:t xml:space="preserve">优先采购  </w:t>
      </w:r>
      <w:r>
        <w:rPr>
          <w:rFonts w:hint="eastAsia" w:ascii="宋体" w:hAnsi="宋体"/>
          <w:color w:val="auto"/>
          <w:szCs w:val="21"/>
        </w:rPr>
        <w:sym w:font="Wingdings" w:char="00A8"/>
      </w:r>
      <w:r>
        <w:rPr>
          <w:rFonts w:hint="eastAsia" w:ascii="宋体" w:hAnsi="宋体"/>
          <w:color w:val="auto"/>
          <w:szCs w:val="21"/>
        </w:rPr>
        <w:t>否</w:t>
      </w:r>
    </w:p>
    <w:p>
      <w:pPr>
        <w:widowControl/>
        <w:numPr>
          <w:ilvl w:val="255"/>
          <w:numId w:val="0"/>
        </w:numPr>
        <w:autoSpaceDE w:val="0"/>
        <w:autoSpaceDN w:val="0"/>
        <w:adjustRightInd w:val="0"/>
        <w:snapToGrid w:val="0"/>
        <w:spacing w:line="420" w:lineRule="exact"/>
        <w:jc w:val="left"/>
        <w:rPr>
          <w:rFonts w:hint="eastAsia" w:ascii="宋体" w:hAnsi="宋体"/>
          <w:color w:val="auto"/>
          <w:szCs w:val="21"/>
        </w:rPr>
      </w:pPr>
      <w:r>
        <w:rPr>
          <w:rFonts w:hint="eastAsia" w:ascii="宋体" w:hAnsi="宋体" w:eastAsia="华文楷体" w:cs="华文楷体"/>
          <w:color w:val="auto"/>
          <w:kern w:val="0"/>
          <w:szCs w:val="21"/>
        </w:rPr>
        <w:t xml:space="preserve">        </w:t>
      </w:r>
      <w:r>
        <w:rPr>
          <w:rFonts w:hint="eastAsia" w:ascii="宋体" w:hAnsi="宋体"/>
          <w:color w:val="auto"/>
          <w:szCs w:val="21"/>
        </w:rPr>
        <w:t xml:space="preserve">是否涉及绿色产品： </w:t>
      </w:r>
    </w:p>
    <w:p>
      <w:pPr>
        <w:widowControl/>
        <w:autoSpaceDE w:val="0"/>
        <w:autoSpaceDN w:val="0"/>
        <w:adjustRightInd w:val="0"/>
        <w:spacing w:line="420" w:lineRule="exact"/>
        <w:ind w:firstLine="420"/>
        <w:jc w:val="left"/>
        <w:rPr>
          <w:rFonts w:hint="eastAsia" w:ascii="宋体" w:hAnsi="宋体" w:cs="华文楷体"/>
          <w:color w:val="auto"/>
          <w:kern w:val="0"/>
          <w:sz w:val="22"/>
          <w:szCs w:val="21"/>
          <w:u w:val="single"/>
        </w:rPr>
      </w:pPr>
      <w:r>
        <w:rPr>
          <w:rFonts w:hint="eastAsia" w:ascii="宋体" w:hAnsi="宋体"/>
          <w:color w:val="auto"/>
          <w:szCs w:val="21"/>
        </w:rPr>
        <w:t xml:space="preserve">    </w:t>
      </w:r>
      <w:r>
        <w:rPr>
          <w:rFonts w:hint="eastAsia" w:ascii="宋体" w:hAnsi="宋体"/>
          <w:color w:val="auto"/>
          <w:szCs w:val="21"/>
        </w:rPr>
        <w:sym w:font="Wingdings" w:char="00A8"/>
      </w:r>
      <w:r>
        <w:rPr>
          <w:rFonts w:hint="eastAsia" w:ascii="宋体" w:hAnsi="宋体"/>
          <w:color w:val="auto"/>
          <w:szCs w:val="21"/>
        </w:rPr>
        <w:t>是，绿色产品政府采购相关政策确定的底级品目名称：</w:t>
      </w:r>
      <w:r>
        <w:rPr>
          <w:rFonts w:hint="eastAsia" w:ascii="宋体" w:hAnsi="宋体" w:cs="华文楷体"/>
          <w:color w:val="auto"/>
          <w:kern w:val="0"/>
          <w:sz w:val="22"/>
          <w:szCs w:val="21"/>
          <w:u w:val="single"/>
        </w:rPr>
        <w:t xml:space="preserve">                    </w:t>
      </w:r>
    </w:p>
    <w:p>
      <w:pPr>
        <w:numPr>
          <w:ilvl w:val="255"/>
          <w:numId w:val="0"/>
        </w:numPr>
        <w:tabs>
          <w:tab w:val="left" w:pos="740"/>
        </w:tabs>
        <w:adjustRightInd w:val="0"/>
        <w:snapToGrid w:val="0"/>
        <w:spacing w:line="420" w:lineRule="exact"/>
        <w:rPr>
          <w:rFonts w:hint="eastAsia" w:ascii="宋体" w:hAnsi="宋体"/>
          <w:iCs/>
          <w:color w:val="auto"/>
          <w:szCs w:val="21"/>
        </w:rPr>
      </w:pPr>
      <w:r>
        <w:rPr>
          <w:rFonts w:hint="eastAsia" w:ascii="宋体" w:hAnsi="宋体"/>
          <w:iCs/>
          <w:color w:val="auto"/>
          <w:szCs w:val="21"/>
        </w:rPr>
        <w:t xml:space="preserve">        </w:t>
      </w:r>
      <w:r>
        <w:rPr>
          <w:rFonts w:hint="eastAsia" w:ascii="宋体" w:hAnsi="宋体"/>
          <w:iCs/>
          <w:color w:val="auto"/>
          <w:szCs w:val="21"/>
        </w:rPr>
        <w:sym w:font="Wingdings" w:char="00A8"/>
      </w:r>
      <w:r>
        <w:rPr>
          <w:rFonts w:hint="eastAsia" w:ascii="宋体" w:hAnsi="宋体"/>
          <w:iCs/>
          <w:color w:val="auto"/>
          <w:szCs w:val="21"/>
        </w:rPr>
        <w:t xml:space="preserve">强制采购  </w:t>
      </w:r>
      <w:r>
        <w:rPr>
          <w:rFonts w:hint="eastAsia" w:ascii="宋体" w:hAnsi="宋体"/>
          <w:iCs/>
          <w:color w:val="auto"/>
          <w:szCs w:val="21"/>
        </w:rPr>
        <w:sym w:font="Wingdings" w:char="00A8"/>
      </w:r>
      <w:r>
        <w:rPr>
          <w:rFonts w:hint="eastAsia" w:ascii="宋体" w:hAnsi="宋体"/>
          <w:iCs/>
          <w:color w:val="auto"/>
          <w:szCs w:val="21"/>
        </w:rPr>
        <w:t xml:space="preserve">优先采购  </w:t>
      </w:r>
      <w:r>
        <w:rPr>
          <w:rFonts w:hint="eastAsia" w:ascii="宋体" w:hAnsi="宋体"/>
          <w:color w:val="auto"/>
          <w:szCs w:val="21"/>
        </w:rPr>
        <w:sym w:font="Wingdings" w:char="00A8"/>
      </w:r>
      <w:r>
        <w:rPr>
          <w:rFonts w:hint="eastAsia" w:ascii="宋体" w:hAnsi="宋体"/>
          <w:color w:val="auto"/>
          <w:szCs w:val="21"/>
        </w:rPr>
        <w:t>否</w:t>
      </w:r>
    </w:p>
    <w:p>
      <w:pPr>
        <w:numPr>
          <w:ilvl w:val="255"/>
          <w:numId w:val="0"/>
        </w:numPr>
        <w:adjustRightInd w:val="0"/>
        <w:snapToGrid w:val="0"/>
        <w:spacing w:line="420" w:lineRule="exact"/>
        <w:ind w:firstLine="315" w:firstLineChars="150"/>
        <w:rPr>
          <w:rFonts w:hint="eastAsia" w:ascii="宋体" w:hAnsi="宋体"/>
          <w:color w:val="auto"/>
          <w:szCs w:val="21"/>
        </w:rPr>
      </w:pPr>
      <w:r>
        <w:rPr>
          <w:rFonts w:hint="eastAsia" w:ascii="宋体" w:hAnsi="宋体"/>
          <w:color w:val="auto"/>
          <w:szCs w:val="21"/>
        </w:rPr>
        <w:t>（1</w:t>
      </w:r>
      <w:r>
        <w:rPr>
          <w:rFonts w:ascii="宋体" w:hAnsi="宋体"/>
          <w:color w:val="auto"/>
          <w:szCs w:val="21"/>
          <w:lang w:val="en"/>
        </w:rPr>
        <w:t>1</w:t>
      </w:r>
      <w:r>
        <w:rPr>
          <w:rFonts w:hint="eastAsia" w:ascii="宋体" w:hAnsi="宋体"/>
          <w:color w:val="auto"/>
          <w:szCs w:val="21"/>
        </w:rPr>
        <w:t>）涉及商品包装和快递包装的，是否参考《商品包装政府采购需求标准（试行）》、《快递包装政府采购需求标准（试行）》明确产品及相关快递服务的具体包装要求：</w:t>
      </w:r>
      <w:r>
        <w:rPr>
          <w:rFonts w:hint="eastAsia" w:ascii="宋体" w:hAnsi="宋体"/>
          <w:color w:val="auto"/>
          <w:szCs w:val="21"/>
        </w:rPr>
        <w:sym w:font="Wingdings" w:char="00A8"/>
      </w:r>
      <w:r>
        <w:rPr>
          <w:rFonts w:hint="eastAsia" w:ascii="宋体" w:hAnsi="宋体"/>
          <w:color w:val="auto"/>
          <w:szCs w:val="21"/>
        </w:rPr>
        <w:t xml:space="preserve">是  </w:t>
      </w:r>
      <w:r>
        <w:rPr>
          <w:rFonts w:hint="eastAsia" w:ascii="宋体" w:hAnsi="宋体"/>
          <w:color w:val="auto"/>
          <w:szCs w:val="21"/>
        </w:rPr>
        <w:sym w:font="Wingdings" w:char="00A8"/>
      </w:r>
      <w:r>
        <w:rPr>
          <w:rFonts w:hint="eastAsia" w:ascii="宋体" w:hAnsi="宋体"/>
          <w:color w:val="auto"/>
          <w:szCs w:val="21"/>
        </w:rPr>
        <w:t xml:space="preserve">否  </w:t>
      </w:r>
      <w:r>
        <w:rPr>
          <w:rFonts w:hint="eastAsia" w:ascii="宋体" w:hAnsi="宋体"/>
          <w:color w:val="auto"/>
          <w:szCs w:val="21"/>
        </w:rPr>
        <w:sym w:font="Wingdings" w:char="00A8"/>
      </w:r>
      <w:r>
        <w:rPr>
          <w:rFonts w:hint="eastAsia" w:ascii="宋体" w:hAnsi="宋体"/>
          <w:color w:val="auto"/>
          <w:szCs w:val="21"/>
        </w:rPr>
        <w:t>不涉及</w:t>
      </w:r>
    </w:p>
    <w:p>
      <w:pPr>
        <w:numPr>
          <w:ilvl w:val="0"/>
          <w:numId w:val="5"/>
        </w:numPr>
        <w:adjustRightInd w:val="0"/>
        <w:snapToGrid w:val="0"/>
        <w:spacing w:line="420" w:lineRule="exact"/>
        <w:ind w:firstLine="422" w:firstLineChars="200"/>
        <w:rPr>
          <w:rFonts w:hint="eastAsia" w:ascii="宋体" w:hAnsi="宋体"/>
          <w:b/>
          <w:color w:val="auto"/>
          <w:szCs w:val="21"/>
        </w:rPr>
      </w:pPr>
      <w:r>
        <w:rPr>
          <w:rFonts w:hint="eastAsia" w:ascii="宋体" w:hAnsi="宋体"/>
          <w:b/>
          <w:color w:val="auto"/>
          <w:szCs w:val="21"/>
        </w:rPr>
        <w:t>合同金额</w:t>
      </w:r>
    </w:p>
    <w:p>
      <w:pPr>
        <w:adjustRightInd w:val="0"/>
        <w:snapToGrid w:val="0"/>
        <w:spacing w:line="420" w:lineRule="exact"/>
        <w:ind w:firstLine="420" w:firstLineChars="200"/>
        <w:rPr>
          <w:rFonts w:hint="eastAsia" w:ascii="宋体" w:hAnsi="宋体"/>
          <w:color w:val="auto"/>
          <w:szCs w:val="21"/>
        </w:rPr>
      </w:pPr>
      <w:r>
        <w:rPr>
          <w:rFonts w:hint="eastAsia" w:ascii="宋体" w:hAnsi="宋体"/>
          <w:color w:val="auto"/>
          <w:szCs w:val="21"/>
        </w:rPr>
        <w:t>（1）合同金额小写：</w:t>
      </w:r>
      <w:r>
        <w:rPr>
          <w:rFonts w:hint="eastAsia" w:ascii="宋体" w:hAnsi="宋体"/>
          <w:color w:val="auto"/>
          <w:szCs w:val="21"/>
          <w:u w:val="single"/>
        </w:rPr>
        <w:t xml:space="preserve">                                                         </w:t>
      </w:r>
    </w:p>
    <w:p>
      <w:pPr>
        <w:adjustRightInd w:val="0"/>
        <w:snapToGrid w:val="0"/>
        <w:spacing w:line="420" w:lineRule="exact"/>
        <w:rPr>
          <w:rFonts w:hint="eastAsia" w:ascii="宋体" w:hAnsi="宋体"/>
          <w:color w:val="auto"/>
          <w:szCs w:val="21"/>
          <w:u w:val="single"/>
        </w:rPr>
      </w:pPr>
      <w:r>
        <w:rPr>
          <w:rFonts w:hint="eastAsia" w:ascii="宋体" w:hAnsi="宋体"/>
          <w:color w:val="auto"/>
          <w:szCs w:val="21"/>
        </w:rPr>
        <w:t xml:space="preserve">                 大写：</w:t>
      </w:r>
      <w:r>
        <w:rPr>
          <w:rFonts w:hint="eastAsia" w:ascii="宋体" w:hAnsi="宋体"/>
          <w:color w:val="auto"/>
          <w:szCs w:val="21"/>
          <w:u w:val="single"/>
        </w:rPr>
        <w:t xml:space="preserve">                                                      </w:t>
      </w:r>
    </w:p>
    <w:p>
      <w:pPr>
        <w:adjustRightInd w:val="0"/>
        <w:snapToGrid w:val="0"/>
        <w:spacing w:line="420" w:lineRule="exact"/>
        <w:rPr>
          <w:rFonts w:hint="eastAsia" w:ascii="宋体" w:hAnsi="宋体"/>
          <w:color w:val="auto"/>
          <w:szCs w:val="21"/>
        </w:rPr>
      </w:pPr>
      <w:r>
        <w:rPr>
          <w:rFonts w:hint="eastAsia" w:ascii="宋体" w:hAnsi="宋体"/>
          <w:color w:val="auto"/>
          <w:szCs w:val="21"/>
        </w:rPr>
        <w:t xml:space="preserve">         分包金额（如有）小写：</w:t>
      </w:r>
      <w:r>
        <w:rPr>
          <w:rFonts w:hint="eastAsia" w:ascii="宋体" w:hAnsi="宋体"/>
          <w:color w:val="auto"/>
          <w:szCs w:val="21"/>
          <w:u w:val="single"/>
        </w:rPr>
        <w:t xml:space="preserve">                                              </w:t>
      </w:r>
    </w:p>
    <w:p>
      <w:pPr>
        <w:adjustRightInd w:val="0"/>
        <w:snapToGrid w:val="0"/>
        <w:spacing w:line="420" w:lineRule="exact"/>
        <w:rPr>
          <w:rFonts w:hint="eastAsia" w:ascii="宋体" w:hAnsi="宋体"/>
          <w:color w:val="auto"/>
          <w:szCs w:val="21"/>
          <w:u w:val="single"/>
        </w:rPr>
      </w:pPr>
      <w:r>
        <w:rPr>
          <w:rFonts w:hint="eastAsia" w:ascii="宋体" w:hAnsi="宋体"/>
          <w:color w:val="auto"/>
          <w:szCs w:val="21"/>
        </w:rPr>
        <w:t xml:space="preserve">                 大写：</w:t>
      </w:r>
      <w:r>
        <w:rPr>
          <w:rFonts w:hint="eastAsia" w:ascii="宋体" w:hAnsi="宋体"/>
          <w:color w:val="auto"/>
          <w:szCs w:val="21"/>
          <w:u w:val="single"/>
        </w:rPr>
        <w:t xml:space="preserve">                                                      </w:t>
      </w:r>
    </w:p>
    <w:p>
      <w:pPr>
        <w:adjustRightInd w:val="0"/>
        <w:snapToGrid w:val="0"/>
        <w:spacing w:line="420" w:lineRule="exact"/>
        <w:rPr>
          <w:rFonts w:hint="eastAsia" w:ascii="宋体" w:hAnsi="宋体"/>
          <w:color w:val="auto"/>
          <w:szCs w:val="21"/>
        </w:rPr>
      </w:pPr>
      <w:r>
        <w:rPr>
          <w:rFonts w:hint="eastAsia" w:ascii="宋体" w:hAnsi="宋体"/>
          <w:color w:val="auto"/>
          <w:szCs w:val="21"/>
        </w:rPr>
        <w:t xml:space="preserve">    （注：固定单价合同应填写单价和最高限价）</w:t>
      </w:r>
    </w:p>
    <w:p>
      <w:pPr>
        <w:numPr>
          <w:ilvl w:val="255"/>
          <w:numId w:val="0"/>
        </w:numPr>
        <w:adjustRightInd w:val="0"/>
        <w:snapToGrid w:val="0"/>
        <w:spacing w:line="420" w:lineRule="exact"/>
        <w:rPr>
          <w:rFonts w:hint="eastAsia" w:ascii="宋体" w:hAnsi="宋体"/>
          <w:color w:val="auto"/>
          <w:szCs w:val="21"/>
        </w:rPr>
      </w:pPr>
      <w:r>
        <w:rPr>
          <w:rFonts w:hint="eastAsia" w:ascii="宋体" w:hAnsi="宋体"/>
          <w:color w:val="auto"/>
          <w:szCs w:val="21"/>
        </w:rPr>
        <w:t xml:space="preserve">    （2）合同定价方式（采用组合定价方式的，可以勾选多项）：</w:t>
      </w:r>
    </w:p>
    <w:p>
      <w:pPr>
        <w:adjustRightInd w:val="0"/>
        <w:snapToGrid w:val="0"/>
        <w:spacing w:line="420" w:lineRule="exact"/>
        <w:ind w:firstLine="420" w:firstLineChars="200"/>
        <w:rPr>
          <w:rFonts w:hint="eastAsia" w:ascii="宋体" w:hAnsi="宋体"/>
          <w:color w:val="auto"/>
          <w:szCs w:val="21"/>
        </w:rPr>
      </w:pPr>
      <w:r>
        <w:rPr>
          <w:rFonts w:hint="eastAsia" w:ascii="宋体" w:hAnsi="宋体"/>
          <w:iCs/>
          <w:color w:val="auto"/>
          <w:szCs w:val="21"/>
        </w:rPr>
        <w:t xml:space="preserve">  </w:t>
      </w:r>
      <w:r>
        <w:rPr>
          <w:rFonts w:hint="eastAsia" w:ascii="宋体" w:hAnsi="宋体"/>
          <w:iCs/>
          <w:color w:val="auto"/>
          <w:szCs w:val="21"/>
        </w:rPr>
        <w:sym w:font="Wingdings" w:char="00A8"/>
      </w:r>
      <w:r>
        <w:rPr>
          <w:rFonts w:hint="eastAsia" w:ascii="宋体" w:hAnsi="宋体"/>
          <w:iCs/>
          <w:color w:val="auto"/>
          <w:szCs w:val="21"/>
        </w:rPr>
        <w:t xml:space="preserve">固定总价 </w:t>
      </w:r>
      <w:r>
        <w:rPr>
          <w:rFonts w:hint="eastAsia" w:ascii="宋体" w:hAnsi="宋体"/>
          <w:iCs/>
          <w:color w:val="auto"/>
          <w:szCs w:val="21"/>
        </w:rPr>
        <w:sym w:font="Wingdings" w:char="00A8"/>
      </w:r>
      <w:r>
        <w:rPr>
          <w:rFonts w:hint="eastAsia" w:ascii="宋体" w:hAnsi="宋体"/>
          <w:iCs/>
          <w:color w:val="auto"/>
          <w:szCs w:val="21"/>
        </w:rPr>
        <w:t xml:space="preserve">固定单价 </w:t>
      </w:r>
      <w:r>
        <w:rPr>
          <w:rFonts w:hint="eastAsia" w:ascii="宋体" w:hAnsi="宋体"/>
          <w:iCs/>
          <w:color w:val="auto"/>
          <w:szCs w:val="21"/>
        </w:rPr>
        <w:sym w:font="Wingdings" w:char="00A8"/>
      </w:r>
      <w:r>
        <w:rPr>
          <w:rFonts w:hint="eastAsia" w:ascii="宋体" w:hAnsi="宋体"/>
          <w:iCs/>
          <w:color w:val="auto"/>
          <w:szCs w:val="21"/>
        </w:rPr>
        <w:t xml:space="preserve">固定费率 </w:t>
      </w:r>
      <w:r>
        <w:rPr>
          <w:rFonts w:hint="eastAsia" w:ascii="宋体" w:hAnsi="宋体"/>
          <w:iCs/>
          <w:color w:val="auto"/>
          <w:szCs w:val="21"/>
        </w:rPr>
        <w:sym w:font="Wingdings" w:char="00A8"/>
      </w:r>
      <w:r>
        <w:rPr>
          <w:rFonts w:hint="eastAsia" w:ascii="宋体" w:hAnsi="宋体"/>
          <w:iCs/>
          <w:color w:val="auto"/>
          <w:szCs w:val="21"/>
        </w:rPr>
        <w:t xml:space="preserve">成本补偿 </w:t>
      </w:r>
      <w:r>
        <w:rPr>
          <w:rFonts w:hint="eastAsia" w:ascii="宋体" w:hAnsi="宋体"/>
          <w:iCs/>
          <w:color w:val="auto"/>
          <w:szCs w:val="21"/>
        </w:rPr>
        <w:sym w:font="Wingdings" w:char="00A8"/>
      </w:r>
      <w:r>
        <w:rPr>
          <w:rFonts w:hint="eastAsia" w:ascii="宋体" w:hAnsi="宋体"/>
          <w:iCs/>
          <w:color w:val="auto"/>
          <w:szCs w:val="21"/>
        </w:rPr>
        <w:t xml:space="preserve">绩效激励 </w:t>
      </w:r>
      <w:r>
        <w:rPr>
          <w:rFonts w:hint="eastAsia" w:ascii="宋体" w:hAnsi="宋体"/>
          <w:iCs/>
          <w:color w:val="auto"/>
          <w:szCs w:val="21"/>
        </w:rPr>
        <w:sym w:font="Wingdings" w:char="00A8"/>
      </w:r>
      <w:r>
        <w:rPr>
          <w:rFonts w:hint="eastAsia" w:ascii="宋体" w:hAnsi="宋体"/>
          <w:iCs/>
          <w:color w:val="auto"/>
          <w:szCs w:val="21"/>
        </w:rPr>
        <w:t>其他</w:t>
      </w:r>
      <w:r>
        <w:rPr>
          <w:rFonts w:hint="eastAsia" w:ascii="宋体" w:hAnsi="宋体"/>
          <w:color w:val="auto"/>
          <w:szCs w:val="21"/>
          <w:u w:val="single"/>
        </w:rPr>
        <w:t xml:space="preserve">           </w:t>
      </w:r>
    </w:p>
    <w:p>
      <w:pPr>
        <w:spacing w:line="420" w:lineRule="exact"/>
        <w:ind w:firstLine="420" w:firstLineChars="200"/>
        <w:rPr>
          <w:color w:val="auto"/>
          <w:szCs w:val="21"/>
        </w:rPr>
      </w:pPr>
      <w:r>
        <w:rPr>
          <w:rFonts w:hint="eastAsia" w:ascii="宋体" w:hAnsi="宋体"/>
          <w:color w:val="auto"/>
          <w:szCs w:val="21"/>
        </w:rPr>
        <w:t>（3）付款方式（按项目实际勾选填写）：</w:t>
      </w:r>
    </w:p>
    <w:p>
      <w:pPr>
        <w:adjustRightInd w:val="0"/>
        <w:snapToGrid w:val="0"/>
        <w:spacing w:line="420" w:lineRule="exact"/>
        <w:ind w:firstLine="630" w:firstLineChars="300"/>
        <w:rPr>
          <w:rFonts w:hint="eastAsia" w:ascii="宋体" w:hAnsi="宋体"/>
          <w:color w:val="auto"/>
          <w:szCs w:val="21"/>
          <w:u w:val="single"/>
        </w:rPr>
      </w:pPr>
      <w:r>
        <w:rPr>
          <w:rFonts w:hint="eastAsia" w:ascii="宋体" w:hAnsi="宋体"/>
          <w:color w:val="auto"/>
          <w:szCs w:val="21"/>
        </w:rPr>
        <w:sym w:font="Wingdings" w:char="00A8"/>
      </w:r>
      <w:r>
        <w:rPr>
          <w:rFonts w:hint="eastAsia" w:ascii="宋体" w:hAnsi="宋体"/>
          <w:color w:val="auto"/>
          <w:szCs w:val="21"/>
        </w:rPr>
        <w:t>全额付款：</w:t>
      </w:r>
      <w:r>
        <w:rPr>
          <w:rFonts w:hint="eastAsia" w:ascii="宋体" w:hAnsi="宋体"/>
          <w:color w:val="auto"/>
          <w:szCs w:val="21"/>
          <w:u w:val="single"/>
        </w:rPr>
        <w:t xml:space="preserve">     （应明确一次性支付合同款项的条件）                    </w:t>
      </w:r>
    </w:p>
    <w:p>
      <w:pPr>
        <w:snapToGrid w:val="0"/>
        <w:spacing w:line="420" w:lineRule="exact"/>
        <w:ind w:firstLine="630" w:firstLineChars="300"/>
        <w:rPr>
          <w:color w:val="auto"/>
        </w:rPr>
      </w:pPr>
      <w:r>
        <w:rPr>
          <w:rFonts w:hint="eastAsia" w:ascii="宋体" w:hAnsi="宋体"/>
          <w:color w:val="auto"/>
          <w:szCs w:val="21"/>
        </w:rPr>
        <w:sym w:font="Wingdings" w:char="00A8"/>
      </w:r>
      <w:r>
        <w:rPr>
          <w:rFonts w:hint="eastAsia" w:ascii="宋体" w:hAnsi="宋体"/>
          <w:color w:val="auto"/>
          <w:szCs w:val="21"/>
        </w:rPr>
        <w:t>分期付款：</w:t>
      </w:r>
      <w:r>
        <w:rPr>
          <w:rFonts w:hint="eastAsia" w:ascii="宋体" w:hAnsi="宋体"/>
          <w:color w:val="auto"/>
          <w:szCs w:val="21"/>
          <w:u w:val="single"/>
        </w:rPr>
        <w:t xml:space="preserve">  （应明确分期支付合同款项的各期比例和支付条件，各期支付条件应与分期履约验收情况挂钩）</w:t>
      </w:r>
      <w:r>
        <w:rPr>
          <w:rFonts w:hint="eastAsia" w:ascii="宋体" w:hAnsi="宋体"/>
          <w:color w:val="auto"/>
          <w:szCs w:val="21"/>
        </w:rPr>
        <w:t>，其中涉及预付款的：</w:t>
      </w:r>
      <w:r>
        <w:rPr>
          <w:rFonts w:hint="eastAsia" w:ascii="宋体" w:hAnsi="宋体"/>
          <w:color w:val="auto"/>
          <w:szCs w:val="21"/>
          <w:u w:val="single"/>
        </w:rPr>
        <w:t xml:space="preserve"> （应明确预付款的支付比例和支付条件）</w:t>
      </w:r>
    </w:p>
    <w:p>
      <w:pPr>
        <w:adjustRightInd w:val="0"/>
        <w:snapToGrid w:val="0"/>
        <w:spacing w:line="420" w:lineRule="exact"/>
        <w:ind w:firstLine="630" w:firstLineChars="300"/>
        <w:rPr>
          <w:rFonts w:hint="eastAsia" w:ascii="宋体" w:hAnsi="宋体"/>
          <w:color w:val="auto"/>
          <w:szCs w:val="21"/>
          <w:u w:val="single"/>
        </w:rPr>
      </w:pPr>
      <w:r>
        <w:rPr>
          <w:rFonts w:hint="eastAsia" w:ascii="宋体" w:hAnsi="宋体"/>
          <w:color w:val="auto"/>
          <w:szCs w:val="21"/>
        </w:rPr>
        <w:sym w:font="Wingdings" w:char="00A8"/>
      </w:r>
      <w:r>
        <w:rPr>
          <w:rFonts w:hint="eastAsia" w:ascii="宋体" w:hAnsi="宋体"/>
          <w:color w:val="auto"/>
          <w:szCs w:val="21"/>
        </w:rPr>
        <w:t>成本补偿：</w:t>
      </w:r>
      <w:r>
        <w:rPr>
          <w:rFonts w:hint="eastAsia" w:ascii="宋体" w:hAnsi="宋体"/>
          <w:color w:val="auto"/>
          <w:szCs w:val="21"/>
          <w:u w:val="single"/>
        </w:rPr>
        <w:t xml:space="preserve">      （应明确按照成本补偿方式的支付方式和支付条件）      </w:t>
      </w:r>
    </w:p>
    <w:p>
      <w:pPr>
        <w:adjustRightInd w:val="0"/>
        <w:snapToGrid w:val="0"/>
        <w:spacing w:line="420" w:lineRule="exact"/>
        <w:ind w:firstLine="630" w:firstLineChars="300"/>
        <w:rPr>
          <w:rFonts w:hint="eastAsia" w:ascii="宋体" w:hAnsi="宋体"/>
          <w:color w:val="auto"/>
          <w:szCs w:val="21"/>
        </w:rPr>
      </w:pPr>
      <w:r>
        <w:rPr>
          <w:rFonts w:hint="eastAsia" w:ascii="宋体" w:hAnsi="宋体"/>
          <w:color w:val="auto"/>
          <w:szCs w:val="21"/>
        </w:rPr>
        <w:sym w:font="Wingdings" w:char="00A8"/>
      </w:r>
      <w:r>
        <w:rPr>
          <w:rFonts w:hint="eastAsia" w:ascii="宋体" w:hAnsi="宋体"/>
          <w:color w:val="auto"/>
          <w:szCs w:val="21"/>
        </w:rPr>
        <w:t>绩效激励：</w:t>
      </w:r>
      <w:r>
        <w:rPr>
          <w:rFonts w:hint="eastAsia" w:ascii="宋体" w:hAnsi="宋体"/>
          <w:color w:val="auto"/>
          <w:szCs w:val="21"/>
          <w:u w:val="single"/>
        </w:rPr>
        <w:t xml:space="preserve">      （应明确按照绩效激励方式的支付方式和支付条件）      </w:t>
      </w:r>
    </w:p>
    <w:p>
      <w:pPr>
        <w:numPr>
          <w:ilvl w:val="0"/>
          <w:numId w:val="5"/>
        </w:numPr>
        <w:adjustRightInd w:val="0"/>
        <w:snapToGrid w:val="0"/>
        <w:spacing w:line="420" w:lineRule="exact"/>
        <w:ind w:firstLine="422" w:firstLineChars="200"/>
        <w:rPr>
          <w:rFonts w:hint="eastAsia" w:ascii="宋体" w:hAnsi="宋体"/>
          <w:b/>
          <w:color w:val="auto"/>
          <w:szCs w:val="21"/>
          <w:u w:val="single"/>
        </w:rPr>
      </w:pPr>
      <w:r>
        <w:rPr>
          <w:rFonts w:hint="eastAsia" w:ascii="宋体" w:hAnsi="宋体"/>
          <w:b/>
          <w:color w:val="auto"/>
          <w:szCs w:val="21"/>
        </w:rPr>
        <w:t>合同履行</w:t>
      </w:r>
    </w:p>
    <w:p>
      <w:pPr>
        <w:adjustRightInd w:val="0"/>
        <w:snapToGrid w:val="0"/>
        <w:spacing w:line="420" w:lineRule="exact"/>
        <w:ind w:firstLine="199" w:firstLineChars="95"/>
        <w:rPr>
          <w:rFonts w:hint="eastAsia" w:ascii="宋体" w:hAnsi="宋体" w:cs="宋体"/>
          <w:color w:val="auto"/>
          <w:szCs w:val="21"/>
        </w:rPr>
      </w:pPr>
      <w:r>
        <w:rPr>
          <w:rFonts w:hint="eastAsia" w:ascii="宋体" w:hAnsi="宋体" w:cs="宋体"/>
          <w:color w:val="auto"/>
          <w:szCs w:val="21"/>
        </w:rPr>
        <w:t>（1）起始日期：</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日，完成日期：</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日。</w:t>
      </w:r>
    </w:p>
    <w:p>
      <w:pPr>
        <w:adjustRightInd w:val="0"/>
        <w:snapToGrid w:val="0"/>
        <w:spacing w:line="420" w:lineRule="exact"/>
        <w:ind w:firstLine="199" w:firstLineChars="95"/>
        <w:rPr>
          <w:rFonts w:hint="eastAsia" w:ascii="宋体" w:hAnsi="宋体" w:cs="宋体"/>
          <w:color w:val="auto"/>
          <w:szCs w:val="21"/>
          <w:u w:val="single"/>
        </w:rPr>
      </w:pPr>
      <w:r>
        <w:rPr>
          <w:rFonts w:hint="eastAsia" w:ascii="宋体" w:hAnsi="宋体" w:cs="宋体"/>
          <w:color w:val="auto"/>
          <w:szCs w:val="21"/>
        </w:rPr>
        <w:t>（2）履约地点</w:t>
      </w:r>
      <w:r>
        <w:rPr>
          <w:rFonts w:hint="eastAsia" w:ascii="宋体" w:hAnsi="宋体" w:cs="宋体"/>
          <w:bCs/>
          <w:color w:val="auto"/>
          <w:szCs w:val="21"/>
        </w:rPr>
        <w:t>：</w:t>
      </w:r>
      <w:r>
        <w:rPr>
          <w:rFonts w:hint="eastAsia" w:ascii="宋体" w:hAnsi="宋体" w:cs="宋体"/>
          <w:color w:val="auto"/>
          <w:szCs w:val="21"/>
          <w:u w:val="single"/>
        </w:rPr>
        <w:t xml:space="preserve">                                            </w:t>
      </w:r>
    </w:p>
    <w:p>
      <w:pPr>
        <w:adjustRightInd w:val="0"/>
        <w:snapToGrid w:val="0"/>
        <w:spacing w:line="420" w:lineRule="exact"/>
        <w:ind w:firstLine="199" w:firstLineChars="95"/>
        <w:rPr>
          <w:rFonts w:hint="eastAsia" w:ascii="宋体" w:hAnsi="宋体" w:cs="宋体"/>
          <w:color w:val="auto"/>
          <w:szCs w:val="21"/>
        </w:rPr>
      </w:pPr>
      <w:r>
        <w:rPr>
          <w:rFonts w:hint="eastAsia" w:ascii="宋体" w:hAnsi="宋体" w:cs="宋体"/>
          <w:bCs/>
          <w:color w:val="auto"/>
          <w:szCs w:val="21"/>
        </w:rPr>
        <w:t>（3）履约担保：</w:t>
      </w:r>
      <w:r>
        <w:rPr>
          <w:rFonts w:hint="eastAsia" w:ascii="宋体" w:hAnsi="宋体" w:cs="宋体"/>
          <w:color w:val="auto"/>
        </w:rPr>
        <w:t>是否收取履约保证金：</w:t>
      </w:r>
      <w:r>
        <w:rPr>
          <w:rFonts w:hint="eastAsia" w:ascii="宋体" w:hAnsi="宋体" w:cs="宋体"/>
          <w:color w:val="auto"/>
          <w:szCs w:val="21"/>
        </w:rPr>
        <w:sym w:font="Wingdings" w:char="00A8"/>
      </w:r>
      <w:r>
        <w:rPr>
          <w:rFonts w:hint="eastAsia" w:ascii="宋体" w:hAnsi="宋体" w:cs="宋体"/>
          <w:color w:val="auto"/>
          <w:szCs w:val="21"/>
        </w:rPr>
        <w:t xml:space="preserve">是  </w:t>
      </w:r>
      <w:r>
        <w:rPr>
          <w:rFonts w:hint="eastAsia" w:ascii="宋体" w:hAnsi="宋体" w:cs="宋体"/>
          <w:color w:val="auto"/>
          <w:szCs w:val="21"/>
        </w:rPr>
        <w:sym w:font="Wingdings" w:char="00A8"/>
      </w:r>
      <w:r>
        <w:rPr>
          <w:rFonts w:hint="eastAsia" w:ascii="宋体" w:hAnsi="宋体" w:cs="宋体"/>
          <w:color w:val="auto"/>
          <w:szCs w:val="21"/>
        </w:rPr>
        <w:t>否</w:t>
      </w:r>
    </w:p>
    <w:p>
      <w:pPr>
        <w:widowControl/>
        <w:autoSpaceDE w:val="0"/>
        <w:autoSpaceDN w:val="0"/>
        <w:adjustRightInd w:val="0"/>
        <w:spacing w:line="420" w:lineRule="exact"/>
        <w:ind w:firstLine="440" w:firstLineChars="200"/>
        <w:jc w:val="left"/>
        <w:rPr>
          <w:rFonts w:hint="eastAsia" w:ascii="宋体" w:hAnsi="宋体" w:cs="宋体"/>
          <w:color w:val="auto"/>
          <w:kern w:val="0"/>
          <w:szCs w:val="21"/>
        </w:rPr>
      </w:pPr>
      <w:r>
        <w:rPr>
          <w:rFonts w:hint="eastAsia" w:ascii="宋体" w:hAnsi="宋体" w:eastAsia="华文楷体" w:cs="宋体"/>
          <w:bCs/>
          <w:color w:val="auto"/>
          <w:kern w:val="0"/>
          <w:sz w:val="22"/>
          <w:szCs w:val="21"/>
        </w:rPr>
        <w:t xml:space="preserve"> </w:t>
      </w:r>
      <w:r>
        <w:rPr>
          <w:rFonts w:hint="eastAsia" w:ascii="宋体" w:hAnsi="宋体" w:cs="宋体"/>
          <w:color w:val="auto"/>
          <w:kern w:val="0"/>
          <w:szCs w:val="21"/>
        </w:rPr>
        <w:t xml:space="preserve">  收取履约保证金形式：</w:t>
      </w:r>
      <w:r>
        <w:rPr>
          <w:rFonts w:hint="eastAsia" w:ascii="宋体" w:hAnsi="宋体" w:cs="宋体"/>
          <w:bCs/>
          <w:color w:val="auto"/>
          <w:kern w:val="0"/>
          <w:szCs w:val="21"/>
          <w:u w:val="single"/>
        </w:rPr>
        <w:t xml:space="preserve">                                  </w:t>
      </w:r>
    </w:p>
    <w:p>
      <w:pPr>
        <w:widowControl/>
        <w:autoSpaceDE w:val="0"/>
        <w:autoSpaceDN w:val="0"/>
        <w:adjustRightInd w:val="0"/>
        <w:spacing w:line="420" w:lineRule="exact"/>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 xml:space="preserve">   收取履约保证金金额：</w:t>
      </w:r>
      <w:r>
        <w:rPr>
          <w:rFonts w:hint="eastAsia" w:ascii="宋体" w:hAnsi="宋体" w:cs="宋体"/>
          <w:bCs/>
          <w:color w:val="auto"/>
          <w:kern w:val="0"/>
          <w:szCs w:val="21"/>
          <w:u w:val="single"/>
        </w:rPr>
        <w:t xml:space="preserve">                                  </w:t>
      </w:r>
    </w:p>
    <w:p>
      <w:pPr>
        <w:snapToGrid w:val="0"/>
        <w:spacing w:line="420" w:lineRule="exact"/>
        <w:ind w:firstLine="420" w:firstLineChars="200"/>
        <w:rPr>
          <w:rFonts w:hint="eastAsia" w:ascii="宋体" w:hAnsi="宋体" w:cs="宋体"/>
          <w:color w:val="auto"/>
        </w:rPr>
      </w:pPr>
      <w:r>
        <w:rPr>
          <w:rFonts w:hint="eastAsia" w:ascii="宋体" w:hAnsi="宋体" w:cs="宋体"/>
          <w:bCs/>
          <w:color w:val="auto"/>
          <w:szCs w:val="21"/>
        </w:rPr>
        <w:t xml:space="preserve">   履约担保期限：</w:t>
      </w:r>
      <w:r>
        <w:rPr>
          <w:rFonts w:hint="eastAsia" w:ascii="宋体" w:hAnsi="宋体" w:cs="宋体"/>
          <w:bCs/>
          <w:color w:val="auto"/>
          <w:szCs w:val="21"/>
          <w:u w:val="single"/>
        </w:rPr>
        <w:t xml:space="preserve">                                        </w:t>
      </w:r>
    </w:p>
    <w:p>
      <w:pPr>
        <w:adjustRightInd w:val="0"/>
        <w:snapToGrid w:val="0"/>
        <w:spacing w:line="420" w:lineRule="exact"/>
        <w:ind w:firstLine="199" w:firstLineChars="95"/>
        <w:rPr>
          <w:rFonts w:hint="eastAsia" w:ascii="宋体" w:hAnsi="宋体" w:cs="宋体"/>
          <w:bCs/>
          <w:color w:val="auto"/>
          <w:szCs w:val="21"/>
        </w:rPr>
      </w:pPr>
      <w:r>
        <w:rPr>
          <w:rFonts w:hint="eastAsia" w:ascii="宋体" w:hAnsi="宋体" w:cs="宋体"/>
          <w:bCs/>
          <w:color w:val="auto"/>
          <w:szCs w:val="21"/>
        </w:rPr>
        <w:t>（4）分期履行要求：</w:t>
      </w:r>
      <w:r>
        <w:rPr>
          <w:rFonts w:hint="eastAsia" w:ascii="宋体" w:hAnsi="宋体" w:cs="宋体"/>
          <w:bCs/>
          <w:color w:val="auto"/>
          <w:szCs w:val="21"/>
          <w:u w:val="single"/>
        </w:rPr>
        <w:t xml:space="preserve">                                        </w:t>
      </w:r>
    </w:p>
    <w:p>
      <w:pPr>
        <w:adjustRightInd w:val="0"/>
        <w:snapToGrid w:val="0"/>
        <w:spacing w:line="420" w:lineRule="exact"/>
        <w:ind w:firstLine="199" w:firstLineChars="95"/>
        <w:rPr>
          <w:rFonts w:hint="eastAsia" w:ascii="宋体" w:hAnsi="宋体" w:cs="宋体"/>
          <w:color w:val="auto"/>
          <w:szCs w:val="21"/>
          <w:u w:val="single"/>
        </w:rPr>
      </w:pPr>
      <w:r>
        <w:rPr>
          <w:rFonts w:hint="eastAsia" w:ascii="宋体" w:hAnsi="宋体" w:cs="宋体"/>
          <w:bCs/>
          <w:color w:val="auto"/>
          <w:szCs w:val="21"/>
        </w:rPr>
        <w:t>（5）风险处置措施和替代方案：</w:t>
      </w:r>
      <w:r>
        <w:rPr>
          <w:rFonts w:hint="eastAsia" w:ascii="宋体" w:hAnsi="宋体" w:cs="宋体"/>
          <w:color w:val="auto"/>
          <w:szCs w:val="21"/>
          <w:u w:val="single"/>
        </w:rPr>
        <w:t xml:space="preserve">                              </w:t>
      </w:r>
    </w:p>
    <w:p>
      <w:pPr>
        <w:numPr>
          <w:ilvl w:val="0"/>
          <w:numId w:val="5"/>
        </w:numPr>
        <w:adjustRightInd w:val="0"/>
        <w:snapToGrid w:val="0"/>
        <w:spacing w:line="420" w:lineRule="exact"/>
        <w:ind w:firstLine="422" w:firstLineChars="200"/>
        <w:rPr>
          <w:rFonts w:hint="eastAsia" w:ascii="宋体" w:hAnsi="宋体"/>
          <w:b/>
          <w:color w:val="auto"/>
          <w:szCs w:val="21"/>
        </w:rPr>
      </w:pPr>
      <w:r>
        <w:rPr>
          <w:rFonts w:hint="eastAsia" w:ascii="宋体" w:hAnsi="宋体"/>
          <w:b/>
          <w:color w:val="auto"/>
          <w:szCs w:val="21"/>
        </w:rPr>
        <w:t>合同验收</w:t>
      </w:r>
    </w:p>
    <w:p>
      <w:pPr>
        <w:adjustRightInd w:val="0"/>
        <w:snapToGrid w:val="0"/>
        <w:spacing w:line="420" w:lineRule="exact"/>
        <w:ind w:firstLine="210" w:firstLineChars="100"/>
        <w:rPr>
          <w:rFonts w:hint="eastAsia" w:ascii="宋体" w:hAnsi="宋体"/>
          <w:bCs/>
          <w:color w:val="auto"/>
          <w:szCs w:val="21"/>
        </w:rPr>
      </w:pPr>
      <w:r>
        <w:rPr>
          <w:rFonts w:hint="eastAsia" w:ascii="宋体" w:hAnsi="宋体"/>
          <w:bCs/>
          <w:color w:val="auto"/>
          <w:szCs w:val="21"/>
        </w:rPr>
        <w:t>（1）验收组织方式：</w:t>
      </w:r>
      <w:r>
        <w:rPr>
          <w:rFonts w:hint="eastAsia" w:ascii="宋体" w:hAnsi="宋体" w:cs="宋体"/>
          <w:color w:val="auto"/>
          <w:szCs w:val="21"/>
        </w:rPr>
        <w:sym w:font="Wingdings" w:char="00A8"/>
      </w:r>
      <w:r>
        <w:rPr>
          <w:rFonts w:hint="eastAsia" w:ascii="宋体" w:hAnsi="宋体"/>
          <w:bCs/>
          <w:color w:val="auto"/>
          <w:szCs w:val="21"/>
        </w:rPr>
        <w:t xml:space="preserve">自行组织 </w:t>
      </w:r>
      <w:r>
        <w:rPr>
          <w:rFonts w:hint="eastAsia" w:ascii="宋体" w:hAnsi="宋体" w:cs="宋体"/>
          <w:color w:val="auto"/>
          <w:szCs w:val="21"/>
        </w:rPr>
        <w:sym w:font="Wingdings" w:char="00A8"/>
      </w:r>
      <w:r>
        <w:rPr>
          <w:rFonts w:hint="eastAsia" w:ascii="宋体" w:hAnsi="宋体"/>
          <w:bCs/>
          <w:color w:val="auto"/>
          <w:szCs w:val="21"/>
        </w:rPr>
        <w:t>委托第三方组织</w:t>
      </w:r>
    </w:p>
    <w:p>
      <w:pPr>
        <w:adjustRightInd w:val="0"/>
        <w:snapToGrid w:val="0"/>
        <w:spacing w:line="420" w:lineRule="exact"/>
        <w:rPr>
          <w:rFonts w:hint="eastAsia" w:ascii="宋体" w:hAnsi="宋体"/>
          <w:bCs/>
          <w:color w:val="auto"/>
          <w:szCs w:val="21"/>
        </w:rPr>
      </w:pPr>
      <w:r>
        <w:rPr>
          <w:rFonts w:hint="eastAsia" w:ascii="宋体" w:hAnsi="宋体"/>
          <w:bCs/>
          <w:color w:val="auto"/>
          <w:szCs w:val="21"/>
        </w:rPr>
        <w:t xml:space="preserve">        验收主体：</w:t>
      </w:r>
      <w:r>
        <w:rPr>
          <w:rFonts w:hint="eastAsia" w:ascii="宋体" w:hAnsi="宋体"/>
          <w:bCs/>
          <w:color w:val="auto"/>
          <w:szCs w:val="21"/>
          <w:u w:val="single"/>
        </w:rPr>
        <w:t xml:space="preserve">                                    </w:t>
      </w:r>
    </w:p>
    <w:p>
      <w:pPr>
        <w:adjustRightInd w:val="0"/>
        <w:snapToGrid w:val="0"/>
        <w:spacing w:line="420" w:lineRule="exact"/>
        <w:rPr>
          <w:rFonts w:hint="eastAsia" w:ascii="宋体" w:hAnsi="宋体"/>
          <w:bCs/>
          <w:color w:val="auto"/>
          <w:szCs w:val="21"/>
        </w:rPr>
      </w:pPr>
      <w:r>
        <w:rPr>
          <w:rFonts w:hint="eastAsia" w:ascii="宋体" w:hAnsi="宋体"/>
          <w:bCs/>
          <w:color w:val="auto"/>
          <w:szCs w:val="21"/>
        </w:rPr>
        <w:t xml:space="preserve">        是否邀请本项目的其他供应商参加验收：</w:t>
      </w:r>
      <w:r>
        <w:rPr>
          <w:rFonts w:hint="eastAsia" w:ascii="宋体" w:hAnsi="宋体" w:cs="宋体"/>
          <w:color w:val="auto"/>
          <w:szCs w:val="21"/>
        </w:rPr>
        <w:sym w:font="Wingdings" w:char="00A8"/>
      </w:r>
      <w:r>
        <w:rPr>
          <w:rFonts w:hint="eastAsia" w:ascii="宋体" w:hAnsi="宋体"/>
          <w:bCs/>
          <w:color w:val="auto"/>
          <w:szCs w:val="21"/>
        </w:rPr>
        <w:t xml:space="preserve">是  </w:t>
      </w:r>
      <w:r>
        <w:rPr>
          <w:rFonts w:hint="eastAsia" w:ascii="宋体" w:hAnsi="宋体" w:cs="宋体"/>
          <w:color w:val="auto"/>
          <w:szCs w:val="21"/>
        </w:rPr>
        <w:sym w:font="Wingdings" w:char="00A8"/>
      </w:r>
      <w:r>
        <w:rPr>
          <w:rFonts w:hint="eastAsia" w:ascii="宋体" w:hAnsi="宋体"/>
          <w:bCs/>
          <w:color w:val="auto"/>
          <w:szCs w:val="21"/>
        </w:rPr>
        <w:t>否</w:t>
      </w:r>
    </w:p>
    <w:p>
      <w:pPr>
        <w:adjustRightInd w:val="0"/>
        <w:snapToGrid w:val="0"/>
        <w:spacing w:line="420" w:lineRule="exact"/>
        <w:ind w:firstLine="840" w:firstLineChars="400"/>
        <w:rPr>
          <w:rFonts w:hint="eastAsia" w:ascii="宋体" w:hAnsi="宋体"/>
          <w:bCs/>
          <w:color w:val="auto"/>
          <w:szCs w:val="21"/>
        </w:rPr>
      </w:pPr>
      <w:r>
        <w:rPr>
          <w:rFonts w:hint="eastAsia" w:ascii="宋体" w:hAnsi="宋体"/>
          <w:bCs/>
          <w:color w:val="auto"/>
          <w:szCs w:val="21"/>
        </w:rPr>
        <w:t>是否邀请专家参加验收：</w:t>
      </w:r>
      <w:r>
        <w:rPr>
          <w:rFonts w:hint="eastAsia" w:ascii="宋体" w:hAnsi="宋体" w:cs="宋体"/>
          <w:color w:val="auto"/>
          <w:szCs w:val="21"/>
        </w:rPr>
        <w:sym w:font="Wingdings" w:char="00A8"/>
      </w:r>
      <w:r>
        <w:rPr>
          <w:rFonts w:hint="eastAsia" w:ascii="宋体" w:hAnsi="宋体"/>
          <w:bCs/>
          <w:color w:val="auto"/>
          <w:szCs w:val="21"/>
        </w:rPr>
        <w:t xml:space="preserve">是  </w:t>
      </w:r>
      <w:r>
        <w:rPr>
          <w:rFonts w:hint="eastAsia" w:ascii="宋体" w:hAnsi="宋体" w:cs="宋体"/>
          <w:color w:val="auto"/>
          <w:szCs w:val="21"/>
        </w:rPr>
        <w:sym w:font="Wingdings" w:char="00A8"/>
      </w:r>
      <w:r>
        <w:rPr>
          <w:rFonts w:hint="eastAsia" w:ascii="宋体" w:hAnsi="宋体"/>
          <w:bCs/>
          <w:color w:val="auto"/>
          <w:szCs w:val="21"/>
        </w:rPr>
        <w:t>否</w:t>
      </w:r>
    </w:p>
    <w:p>
      <w:pPr>
        <w:adjustRightInd w:val="0"/>
        <w:snapToGrid w:val="0"/>
        <w:spacing w:line="420" w:lineRule="exact"/>
        <w:ind w:firstLine="840" w:firstLineChars="400"/>
        <w:rPr>
          <w:rFonts w:hint="eastAsia" w:ascii="宋体" w:hAnsi="宋体"/>
          <w:bCs/>
          <w:color w:val="auto"/>
          <w:szCs w:val="21"/>
        </w:rPr>
      </w:pPr>
      <w:r>
        <w:rPr>
          <w:rFonts w:hint="eastAsia" w:ascii="宋体" w:hAnsi="宋体"/>
          <w:bCs/>
          <w:color w:val="auto"/>
          <w:szCs w:val="21"/>
        </w:rPr>
        <w:t>是否邀请服务对象参加验收：</w:t>
      </w:r>
      <w:r>
        <w:rPr>
          <w:rFonts w:hint="eastAsia" w:ascii="宋体" w:hAnsi="宋体" w:cs="宋体"/>
          <w:color w:val="auto"/>
          <w:szCs w:val="21"/>
        </w:rPr>
        <w:sym w:font="Wingdings" w:char="00A8"/>
      </w:r>
      <w:r>
        <w:rPr>
          <w:rFonts w:hint="eastAsia" w:ascii="宋体" w:hAnsi="宋体"/>
          <w:bCs/>
          <w:color w:val="auto"/>
          <w:szCs w:val="21"/>
        </w:rPr>
        <w:t xml:space="preserve">是  </w:t>
      </w:r>
      <w:r>
        <w:rPr>
          <w:rFonts w:hint="eastAsia" w:ascii="宋体" w:hAnsi="宋体" w:cs="宋体"/>
          <w:color w:val="auto"/>
          <w:szCs w:val="21"/>
        </w:rPr>
        <w:sym w:font="Wingdings" w:char="00A8"/>
      </w:r>
      <w:r>
        <w:rPr>
          <w:rFonts w:hint="eastAsia" w:ascii="宋体" w:hAnsi="宋体"/>
          <w:bCs/>
          <w:color w:val="auto"/>
          <w:szCs w:val="21"/>
        </w:rPr>
        <w:t>否</w:t>
      </w:r>
    </w:p>
    <w:p>
      <w:pPr>
        <w:adjustRightInd w:val="0"/>
        <w:snapToGrid w:val="0"/>
        <w:spacing w:line="420" w:lineRule="exact"/>
        <w:ind w:firstLine="840" w:firstLineChars="400"/>
        <w:rPr>
          <w:rFonts w:hint="eastAsia" w:ascii="宋体" w:hAnsi="宋体"/>
          <w:bCs/>
          <w:color w:val="auto"/>
          <w:szCs w:val="21"/>
        </w:rPr>
      </w:pPr>
      <w:r>
        <w:rPr>
          <w:rFonts w:hint="eastAsia" w:ascii="宋体" w:hAnsi="宋体"/>
          <w:bCs/>
          <w:color w:val="auto"/>
          <w:szCs w:val="21"/>
        </w:rPr>
        <w:t>是否邀请第三方检测机构参加验收：</w:t>
      </w:r>
      <w:r>
        <w:rPr>
          <w:rFonts w:hint="eastAsia" w:ascii="宋体" w:hAnsi="宋体" w:cs="宋体"/>
          <w:color w:val="auto"/>
          <w:szCs w:val="21"/>
        </w:rPr>
        <w:sym w:font="Wingdings" w:char="00A8"/>
      </w:r>
      <w:r>
        <w:rPr>
          <w:rFonts w:hint="eastAsia" w:ascii="宋体" w:hAnsi="宋体"/>
          <w:bCs/>
          <w:color w:val="auto"/>
          <w:szCs w:val="21"/>
        </w:rPr>
        <w:t xml:space="preserve">是  </w:t>
      </w:r>
      <w:r>
        <w:rPr>
          <w:rFonts w:hint="eastAsia" w:ascii="宋体" w:hAnsi="宋体" w:cs="宋体"/>
          <w:color w:val="auto"/>
          <w:szCs w:val="21"/>
        </w:rPr>
        <w:sym w:font="Wingdings" w:char="00A8"/>
      </w:r>
      <w:r>
        <w:rPr>
          <w:rFonts w:hint="eastAsia" w:ascii="宋体" w:hAnsi="宋体"/>
          <w:bCs/>
          <w:color w:val="auto"/>
          <w:szCs w:val="21"/>
        </w:rPr>
        <w:t>否</w:t>
      </w:r>
    </w:p>
    <w:p>
      <w:pPr>
        <w:adjustRightInd w:val="0"/>
        <w:snapToGrid w:val="0"/>
        <w:spacing w:line="420" w:lineRule="exact"/>
        <w:ind w:firstLine="840" w:firstLineChars="400"/>
        <w:rPr>
          <w:rFonts w:hint="eastAsia" w:ascii="宋体" w:hAnsi="宋体"/>
          <w:bCs/>
          <w:color w:val="auto"/>
          <w:szCs w:val="21"/>
        </w:rPr>
      </w:pPr>
      <w:r>
        <w:rPr>
          <w:rFonts w:hint="eastAsia" w:ascii="宋体" w:hAnsi="宋体"/>
          <w:bCs/>
          <w:color w:val="auto"/>
          <w:szCs w:val="21"/>
        </w:rPr>
        <w:t>是否进行抽查检测：</w:t>
      </w:r>
      <w:r>
        <w:rPr>
          <w:rFonts w:hint="eastAsia" w:ascii="宋体" w:hAnsi="宋体" w:cs="宋体"/>
          <w:color w:val="auto"/>
          <w:szCs w:val="21"/>
        </w:rPr>
        <w:sym w:font="Wingdings" w:char="00A8"/>
      </w:r>
      <w:r>
        <w:rPr>
          <w:rFonts w:hint="eastAsia" w:ascii="宋体" w:hAnsi="宋体"/>
          <w:bCs/>
          <w:color w:val="auto"/>
          <w:szCs w:val="21"/>
        </w:rPr>
        <w:t>是，抽查比例：</w:t>
      </w:r>
      <w:r>
        <w:rPr>
          <w:rFonts w:hint="eastAsia" w:ascii="宋体" w:hAnsi="宋体"/>
          <w:bCs/>
          <w:color w:val="auto"/>
          <w:szCs w:val="21"/>
          <w:u w:val="single"/>
        </w:rPr>
        <w:t xml:space="preserve">        </w:t>
      </w:r>
      <w:r>
        <w:rPr>
          <w:rFonts w:hint="eastAsia" w:ascii="宋体" w:hAnsi="宋体"/>
          <w:bCs/>
          <w:color w:val="auto"/>
          <w:szCs w:val="21"/>
        </w:rPr>
        <w:t xml:space="preserve">   </w:t>
      </w:r>
      <w:r>
        <w:rPr>
          <w:rFonts w:hint="eastAsia" w:ascii="宋体" w:hAnsi="宋体" w:cs="宋体"/>
          <w:color w:val="auto"/>
          <w:szCs w:val="21"/>
        </w:rPr>
        <w:sym w:font="Wingdings" w:char="00A8"/>
      </w:r>
      <w:r>
        <w:rPr>
          <w:rFonts w:hint="eastAsia" w:ascii="宋体" w:hAnsi="宋体"/>
          <w:bCs/>
          <w:color w:val="auto"/>
          <w:szCs w:val="21"/>
        </w:rPr>
        <w:t>否</w:t>
      </w:r>
    </w:p>
    <w:p>
      <w:pPr>
        <w:adjustRightInd w:val="0"/>
        <w:snapToGrid w:val="0"/>
        <w:spacing w:line="420" w:lineRule="exact"/>
        <w:ind w:firstLine="840" w:firstLineChars="400"/>
        <w:rPr>
          <w:rFonts w:hint="eastAsia" w:ascii="宋体" w:hAnsi="宋体"/>
          <w:bCs/>
          <w:color w:val="auto"/>
          <w:szCs w:val="21"/>
          <w:u w:val="single"/>
        </w:rPr>
      </w:pPr>
      <w:r>
        <w:rPr>
          <w:rFonts w:hint="eastAsia" w:ascii="宋体" w:hAnsi="宋体"/>
          <w:bCs/>
          <w:color w:val="auto"/>
          <w:szCs w:val="21"/>
        </w:rPr>
        <w:t>是否存在破坏性检测：</w:t>
      </w:r>
      <w:r>
        <w:rPr>
          <w:rFonts w:hint="eastAsia" w:ascii="宋体" w:hAnsi="宋体" w:cs="宋体"/>
          <w:color w:val="auto"/>
          <w:szCs w:val="21"/>
        </w:rPr>
        <w:sym w:font="Wingdings" w:char="00A8"/>
      </w:r>
      <w:r>
        <w:rPr>
          <w:rFonts w:hint="eastAsia" w:ascii="宋体" w:hAnsi="宋体"/>
          <w:bCs/>
          <w:color w:val="auto"/>
          <w:szCs w:val="21"/>
        </w:rPr>
        <w:t>是，</w:t>
      </w:r>
      <w:r>
        <w:rPr>
          <w:rFonts w:hint="eastAsia" w:ascii="宋体" w:hAnsi="宋体"/>
          <w:bCs/>
          <w:color w:val="auto"/>
          <w:szCs w:val="21"/>
          <w:u w:val="single"/>
        </w:rPr>
        <w:t>（应明确对被破坏的检测产品的处理方式）</w:t>
      </w:r>
      <w:r>
        <w:rPr>
          <w:rFonts w:hint="eastAsia" w:ascii="宋体" w:hAnsi="宋体"/>
          <w:bCs/>
          <w:color w:val="auto"/>
          <w:szCs w:val="21"/>
        </w:rPr>
        <w:t xml:space="preserve">   </w:t>
      </w:r>
      <w:r>
        <w:rPr>
          <w:rFonts w:hint="eastAsia" w:ascii="宋体" w:hAnsi="宋体" w:cs="宋体"/>
          <w:color w:val="auto"/>
          <w:szCs w:val="21"/>
        </w:rPr>
        <w:sym w:font="Wingdings" w:char="00A8"/>
      </w:r>
      <w:r>
        <w:rPr>
          <w:rFonts w:hint="eastAsia" w:ascii="宋体" w:hAnsi="宋体"/>
          <w:bCs/>
          <w:color w:val="auto"/>
          <w:szCs w:val="21"/>
        </w:rPr>
        <w:t>否</w:t>
      </w:r>
    </w:p>
    <w:p>
      <w:pPr>
        <w:adjustRightInd w:val="0"/>
        <w:snapToGrid w:val="0"/>
        <w:spacing w:line="420" w:lineRule="exact"/>
        <w:ind w:firstLine="840" w:firstLineChars="400"/>
        <w:rPr>
          <w:rFonts w:hint="eastAsia" w:ascii="宋体" w:hAnsi="宋体"/>
          <w:bCs/>
          <w:color w:val="auto"/>
          <w:szCs w:val="21"/>
          <w:u w:val="single"/>
        </w:rPr>
      </w:pPr>
      <w:r>
        <w:rPr>
          <w:rFonts w:hint="eastAsia" w:ascii="宋体" w:hAnsi="宋体"/>
          <w:bCs/>
          <w:color w:val="auto"/>
          <w:szCs w:val="21"/>
        </w:rPr>
        <w:t>验收组织的其他事项：</w:t>
      </w:r>
      <w:r>
        <w:rPr>
          <w:rFonts w:hint="eastAsia" w:ascii="宋体" w:hAnsi="宋体"/>
          <w:bCs/>
          <w:color w:val="auto"/>
          <w:szCs w:val="21"/>
          <w:u w:val="single"/>
        </w:rPr>
        <w:t xml:space="preserve">                                  </w:t>
      </w:r>
    </w:p>
    <w:p>
      <w:pPr>
        <w:adjustRightInd w:val="0"/>
        <w:snapToGrid w:val="0"/>
        <w:spacing w:line="420" w:lineRule="exact"/>
        <w:ind w:firstLine="210" w:firstLineChars="100"/>
        <w:rPr>
          <w:rFonts w:hint="eastAsia" w:ascii="宋体" w:hAnsi="宋体"/>
          <w:bCs/>
          <w:color w:val="auto"/>
          <w:szCs w:val="21"/>
          <w:u w:val="single"/>
        </w:rPr>
      </w:pPr>
      <w:r>
        <w:rPr>
          <w:rFonts w:hint="eastAsia" w:ascii="宋体" w:hAnsi="宋体"/>
          <w:bCs/>
          <w:color w:val="auto"/>
          <w:szCs w:val="21"/>
        </w:rPr>
        <w:t>（2）履约验收时间：</w:t>
      </w:r>
      <w:r>
        <w:rPr>
          <w:rFonts w:hint="eastAsia" w:ascii="宋体" w:hAnsi="宋体"/>
          <w:bCs/>
          <w:color w:val="auto"/>
          <w:szCs w:val="21"/>
          <w:u w:val="single"/>
        </w:rPr>
        <w:t xml:space="preserve">（计划于何时验收/供应商提出验收申请之日起   日内组织验收） </w:t>
      </w:r>
    </w:p>
    <w:p>
      <w:pPr>
        <w:adjustRightInd w:val="0"/>
        <w:snapToGrid w:val="0"/>
        <w:spacing w:line="420" w:lineRule="exact"/>
        <w:ind w:firstLine="210" w:firstLineChars="100"/>
        <w:rPr>
          <w:rFonts w:hint="eastAsia" w:ascii="宋体" w:hAnsi="宋体"/>
          <w:bCs/>
          <w:color w:val="auto"/>
          <w:szCs w:val="21"/>
        </w:rPr>
      </w:pPr>
      <w:r>
        <w:rPr>
          <w:rFonts w:hint="eastAsia" w:ascii="宋体" w:hAnsi="宋体"/>
          <w:bCs/>
          <w:color w:val="auto"/>
          <w:szCs w:val="21"/>
        </w:rPr>
        <w:t>（3）履约验收方式：</w:t>
      </w:r>
      <w:r>
        <w:rPr>
          <w:rFonts w:hint="eastAsia" w:ascii="宋体" w:hAnsi="宋体" w:cs="宋体"/>
          <w:color w:val="auto"/>
          <w:szCs w:val="21"/>
        </w:rPr>
        <w:sym w:font="Wingdings" w:char="00A8"/>
      </w:r>
      <w:r>
        <w:rPr>
          <w:rFonts w:hint="eastAsia" w:ascii="宋体" w:hAnsi="宋体"/>
          <w:bCs/>
          <w:color w:val="auto"/>
          <w:szCs w:val="21"/>
        </w:rPr>
        <w:t>一次性验收</w:t>
      </w:r>
    </w:p>
    <w:p>
      <w:pPr>
        <w:adjustRightInd w:val="0"/>
        <w:snapToGrid w:val="0"/>
        <w:spacing w:line="420" w:lineRule="exact"/>
        <w:rPr>
          <w:rFonts w:hint="eastAsia" w:ascii="宋体" w:hAnsi="宋体"/>
          <w:bCs/>
          <w:color w:val="auto"/>
          <w:szCs w:val="21"/>
        </w:rPr>
      </w:pPr>
      <w:r>
        <w:rPr>
          <w:rFonts w:hint="eastAsia" w:ascii="宋体" w:hAnsi="宋体"/>
          <w:bCs/>
          <w:color w:val="auto"/>
          <w:szCs w:val="21"/>
        </w:rPr>
        <w:t xml:space="preserve">                       </w:t>
      </w:r>
      <w:r>
        <w:rPr>
          <w:rFonts w:hint="eastAsia" w:ascii="宋体" w:hAnsi="宋体" w:cs="宋体"/>
          <w:color w:val="auto"/>
          <w:szCs w:val="21"/>
        </w:rPr>
        <w:sym w:font="Wingdings" w:char="00A8"/>
      </w:r>
      <w:r>
        <w:rPr>
          <w:rFonts w:hint="eastAsia" w:ascii="宋体" w:hAnsi="宋体"/>
          <w:bCs/>
          <w:color w:val="auto"/>
          <w:szCs w:val="21"/>
        </w:rPr>
        <w:t>分期/分项验收：</w:t>
      </w:r>
      <w:r>
        <w:rPr>
          <w:rFonts w:hint="eastAsia" w:ascii="宋体" w:hAnsi="宋体"/>
          <w:bCs/>
          <w:color w:val="auto"/>
          <w:szCs w:val="21"/>
          <w:u w:val="single"/>
        </w:rPr>
        <w:t xml:space="preserve">   （应明确分期</w:t>
      </w:r>
      <w:r>
        <w:rPr>
          <w:rFonts w:ascii="宋体" w:hAnsi="宋体"/>
          <w:bCs/>
          <w:color w:val="auto"/>
          <w:szCs w:val="21"/>
          <w:u w:val="single"/>
          <w:lang w:val="en"/>
        </w:rPr>
        <w:t>/</w:t>
      </w:r>
      <w:r>
        <w:rPr>
          <w:rFonts w:hint="eastAsia" w:ascii="宋体" w:hAnsi="宋体"/>
          <w:bCs/>
          <w:color w:val="auto"/>
          <w:szCs w:val="21"/>
          <w:u w:val="single"/>
          <w:lang w:val="en"/>
        </w:rPr>
        <w:t>分项验收的工作安排</w:t>
      </w:r>
      <w:r>
        <w:rPr>
          <w:rFonts w:hint="eastAsia" w:ascii="宋体" w:hAnsi="宋体"/>
          <w:bCs/>
          <w:color w:val="auto"/>
          <w:szCs w:val="21"/>
          <w:u w:val="single"/>
        </w:rPr>
        <w:t xml:space="preserve">）   </w:t>
      </w:r>
    </w:p>
    <w:p>
      <w:pPr>
        <w:adjustRightInd w:val="0"/>
        <w:snapToGrid w:val="0"/>
        <w:spacing w:line="420" w:lineRule="exact"/>
        <w:ind w:firstLine="210" w:firstLineChars="100"/>
        <w:rPr>
          <w:rFonts w:hint="eastAsia" w:ascii="宋体" w:hAnsi="宋体"/>
          <w:bCs/>
          <w:color w:val="auto"/>
          <w:szCs w:val="21"/>
        </w:rPr>
      </w:pPr>
      <w:r>
        <w:rPr>
          <w:rFonts w:hint="eastAsia" w:ascii="宋体" w:hAnsi="宋体"/>
          <w:bCs/>
          <w:color w:val="auto"/>
          <w:szCs w:val="21"/>
        </w:rPr>
        <w:t>（4）履约验收程序：</w:t>
      </w:r>
      <w:r>
        <w:rPr>
          <w:rFonts w:hint="eastAsia" w:ascii="宋体" w:hAnsi="宋体"/>
          <w:bCs/>
          <w:color w:val="auto"/>
          <w:szCs w:val="21"/>
          <w:u w:val="single"/>
        </w:rPr>
        <w:t xml:space="preserve">                                                        </w:t>
      </w:r>
    </w:p>
    <w:p>
      <w:pPr>
        <w:adjustRightInd w:val="0"/>
        <w:snapToGrid w:val="0"/>
        <w:spacing w:line="420" w:lineRule="exact"/>
        <w:ind w:firstLine="210" w:firstLineChars="100"/>
        <w:rPr>
          <w:rFonts w:hint="eastAsia" w:ascii="宋体" w:hAnsi="宋体"/>
          <w:bCs/>
          <w:color w:val="auto"/>
          <w:szCs w:val="21"/>
          <w:u w:val="single"/>
        </w:rPr>
      </w:pPr>
      <w:r>
        <w:rPr>
          <w:rFonts w:hint="eastAsia" w:ascii="宋体" w:hAnsi="宋体"/>
          <w:bCs/>
          <w:color w:val="auto"/>
          <w:szCs w:val="21"/>
        </w:rPr>
        <w:t>（5）履约验收的内容：</w:t>
      </w:r>
      <w:r>
        <w:rPr>
          <w:rFonts w:hint="eastAsia" w:ascii="宋体" w:hAnsi="宋体"/>
          <w:bCs/>
          <w:color w:val="auto"/>
          <w:szCs w:val="21"/>
          <w:u w:val="single"/>
        </w:rPr>
        <w:t xml:space="preserve"> （应当包括每一项技术和商务要求的履约情况，特别是落实政府采购扶持中小企业，支持绿色发展和乡村振兴等政策情况）                                       </w:t>
      </w:r>
    </w:p>
    <w:p>
      <w:pPr>
        <w:adjustRightInd w:val="0"/>
        <w:snapToGrid w:val="0"/>
        <w:spacing w:line="420" w:lineRule="exact"/>
        <w:ind w:firstLine="210" w:firstLineChars="100"/>
        <w:rPr>
          <w:rFonts w:hint="eastAsia" w:ascii="宋体" w:hAnsi="宋体"/>
          <w:bCs/>
          <w:color w:val="auto"/>
          <w:szCs w:val="21"/>
          <w:u w:val="single"/>
        </w:rPr>
      </w:pPr>
      <w:r>
        <w:rPr>
          <w:rFonts w:hint="eastAsia" w:ascii="宋体" w:hAnsi="宋体"/>
          <w:bCs/>
          <w:color w:val="auto"/>
          <w:szCs w:val="21"/>
        </w:rPr>
        <w:t>（6）履约验收标准：</w:t>
      </w:r>
      <w:r>
        <w:rPr>
          <w:rFonts w:hint="eastAsia" w:ascii="宋体" w:hAnsi="宋体"/>
          <w:bCs/>
          <w:color w:val="auto"/>
          <w:szCs w:val="21"/>
          <w:u w:val="single"/>
        </w:rPr>
        <w:t xml:space="preserve">                                                        </w:t>
      </w:r>
    </w:p>
    <w:p>
      <w:pPr>
        <w:widowControl/>
        <w:autoSpaceDE w:val="0"/>
        <w:autoSpaceDN w:val="0"/>
        <w:adjustRightInd w:val="0"/>
        <w:spacing w:line="420" w:lineRule="exact"/>
        <w:ind w:firstLine="210" w:firstLineChars="100"/>
        <w:jc w:val="left"/>
        <w:rPr>
          <w:rFonts w:hint="eastAsia" w:ascii="宋体" w:hAnsi="宋体" w:cs="宋体"/>
          <w:color w:val="auto"/>
          <w:kern w:val="0"/>
          <w:szCs w:val="21"/>
        </w:rPr>
      </w:pPr>
      <w:r>
        <w:rPr>
          <w:rFonts w:hint="eastAsia" w:ascii="宋体" w:hAnsi="宋体" w:cs="宋体"/>
          <w:bCs/>
          <w:color w:val="auto"/>
          <w:kern w:val="0"/>
          <w:szCs w:val="21"/>
        </w:rPr>
        <w:t>（7）是否以采购活动中供应商提供的样品作为参考：</w:t>
      </w:r>
      <w:r>
        <w:rPr>
          <w:rFonts w:hint="eastAsia" w:ascii="宋体" w:hAnsi="宋体" w:cs="宋体"/>
          <w:color w:val="auto"/>
          <w:kern w:val="0"/>
          <w:szCs w:val="21"/>
        </w:rPr>
        <w:sym w:font="Wingdings" w:char="00A8"/>
      </w:r>
      <w:r>
        <w:rPr>
          <w:rFonts w:hint="eastAsia" w:ascii="宋体" w:hAnsi="宋体" w:cs="宋体"/>
          <w:bCs/>
          <w:color w:val="auto"/>
          <w:kern w:val="0"/>
          <w:szCs w:val="21"/>
        </w:rPr>
        <w:t xml:space="preserve">是  </w:t>
      </w:r>
      <w:r>
        <w:rPr>
          <w:rFonts w:hint="eastAsia" w:ascii="宋体" w:hAnsi="宋体" w:cs="宋体"/>
          <w:color w:val="auto"/>
          <w:kern w:val="0"/>
          <w:szCs w:val="21"/>
        </w:rPr>
        <w:sym w:font="Wingdings" w:char="00A8"/>
      </w:r>
      <w:r>
        <w:rPr>
          <w:rFonts w:hint="eastAsia" w:ascii="宋体" w:hAnsi="宋体" w:cs="宋体"/>
          <w:bCs/>
          <w:color w:val="auto"/>
          <w:kern w:val="0"/>
          <w:szCs w:val="21"/>
        </w:rPr>
        <w:t>否</w:t>
      </w:r>
    </w:p>
    <w:p>
      <w:pPr>
        <w:adjustRightInd w:val="0"/>
        <w:snapToGrid w:val="0"/>
        <w:spacing w:line="420" w:lineRule="exact"/>
        <w:ind w:firstLine="210" w:firstLineChars="100"/>
        <w:rPr>
          <w:rFonts w:hint="eastAsia" w:ascii="宋体" w:hAnsi="宋体" w:cs="宋体"/>
          <w:bCs/>
          <w:color w:val="auto"/>
          <w:szCs w:val="21"/>
          <w:u w:val="single"/>
        </w:rPr>
      </w:pPr>
      <w:r>
        <w:rPr>
          <w:rFonts w:hint="eastAsia" w:ascii="宋体" w:hAnsi="宋体" w:cs="宋体"/>
          <w:bCs/>
          <w:color w:val="auto"/>
          <w:szCs w:val="21"/>
        </w:rPr>
        <w:t>（8）履约验收其他事项：</w:t>
      </w:r>
      <w:r>
        <w:rPr>
          <w:rFonts w:hint="eastAsia" w:ascii="宋体" w:hAnsi="宋体" w:cs="宋体"/>
          <w:bCs/>
          <w:color w:val="auto"/>
          <w:szCs w:val="21"/>
          <w:u w:val="single"/>
        </w:rPr>
        <w:t xml:space="preserve">               （产权过户登记等）                   </w:t>
      </w:r>
    </w:p>
    <w:p>
      <w:pPr>
        <w:numPr>
          <w:ilvl w:val="0"/>
          <w:numId w:val="5"/>
        </w:numPr>
        <w:adjustRightInd w:val="0"/>
        <w:snapToGrid w:val="0"/>
        <w:spacing w:line="420" w:lineRule="exact"/>
        <w:ind w:firstLine="422" w:firstLineChars="200"/>
        <w:rPr>
          <w:rFonts w:hint="eastAsia" w:ascii="宋体" w:hAnsi="宋体"/>
          <w:b/>
          <w:color w:val="auto"/>
          <w:szCs w:val="21"/>
        </w:rPr>
      </w:pPr>
      <w:r>
        <w:rPr>
          <w:rFonts w:hint="eastAsia" w:ascii="宋体" w:hAnsi="宋体"/>
          <w:b/>
          <w:color w:val="auto"/>
          <w:szCs w:val="21"/>
        </w:rPr>
        <w:t>组成合同的文件</w:t>
      </w:r>
    </w:p>
    <w:p>
      <w:pPr>
        <w:adjustRightInd w:val="0"/>
        <w:snapToGrid w:val="0"/>
        <w:spacing w:line="420" w:lineRule="exact"/>
        <w:ind w:firstLine="420" w:firstLineChars="200"/>
        <w:rPr>
          <w:rFonts w:hint="eastAsia" w:ascii="宋体" w:hAnsi="宋体"/>
          <w:color w:val="auto"/>
          <w:szCs w:val="21"/>
        </w:rPr>
      </w:pPr>
      <w:r>
        <w:rPr>
          <w:rFonts w:hint="eastAsia" w:ascii="宋体" w:hAnsi="宋体"/>
          <w:color w:val="auto"/>
          <w:szCs w:val="21"/>
        </w:rPr>
        <w:t>本协议书与下列文件一起构成合同文件，如下述文件之间有任何抵触、矛盾或歧义，应按以下顺序解释：</w:t>
      </w:r>
    </w:p>
    <w:p>
      <w:pPr>
        <w:adjustRightInd w:val="0"/>
        <w:snapToGrid w:val="0"/>
        <w:spacing w:line="420" w:lineRule="exact"/>
        <w:ind w:firstLine="210" w:firstLineChars="100"/>
        <w:rPr>
          <w:rFonts w:hint="eastAsia" w:ascii="宋体" w:hAnsi="宋体"/>
          <w:color w:val="auto"/>
          <w:szCs w:val="21"/>
        </w:rPr>
      </w:pPr>
      <w:r>
        <w:rPr>
          <w:rFonts w:hint="eastAsia" w:ascii="宋体" w:hAnsi="宋体"/>
          <w:color w:val="auto"/>
          <w:szCs w:val="21"/>
        </w:rPr>
        <w:t>（1）政府采购合同协议书及其变更、补充协议</w:t>
      </w:r>
    </w:p>
    <w:p>
      <w:pPr>
        <w:adjustRightInd w:val="0"/>
        <w:snapToGrid w:val="0"/>
        <w:spacing w:line="420" w:lineRule="exact"/>
        <w:ind w:firstLine="210" w:firstLineChars="100"/>
        <w:rPr>
          <w:rFonts w:hint="eastAsia" w:ascii="宋体" w:hAnsi="宋体"/>
          <w:color w:val="auto"/>
          <w:szCs w:val="21"/>
        </w:rPr>
      </w:pPr>
      <w:r>
        <w:rPr>
          <w:rFonts w:hint="eastAsia" w:ascii="宋体" w:hAnsi="宋体"/>
          <w:color w:val="auto"/>
          <w:szCs w:val="21"/>
        </w:rPr>
        <w:t>（2）政府采购合同专用条款</w:t>
      </w:r>
    </w:p>
    <w:p>
      <w:pPr>
        <w:adjustRightInd w:val="0"/>
        <w:snapToGrid w:val="0"/>
        <w:spacing w:line="420" w:lineRule="exact"/>
        <w:ind w:firstLine="210" w:firstLineChars="100"/>
        <w:rPr>
          <w:rFonts w:hint="eastAsia" w:ascii="宋体" w:hAnsi="宋体"/>
          <w:color w:val="auto"/>
          <w:szCs w:val="21"/>
        </w:rPr>
      </w:pPr>
      <w:r>
        <w:rPr>
          <w:rFonts w:hint="eastAsia" w:ascii="宋体" w:hAnsi="宋体"/>
          <w:color w:val="auto"/>
          <w:szCs w:val="21"/>
        </w:rPr>
        <w:t>（3）政府采购合同通用条款</w:t>
      </w:r>
    </w:p>
    <w:p>
      <w:pPr>
        <w:adjustRightInd w:val="0"/>
        <w:snapToGrid w:val="0"/>
        <w:spacing w:line="420" w:lineRule="exact"/>
        <w:ind w:firstLine="210" w:firstLineChars="100"/>
        <w:rPr>
          <w:rFonts w:hint="eastAsia" w:ascii="宋体" w:hAnsi="宋体"/>
          <w:color w:val="auto"/>
          <w:szCs w:val="21"/>
        </w:rPr>
      </w:pPr>
      <w:r>
        <w:rPr>
          <w:rFonts w:hint="eastAsia" w:ascii="宋体" w:hAnsi="宋体"/>
          <w:color w:val="auto"/>
          <w:szCs w:val="21"/>
        </w:rPr>
        <w:t>（4）中标（成交）通知书</w:t>
      </w:r>
    </w:p>
    <w:p>
      <w:pPr>
        <w:adjustRightInd w:val="0"/>
        <w:snapToGrid w:val="0"/>
        <w:spacing w:line="420" w:lineRule="exact"/>
        <w:ind w:firstLine="210" w:firstLineChars="100"/>
        <w:rPr>
          <w:rFonts w:hint="eastAsia" w:ascii="宋体" w:hAnsi="宋体"/>
          <w:color w:val="auto"/>
          <w:szCs w:val="21"/>
        </w:rPr>
      </w:pPr>
      <w:r>
        <w:rPr>
          <w:rFonts w:hint="eastAsia" w:ascii="宋体" w:hAnsi="宋体"/>
          <w:color w:val="auto"/>
          <w:szCs w:val="21"/>
        </w:rPr>
        <w:t>（5）投标（响应）文件</w:t>
      </w:r>
    </w:p>
    <w:p>
      <w:pPr>
        <w:adjustRightInd w:val="0"/>
        <w:snapToGrid w:val="0"/>
        <w:spacing w:line="420" w:lineRule="exact"/>
        <w:ind w:firstLine="210" w:firstLineChars="100"/>
        <w:rPr>
          <w:rFonts w:hint="eastAsia" w:ascii="宋体" w:hAnsi="宋体"/>
          <w:color w:val="auto"/>
          <w:szCs w:val="21"/>
        </w:rPr>
      </w:pPr>
      <w:r>
        <w:rPr>
          <w:rFonts w:hint="eastAsia" w:ascii="宋体" w:hAnsi="宋体"/>
          <w:color w:val="auto"/>
          <w:szCs w:val="21"/>
        </w:rPr>
        <w:t>（6）采购文件</w:t>
      </w:r>
    </w:p>
    <w:p>
      <w:pPr>
        <w:adjustRightInd w:val="0"/>
        <w:snapToGrid w:val="0"/>
        <w:spacing w:line="420" w:lineRule="exact"/>
        <w:ind w:firstLine="210" w:firstLineChars="100"/>
        <w:rPr>
          <w:rFonts w:hint="eastAsia" w:ascii="宋体" w:hAnsi="宋体"/>
          <w:color w:val="auto"/>
          <w:szCs w:val="21"/>
        </w:rPr>
      </w:pPr>
      <w:r>
        <w:rPr>
          <w:rFonts w:hint="eastAsia" w:ascii="宋体" w:hAnsi="宋体"/>
          <w:color w:val="auto"/>
          <w:szCs w:val="21"/>
        </w:rPr>
        <w:t>（7）有关技术文件，图纸</w:t>
      </w:r>
    </w:p>
    <w:p>
      <w:pPr>
        <w:widowControl/>
        <w:autoSpaceDE w:val="0"/>
        <w:autoSpaceDN w:val="0"/>
        <w:adjustRightInd w:val="0"/>
        <w:spacing w:line="420" w:lineRule="exact"/>
        <w:ind w:firstLine="210" w:firstLineChars="100"/>
        <w:jc w:val="left"/>
        <w:rPr>
          <w:rFonts w:hint="eastAsia" w:ascii="宋体" w:hAnsi="宋体" w:cs="宋体"/>
          <w:color w:val="auto"/>
          <w:szCs w:val="21"/>
        </w:rPr>
      </w:pPr>
      <w:r>
        <w:rPr>
          <w:rFonts w:hint="eastAsia" w:ascii="宋体" w:hAnsi="宋体" w:cs="宋体"/>
          <w:color w:val="auto"/>
          <w:kern w:val="0"/>
          <w:szCs w:val="21"/>
        </w:rPr>
        <w:t>（8）</w:t>
      </w:r>
      <w:r>
        <w:rPr>
          <w:rFonts w:hint="eastAsia" w:ascii="宋体" w:hAnsi="宋体" w:cs="宋体"/>
          <w:color w:val="auto"/>
          <w:szCs w:val="21"/>
        </w:rPr>
        <w:t>国家法律、行政法规和规章制度规定或合同约定的作为合同组成部分的其他文件</w:t>
      </w:r>
    </w:p>
    <w:p>
      <w:pPr>
        <w:numPr>
          <w:ilvl w:val="0"/>
          <w:numId w:val="5"/>
        </w:numPr>
        <w:adjustRightInd w:val="0"/>
        <w:snapToGrid w:val="0"/>
        <w:spacing w:line="420" w:lineRule="exact"/>
        <w:ind w:firstLine="422" w:firstLineChars="200"/>
        <w:rPr>
          <w:rFonts w:hint="eastAsia" w:ascii="宋体" w:hAnsi="宋体"/>
          <w:b/>
          <w:color w:val="auto"/>
          <w:szCs w:val="21"/>
        </w:rPr>
      </w:pPr>
      <w:r>
        <w:rPr>
          <w:rFonts w:hint="eastAsia" w:ascii="宋体" w:hAnsi="宋体"/>
          <w:b/>
          <w:color w:val="auto"/>
          <w:szCs w:val="21"/>
        </w:rPr>
        <w:t>合同生效</w:t>
      </w:r>
    </w:p>
    <w:p>
      <w:pPr>
        <w:adjustRightInd w:val="0"/>
        <w:snapToGrid w:val="0"/>
        <w:spacing w:line="420" w:lineRule="exact"/>
        <w:ind w:firstLine="420" w:firstLineChars="200"/>
        <w:rPr>
          <w:rFonts w:hint="eastAsia" w:ascii="宋体" w:hAnsi="宋体"/>
          <w:color w:val="auto"/>
          <w:szCs w:val="21"/>
        </w:rPr>
      </w:pPr>
      <w:r>
        <w:rPr>
          <w:rFonts w:hint="eastAsia" w:ascii="宋体" w:hAnsi="宋体"/>
          <w:color w:val="auto"/>
          <w:szCs w:val="21"/>
        </w:rPr>
        <w:t>本合同自</w:t>
      </w:r>
      <w:r>
        <w:rPr>
          <w:rFonts w:hint="eastAsia" w:ascii="宋体" w:hAnsi="宋体"/>
          <w:color w:val="auto"/>
          <w:szCs w:val="21"/>
          <w:u w:val="single"/>
        </w:rPr>
        <w:t xml:space="preserve">                                                                </w:t>
      </w:r>
      <w:r>
        <w:rPr>
          <w:rFonts w:hint="eastAsia" w:ascii="宋体" w:hAnsi="宋体"/>
          <w:color w:val="auto"/>
          <w:szCs w:val="21"/>
        </w:rPr>
        <w:t>生效。</w:t>
      </w:r>
    </w:p>
    <w:p>
      <w:pPr>
        <w:numPr>
          <w:ilvl w:val="0"/>
          <w:numId w:val="5"/>
        </w:numPr>
        <w:adjustRightInd w:val="0"/>
        <w:snapToGrid w:val="0"/>
        <w:spacing w:line="420" w:lineRule="exact"/>
        <w:ind w:firstLine="422" w:firstLineChars="200"/>
        <w:rPr>
          <w:rFonts w:hint="eastAsia" w:ascii="宋体" w:hAnsi="宋体"/>
          <w:b/>
          <w:color w:val="auto"/>
          <w:szCs w:val="21"/>
        </w:rPr>
      </w:pPr>
      <w:r>
        <w:rPr>
          <w:rFonts w:hint="eastAsia" w:ascii="宋体" w:hAnsi="宋体"/>
          <w:b/>
          <w:color w:val="auto"/>
          <w:szCs w:val="21"/>
        </w:rPr>
        <w:t>合同份数</w:t>
      </w:r>
    </w:p>
    <w:p>
      <w:pPr>
        <w:adjustRightInd w:val="0"/>
        <w:snapToGrid w:val="0"/>
        <w:spacing w:line="420" w:lineRule="exact"/>
        <w:ind w:firstLine="420" w:firstLineChars="200"/>
        <w:rPr>
          <w:rFonts w:hint="eastAsia" w:ascii="宋体" w:hAnsi="宋体"/>
          <w:color w:val="auto"/>
          <w:szCs w:val="21"/>
        </w:rPr>
      </w:pPr>
      <w:r>
        <w:rPr>
          <w:rFonts w:hint="eastAsia" w:ascii="宋体" w:hAnsi="宋体"/>
          <w:color w:val="auto"/>
          <w:szCs w:val="21"/>
        </w:rPr>
        <w:t>本合同一式</w:t>
      </w:r>
      <w:r>
        <w:rPr>
          <w:rFonts w:hint="eastAsia" w:ascii="宋体" w:hAnsi="宋体"/>
          <w:color w:val="auto"/>
          <w:szCs w:val="21"/>
          <w:u w:val="single"/>
        </w:rPr>
        <w:t xml:space="preserve">     </w:t>
      </w:r>
      <w:r>
        <w:rPr>
          <w:rFonts w:hint="eastAsia" w:ascii="宋体" w:hAnsi="宋体"/>
          <w:color w:val="auto"/>
          <w:szCs w:val="21"/>
        </w:rPr>
        <w:t>份，甲方执</w:t>
      </w:r>
      <w:r>
        <w:rPr>
          <w:rFonts w:hint="eastAsia" w:ascii="宋体" w:hAnsi="宋体"/>
          <w:color w:val="auto"/>
          <w:szCs w:val="21"/>
          <w:u w:val="single"/>
        </w:rPr>
        <w:t xml:space="preserve">     </w:t>
      </w:r>
      <w:r>
        <w:rPr>
          <w:rFonts w:hint="eastAsia" w:ascii="宋体" w:hAnsi="宋体"/>
          <w:color w:val="auto"/>
          <w:szCs w:val="21"/>
        </w:rPr>
        <w:t>份，乙方执</w:t>
      </w:r>
      <w:r>
        <w:rPr>
          <w:rFonts w:hint="eastAsia" w:ascii="宋体" w:hAnsi="宋体"/>
          <w:color w:val="auto"/>
          <w:szCs w:val="21"/>
          <w:u w:val="single"/>
        </w:rPr>
        <w:t xml:space="preserve">     </w:t>
      </w:r>
      <w:r>
        <w:rPr>
          <w:rFonts w:hint="eastAsia" w:ascii="宋体" w:hAnsi="宋体"/>
          <w:color w:val="auto"/>
          <w:szCs w:val="21"/>
        </w:rPr>
        <w:t>份，均具有同等法律效力。</w:t>
      </w:r>
    </w:p>
    <w:p>
      <w:pPr>
        <w:adjustRightInd w:val="0"/>
        <w:snapToGrid w:val="0"/>
        <w:spacing w:line="420" w:lineRule="exact"/>
        <w:ind w:firstLine="420" w:firstLineChars="200"/>
        <w:rPr>
          <w:rFonts w:hint="eastAsia" w:ascii="宋体" w:hAnsi="宋体"/>
          <w:color w:val="auto"/>
          <w:szCs w:val="21"/>
        </w:rPr>
      </w:pPr>
      <w:r>
        <w:rPr>
          <w:rFonts w:hint="eastAsia" w:ascii="宋体" w:hAnsi="宋体"/>
          <w:color w:val="auto"/>
          <w:szCs w:val="21"/>
        </w:rPr>
        <w:t>合同订立时间：</w:t>
      </w:r>
      <w:r>
        <w:rPr>
          <w:rFonts w:hint="eastAsia" w:ascii="宋体" w:hAnsi="宋体"/>
          <w:color w:val="auto"/>
          <w:szCs w:val="21"/>
          <w:u w:val="single"/>
        </w:rPr>
        <w:t xml:space="preserve">             </w:t>
      </w:r>
      <w:r>
        <w:rPr>
          <w:rFonts w:hint="eastAsia" w:ascii="宋体" w:hAnsi="宋体"/>
          <w:color w:val="auto"/>
          <w:szCs w:val="21"/>
        </w:rPr>
        <w:t>年</w:t>
      </w:r>
      <w:r>
        <w:rPr>
          <w:rFonts w:hint="eastAsia" w:ascii="宋体" w:hAnsi="宋体"/>
          <w:color w:val="auto"/>
          <w:szCs w:val="21"/>
          <w:u w:val="single"/>
        </w:rPr>
        <w:t xml:space="preserve">      </w:t>
      </w:r>
      <w:r>
        <w:rPr>
          <w:rFonts w:hint="eastAsia" w:ascii="宋体" w:hAnsi="宋体"/>
          <w:color w:val="auto"/>
          <w:szCs w:val="21"/>
        </w:rPr>
        <w:t>月</w:t>
      </w:r>
      <w:r>
        <w:rPr>
          <w:rFonts w:hint="eastAsia" w:ascii="宋体" w:hAnsi="宋体"/>
          <w:color w:val="auto"/>
          <w:szCs w:val="21"/>
          <w:u w:val="single"/>
        </w:rPr>
        <w:t xml:space="preserve">      </w:t>
      </w:r>
      <w:r>
        <w:rPr>
          <w:rFonts w:hint="eastAsia" w:ascii="宋体" w:hAnsi="宋体"/>
          <w:color w:val="auto"/>
          <w:szCs w:val="21"/>
        </w:rPr>
        <w:t>日</w:t>
      </w:r>
    </w:p>
    <w:p>
      <w:pPr>
        <w:adjustRightInd w:val="0"/>
        <w:snapToGrid w:val="0"/>
        <w:spacing w:line="420" w:lineRule="exact"/>
        <w:ind w:firstLine="420" w:firstLineChars="200"/>
        <w:rPr>
          <w:rFonts w:hint="eastAsia" w:ascii="宋体" w:hAnsi="宋体"/>
          <w:color w:val="auto"/>
          <w:szCs w:val="21"/>
        </w:rPr>
      </w:pPr>
      <w:r>
        <w:rPr>
          <w:rFonts w:hint="eastAsia" w:ascii="宋体" w:hAnsi="宋体"/>
          <w:color w:val="auto"/>
          <w:szCs w:val="21"/>
        </w:rPr>
        <w:t>合同订立地点：</w:t>
      </w:r>
      <w:r>
        <w:rPr>
          <w:rFonts w:hint="eastAsia" w:ascii="宋体" w:hAnsi="宋体"/>
          <w:color w:val="auto"/>
          <w:szCs w:val="21"/>
          <w:u w:val="single"/>
        </w:rPr>
        <w:t xml:space="preserve">                               </w:t>
      </w:r>
    </w:p>
    <w:p>
      <w:pPr>
        <w:adjustRightInd w:val="0"/>
        <w:snapToGrid w:val="0"/>
        <w:spacing w:line="420" w:lineRule="exact"/>
        <w:ind w:firstLine="420" w:firstLineChars="200"/>
        <w:rPr>
          <w:color w:val="auto"/>
        </w:rPr>
      </w:pPr>
      <w:r>
        <w:rPr>
          <w:rFonts w:hint="eastAsia" w:ascii="宋体" w:hAnsi="宋体"/>
          <w:color w:val="auto"/>
          <w:szCs w:val="21"/>
        </w:rPr>
        <w:t>附件：具体标的及其技术要求和商务要求、联合协议、分包意向协议等。</w:t>
      </w:r>
    </w:p>
    <w:p>
      <w:pPr>
        <w:widowControl/>
        <w:spacing w:line="420" w:lineRule="exact"/>
        <w:jc w:val="left"/>
        <w:rPr>
          <w:color w:val="auto"/>
          <w:szCs w:val="21"/>
        </w:rPr>
      </w:pPr>
      <w:r>
        <w:rPr>
          <w:color w:val="auto"/>
          <w:szCs w:val="21"/>
        </w:rPr>
        <w:br w:type="page"/>
      </w:r>
    </w:p>
    <w:tbl>
      <w:tblPr>
        <w:tblStyle w:val="34"/>
        <w:tblW w:w="4927" w:type="pct"/>
        <w:tblInd w:w="113"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250"/>
        <w:gridCol w:w="2869"/>
        <w:gridCol w:w="2354"/>
        <w:gridCol w:w="2517"/>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054" w:hRule="atLeast"/>
        </w:trPr>
        <w:tc>
          <w:tcPr>
            <w:tcW w:w="2562" w:type="pct"/>
            <w:gridSpan w:val="2"/>
            <w:tcBorders>
              <w:bottom w:val="single" w:color="auto" w:sz="2" w:space="0"/>
              <w:right w:val="single" w:color="auto" w:sz="2" w:space="0"/>
            </w:tcBorders>
            <w:vAlign w:val="center"/>
          </w:tcPr>
          <w:p>
            <w:pPr>
              <w:adjustRightInd w:val="0"/>
              <w:snapToGrid w:val="0"/>
              <w:spacing w:line="300" w:lineRule="exact"/>
              <w:jc w:val="center"/>
              <w:rPr>
                <w:color w:val="auto"/>
              </w:rPr>
            </w:pPr>
            <w:r>
              <w:rPr>
                <w:color w:val="auto"/>
                <w:szCs w:val="21"/>
              </w:rPr>
              <w:t>甲方</w:t>
            </w:r>
            <w:r>
              <w:rPr>
                <w:rFonts w:hint="eastAsia"/>
                <w:color w:val="auto"/>
                <w:szCs w:val="21"/>
              </w:rPr>
              <w:t>（采购人</w:t>
            </w:r>
            <w:r>
              <w:rPr>
                <w:rFonts w:hint="eastAsia" w:ascii="宋体" w:hAnsi="宋体"/>
                <w:color w:val="auto"/>
                <w:szCs w:val="21"/>
              </w:rPr>
              <w:t>、受采购人委托签订合同的单位或</w:t>
            </w:r>
            <w:r>
              <w:rPr>
                <w:rFonts w:hint="eastAsia"/>
                <w:color w:val="auto"/>
                <w:szCs w:val="21"/>
              </w:rPr>
              <w:t>采购文件约定的合同甲方）</w:t>
            </w:r>
          </w:p>
        </w:tc>
        <w:tc>
          <w:tcPr>
            <w:tcW w:w="2437" w:type="pct"/>
            <w:gridSpan w:val="2"/>
            <w:tcBorders>
              <w:left w:val="single" w:color="auto" w:sz="2" w:space="0"/>
              <w:bottom w:val="single" w:color="auto" w:sz="2" w:space="0"/>
            </w:tcBorders>
            <w:vAlign w:val="center"/>
          </w:tcPr>
          <w:p>
            <w:pPr>
              <w:adjustRightInd w:val="0"/>
              <w:snapToGrid w:val="0"/>
              <w:spacing w:line="300" w:lineRule="exact"/>
              <w:jc w:val="center"/>
              <w:rPr>
                <w:color w:val="auto"/>
              </w:rPr>
            </w:pPr>
            <w:r>
              <w:rPr>
                <w:color w:val="auto"/>
                <w:szCs w:val="21"/>
              </w:rPr>
              <w:t>乙方</w:t>
            </w:r>
            <w:r>
              <w:rPr>
                <w:rFonts w:hint="eastAsia"/>
                <w:color w:val="auto"/>
                <w:szCs w:val="21"/>
              </w:rPr>
              <w:t>（供应商）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832"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r>
              <w:rPr>
                <w:color w:val="auto"/>
                <w:szCs w:val="21"/>
              </w:rPr>
              <w:t>单位名称</w:t>
            </w:r>
            <w:r>
              <w:rPr>
                <w:rFonts w:hint="eastAsia"/>
                <w:color w:val="auto"/>
                <w:szCs w:val="21"/>
              </w:rPr>
              <w:t>（公章或合同章）</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r>
              <w:rPr>
                <w:color w:val="auto"/>
                <w:szCs w:val="21"/>
              </w:rPr>
              <w:t>单位名称</w:t>
            </w:r>
            <w:r>
              <w:rPr>
                <w:rFonts w:hint="eastAsia"/>
                <w:color w:val="auto"/>
                <w:szCs w:val="21"/>
              </w:rPr>
              <w:t>（公章或合同章）</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pPr>
              <w:adjustRightInd w:val="0"/>
              <w:snapToGrid w:val="0"/>
              <w:spacing w:line="300" w:lineRule="exact"/>
              <w:jc w:val="center"/>
              <w:rPr>
                <w:color w:val="auto"/>
                <w:szCs w:val="21"/>
              </w:rPr>
            </w:pPr>
            <w:r>
              <w:rPr>
                <w:color w:val="auto"/>
                <w:szCs w:val="21"/>
              </w:rPr>
              <w:t>法定代表人</w:t>
            </w:r>
          </w:p>
          <w:p>
            <w:pPr>
              <w:adjustRightInd w:val="0"/>
              <w:snapToGrid w:val="0"/>
              <w:spacing w:line="300" w:lineRule="exact"/>
              <w:ind w:firstLine="100" w:firstLineChars="48"/>
              <w:jc w:val="center"/>
              <w:rPr>
                <w:color w:val="auto"/>
                <w:szCs w:val="21"/>
              </w:rPr>
            </w:pPr>
            <w:r>
              <w:rPr>
                <w:rFonts w:hint="eastAsia"/>
                <w:color w:val="auto"/>
                <w:szCs w:val="21"/>
              </w:rPr>
              <w:t>或其</w:t>
            </w:r>
            <w:r>
              <w:rPr>
                <w:color w:val="auto"/>
                <w:szCs w:val="21"/>
              </w:rPr>
              <w:t>委托代理人</w:t>
            </w:r>
            <w:r>
              <w:rPr>
                <w:rFonts w:hint="eastAsia"/>
                <w:color w:val="auto"/>
                <w:szCs w:val="21"/>
              </w:rPr>
              <w:t>（签章）</w:t>
            </w:r>
          </w:p>
        </w:tc>
        <w:tc>
          <w:tcPr>
            <w:tcW w:w="1436" w:type="pct"/>
            <w:vMerge w:val="restart"/>
            <w:tcBorders>
              <w:top w:val="single" w:color="auto" w:sz="2" w:space="0"/>
              <w:left w:val="single" w:color="auto" w:sz="2" w:space="0"/>
              <w:right w:val="single" w:color="auto" w:sz="2" w:space="0"/>
            </w:tcBorders>
            <w:vAlign w:val="center"/>
          </w:tcPr>
          <w:p>
            <w:pPr>
              <w:adjustRightInd w:val="0"/>
              <w:snapToGrid w:val="0"/>
              <w:spacing w:line="300" w:lineRule="exact"/>
              <w:jc w:val="center"/>
              <w:rPr>
                <w:color w:val="auto"/>
                <w:szCs w:val="21"/>
              </w:rPr>
            </w:pPr>
          </w:p>
        </w:tc>
        <w:tc>
          <w:tcPr>
            <w:tcW w:w="1178" w:type="pct"/>
            <w:tcBorders>
              <w:top w:val="single" w:color="auto" w:sz="2" w:space="0"/>
              <w:left w:val="single" w:color="auto" w:sz="2" w:space="0"/>
              <w:right w:val="single" w:color="auto" w:sz="2" w:space="0"/>
            </w:tcBorders>
            <w:vAlign w:val="center"/>
          </w:tcPr>
          <w:p>
            <w:pPr>
              <w:adjustRightInd w:val="0"/>
              <w:snapToGrid w:val="0"/>
              <w:spacing w:line="300" w:lineRule="exact"/>
              <w:jc w:val="center"/>
              <w:rPr>
                <w:color w:val="auto"/>
                <w:szCs w:val="21"/>
              </w:rPr>
            </w:pPr>
            <w:r>
              <w:rPr>
                <w:color w:val="auto"/>
                <w:szCs w:val="21"/>
              </w:rPr>
              <w:t>法定代表人</w:t>
            </w:r>
          </w:p>
          <w:p>
            <w:pPr>
              <w:adjustRightInd w:val="0"/>
              <w:snapToGrid w:val="0"/>
              <w:spacing w:line="300" w:lineRule="exact"/>
              <w:jc w:val="center"/>
              <w:rPr>
                <w:color w:val="auto"/>
                <w:szCs w:val="21"/>
              </w:rPr>
            </w:pPr>
            <w:r>
              <w:rPr>
                <w:rFonts w:hint="eastAsia"/>
                <w:color w:val="auto"/>
                <w:szCs w:val="21"/>
              </w:rPr>
              <w:t>或其</w:t>
            </w:r>
            <w:r>
              <w:rPr>
                <w:color w:val="auto"/>
                <w:szCs w:val="21"/>
              </w:rPr>
              <w:t>委托代理人</w:t>
            </w:r>
            <w:r>
              <w:rPr>
                <w:rFonts w:hint="eastAsia"/>
                <w:color w:val="auto"/>
                <w:szCs w:val="21"/>
              </w:rPr>
              <w:t>（签章）</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pPr>
              <w:adjustRightInd w:val="0"/>
              <w:snapToGrid w:val="0"/>
              <w:spacing w:line="300" w:lineRule="exact"/>
              <w:jc w:val="center"/>
              <w:rPr>
                <w:color w:val="auto"/>
                <w:szCs w:val="21"/>
              </w:rPr>
            </w:pPr>
          </w:p>
        </w:tc>
        <w:tc>
          <w:tcPr>
            <w:tcW w:w="1436" w:type="pct"/>
            <w:vMerge w:val="continue"/>
            <w:tcBorders>
              <w:left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r>
              <w:rPr>
                <w:rFonts w:hint="eastAsia"/>
                <w:color w:val="auto"/>
                <w:szCs w:val="21"/>
              </w:rPr>
              <w:t>拥有者性别</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67"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r>
              <w:rPr>
                <w:rFonts w:hint="eastAsia"/>
                <w:color w:val="auto"/>
                <w:szCs w:val="21"/>
              </w:rPr>
              <w:t>住  所</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r>
              <w:rPr>
                <w:rFonts w:hint="eastAsia"/>
                <w:color w:val="auto"/>
                <w:szCs w:val="21"/>
              </w:rPr>
              <w:t>住  所</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67"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r>
              <w:rPr>
                <w:color w:val="auto"/>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r>
              <w:rPr>
                <w:color w:val="auto"/>
                <w:szCs w:val="21"/>
              </w:rPr>
              <w:t>联 系 人</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67"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r>
              <w:rPr>
                <w:color w:val="auto"/>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r>
              <w:rPr>
                <w:color w:val="auto"/>
                <w:szCs w:val="21"/>
              </w:rPr>
              <w:t>联系电话</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67"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r>
              <w:rPr>
                <w:rFonts w:hint="eastAsia"/>
                <w:color w:val="auto"/>
                <w:szCs w:val="21"/>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r>
              <w:rPr>
                <w:rFonts w:hint="eastAsia"/>
                <w:color w:val="auto"/>
                <w:szCs w:val="21"/>
              </w:rPr>
              <w:t>通信地址</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67"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r>
              <w:rPr>
                <w:color w:val="auto"/>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r>
              <w:rPr>
                <w:color w:val="auto"/>
                <w:szCs w:val="21"/>
              </w:rPr>
              <w:t>邮政编码</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67"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r>
              <w:rPr>
                <w:rFonts w:hint="eastAsia"/>
                <w:color w:val="auto"/>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r>
              <w:rPr>
                <w:rFonts w:hint="eastAsia"/>
                <w:color w:val="auto"/>
                <w:szCs w:val="21"/>
              </w:rPr>
              <w:t>电子邮箱</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67"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r>
              <w:rPr>
                <w:rFonts w:hint="eastAsia"/>
                <w:color w:val="auto"/>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r>
              <w:rPr>
                <w:rFonts w:hint="eastAsia"/>
                <w:color w:val="auto"/>
                <w:szCs w:val="21"/>
              </w:rPr>
              <w:t>统一社会信用代码</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67"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r>
              <w:rPr>
                <w:color w:val="auto"/>
                <w:szCs w:val="21"/>
              </w:rPr>
              <w:t>开户名称</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67"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r>
              <w:rPr>
                <w:color w:val="auto"/>
                <w:szCs w:val="21"/>
              </w:rPr>
              <w:t>开户银行</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67"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r>
              <w:rPr>
                <w:color w:val="auto"/>
                <w:szCs w:val="21"/>
              </w:rPr>
              <w:t>银行账号</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745" w:hRule="atLeast"/>
        </w:trPr>
        <w:tc>
          <w:tcPr>
            <w:tcW w:w="5000" w:type="pct"/>
            <w:gridSpan w:val="4"/>
            <w:tcBorders>
              <w:top w:val="single" w:color="auto" w:sz="2" w:space="0"/>
            </w:tcBorders>
            <w:vAlign w:val="center"/>
          </w:tcPr>
          <w:p>
            <w:pPr>
              <w:adjustRightInd w:val="0"/>
              <w:snapToGrid w:val="0"/>
              <w:spacing w:before="156" w:beforeLines="50" w:line="360" w:lineRule="auto"/>
              <w:jc w:val="left"/>
              <w:rPr>
                <w:color w:val="auto"/>
                <w:spacing w:val="20"/>
                <w:szCs w:val="21"/>
              </w:rPr>
            </w:pPr>
            <w:r>
              <w:rPr>
                <w:rFonts w:hint="eastAsia" w:ascii="宋体" w:hAnsi="宋体"/>
                <w:color w:val="auto"/>
                <w:szCs w:val="21"/>
              </w:rPr>
              <w:t>注：涉及联合体或其他合同主体的信息应按上表格式加列。</w:t>
            </w:r>
          </w:p>
        </w:tc>
      </w:tr>
    </w:tbl>
    <w:p>
      <w:pPr>
        <w:keepNext/>
        <w:keepLines/>
        <w:adjustRightInd w:val="0"/>
        <w:snapToGrid w:val="0"/>
        <w:spacing w:before="156" w:beforeLines="50" w:line="360" w:lineRule="auto"/>
        <w:jc w:val="center"/>
        <w:outlineLvl w:val="1"/>
        <w:rPr>
          <w:rFonts w:hint="eastAsia" w:ascii="黑体" w:hAnsi="黑体" w:eastAsia="黑体"/>
          <w:b/>
          <w:bCs/>
          <w:color w:val="auto"/>
          <w:sz w:val="28"/>
          <w:szCs w:val="28"/>
        </w:rPr>
      </w:pPr>
      <w:r>
        <w:rPr>
          <w:rFonts w:ascii="宋体" w:hAnsi="宋体"/>
          <w:b/>
          <w:bCs/>
          <w:color w:val="auto"/>
          <w:szCs w:val="21"/>
          <w:u w:val="single"/>
        </w:rPr>
        <w:br w:type="page"/>
      </w:r>
      <w:bookmarkStart w:id="126" w:name="_Toc27624"/>
      <w:r>
        <w:rPr>
          <w:rFonts w:hint="eastAsia" w:ascii="黑体" w:hAnsi="黑体" w:eastAsia="黑体"/>
          <w:color w:val="auto"/>
          <w:sz w:val="28"/>
          <w:szCs w:val="28"/>
        </w:rPr>
        <w:t>第二节 政府采购合同通用条款</w:t>
      </w:r>
      <w:bookmarkEnd w:id="126"/>
    </w:p>
    <w:p>
      <w:pPr>
        <w:tabs>
          <w:tab w:val="left" w:pos="8820"/>
          <w:tab w:val="left" w:pos="9345"/>
          <w:tab w:val="left" w:pos="9765"/>
        </w:tabs>
        <w:adjustRightInd w:val="0"/>
        <w:snapToGrid w:val="0"/>
        <w:spacing w:line="420" w:lineRule="exact"/>
        <w:jc w:val="left"/>
        <w:rPr>
          <w:rFonts w:hint="eastAsia" w:ascii="宋体" w:hAnsi="宋体"/>
          <w:b/>
          <w:bCs/>
          <w:color w:val="auto"/>
          <w:sz w:val="24"/>
        </w:rPr>
      </w:pPr>
      <w:r>
        <w:rPr>
          <w:rFonts w:hint="eastAsia" w:ascii="宋体" w:hAnsi="宋体"/>
          <w:b/>
          <w:color w:val="auto"/>
          <w:sz w:val="24"/>
        </w:rPr>
        <w:t xml:space="preserve">1. </w:t>
      </w:r>
      <w:r>
        <w:rPr>
          <w:rFonts w:hint="eastAsia" w:ascii="宋体" w:hAnsi="宋体"/>
          <w:b/>
          <w:bCs/>
          <w:color w:val="auto"/>
          <w:sz w:val="24"/>
        </w:rPr>
        <w:t>定义</w:t>
      </w:r>
    </w:p>
    <w:p>
      <w:pPr>
        <w:autoSpaceDE w:val="0"/>
        <w:autoSpaceDN w:val="0"/>
        <w:adjustRightInd w:val="0"/>
        <w:snapToGrid w:val="0"/>
        <w:spacing w:line="406" w:lineRule="exact"/>
        <w:ind w:firstLine="420" w:firstLineChars="200"/>
        <w:jc w:val="left"/>
        <w:rPr>
          <w:rFonts w:hint="eastAsia" w:ascii="宋体" w:hAnsi="宋体"/>
          <w:color w:val="auto"/>
          <w:szCs w:val="21"/>
        </w:rPr>
      </w:pPr>
      <w:r>
        <w:rPr>
          <w:rFonts w:hint="eastAsia" w:ascii="宋体" w:hAnsi="宋体"/>
          <w:color w:val="auto"/>
          <w:szCs w:val="21"/>
        </w:rPr>
        <w:t>1.1合同当事人</w:t>
      </w:r>
    </w:p>
    <w:p>
      <w:pPr>
        <w:autoSpaceDE w:val="0"/>
        <w:autoSpaceDN w:val="0"/>
        <w:adjustRightInd w:val="0"/>
        <w:snapToGrid w:val="0"/>
        <w:spacing w:line="406" w:lineRule="exact"/>
        <w:ind w:firstLine="420" w:firstLineChars="200"/>
        <w:jc w:val="left"/>
        <w:rPr>
          <w:rFonts w:hint="eastAsia" w:ascii="宋体" w:hAnsi="宋体"/>
          <w:color w:val="auto"/>
          <w:szCs w:val="21"/>
        </w:rPr>
      </w:pPr>
      <w:r>
        <w:rPr>
          <w:rFonts w:hint="eastAsia" w:ascii="宋体" w:hAnsi="宋体"/>
          <w:color w:val="auto"/>
          <w:szCs w:val="21"/>
        </w:rPr>
        <w:t>（1）采购人（以下称甲方）是指使用财政性资金，通过政府采购方式向供应商购买货物及其相关服务的国家机关、事业单位、团体组织。</w:t>
      </w:r>
    </w:p>
    <w:p>
      <w:pPr>
        <w:autoSpaceDE w:val="0"/>
        <w:autoSpaceDN w:val="0"/>
        <w:adjustRightInd w:val="0"/>
        <w:snapToGrid w:val="0"/>
        <w:spacing w:line="406" w:lineRule="exact"/>
        <w:ind w:firstLine="420" w:firstLineChars="200"/>
        <w:jc w:val="left"/>
        <w:rPr>
          <w:rFonts w:hint="eastAsia" w:ascii="宋体" w:hAnsi="宋体"/>
          <w:color w:val="auto"/>
          <w:szCs w:val="21"/>
        </w:rPr>
      </w:pPr>
      <w:r>
        <w:rPr>
          <w:rFonts w:hint="eastAsia" w:ascii="宋体" w:hAnsi="宋体"/>
          <w:color w:val="auto"/>
          <w:szCs w:val="21"/>
        </w:rPr>
        <w:t>（2）供应商（以下称乙方）是指参加政府采购活动并且中标（成交），向采购人提供合同约定的货物及其相关服务的法人、非法人组织或者自然人。</w:t>
      </w:r>
    </w:p>
    <w:p>
      <w:pPr>
        <w:autoSpaceDE w:val="0"/>
        <w:autoSpaceDN w:val="0"/>
        <w:adjustRightInd w:val="0"/>
        <w:snapToGrid w:val="0"/>
        <w:spacing w:line="406" w:lineRule="exact"/>
        <w:ind w:firstLine="420" w:firstLineChars="200"/>
        <w:jc w:val="left"/>
        <w:rPr>
          <w:rFonts w:hint="eastAsia" w:ascii="宋体" w:hAnsi="宋体"/>
          <w:color w:val="auto"/>
          <w:szCs w:val="21"/>
        </w:rPr>
      </w:pPr>
      <w:r>
        <w:rPr>
          <w:rFonts w:hint="eastAsia" w:ascii="宋体" w:hAnsi="宋体"/>
          <w:color w:val="auto"/>
          <w:szCs w:val="21"/>
        </w:rPr>
        <w:t>（3）其他合同主体是指除采购人和供应商以外，</w:t>
      </w:r>
      <w:r>
        <w:rPr>
          <w:rFonts w:hint="eastAsia" w:ascii="宋体" w:hAnsi="宋体" w:cs="宋体"/>
          <w:bCs/>
          <w:color w:val="auto"/>
          <w:szCs w:val="21"/>
        </w:rPr>
        <w:t>依法参与合同缔结或履行，享有权利、承担义务的合同当事人</w:t>
      </w:r>
      <w:r>
        <w:rPr>
          <w:rFonts w:hint="eastAsia" w:ascii="宋体" w:hAnsi="宋体"/>
          <w:color w:val="auto"/>
          <w:szCs w:val="21"/>
        </w:rPr>
        <w:t>。</w:t>
      </w:r>
    </w:p>
    <w:p>
      <w:pPr>
        <w:tabs>
          <w:tab w:val="left" w:pos="570"/>
          <w:tab w:val="left" w:pos="9240"/>
          <w:tab w:val="left" w:pos="9555"/>
        </w:tabs>
        <w:adjustRightInd w:val="0"/>
        <w:snapToGrid w:val="0"/>
        <w:spacing w:line="406" w:lineRule="exact"/>
        <w:ind w:firstLine="420" w:firstLineChars="200"/>
        <w:jc w:val="left"/>
        <w:rPr>
          <w:rFonts w:hint="eastAsia" w:ascii="宋体" w:hAnsi="宋体"/>
          <w:color w:val="auto"/>
          <w:szCs w:val="21"/>
        </w:rPr>
      </w:pPr>
      <w:r>
        <w:rPr>
          <w:rFonts w:hint="eastAsia" w:ascii="宋体" w:hAnsi="宋体"/>
          <w:color w:val="auto"/>
          <w:szCs w:val="21"/>
        </w:rPr>
        <w:t>1.2本合同下列术语应解释为：</w:t>
      </w:r>
    </w:p>
    <w:p>
      <w:pPr>
        <w:adjustRightInd w:val="0"/>
        <w:snapToGrid w:val="0"/>
        <w:spacing w:line="406" w:lineRule="exact"/>
        <w:ind w:firstLine="420" w:firstLineChars="200"/>
        <w:jc w:val="left"/>
        <w:rPr>
          <w:rFonts w:hint="eastAsia" w:ascii="宋体" w:hAnsi="宋体"/>
          <w:color w:val="auto"/>
          <w:szCs w:val="21"/>
        </w:rPr>
      </w:pPr>
      <w:r>
        <w:rPr>
          <w:rFonts w:hint="eastAsia" w:ascii="宋体" w:hAnsi="宋体"/>
          <w:color w:val="auto"/>
          <w:szCs w:val="21"/>
        </w:rPr>
        <w:t>（1）“合同”系指</w:t>
      </w:r>
      <w:r>
        <w:rPr>
          <w:rFonts w:hint="eastAsia" w:ascii="宋体" w:hAnsi="宋体" w:cs="宋体"/>
          <w:bCs/>
          <w:color w:val="auto"/>
          <w:szCs w:val="21"/>
        </w:rPr>
        <w:t>合同当事人意思表示达成一致的任何协议，包括签署的</w:t>
      </w:r>
      <w:r>
        <w:rPr>
          <w:rFonts w:hint="eastAsia" w:ascii="宋体" w:hAnsi="宋体"/>
          <w:color w:val="auto"/>
          <w:szCs w:val="21"/>
        </w:rPr>
        <w:t>政府采购合同协议书及其变更、补充协议，政府采购合同专用条款，政府采购合同通用条款，中标（成交）通知书，投标（响应）文件，采购文件，有关技术文件和图纸，以及</w:t>
      </w:r>
      <w:r>
        <w:rPr>
          <w:rFonts w:hint="eastAsia" w:ascii="宋体" w:hAnsi="宋体" w:cs="宋体"/>
          <w:color w:val="auto"/>
          <w:szCs w:val="21"/>
        </w:rPr>
        <w:t>国家法律、行政法规和规章制度规定或合同约定的作为合同组成部分的其他文件</w:t>
      </w:r>
      <w:r>
        <w:rPr>
          <w:rFonts w:hint="eastAsia" w:ascii="宋体" w:hAnsi="宋体"/>
          <w:color w:val="auto"/>
          <w:szCs w:val="21"/>
        </w:rPr>
        <w:t>。</w:t>
      </w:r>
    </w:p>
    <w:p>
      <w:pPr>
        <w:tabs>
          <w:tab w:val="left" w:pos="570"/>
          <w:tab w:val="left" w:pos="9240"/>
          <w:tab w:val="left" w:pos="9555"/>
        </w:tabs>
        <w:adjustRightInd w:val="0"/>
        <w:snapToGrid w:val="0"/>
        <w:spacing w:line="406" w:lineRule="exact"/>
        <w:ind w:firstLine="420" w:firstLineChars="200"/>
        <w:jc w:val="left"/>
        <w:rPr>
          <w:rFonts w:hint="eastAsia" w:ascii="宋体" w:hAnsi="宋体"/>
          <w:color w:val="auto"/>
          <w:szCs w:val="21"/>
        </w:rPr>
      </w:pPr>
      <w:r>
        <w:rPr>
          <w:rFonts w:hint="eastAsia" w:ascii="宋体" w:hAnsi="宋体"/>
          <w:color w:val="auto"/>
          <w:szCs w:val="21"/>
        </w:rPr>
        <w:t>（2）“合同价款”系指根据本合同规定乙方在全面履行合同义务后甲方应支付给乙方的价款。</w:t>
      </w:r>
    </w:p>
    <w:p>
      <w:pPr>
        <w:tabs>
          <w:tab w:val="left" w:pos="570"/>
          <w:tab w:val="left" w:pos="9240"/>
          <w:tab w:val="left" w:pos="9555"/>
        </w:tabs>
        <w:adjustRightInd w:val="0"/>
        <w:snapToGrid w:val="0"/>
        <w:spacing w:line="406" w:lineRule="exact"/>
        <w:ind w:firstLine="420" w:firstLineChars="200"/>
        <w:jc w:val="left"/>
        <w:rPr>
          <w:rFonts w:hint="eastAsia" w:ascii="宋体" w:hAnsi="宋体"/>
          <w:color w:val="auto"/>
          <w:szCs w:val="21"/>
        </w:rPr>
      </w:pPr>
      <w:r>
        <w:rPr>
          <w:rFonts w:hint="eastAsia" w:ascii="宋体" w:hAnsi="宋体"/>
          <w:color w:val="auto"/>
          <w:szCs w:val="21"/>
        </w:rPr>
        <w:t>（3）“货物”系指乙方根据本合同规定须向甲方提供的各种形态和种类的物品，包括原材料、设备、产品（包括软件）及相关的其备品备件、工具、手册及</w:t>
      </w:r>
      <w:r>
        <w:rPr>
          <w:rFonts w:ascii="宋体" w:hAnsi="宋体"/>
          <w:color w:val="auto"/>
          <w:szCs w:val="21"/>
          <w:lang w:val="en"/>
        </w:rPr>
        <w:t>其他</w:t>
      </w:r>
      <w:r>
        <w:rPr>
          <w:rFonts w:hint="eastAsia" w:ascii="宋体" w:hAnsi="宋体"/>
          <w:color w:val="auto"/>
          <w:szCs w:val="21"/>
        </w:rPr>
        <w:t>技术资料和材料等。</w:t>
      </w:r>
    </w:p>
    <w:p>
      <w:pPr>
        <w:adjustRightInd w:val="0"/>
        <w:snapToGrid w:val="0"/>
        <w:spacing w:line="406" w:lineRule="exact"/>
        <w:ind w:firstLine="420" w:firstLineChars="200"/>
        <w:jc w:val="left"/>
        <w:rPr>
          <w:rFonts w:hint="eastAsia" w:ascii="宋体" w:hAnsi="宋体"/>
          <w:color w:val="auto"/>
          <w:szCs w:val="21"/>
          <w:highlight w:val="yellow"/>
        </w:rPr>
      </w:pPr>
      <w:r>
        <w:rPr>
          <w:rFonts w:hint="eastAsia" w:ascii="宋体" w:hAnsi="宋体"/>
          <w:color w:val="auto"/>
          <w:szCs w:val="21"/>
        </w:rPr>
        <w:t>（4）“相关服务”系指根据合同规定，乙方应提供的与货物有关的技术、管理和</w:t>
      </w:r>
      <w:r>
        <w:rPr>
          <w:rFonts w:ascii="宋体" w:hAnsi="宋体"/>
          <w:color w:val="auto"/>
          <w:szCs w:val="21"/>
          <w:lang w:val="en"/>
        </w:rPr>
        <w:t>其他</w:t>
      </w:r>
      <w:r>
        <w:rPr>
          <w:rFonts w:hint="eastAsia" w:ascii="宋体" w:hAnsi="宋体"/>
          <w:color w:val="auto"/>
          <w:szCs w:val="21"/>
        </w:rPr>
        <w:t>服务，包括但不限于：管理和质量保证、运输、保险、检验、现场准备、安装、集成、调试、培训、维修、废弃处置、技术支持等以及合同中规定乙方应承担的</w:t>
      </w:r>
      <w:r>
        <w:rPr>
          <w:rFonts w:ascii="宋体" w:hAnsi="宋体"/>
          <w:color w:val="auto"/>
          <w:szCs w:val="21"/>
          <w:lang w:val="en"/>
        </w:rPr>
        <w:t>其他</w:t>
      </w:r>
      <w:r>
        <w:rPr>
          <w:rFonts w:hint="eastAsia" w:ascii="宋体" w:hAnsi="宋体"/>
          <w:color w:val="auto"/>
          <w:szCs w:val="21"/>
        </w:rPr>
        <w:t>义务。</w:t>
      </w:r>
    </w:p>
    <w:p>
      <w:pPr>
        <w:adjustRightInd w:val="0"/>
        <w:snapToGrid w:val="0"/>
        <w:spacing w:line="406" w:lineRule="exact"/>
        <w:ind w:firstLine="420" w:firstLineChars="200"/>
        <w:jc w:val="left"/>
        <w:rPr>
          <w:rFonts w:hint="eastAsia" w:ascii="宋体" w:hAnsi="宋体"/>
          <w:color w:val="auto"/>
          <w:szCs w:val="21"/>
          <w:highlight w:val="yellow"/>
        </w:rPr>
      </w:pPr>
      <w:r>
        <w:rPr>
          <w:rFonts w:hint="eastAsia" w:ascii="宋体" w:hAnsi="宋体"/>
          <w:color w:val="auto"/>
          <w:szCs w:val="21"/>
        </w:rPr>
        <w:t>（5）“分包”系指中标（成交）供应商按采购文件、投标（响应）文件的规定，根据分包意向协议，将中标（成交）项目中的部分履约内容，分给具有相应资质条件的供应商履行合同的行为。</w:t>
      </w:r>
    </w:p>
    <w:p>
      <w:pPr>
        <w:tabs>
          <w:tab w:val="left" w:pos="570"/>
          <w:tab w:val="left" w:pos="9240"/>
          <w:tab w:val="left" w:pos="9555"/>
        </w:tabs>
        <w:adjustRightInd w:val="0"/>
        <w:snapToGrid w:val="0"/>
        <w:spacing w:line="406" w:lineRule="exact"/>
        <w:ind w:firstLine="420" w:firstLineChars="200"/>
        <w:jc w:val="left"/>
        <w:rPr>
          <w:rFonts w:hint="eastAsia" w:ascii="宋体" w:hAnsi="宋体"/>
          <w:color w:val="auto"/>
          <w:szCs w:val="21"/>
        </w:rPr>
      </w:pPr>
      <w:r>
        <w:rPr>
          <w:rFonts w:hint="eastAsia" w:ascii="宋体" w:hAnsi="宋体"/>
          <w:color w:val="auto"/>
          <w:szCs w:val="21"/>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宋体" w:hAnsi="宋体"/>
          <w:b/>
          <w:bCs/>
          <w:color w:val="auto"/>
          <w:szCs w:val="21"/>
        </w:rPr>
        <w:t>政府采购合同专用条款</w:t>
      </w:r>
      <w:r>
        <w:rPr>
          <w:rFonts w:hint="eastAsia" w:ascii="宋体" w:hAnsi="宋体"/>
          <w:color w:val="auto"/>
          <w:szCs w:val="21"/>
        </w:rPr>
        <w:t>】。</w:t>
      </w:r>
    </w:p>
    <w:p>
      <w:pPr>
        <w:tabs>
          <w:tab w:val="left" w:pos="570"/>
          <w:tab w:val="left" w:pos="9240"/>
          <w:tab w:val="left" w:pos="9555"/>
        </w:tabs>
        <w:adjustRightInd w:val="0"/>
        <w:snapToGrid w:val="0"/>
        <w:spacing w:line="406" w:lineRule="exact"/>
        <w:ind w:firstLine="420" w:firstLineChars="200"/>
        <w:jc w:val="left"/>
        <w:rPr>
          <w:rFonts w:hint="eastAsia" w:ascii="宋体" w:hAnsi="宋体"/>
          <w:color w:val="auto"/>
          <w:szCs w:val="21"/>
        </w:rPr>
      </w:pPr>
      <w:r>
        <w:rPr>
          <w:rFonts w:hint="eastAsia" w:ascii="宋体" w:hAnsi="宋体"/>
          <w:color w:val="auto"/>
          <w:szCs w:val="21"/>
        </w:rPr>
        <w:t>（7）其他术语解释，见【</w:t>
      </w:r>
      <w:r>
        <w:rPr>
          <w:rFonts w:hint="eastAsia" w:ascii="宋体" w:hAnsi="宋体"/>
          <w:b/>
          <w:bCs/>
          <w:color w:val="auto"/>
          <w:szCs w:val="21"/>
        </w:rPr>
        <w:t>政府采购合同专用条款</w:t>
      </w:r>
      <w:r>
        <w:rPr>
          <w:rFonts w:hint="eastAsia" w:ascii="宋体" w:hAnsi="宋体"/>
          <w:color w:val="auto"/>
          <w:szCs w:val="21"/>
        </w:rPr>
        <w:t>】。</w:t>
      </w:r>
    </w:p>
    <w:p>
      <w:pPr>
        <w:numPr>
          <w:ilvl w:val="0"/>
          <w:numId w:val="6"/>
        </w:numPr>
        <w:autoSpaceDE w:val="0"/>
        <w:autoSpaceDN w:val="0"/>
        <w:adjustRightInd w:val="0"/>
        <w:snapToGrid w:val="0"/>
        <w:spacing w:line="406" w:lineRule="exact"/>
        <w:ind w:firstLine="482" w:firstLineChars="200"/>
        <w:jc w:val="left"/>
        <w:rPr>
          <w:rFonts w:hint="eastAsia" w:ascii="宋体" w:hAnsi="宋体"/>
          <w:b/>
          <w:bCs/>
          <w:color w:val="auto"/>
          <w:sz w:val="24"/>
        </w:rPr>
      </w:pPr>
      <w:r>
        <w:rPr>
          <w:rFonts w:hint="eastAsia" w:ascii="宋体" w:hAnsi="宋体"/>
          <w:b/>
          <w:color w:val="auto"/>
          <w:sz w:val="24"/>
        </w:rPr>
        <w:t>合同标的及金额</w:t>
      </w:r>
    </w:p>
    <w:p>
      <w:pPr>
        <w:autoSpaceDE w:val="0"/>
        <w:autoSpaceDN w:val="0"/>
        <w:adjustRightInd w:val="0"/>
        <w:snapToGrid w:val="0"/>
        <w:spacing w:line="406" w:lineRule="exact"/>
        <w:ind w:firstLine="420" w:firstLineChars="200"/>
        <w:jc w:val="left"/>
        <w:rPr>
          <w:rFonts w:hint="eastAsia" w:ascii="宋体" w:hAnsi="宋体"/>
          <w:b/>
          <w:bCs/>
          <w:i/>
          <w:iCs/>
          <w:color w:val="auto"/>
          <w:szCs w:val="21"/>
        </w:rPr>
      </w:pPr>
      <w:r>
        <w:rPr>
          <w:rFonts w:hint="eastAsia" w:ascii="宋体" w:hAnsi="宋体"/>
          <w:color w:val="auto"/>
          <w:szCs w:val="21"/>
        </w:rPr>
        <w:t>2.1 合同标的及金额应与中标（成交）结果一致。乙方为履行本合同而发生的所有费用均应包含在合同价款中，甲方不再另行支付</w:t>
      </w:r>
      <w:r>
        <w:rPr>
          <w:rFonts w:ascii="宋体" w:hAnsi="宋体"/>
          <w:color w:val="auto"/>
          <w:szCs w:val="21"/>
          <w:lang w:val="en"/>
        </w:rPr>
        <w:t>其他</w:t>
      </w:r>
      <w:r>
        <w:rPr>
          <w:rFonts w:hint="eastAsia" w:ascii="宋体" w:hAnsi="宋体"/>
          <w:color w:val="auto"/>
          <w:szCs w:val="21"/>
        </w:rPr>
        <w:t>任何费用。</w:t>
      </w:r>
    </w:p>
    <w:p>
      <w:pPr>
        <w:adjustRightInd w:val="0"/>
        <w:snapToGrid w:val="0"/>
        <w:spacing w:line="406" w:lineRule="exact"/>
        <w:jc w:val="left"/>
        <w:rPr>
          <w:rFonts w:hint="eastAsia" w:ascii="宋体" w:hAnsi="宋体"/>
          <w:b/>
          <w:color w:val="auto"/>
          <w:sz w:val="24"/>
        </w:rPr>
      </w:pPr>
      <w:r>
        <w:rPr>
          <w:rFonts w:hint="eastAsia" w:ascii="宋体" w:hAnsi="宋体"/>
          <w:b/>
          <w:color w:val="auto"/>
          <w:sz w:val="24"/>
        </w:rPr>
        <w:t>3. 履行合同的时间、地点和方式</w:t>
      </w:r>
    </w:p>
    <w:p>
      <w:pPr>
        <w:autoSpaceDE w:val="0"/>
        <w:autoSpaceDN w:val="0"/>
        <w:adjustRightInd w:val="0"/>
        <w:snapToGrid w:val="0"/>
        <w:spacing w:line="406" w:lineRule="exact"/>
        <w:ind w:firstLine="420" w:firstLineChars="200"/>
        <w:jc w:val="left"/>
        <w:rPr>
          <w:rFonts w:hint="eastAsia" w:ascii="宋体" w:hAnsi="宋体"/>
          <w:color w:val="auto"/>
          <w:szCs w:val="21"/>
        </w:rPr>
      </w:pPr>
      <w:r>
        <w:rPr>
          <w:rFonts w:hint="eastAsia" w:ascii="宋体" w:hAnsi="宋体"/>
          <w:color w:val="auto"/>
          <w:szCs w:val="21"/>
        </w:rPr>
        <w:t xml:space="preserve">3.1 </w:t>
      </w:r>
      <w:r>
        <w:rPr>
          <w:rFonts w:hint="eastAsia" w:ascii="宋体" w:hAnsi="宋体" w:cs="宋体"/>
          <w:color w:val="auto"/>
          <w:szCs w:val="21"/>
        </w:rPr>
        <w:t>乙方应当在约定的时间、地点，按照约定方式履行合同。</w:t>
      </w:r>
    </w:p>
    <w:p>
      <w:pPr>
        <w:autoSpaceDE w:val="0"/>
        <w:autoSpaceDN w:val="0"/>
        <w:adjustRightInd w:val="0"/>
        <w:snapToGrid w:val="0"/>
        <w:spacing w:line="406" w:lineRule="exact"/>
        <w:jc w:val="left"/>
        <w:rPr>
          <w:rFonts w:hint="eastAsia" w:ascii="宋体" w:hAnsi="宋体"/>
          <w:b/>
          <w:bCs/>
          <w:color w:val="auto"/>
          <w:sz w:val="24"/>
        </w:rPr>
      </w:pPr>
      <w:r>
        <w:rPr>
          <w:rFonts w:hint="eastAsia" w:ascii="宋体" w:hAnsi="宋体"/>
          <w:b/>
          <w:bCs/>
          <w:color w:val="auto"/>
          <w:sz w:val="24"/>
        </w:rPr>
        <w:t>4. 甲方的权利和义务</w:t>
      </w:r>
    </w:p>
    <w:p>
      <w:pPr>
        <w:autoSpaceDE w:val="0"/>
        <w:autoSpaceDN w:val="0"/>
        <w:adjustRightInd w:val="0"/>
        <w:snapToGrid w:val="0"/>
        <w:spacing w:line="406" w:lineRule="exact"/>
        <w:ind w:firstLine="420" w:firstLineChars="200"/>
        <w:jc w:val="left"/>
        <w:rPr>
          <w:rFonts w:hint="eastAsia" w:ascii="宋体" w:hAnsi="宋体"/>
          <w:color w:val="auto"/>
          <w:szCs w:val="21"/>
        </w:rPr>
      </w:pPr>
      <w:r>
        <w:rPr>
          <w:rFonts w:hint="eastAsia" w:ascii="宋体" w:hAnsi="宋体"/>
          <w:color w:val="auto"/>
          <w:szCs w:val="21"/>
        </w:rPr>
        <w:t>4.1</w:t>
      </w:r>
      <w:r>
        <w:rPr>
          <w:rFonts w:ascii="宋体" w:hAnsi="宋体"/>
          <w:color w:val="auto"/>
          <w:szCs w:val="21"/>
        </w:rPr>
        <w:t xml:space="preserve"> 签署合同后，甲方</w:t>
      </w:r>
      <w:r>
        <w:rPr>
          <w:rFonts w:hint="eastAsia" w:ascii="宋体" w:hAnsi="宋体"/>
          <w:color w:val="auto"/>
          <w:szCs w:val="21"/>
        </w:rPr>
        <w:t>应</w:t>
      </w:r>
      <w:r>
        <w:rPr>
          <w:rFonts w:ascii="宋体" w:hAnsi="宋体"/>
          <w:color w:val="auto"/>
          <w:szCs w:val="21"/>
        </w:rPr>
        <w:t>确定</w:t>
      </w:r>
      <w:r>
        <w:rPr>
          <w:rFonts w:hint="eastAsia" w:ascii="宋体" w:hAnsi="宋体"/>
          <w:color w:val="auto"/>
          <w:szCs w:val="21"/>
        </w:rPr>
        <w:t>项目负责人（或项目联系人）</w:t>
      </w:r>
      <w:r>
        <w:rPr>
          <w:rFonts w:ascii="宋体" w:hAnsi="宋体"/>
          <w:color w:val="auto"/>
          <w:szCs w:val="21"/>
        </w:rPr>
        <w:t>，负责与本合同有关的事务。</w:t>
      </w:r>
      <w:r>
        <w:rPr>
          <w:rFonts w:hint="eastAsia" w:ascii="宋体" w:hAnsi="宋体"/>
          <w:color w:val="auto"/>
          <w:szCs w:val="21"/>
        </w:rPr>
        <w:t>甲方有权对乙方的履约行为进行检查，并</w:t>
      </w:r>
      <w:r>
        <w:rPr>
          <w:rFonts w:ascii="宋体" w:hAnsi="宋体"/>
          <w:color w:val="auto"/>
          <w:szCs w:val="21"/>
        </w:rPr>
        <w:t>及时确认乙方提交的事项</w:t>
      </w:r>
      <w:r>
        <w:rPr>
          <w:rFonts w:hint="eastAsia" w:ascii="宋体" w:hAnsi="宋体"/>
          <w:color w:val="auto"/>
          <w:szCs w:val="21"/>
        </w:rPr>
        <w:t>。甲方应当</w:t>
      </w:r>
      <w:r>
        <w:rPr>
          <w:rFonts w:ascii="宋体" w:hAnsi="宋体"/>
          <w:color w:val="auto"/>
          <w:szCs w:val="21"/>
        </w:rPr>
        <w:t>配合乙方完成</w:t>
      </w:r>
      <w:r>
        <w:rPr>
          <w:rFonts w:hint="eastAsia" w:ascii="宋体" w:hAnsi="宋体"/>
          <w:color w:val="auto"/>
          <w:szCs w:val="21"/>
        </w:rPr>
        <w:t>相关项目</w:t>
      </w:r>
      <w:r>
        <w:rPr>
          <w:rFonts w:ascii="宋体" w:hAnsi="宋体"/>
          <w:color w:val="auto"/>
          <w:szCs w:val="21"/>
        </w:rPr>
        <w:t>实施工作。</w:t>
      </w:r>
    </w:p>
    <w:p>
      <w:pPr>
        <w:autoSpaceDE w:val="0"/>
        <w:autoSpaceDN w:val="0"/>
        <w:adjustRightInd w:val="0"/>
        <w:snapToGrid w:val="0"/>
        <w:spacing w:line="406" w:lineRule="exact"/>
        <w:ind w:firstLine="420" w:firstLineChars="200"/>
        <w:jc w:val="left"/>
        <w:rPr>
          <w:rFonts w:hint="eastAsia" w:ascii="宋体" w:hAnsi="宋体"/>
          <w:color w:val="auto"/>
          <w:szCs w:val="21"/>
        </w:rPr>
      </w:pPr>
      <w:r>
        <w:rPr>
          <w:rFonts w:hint="eastAsia" w:ascii="宋体" w:hAnsi="宋体"/>
          <w:color w:val="auto"/>
          <w:szCs w:val="21"/>
        </w:rPr>
        <w:t xml:space="preserve">4.2 </w:t>
      </w:r>
      <w:r>
        <w:rPr>
          <w:rFonts w:ascii="宋体" w:hAnsi="宋体"/>
          <w:color w:val="auto"/>
          <w:szCs w:val="21"/>
        </w:rPr>
        <w:t>甲方有权要求乙方按时提交各阶段有关</w:t>
      </w:r>
      <w:r>
        <w:rPr>
          <w:rFonts w:hint="eastAsia" w:ascii="宋体" w:hAnsi="宋体"/>
          <w:color w:val="auto"/>
          <w:szCs w:val="21"/>
        </w:rPr>
        <w:t>安排计划</w:t>
      </w:r>
      <w:r>
        <w:rPr>
          <w:rFonts w:ascii="宋体" w:hAnsi="宋体"/>
          <w:color w:val="auto"/>
          <w:szCs w:val="21"/>
        </w:rPr>
        <w:t>，并有权</w:t>
      </w:r>
      <w:r>
        <w:rPr>
          <w:rFonts w:hint="eastAsia" w:ascii="宋体" w:hAnsi="宋体"/>
          <w:color w:val="auto"/>
          <w:szCs w:val="21"/>
        </w:rPr>
        <w:t>定期核对乙方提供货物数量、规格、质量等内容。甲方</w:t>
      </w:r>
      <w:r>
        <w:rPr>
          <w:rFonts w:ascii="宋体" w:hAnsi="宋体"/>
          <w:color w:val="auto"/>
          <w:szCs w:val="21"/>
        </w:rPr>
        <w:t>有权督促乙方工作并要求乙方</w:t>
      </w:r>
      <w:r>
        <w:rPr>
          <w:rFonts w:hint="eastAsia" w:ascii="宋体" w:hAnsi="宋体"/>
          <w:color w:val="auto"/>
          <w:szCs w:val="21"/>
        </w:rPr>
        <w:t>更</w:t>
      </w:r>
      <w:r>
        <w:rPr>
          <w:rFonts w:ascii="宋体" w:hAnsi="宋体"/>
          <w:color w:val="auto"/>
          <w:szCs w:val="21"/>
        </w:rPr>
        <w:t>换不符合要求的</w:t>
      </w:r>
      <w:r>
        <w:rPr>
          <w:rFonts w:hint="eastAsia" w:ascii="宋体" w:hAnsi="宋体"/>
          <w:color w:val="auto"/>
          <w:szCs w:val="21"/>
        </w:rPr>
        <w:t>货物</w:t>
      </w:r>
      <w:r>
        <w:rPr>
          <w:rFonts w:ascii="宋体" w:hAnsi="宋体"/>
          <w:color w:val="auto"/>
          <w:szCs w:val="21"/>
        </w:rPr>
        <w:t>。</w:t>
      </w:r>
    </w:p>
    <w:p>
      <w:pPr>
        <w:autoSpaceDE w:val="0"/>
        <w:autoSpaceDN w:val="0"/>
        <w:adjustRightInd w:val="0"/>
        <w:snapToGrid w:val="0"/>
        <w:spacing w:line="406" w:lineRule="exact"/>
        <w:ind w:firstLine="420" w:firstLineChars="200"/>
        <w:jc w:val="left"/>
        <w:rPr>
          <w:rFonts w:hint="eastAsia" w:ascii="宋体" w:hAnsi="宋体"/>
          <w:color w:val="auto"/>
          <w:szCs w:val="21"/>
        </w:rPr>
      </w:pPr>
      <w:r>
        <w:rPr>
          <w:rFonts w:hint="eastAsia" w:ascii="宋体" w:hAnsi="宋体"/>
          <w:color w:val="auto"/>
          <w:szCs w:val="21"/>
        </w:rPr>
        <w:t>4.</w:t>
      </w:r>
      <w:r>
        <w:rPr>
          <w:rFonts w:ascii="宋体" w:hAnsi="宋体"/>
          <w:color w:val="auto"/>
          <w:szCs w:val="21"/>
        </w:rPr>
        <w:t>3</w:t>
      </w:r>
      <w:r>
        <w:rPr>
          <w:rFonts w:hint="eastAsia" w:ascii="宋体" w:hAnsi="宋体"/>
          <w:color w:val="auto"/>
          <w:szCs w:val="21"/>
        </w:rPr>
        <w:t xml:space="preserve"> </w:t>
      </w:r>
      <w:r>
        <w:rPr>
          <w:rFonts w:ascii="宋体" w:hAnsi="宋体"/>
          <w:color w:val="auto"/>
          <w:szCs w:val="21"/>
        </w:rPr>
        <w:t>甲方</w:t>
      </w:r>
      <w:r>
        <w:rPr>
          <w:rFonts w:hint="eastAsia" w:ascii="宋体" w:hAnsi="宋体"/>
          <w:color w:val="auto"/>
          <w:szCs w:val="21"/>
        </w:rPr>
        <w:t>有权要求乙方对缺陷部分予以修复，并按合同约定享有货物保修及其他合同约定的权利。</w:t>
      </w:r>
    </w:p>
    <w:p>
      <w:pPr>
        <w:snapToGrid w:val="0"/>
        <w:spacing w:line="406" w:lineRule="exact"/>
        <w:ind w:firstLine="420" w:firstLineChars="200"/>
        <w:rPr>
          <w:rFonts w:eastAsia="华文楷体"/>
          <w:color w:val="auto"/>
        </w:rPr>
      </w:pPr>
      <w:r>
        <w:rPr>
          <w:rFonts w:ascii="宋体" w:hAnsi="宋体"/>
          <w:color w:val="auto"/>
          <w:szCs w:val="21"/>
        </w:rPr>
        <w:t>4.4 甲方应当按照合同约定及时对交付的货物进行验收</w:t>
      </w:r>
      <w:r>
        <w:rPr>
          <w:rFonts w:hint="eastAsia" w:ascii="宋体" w:hAnsi="宋体"/>
          <w:color w:val="auto"/>
          <w:szCs w:val="21"/>
        </w:rPr>
        <w:t>，</w:t>
      </w:r>
      <w:r>
        <w:rPr>
          <w:rFonts w:hint="eastAsia" w:ascii="宋体" w:hAnsi="宋体" w:cs="宋体"/>
          <w:color w:val="auto"/>
          <w:szCs w:val="21"/>
        </w:rPr>
        <w:t>未</w:t>
      </w:r>
      <w:r>
        <w:rPr>
          <w:rFonts w:hint="eastAsia" w:ascii="宋体" w:hAnsi="宋体"/>
          <w:color w:val="auto"/>
          <w:szCs w:val="21"/>
        </w:rPr>
        <w:t>在</w:t>
      </w:r>
      <w:r>
        <w:rPr>
          <w:rFonts w:hint="eastAsia" w:ascii="宋体" w:hAnsi="宋体" w:cs="宋体"/>
          <w:b/>
          <w:bCs/>
          <w:color w:val="auto"/>
          <w:szCs w:val="21"/>
        </w:rPr>
        <w:t>【政府采购合同专用条款】</w:t>
      </w:r>
      <w:r>
        <w:rPr>
          <w:rFonts w:hint="eastAsia" w:ascii="宋体" w:hAnsi="宋体" w:cs="宋体"/>
          <w:color w:val="auto"/>
          <w:szCs w:val="21"/>
        </w:rPr>
        <w:t>约定的期限内对乙方履约提出任何异议或者向乙方作出任何说明的，</w:t>
      </w:r>
      <w:r>
        <w:rPr>
          <w:rFonts w:hint="eastAsia" w:ascii="宋体" w:hAnsi="宋体"/>
          <w:color w:val="auto"/>
          <w:szCs w:val="21"/>
        </w:rPr>
        <w:t>视为验收通过。</w:t>
      </w:r>
    </w:p>
    <w:p>
      <w:pPr>
        <w:autoSpaceDE w:val="0"/>
        <w:autoSpaceDN w:val="0"/>
        <w:adjustRightInd w:val="0"/>
        <w:snapToGrid w:val="0"/>
        <w:spacing w:line="406" w:lineRule="exact"/>
        <w:ind w:firstLine="420" w:firstLineChars="200"/>
        <w:jc w:val="left"/>
        <w:rPr>
          <w:rFonts w:hint="eastAsia" w:ascii="宋体" w:hAnsi="宋体"/>
          <w:color w:val="auto"/>
          <w:szCs w:val="21"/>
        </w:rPr>
      </w:pPr>
      <w:r>
        <w:rPr>
          <w:rFonts w:ascii="宋体" w:hAnsi="宋体"/>
          <w:color w:val="auto"/>
          <w:szCs w:val="21"/>
        </w:rPr>
        <w:t>4</w:t>
      </w:r>
      <w:r>
        <w:rPr>
          <w:rFonts w:hint="eastAsia" w:ascii="宋体" w:hAnsi="宋体"/>
          <w:color w:val="auto"/>
          <w:szCs w:val="21"/>
        </w:rPr>
        <w:t>.</w:t>
      </w:r>
      <w:r>
        <w:rPr>
          <w:rFonts w:ascii="宋体" w:hAnsi="宋体"/>
          <w:color w:val="auto"/>
          <w:szCs w:val="21"/>
        </w:rPr>
        <w:t xml:space="preserve">5 </w:t>
      </w:r>
      <w:r>
        <w:rPr>
          <w:rFonts w:hint="eastAsia" w:ascii="宋体" w:hAnsi="宋体"/>
          <w:color w:val="auto"/>
          <w:szCs w:val="21"/>
        </w:rPr>
        <w:t>甲方应当根据合同约定及时向乙方支付合同价款</w:t>
      </w:r>
      <w:r>
        <w:rPr>
          <w:rFonts w:ascii="宋体" w:hAnsi="宋体"/>
          <w:color w:val="auto"/>
          <w:szCs w:val="21"/>
        </w:rPr>
        <w:t>，不得以内部人员变更、履行内部付款流程等为由，拒绝或迟延支付。</w:t>
      </w:r>
    </w:p>
    <w:p>
      <w:pPr>
        <w:autoSpaceDE w:val="0"/>
        <w:autoSpaceDN w:val="0"/>
        <w:adjustRightInd w:val="0"/>
        <w:snapToGrid w:val="0"/>
        <w:spacing w:line="406" w:lineRule="exact"/>
        <w:ind w:firstLine="420" w:firstLineChars="200"/>
        <w:jc w:val="left"/>
        <w:rPr>
          <w:rFonts w:hint="eastAsia" w:ascii="宋体" w:hAnsi="宋体"/>
          <w:color w:val="auto"/>
          <w:szCs w:val="21"/>
        </w:rPr>
      </w:pPr>
      <w:r>
        <w:rPr>
          <w:rFonts w:hint="eastAsia" w:ascii="宋体" w:hAnsi="宋体"/>
          <w:color w:val="auto"/>
          <w:szCs w:val="21"/>
        </w:rPr>
        <w:t>4.6</w:t>
      </w:r>
      <w:r>
        <w:rPr>
          <w:rFonts w:ascii="宋体" w:hAnsi="宋体"/>
          <w:color w:val="auto"/>
          <w:szCs w:val="21"/>
        </w:rPr>
        <w:t xml:space="preserve"> </w:t>
      </w:r>
      <w:r>
        <w:rPr>
          <w:rFonts w:hint="eastAsia" w:ascii="宋体" w:hAnsi="宋体"/>
          <w:color w:val="auto"/>
          <w:szCs w:val="21"/>
        </w:rPr>
        <w:t>国家法律法规规定及</w:t>
      </w:r>
      <w:r>
        <w:rPr>
          <w:rFonts w:hint="eastAsia" w:ascii="宋体" w:hAnsi="宋体" w:cs="宋体"/>
          <w:b/>
          <w:bCs/>
          <w:color w:val="auto"/>
          <w:szCs w:val="21"/>
        </w:rPr>
        <w:t>【政府采购合同专用条款】</w:t>
      </w:r>
      <w:r>
        <w:rPr>
          <w:rFonts w:hint="eastAsia" w:ascii="宋体" w:hAnsi="宋体"/>
          <w:color w:val="auto"/>
          <w:szCs w:val="21"/>
        </w:rPr>
        <w:t>约定应由甲方承担的其他义务和责任。</w:t>
      </w:r>
    </w:p>
    <w:p>
      <w:pPr>
        <w:autoSpaceDE w:val="0"/>
        <w:autoSpaceDN w:val="0"/>
        <w:adjustRightInd w:val="0"/>
        <w:snapToGrid w:val="0"/>
        <w:spacing w:line="406" w:lineRule="exact"/>
        <w:jc w:val="left"/>
        <w:rPr>
          <w:rFonts w:hint="eastAsia" w:ascii="宋体" w:hAnsi="宋体"/>
          <w:b/>
          <w:bCs/>
          <w:color w:val="auto"/>
          <w:sz w:val="24"/>
        </w:rPr>
      </w:pPr>
      <w:r>
        <w:rPr>
          <w:rFonts w:hint="eastAsia" w:ascii="宋体" w:hAnsi="宋体"/>
          <w:b/>
          <w:bCs/>
          <w:color w:val="auto"/>
          <w:sz w:val="24"/>
        </w:rPr>
        <w:t>5. 乙方的权利和义务</w:t>
      </w:r>
    </w:p>
    <w:p>
      <w:pPr>
        <w:autoSpaceDE w:val="0"/>
        <w:autoSpaceDN w:val="0"/>
        <w:adjustRightInd w:val="0"/>
        <w:snapToGrid w:val="0"/>
        <w:spacing w:line="406" w:lineRule="exact"/>
        <w:ind w:firstLine="420" w:firstLineChars="200"/>
        <w:jc w:val="left"/>
        <w:rPr>
          <w:rFonts w:hint="eastAsia" w:ascii="宋体" w:hAnsi="宋体"/>
          <w:color w:val="auto"/>
          <w:szCs w:val="21"/>
        </w:rPr>
      </w:pPr>
      <w:r>
        <w:rPr>
          <w:rFonts w:hint="eastAsia" w:ascii="宋体" w:hAnsi="宋体"/>
          <w:color w:val="auto"/>
          <w:szCs w:val="21"/>
        </w:rPr>
        <w:t xml:space="preserve">5.1 </w:t>
      </w:r>
      <w:r>
        <w:rPr>
          <w:rFonts w:ascii="宋体" w:hAnsi="宋体"/>
          <w:color w:val="auto"/>
          <w:szCs w:val="21"/>
        </w:rPr>
        <w:t>签署合同后，乙方</w:t>
      </w:r>
      <w:r>
        <w:rPr>
          <w:rFonts w:hint="eastAsia" w:ascii="宋体" w:hAnsi="宋体"/>
          <w:color w:val="auto"/>
          <w:szCs w:val="21"/>
        </w:rPr>
        <w:t>应</w:t>
      </w:r>
      <w:r>
        <w:rPr>
          <w:rFonts w:ascii="宋体" w:hAnsi="宋体"/>
          <w:color w:val="auto"/>
          <w:szCs w:val="21"/>
        </w:rPr>
        <w:t>确定</w:t>
      </w:r>
      <w:r>
        <w:rPr>
          <w:rFonts w:hint="eastAsia" w:ascii="宋体" w:hAnsi="宋体"/>
          <w:color w:val="auto"/>
          <w:szCs w:val="21"/>
        </w:rPr>
        <w:t>项目负责人（或项目联系人）</w:t>
      </w:r>
      <w:r>
        <w:rPr>
          <w:rFonts w:ascii="宋体" w:hAnsi="宋体"/>
          <w:color w:val="auto"/>
          <w:szCs w:val="21"/>
        </w:rPr>
        <w:t>，负责与本合同有关的事务。</w:t>
      </w:r>
    </w:p>
    <w:p>
      <w:pPr>
        <w:autoSpaceDE w:val="0"/>
        <w:autoSpaceDN w:val="0"/>
        <w:adjustRightInd w:val="0"/>
        <w:snapToGrid w:val="0"/>
        <w:spacing w:line="406" w:lineRule="exact"/>
        <w:ind w:firstLine="420" w:firstLineChars="200"/>
        <w:jc w:val="left"/>
        <w:rPr>
          <w:rFonts w:hint="eastAsia" w:ascii="宋体" w:hAnsi="宋体"/>
          <w:color w:val="auto"/>
          <w:szCs w:val="21"/>
        </w:rPr>
      </w:pPr>
      <w:r>
        <w:rPr>
          <w:rFonts w:hint="eastAsia" w:ascii="宋体" w:hAnsi="宋体"/>
          <w:color w:val="auto"/>
          <w:szCs w:val="21"/>
        </w:rPr>
        <w:t>5.</w:t>
      </w:r>
      <w:r>
        <w:rPr>
          <w:rFonts w:ascii="宋体" w:hAnsi="宋体"/>
          <w:color w:val="auto"/>
          <w:szCs w:val="21"/>
        </w:rPr>
        <w:t>2 乙方应按照合同要求</w:t>
      </w:r>
      <w:r>
        <w:rPr>
          <w:rFonts w:hint="eastAsia" w:ascii="宋体" w:hAnsi="宋体"/>
          <w:color w:val="auto"/>
          <w:szCs w:val="21"/>
        </w:rPr>
        <w:t>履约</w:t>
      </w:r>
      <w:r>
        <w:rPr>
          <w:rFonts w:ascii="宋体" w:hAnsi="宋体"/>
          <w:color w:val="auto"/>
          <w:szCs w:val="21"/>
        </w:rPr>
        <w:t>，充分合理安排，确保</w:t>
      </w:r>
      <w:r>
        <w:rPr>
          <w:rFonts w:hint="eastAsia" w:ascii="宋体" w:hAnsi="宋体"/>
          <w:color w:val="auto"/>
          <w:szCs w:val="21"/>
        </w:rPr>
        <w:t>提供的货物及相关服务符合合同有关</w:t>
      </w:r>
      <w:r>
        <w:rPr>
          <w:rFonts w:ascii="宋体" w:hAnsi="宋体"/>
          <w:color w:val="auto"/>
          <w:szCs w:val="21"/>
        </w:rPr>
        <w:t>要求</w:t>
      </w:r>
      <w:r>
        <w:rPr>
          <w:rFonts w:hint="eastAsia" w:ascii="宋体" w:hAnsi="宋体"/>
          <w:color w:val="auto"/>
          <w:szCs w:val="21"/>
        </w:rPr>
        <w:t>。接受项目行业管理部门及政府有关部门的指导，配合甲方的履约检查及验收，并</w:t>
      </w:r>
      <w:r>
        <w:rPr>
          <w:rFonts w:ascii="宋体" w:hAnsi="宋体"/>
          <w:color w:val="auto"/>
          <w:szCs w:val="21"/>
        </w:rPr>
        <w:t>负责项目实施过程中的所有协调工作。</w:t>
      </w:r>
    </w:p>
    <w:p>
      <w:pPr>
        <w:spacing w:line="406" w:lineRule="exact"/>
        <w:ind w:firstLine="369" w:firstLineChars="176"/>
        <w:rPr>
          <w:rFonts w:hint="eastAsia" w:ascii="宋体" w:hAnsi="宋体" w:cs="宋体"/>
          <w:color w:val="auto"/>
          <w:szCs w:val="21"/>
        </w:rPr>
      </w:pPr>
      <w:r>
        <w:rPr>
          <w:rFonts w:hint="eastAsia" w:ascii="宋体" w:hAnsi="宋体"/>
          <w:color w:val="auto"/>
          <w:szCs w:val="21"/>
        </w:rPr>
        <w:t>5.</w:t>
      </w:r>
      <w:r>
        <w:rPr>
          <w:rFonts w:ascii="宋体" w:hAnsi="宋体"/>
          <w:color w:val="auto"/>
          <w:szCs w:val="21"/>
        </w:rPr>
        <w:t>3</w:t>
      </w:r>
      <w:r>
        <w:rPr>
          <w:rFonts w:hint="eastAsia" w:ascii="宋体" w:hAnsi="宋体"/>
          <w:color w:val="auto"/>
          <w:szCs w:val="21"/>
        </w:rPr>
        <w:t>乙方有权</w:t>
      </w:r>
      <w:r>
        <w:rPr>
          <w:rFonts w:hint="eastAsia" w:ascii="宋体" w:hAnsi="宋体" w:cs="宋体"/>
          <w:color w:val="auto"/>
          <w:szCs w:val="21"/>
        </w:rPr>
        <w:t>根据合同约定向甲方收取合同价款。</w:t>
      </w:r>
    </w:p>
    <w:p>
      <w:pPr>
        <w:spacing w:line="406" w:lineRule="exact"/>
        <w:ind w:firstLine="369" w:firstLineChars="176"/>
        <w:rPr>
          <w:rFonts w:hint="eastAsia" w:ascii="宋体" w:hAnsi="宋体" w:cs="宋体"/>
          <w:color w:val="auto"/>
          <w:szCs w:val="21"/>
        </w:rPr>
      </w:pPr>
      <w:r>
        <w:rPr>
          <w:rFonts w:hint="eastAsia" w:ascii="宋体" w:hAnsi="宋体"/>
          <w:color w:val="auto"/>
          <w:szCs w:val="21"/>
        </w:rPr>
        <w:t>5.</w:t>
      </w:r>
      <w:r>
        <w:rPr>
          <w:rFonts w:ascii="宋体" w:hAnsi="宋体"/>
          <w:color w:val="auto"/>
          <w:szCs w:val="21"/>
        </w:rPr>
        <w:t>4</w:t>
      </w:r>
      <w:r>
        <w:rPr>
          <w:rFonts w:hint="eastAsia" w:ascii="宋体" w:hAnsi="宋体" w:cs="宋体"/>
          <w:color w:val="auto"/>
          <w:szCs w:val="21"/>
        </w:rPr>
        <w:t>国家法律法规规定</w:t>
      </w:r>
      <w:r>
        <w:rPr>
          <w:rFonts w:hint="eastAsia" w:ascii="宋体" w:hAnsi="宋体"/>
          <w:color w:val="auto"/>
          <w:szCs w:val="21"/>
        </w:rPr>
        <w:t>及</w:t>
      </w:r>
      <w:r>
        <w:rPr>
          <w:rFonts w:hint="eastAsia" w:ascii="宋体" w:hAnsi="宋体" w:cs="宋体"/>
          <w:b/>
          <w:bCs/>
          <w:color w:val="auto"/>
          <w:szCs w:val="21"/>
        </w:rPr>
        <w:t>【政府采购合同专用条款】</w:t>
      </w:r>
      <w:r>
        <w:rPr>
          <w:rFonts w:hint="eastAsia" w:ascii="宋体" w:hAnsi="宋体" w:cs="宋体"/>
          <w:color w:val="auto"/>
          <w:szCs w:val="21"/>
        </w:rPr>
        <w:t>约定应由乙方承担的其他义务和责任。</w:t>
      </w:r>
    </w:p>
    <w:p>
      <w:pPr>
        <w:numPr>
          <w:ilvl w:val="0"/>
          <w:numId w:val="7"/>
        </w:numPr>
        <w:autoSpaceDE w:val="0"/>
        <w:autoSpaceDN w:val="0"/>
        <w:adjustRightInd w:val="0"/>
        <w:snapToGrid w:val="0"/>
        <w:spacing w:line="406" w:lineRule="exact"/>
        <w:ind w:firstLine="482" w:firstLineChars="200"/>
        <w:jc w:val="left"/>
        <w:rPr>
          <w:rFonts w:hint="eastAsia" w:ascii="宋体" w:hAnsi="宋体"/>
          <w:b/>
          <w:bCs/>
          <w:color w:val="auto"/>
          <w:sz w:val="24"/>
        </w:rPr>
      </w:pPr>
      <w:r>
        <w:rPr>
          <w:rFonts w:hint="eastAsia" w:ascii="宋体" w:hAnsi="宋体"/>
          <w:b/>
          <w:bCs/>
          <w:color w:val="auto"/>
          <w:sz w:val="24"/>
        </w:rPr>
        <w:t>合同履行</w:t>
      </w:r>
    </w:p>
    <w:p>
      <w:pPr>
        <w:autoSpaceDE w:val="0"/>
        <w:autoSpaceDN w:val="0"/>
        <w:adjustRightInd w:val="0"/>
        <w:snapToGrid w:val="0"/>
        <w:spacing w:line="406" w:lineRule="exact"/>
        <w:ind w:firstLine="420" w:firstLineChars="200"/>
        <w:jc w:val="left"/>
        <w:rPr>
          <w:rFonts w:hint="eastAsia" w:ascii="宋体" w:hAnsi="宋体"/>
          <w:color w:val="auto"/>
          <w:szCs w:val="21"/>
        </w:rPr>
      </w:pPr>
      <w:r>
        <w:rPr>
          <w:rFonts w:hint="eastAsia" w:ascii="宋体" w:hAnsi="宋体"/>
          <w:color w:val="auto"/>
          <w:szCs w:val="21"/>
        </w:rPr>
        <w:t>6.1 甲乙双方应当按照</w:t>
      </w:r>
      <w:r>
        <w:rPr>
          <w:rFonts w:hint="eastAsia" w:ascii="宋体" w:hAnsi="宋体" w:cs="宋体"/>
          <w:b/>
          <w:bCs/>
          <w:color w:val="auto"/>
          <w:szCs w:val="21"/>
        </w:rPr>
        <w:t>【政府采购合同专用条款】</w:t>
      </w:r>
      <w:r>
        <w:rPr>
          <w:rFonts w:hint="eastAsia" w:ascii="宋体" w:hAnsi="宋体"/>
          <w:color w:val="auto"/>
          <w:szCs w:val="21"/>
        </w:rPr>
        <w:t>约定顺序履行合同义务；如果没有先后顺序的，应当同时履行。</w:t>
      </w:r>
    </w:p>
    <w:p>
      <w:pPr>
        <w:autoSpaceDE w:val="0"/>
        <w:autoSpaceDN w:val="0"/>
        <w:adjustRightInd w:val="0"/>
        <w:snapToGrid w:val="0"/>
        <w:spacing w:line="406" w:lineRule="exact"/>
        <w:ind w:firstLine="420" w:firstLineChars="200"/>
        <w:jc w:val="left"/>
        <w:rPr>
          <w:color w:val="auto"/>
        </w:rPr>
      </w:pPr>
      <w:r>
        <w:rPr>
          <w:rFonts w:hint="eastAsia" w:ascii="宋体" w:hAnsi="宋体"/>
          <w:color w:val="auto"/>
          <w:szCs w:val="21"/>
        </w:rPr>
        <w:t>6.2 甲乙双方按照合同约定顺序履行合同义务时，应当先履行一方未履行的，后履行一方有权拒绝其履行请求。先履行一方履行不符合约定的，后履行一方有权拒绝其相应的履行请求。</w:t>
      </w:r>
    </w:p>
    <w:p>
      <w:pPr>
        <w:adjustRightInd w:val="0"/>
        <w:snapToGrid w:val="0"/>
        <w:spacing w:line="406" w:lineRule="exact"/>
        <w:jc w:val="left"/>
        <w:rPr>
          <w:rFonts w:hint="eastAsia" w:ascii="宋体" w:hAnsi="宋体"/>
          <w:b/>
          <w:bCs/>
          <w:color w:val="auto"/>
          <w:sz w:val="24"/>
        </w:rPr>
      </w:pPr>
      <w:r>
        <w:rPr>
          <w:rFonts w:hint="eastAsia" w:ascii="宋体" w:hAnsi="宋体"/>
          <w:b/>
          <w:bCs/>
          <w:color w:val="auto"/>
          <w:sz w:val="24"/>
        </w:rPr>
        <w:t>7. 货物包装、运输、保险和交付要求</w:t>
      </w:r>
    </w:p>
    <w:p>
      <w:pPr>
        <w:autoSpaceDE w:val="0"/>
        <w:autoSpaceDN w:val="0"/>
        <w:adjustRightInd w:val="0"/>
        <w:snapToGrid w:val="0"/>
        <w:spacing w:line="406" w:lineRule="exact"/>
        <w:ind w:firstLine="420" w:firstLineChars="200"/>
        <w:jc w:val="left"/>
        <w:rPr>
          <w:rFonts w:hint="eastAsia" w:ascii="宋体" w:hAnsi="宋体"/>
          <w:color w:val="auto"/>
          <w:szCs w:val="21"/>
        </w:rPr>
      </w:pPr>
      <w:r>
        <w:rPr>
          <w:rFonts w:hint="eastAsia" w:ascii="宋体" w:hAnsi="宋体"/>
          <w:color w:val="auto"/>
          <w:szCs w:val="21"/>
        </w:rPr>
        <w:t>7.1 本合同</w:t>
      </w:r>
      <w:r>
        <w:rPr>
          <w:rFonts w:hint="eastAsia" w:ascii="宋体" w:hAnsi="宋体"/>
          <w:bCs/>
          <w:color w:val="auto"/>
          <w:szCs w:val="21"/>
        </w:rPr>
        <w:t>涉及商品包装、快递包装的，</w:t>
      </w:r>
      <w:r>
        <w:rPr>
          <w:rFonts w:hint="eastAsia" w:ascii="宋体" w:hAnsi="宋体"/>
          <w:color w:val="auto"/>
          <w:szCs w:val="21"/>
        </w:rPr>
        <w:t>除</w:t>
      </w:r>
      <w:r>
        <w:rPr>
          <w:rFonts w:hint="eastAsia" w:ascii="宋体" w:hAnsi="宋体"/>
          <w:b/>
          <w:color w:val="auto"/>
          <w:szCs w:val="21"/>
        </w:rPr>
        <w:t>【政府采购合同专用条款】</w:t>
      </w:r>
      <w:r>
        <w:rPr>
          <w:rFonts w:hint="eastAsia" w:ascii="宋体" w:hAnsi="宋体"/>
          <w:bCs/>
          <w:color w:val="auto"/>
          <w:szCs w:val="21"/>
        </w:rPr>
        <w:t>另有约定外，</w:t>
      </w:r>
      <w:r>
        <w:rPr>
          <w:rFonts w:hint="eastAsia" w:ascii="宋体" w:hAnsi="宋体"/>
          <w:color w:val="auto"/>
          <w:szCs w:val="21"/>
        </w:rPr>
        <w:t>包装应适应远距离运输、防潮、防震、防锈和防野蛮装卸等要求，确保货物安全无损地运抵</w:t>
      </w:r>
      <w:r>
        <w:rPr>
          <w:rFonts w:hint="eastAsia" w:ascii="宋体" w:hAnsi="宋体"/>
          <w:b/>
          <w:color w:val="auto"/>
          <w:szCs w:val="21"/>
        </w:rPr>
        <w:t>【政府采购合同专用条款】</w:t>
      </w:r>
      <w:r>
        <w:rPr>
          <w:rFonts w:hint="eastAsia" w:ascii="宋体" w:hAnsi="宋体"/>
          <w:bCs/>
          <w:color w:val="auto"/>
          <w:szCs w:val="21"/>
        </w:rPr>
        <w:t>约定的</w:t>
      </w:r>
      <w:r>
        <w:rPr>
          <w:rFonts w:hint="eastAsia" w:ascii="宋体" w:hAnsi="宋体"/>
          <w:color w:val="auto"/>
          <w:szCs w:val="21"/>
        </w:rPr>
        <w:t>指定现场。</w:t>
      </w:r>
    </w:p>
    <w:p>
      <w:pPr>
        <w:adjustRightInd w:val="0"/>
        <w:snapToGrid w:val="0"/>
        <w:spacing w:line="406" w:lineRule="exact"/>
        <w:ind w:firstLine="420" w:firstLineChars="200"/>
        <w:jc w:val="left"/>
        <w:rPr>
          <w:rFonts w:hint="eastAsia" w:ascii="宋体" w:hAnsi="宋体"/>
          <w:color w:val="auto"/>
          <w:szCs w:val="21"/>
        </w:rPr>
      </w:pPr>
      <w:r>
        <w:rPr>
          <w:rFonts w:hint="eastAsia" w:ascii="宋体" w:hAnsi="宋体"/>
          <w:color w:val="auto"/>
          <w:szCs w:val="21"/>
        </w:rPr>
        <w:t>7.2 除</w:t>
      </w:r>
      <w:r>
        <w:rPr>
          <w:rFonts w:hint="eastAsia" w:ascii="宋体" w:hAnsi="宋体"/>
          <w:b/>
          <w:color w:val="auto"/>
          <w:szCs w:val="21"/>
        </w:rPr>
        <w:t>【政府采购合同专用条款】</w:t>
      </w:r>
      <w:r>
        <w:rPr>
          <w:rFonts w:hint="eastAsia" w:ascii="宋体" w:hAnsi="宋体"/>
          <w:bCs/>
          <w:color w:val="auto"/>
          <w:szCs w:val="21"/>
        </w:rPr>
        <w:t>另有约定外，</w:t>
      </w:r>
      <w:r>
        <w:rPr>
          <w:rFonts w:hint="eastAsia" w:ascii="宋体" w:hAnsi="宋体"/>
          <w:color w:val="auto"/>
          <w:szCs w:val="21"/>
        </w:rPr>
        <w:t>乙方负责办理将货物运抵本合同规定的交货地点，并装卸、交付至甲方的一切运输事项，相关费用应包含在合同价款中。</w:t>
      </w:r>
    </w:p>
    <w:p>
      <w:pPr>
        <w:adjustRightInd w:val="0"/>
        <w:snapToGrid w:val="0"/>
        <w:spacing w:line="406" w:lineRule="exact"/>
        <w:ind w:firstLine="420" w:firstLineChars="200"/>
        <w:jc w:val="left"/>
        <w:rPr>
          <w:rFonts w:hint="eastAsia" w:ascii="宋体" w:hAnsi="宋体"/>
          <w:color w:val="auto"/>
          <w:szCs w:val="21"/>
        </w:rPr>
      </w:pPr>
      <w:r>
        <w:rPr>
          <w:rFonts w:hint="eastAsia" w:ascii="宋体" w:hAnsi="宋体"/>
          <w:color w:val="auto"/>
          <w:szCs w:val="21"/>
        </w:rPr>
        <w:t>7.3 货物保险要求按</w:t>
      </w:r>
      <w:r>
        <w:rPr>
          <w:rFonts w:hint="eastAsia" w:ascii="宋体" w:hAnsi="宋体"/>
          <w:b/>
          <w:color w:val="auto"/>
          <w:szCs w:val="21"/>
        </w:rPr>
        <w:t>【政府采购合同专用条款】</w:t>
      </w:r>
      <w:r>
        <w:rPr>
          <w:rFonts w:hint="eastAsia" w:ascii="宋体" w:hAnsi="宋体"/>
          <w:bCs/>
          <w:color w:val="auto"/>
          <w:szCs w:val="21"/>
        </w:rPr>
        <w:t>规定执行</w:t>
      </w:r>
      <w:r>
        <w:rPr>
          <w:rFonts w:hint="eastAsia" w:ascii="宋体" w:hAnsi="宋体"/>
          <w:color w:val="auto"/>
          <w:szCs w:val="21"/>
        </w:rPr>
        <w:t>。</w:t>
      </w:r>
    </w:p>
    <w:p>
      <w:pPr>
        <w:autoSpaceDE w:val="0"/>
        <w:autoSpaceDN w:val="0"/>
        <w:adjustRightInd w:val="0"/>
        <w:snapToGrid w:val="0"/>
        <w:spacing w:line="406" w:lineRule="exact"/>
        <w:ind w:firstLine="420" w:firstLineChars="200"/>
        <w:jc w:val="left"/>
        <w:rPr>
          <w:rFonts w:hint="eastAsia" w:ascii="宋体" w:hAnsi="宋体"/>
          <w:color w:val="auto"/>
          <w:szCs w:val="21"/>
        </w:rPr>
      </w:pPr>
      <w:r>
        <w:rPr>
          <w:rFonts w:hint="eastAsia" w:ascii="宋体" w:hAnsi="宋体"/>
          <w:color w:val="auto"/>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pPr>
        <w:autoSpaceDE w:val="0"/>
        <w:autoSpaceDN w:val="0"/>
        <w:adjustRightInd w:val="0"/>
        <w:snapToGrid w:val="0"/>
        <w:spacing w:line="406" w:lineRule="exact"/>
        <w:ind w:firstLine="420" w:firstLineChars="200"/>
        <w:jc w:val="left"/>
        <w:rPr>
          <w:rFonts w:hint="eastAsia" w:ascii="宋体" w:hAnsi="宋体"/>
          <w:color w:val="auto"/>
          <w:szCs w:val="21"/>
        </w:rPr>
      </w:pPr>
      <w:r>
        <w:rPr>
          <w:rFonts w:hint="eastAsia" w:ascii="宋体" w:hAnsi="宋体"/>
          <w:color w:val="auto"/>
          <w:szCs w:val="21"/>
        </w:rPr>
        <w:t xml:space="preserve">7.5 </w:t>
      </w:r>
      <w:r>
        <w:rPr>
          <w:rFonts w:hint="eastAsia" w:ascii="宋体" w:hAnsi="宋体" w:cs="宋体"/>
          <w:color w:val="auto"/>
          <w:szCs w:val="21"/>
        </w:rPr>
        <w:t>乙方在运输到达之前应提前通知甲方，并提示货物运输装卸的注意事项，甲方配合乙方做好货物的接收工作。</w:t>
      </w:r>
    </w:p>
    <w:p>
      <w:pPr>
        <w:widowControl/>
        <w:autoSpaceDE w:val="0"/>
        <w:autoSpaceDN w:val="0"/>
        <w:adjustRightInd w:val="0"/>
        <w:spacing w:line="406" w:lineRule="exact"/>
        <w:ind w:firstLine="420" w:firstLineChars="200"/>
        <w:jc w:val="left"/>
        <w:rPr>
          <w:rFonts w:hint="eastAsia" w:ascii="华文楷体" w:hAnsi="华文楷体" w:eastAsia="华文楷体" w:cs="华文楷体"/>
          <w:color w:val="auto"/>
          <w:kern w:val="0"/>
          <w:szCs w:val="21"/>
        </w:rPr>
      </w:pPr>
      <w:r>
        <w:rPr>
          <w:rFonts w:hint="eastAsia" w:ascii="宋体" w:hAnsi="宋体"/>
          <w:color w:val="auto"/>
          <w:szCs w:val="21"/>
        </w:rPr>
        <w:t>7.6 如因包装、运输问题导致货物损毁、丢失或者品质下降，甲方有权要求降价、换货、拒收部分或整批货物，由此产生的费用和损失，均由乙方承担。</w:t>
      </w:r>
    </w:p>
    <w:p>
      <w:pPr>
        <w:adjustRightInd w:val="0"/>
        <w:snapToGrid w:val="0"/>
        <w:spacing w:line="406" w:lineRule="exact"/>
        <w:jc w:val="left"/>
        <w:rPr>
          <w:rFonts w:hint="eastAsia" w:ascii="宋体" w:hAnsi="宋体"/>
          <w:b/>
          <w:color w:val="auto"/>
          <w:sz w:val="24"/>
        </w:rPr>
      </w:pPr>
      <w:r>
        <w:rPr>
          <w:rFonts w:hint="eastAsia" w:ascii="宋体" w:hAnsi="宋体"/>
          <w:b/>
          <w:color w:val="auto"/>
          <w:sz w:val="24"/>
        </w:rPr>
        <w:t>8. 质量标准和保证</w:t>
      </w:r>
    </w:p>
    <w:p>
      <w:pPr>
        <w:adjustRightInd w:val="0"/>
        <w:snapToGrid w:val="0"/>
        <w:spacing w:line="406" w:lineRule="exact"/>
        <w:ind w:firstLine="420" w:firstLineChars="200"/>
        <w:jc w:val="left"/>
        <w:rPr>
          <w:rFonts w:hint="eastAsia" w:ascii="宋体" w:hAnsi="宋体" w:cs="Courier New"/>
          <w:b/>
          <w:color w:val="auto"/>
          <w:szCs w:val="21"/>
        </w:rPr>
      </w:pPr>
      <w:r>
        <w:rPr>
          <w:rFonts w:hint="eastAsia" w:ascii="宋体" w:hAnsi="宋体" w:cs="Courier New"/>
          <w:color w:val="auto"/>
          <w:szCs w:val="21"/>
        </w:rPr>
        <w:t>8.1 质量标准</w:t>
      </w:r>
    </w:p>
    <w:p>
      <w:pPr>
        <w:autoSpaceDE w:val="0"/>
        <w:autoSpaceDN w:val="0"/>
        <w:adjustRightInd w:val="0"/>
        <w:snapToGrid w:val="0"/>
        <w:spacing w:line="406" w:lineRule="exact"/>
        <w:ind w:firstLine="420" w:firstLineChars="200"/>
        <w:jc w:val="left"/>
        <w:rPr>
          <w:rFonts w:hint="eastAsia" w:ascii="宋体" w:hAnsi="宋体"/>
          <w:color w:val="auto"/>
          <w:szCs w:val="21"/>
        </w:rPr>
      </w:pPr>
      <w:r>
        <w:rPr>
          <w:rFonts w:hint="eastAsia" w:ascii="宋体" w:hAnsi="宋体"/>
          <w:color w:val="auto"/>
          <w:szCs w:val="21"/>
        </w:rPr>
        <w:t>（1）本合同下提供的货物应符合合同</w:t>
      </w:r>
      <w:r>
        <w:rPr>
          <w:rFonts w:hint="eastAsia" w:ascii="宋体" w:hAnsi="宋体" w:cs="宋体"/>
          <w:color w:val="auto"/>
          <w:szCs w:val="21"/>
        </w:rPr>
        <w:t>约定的品牌、规格型号、技术性能、配置、质量、数量等要求。</w:t>
      </w:r>
      <w:r>
        <w:rPr>
          <w:rFonts w:hint="eastAsia" w:ascii="宋体" w:hAnsi="宋体"/>
          <w:color w:val="auto"/>
          <w:szCs w:val="21"/>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pPr>
        <w:adjustRightInd w:val="0"/>
        <w:snapToGrid w:val="0"/>
        <w:spacing w:line="406" w:lineRule="exact"/>
        <w:ind w:firstLine="420" w:firstLineChars="200"/>
        <w:jc w:val="left"/>
        <w:rPr>
          <w:rFonts w:hint="eastAsia" w:ascii="宋体" w:hAnsi="宋体" w:cs="Courier New"/>
          <w:color w:val="auto"/>
          <w:szCs w:val="21"/>
        </w:rPr>
      </w:pPr>
      <w:r>
        <w:rPr>
          <w:rFonts w:hint="eastAsia" w:ascii="宋体" w:hAnsi="宋体" w:cs="Courier New"/>
          <w:color w:val="auto"/>
          <w:szCs w:val="21"/>
        </w:rPr>
        <w:t>（2）采用中华人民共和国法定计量单位。</w:t>
      </w:r>
    </w:p>
    <w:p>
      <w:pPr>
        <w:autoSpaceDE w:val="0"/>
        <w:autoSpaceDN w:val="0"/>
        <w:adjustRightInd w:val="0"/>
        <w:snapToGrid w:val="0"/>
        <w:spacing w:line="406" w:lineRule="exact"/>
        <w:ind w:firstLine="420" w:firstLineChars="200"/>
        <w:jc w:val="left"/>
        <w:rPr>
          <w:rFonts w:hint="eastAsia" w:ascii="宋体" w:hAnsi="宋体"/>
          <w:color w:val="auto"/>
          <w:szCs w:val="21"/>
        </w:rPr>
      </w:pPr>
      <w:r>
        <w:rPr>
          <w:rFonts w:hint="eastAsia" w:ascii="宋体" w:hAnsi="宋体"/>
          <w:color w:val="auto"/>
          <w:szCs w:val="21"/>
        </w:rPr>
        <w:t>（3）乙方所提供的货物应符合国家有关安全、环保、卫生的规定。</w:t>
      </w:r>
    </w:p>
    <w:p>
      <w:pPr>
        <w:autoSpaceDE w:val="0"/>
        <w:autoSpaceDN w:val="0"/>
        <w:adjustRightInd w:val="0"/>
        <w:snapToGrid w:val="0"/>
        <w:spacing w:line="406" w:lineRule="exact"/>
        <w:ind w:firstLine="420" w:firstLineChars="200"/>
        <w:jc w:val="left"/>
        <w:rPr>
          <w:rFonts w:hint="eastAsia" w:ascii="宋体" w:hAnsi="宋体"/>
          <w:color w:val="auto"/>
          <w:szCs w:val="21"/>
        </w:rPr>
      </w:pPr>
      <w:r>
        <w:rPr>
          <w:rFonts w:hint="eastAsia" w:ascii="宋体" w:hAnsi="宋体"/>
          <w:color w:val="auto"/>
          <w:szCs w:val="21"/>
        </w:rPr>
        <w:t>（4）乙方应向甲方提交所提供货物的技术文件，包括相应的中文技术文件，如：产品目录、图纸、操作手册、使用说明、维护手册或服务指南等。上述文件应包装好随货物一同发运。</w:t>
      </w:r>
    </w:p>
    <w:p>
      <w:pPr>
        <w:autoSpaceDE w:val="0"/>
        <w:autoSpaceDN w:val="0"/>
        <w:adjustRightInd w:val="0"/>
        <w:snapToGrid w:val="0"/>
        <w:spacing w:line="406" w:lineRule="exact"/>
        <w:ind w:firstLine="420" w:firstLineChars="200"/>
        <w:jc w:val="left"/>
        <w:rPr>
          <w:rFonts w:hint="eastAsia" w:ascii="宋体" w:hAnsi="宋体"/>
          <w:color w:val="auto"/>
          <w:szCs w:val="21"/>
        </w:rPr>
      </w:pPr>
      <w:r>
        <w:rPr>
          <w:rFonts w:hint="eastAsia" w:ascii="宋体" w:hAnsi="宋体"/>
          <w:color w:val="auto"/>
          <w:szCs w:val="21"/>
        </w:rPr>
        <w:t>8.2 保证</w:t>
      </w:r>
    </w:p>
    <w:p>
      <w:pPr>
        <w:autoSpaceDE w:val="0"/>
        <w:autoSpaceDN w:val="0"/>
        <w:adjustRightInd w:val="0"/>
        <w:snapToGrid w:val="0"/>
        <w:spacing w:line="406" w:lineRule="exact"/>
        <w:ind w:firstLine="420" w:firstLineChars="200"/>
        <w:jc w:val="left"/>
        <w:rPr>
          <w:rFonts w:hint="eastAsia" w:ascii="宋体" w:hAnsi="宋体"/>
          <w:color w:val="auto"/>
          <w:szCs w:val="21"/>
        </w:rPr>
      </w:pPr>
      <w:r>
        <w:rPr>
          <w:rFonts w:hint="eastAsia" w:ascii="宋体" w:hAnsi="宋体"/>
          <w:color w:val="auto"/>
          <w:szCs w:val="21"/>
        </w:rPr>
        <w:t>（1）乙方应保证提供的货物完全符合合同规定的质量、规格和性能要求。乙方应保证货物在正确安装、正常使用和保养条件下，</w:t>
      </w:r>
      <w:r>
        <w:rPr>
          <w:rFonts w:hint="eastAsia" w:ascii="宋体" w:hAnsi="宋体" w:cs="宋体"/>
          <w:color w:val="auto"/>
          <w:szCs w:val="21"/>
        </w:rPr>
        <w:t>在其使用寿命期内具备合同约定的性能</w:t>
      </w:r>
      <w:r>
        <w:rPr>
          <w:rFonts w:hint="eastAsia" w:ascii="宋体" w:hAnsi="宋体"/>
          <w:color w:val="auto"/>
          <w:szCs w:val="21"/>
        </w:rPr>
        <w:t>。存在质量保证期的，货物最终交付验收合格后在</w:t>
      </w:r>
      <w:r>
        <w:rPr>
          <w:rFonts w:hint="eastAsia" w:ascii="宋体" w:hAnsi="宋体"/>
          <w:b/>
          <w:color w:val="auto"/>
          <w:szCs w:val="21"/>
        </w:rPr>
        <w:t>【政府采购合同专用条款】</w:t>
      </w:r>
      <w:r>
        <w:rPr>
          <w:rFonts w:hint="eastAsia" w:ascii="宋体" w:hAnsi="宋体"/>
          <w:color w:val="auto"/>
          <w:szCs w:val="21"/>
        </w:rPr>
        <w:t>规定或乙方书面承诺（两者以较长的为准）的质量保证期内，本保证保持有效。</w:t>
      </w:r>
    </w:p>
    <w:p>
      <w:pPr>
        <w:autoSpaceDE w:val="0"/>
        <w:autoSpaceDN w:val="0"/>
        <w:adjustRightInd w:val="0"/>
        <w:snapToGrid w:val="0"/>
        <w:spacing w:line="406" w:lineRule="exact"/>
        <w:ind w:firstLine="420" w:firstLineChars="200"/>
        <w:jc w:val="left"/>
        <w:rPr>
          <w:rFonts w:hint="eastAsia" w:ascii="宋体" w:hAnsi="宋体"/>
          <w:color w:val="auto"/>
          <w:szCs w:val="21"/>
        </w:rPr>
      </w:pPr>
      <w:r>
        <w:rPr>
          <w:rFonts w:hint="eastAsia" w:ascii="宋体" w:hAnsi="宋体"/>
          <w:color w:val="auto"/>
          <w:szCs w:val="21"/>
        </w:rPr>
        <w:t>（2）在质量保证期内所发现的缺陷，甲方应尽快以书面形式通知乙方。</w:t>
      </w:r>
    </w:p>
    <w:p>
      <w:pPr>
        <w:autoSpaceDE w:val="0"/>
        <w:autoSpaceDN w:val="0"/>
        <w:adjustRightInd w:val="0"/>
        <w:snapToGrid w:val="0"/>
        <w:spacing w:line="406" w:lineRule="exact"/>
        <w:ind w:firstLine="420" w:firstLineChars="200"/>
        <w:jc w:val="left"/>
        <w:rPr>
          <w:rFonts w:hint="eastAsia" w:ascii="宋体" w:hAnsi="宋体"/>
          <w:color w:val="auto"/>
          <w:szCs w:val="21"/>
        </w:rPr>
      </w:pPr>
      <w:r>
        <w:rPr>
          <w:rFonts w:hint="eastAsia" w:ascii="宋体" w:hAnsi="宋体"/>
          <w:color w:val="auto"/>
          <w:szCs w:val="21"/>
        </w:rPr>
        <w:t>（3）乙方收到通知后，应在</w:t>
      </w:r>
      <w:r>
        <w:rPr>
          <w:rFonts w:hint="eastAsia" w:ascii="宋体" w:hAnsi="宋体"/>
          <w:b/>
          <w:color w:val="auto"/>
          <w:szCs w:val="21"/>
        </w:rPr>
        <w:t>【政府采购合同专用条款】</w:t>
      </w:r>
      <w:r>
        <w:rPr>
          <w:rFonts w:hint="eastAsia" w:ascii="宋体" w:hAnsi="宋体"/>
          <w:color w:val="auto"/>
          <w:szCs w:val="21"/>
        </w:rPr>
        <w:t>规定的响应时间内以合理的速度免费维修或更换有缺陷的货物或部件。</w:t>
      </w:r>
    </w:p>
    <w:p>
      <w:pPr>
        <w:autoSpaceDE w:val="0"/>
        <w:autoSpaceDN w:val="0"/>
        <w:adjustRightInd w:val="0"/>
        <w:snapToGrid w:val="0"/>
        <w:spacing w:line="406" w:lineRule="exact"/>
        <w:ind w:firstLine="420" w:firstLineChars="200"/>
        <w:jc w:val="left"/>
        <w:rPr>
          <w:rFonts w:hint="eastAsia" w:ascii="宋体" w:hAnsi="宋体"/>
          <w:color w:val="auto"/>
          <w:szCs w:val="21"/>
        </w:rPr>
      </w:pPr>
      <w:r>
        <w:rPr>
          <w:rFonts w:hint="eastAsia" w:ascii="宋体" w:hAnsi="宋体"/>
          <w:color w:val="auto"/>
          <w:szCs w:val="21"/>
        </w:rPr>
        <w:t>（4）在质量保证期内，如果货物的质量或规格与合同不符，或证实货物是有缺陷的，包括潜在的缺陷或使用不符合要求的材料等，甲方可以根据本合同第15.1条规定以书面形式追究乙方的违约责任。</w:t>
      </w:r>
    </w:p>
    <w:p>
      <w:pPr>
        <w:adjustRightInd w:val="0"/>
        <w:snapToGrid w:val="0"/>
        <w:spacing w:line="406" w:lineRule="exact"/>
        <w:ind w:firstLine="420" w:firstLineChars="200"/>
        <w:jc w:val="left"/>
        <w:rPr>
          <w:color w:val="auto"/>
        </w:rPr>
      </w:pPr>
      <w:r>
        <w:rPr>
          <w:rFonts w:hint="eastAsia" w:ascii="宋体" w:hAnsi="宋体"/>
          <w:color w:val="auto"/>
          <w:szCs w:val="21"/>
        </w:rPr>
        <w:t>（5）乙方在约定的时间内未能弥补缺陷，甲方可采取必要的补救措施，但其风险和费用将由乙方承担，甲方根据合同约定对乙方行使的其他权利不受影响。</w:t>
      </w:r>
    </w:p>
    <w:p>
      <w:pPr>
        <w:adjustRightInd w:val="0"/>
        <w:snapToGrid w:val="0"/>
        <w:spacing w:line="406" w:lineRule="exact"/>
        <w:jc w:val="left"/>
        <w:rPr>
          <w:rFonts w:hint="eastAsia" w:ascii="宋体" w:hAnsi="宋体"/>
          <w:b/>
          <w:bCs/>
          <w:color w:val="auto"/>
          <w:sz w:val="24"/>
        </w:rPr>
      </w:pPr>
      <w:r>
        <w:rPr>
          <w:rFonts w:hint="eastAsia" w:ascii="宋体" w:hAnsi="宋体"/>
          <w:b/>
          <w:bCs/>
          <w:color w:val="auto"/>
          <w:sz w:val="24"/>
        </w:rPr>
        <w:t>9. 权利瑕疵担保</w:t>
      </w:r>
    </w:p>
    <w:p>
      <w:pPr>
        <w:autoSpaceDE w:val="0"/>
        <w:autoSpaceDN w:val="0"/>
        <w:adjustRightInd w:val="0"/>
        <w:snapToGrid w:val="0"/>
        <w:spacing w:line="406" w:lineRule="exact"/>
        <w:ind w:firstLine="420" w:firstLineChars="200"/>
        <w:jc w:val="left"/>
        <w:rPr>
          <w:rFonts w:hint="eastAsia" w:ascii="宋体" w:hAnsi="宋体"/>
          <w:color w:val="auto"/>
          <w:szCs w:val="21"/>
        </w:rPr>
      </w:pPr>
      <w:r>
        <w:rPr>
          <w:rFonts w:hint="eastAsia" w:ascii="宋体" w:hAnsi="宋体"/>
          <w:color w:val="auto"/>
          <w:szCs w:val="21"/>
        </w:rPr>
        <w:t>9.1 乙方保证对其出售的货物享有合法的权利。</w:t>
      </w:r>
    </w:p>
    <w:p>
      <w:pPr>
        <w:autoSpaceDE w:val="0"/>
        <w:autoSpaceDN w:val="0"/>
        <w:adjustRightInd w:val="0"/>
        <w:snapToGrid w:val="0"/>
        <w:spacing w:line="406" w:lineRule="exact"/>
        <w:ind w:firstLine="420" w:firstLineChars="200"/>
        <w:jc w:val="left"/>
        <w:rPr>
          <w:rFonts w:hint="eastAsia" w:ascii="宋体" w:hAnsi="宋体"/>
          <w:color w:val="auto"/>
          <w:szCs w:val="21"/>
        </w:rPr>
      </w:pPr>
      <w:r>
        <w:rPr>
          <w:rFonts w:hint="eastAsia" w:ascii="宋体" w:hAnsi="宋体"/>
          <w:color w:val="auto"/>
          <w:szCs w:val="21"/>
        </w:rPr>
        <w:t xml:space="preserve">9.2 </w:t>
      </w:r>
      <w:r>
        <w:rPr>
          <w:rFonts w:hint="eastAsia" w:ascii="宋体" w:hAnsi="宋体" w:cs="宋体"/>
          <w:color w:val="auto"/>
          <w:szCs w:val="15"/>
        </w:rPr>
        <w:t>乙方保证在交付的货物上不存在抵押权等担保物权。</w:t>
      </w:r>
    </w:p>
    <w:p>
      <w:pPr>
        <w:autoSpaceDE w:val="0"/>
        <w:autoSpaceDN w:val="0"/>
        <w:adjustRightInd w:val="0"/>
        <w:snapToGrid w:val="0"/>
        <w:spacing w:line="406" w:lineRule="exact"/>
        <w:ind w:firstLine="420" w:firstLineChars="200"/>
        <w:jc w:val="left"/>
        <w:rPr>
          <w:rFonts w:hint="eastAsia" w:ascii="宋体" w:hAnsi="宋体"/>
          <w:color w:val="auto"/>
          <w:szCs w:val="21"/>
        </w:rPr>
      </w:pPr>
      <w:r>
        <w:rPr>
          <w:rFonts w:hint="eastAsia" w:ascii="宋体" w:hAnsi="宋体"/>
          <w:color w:val="auto"/>
          <w:szCs w:val="21"/>
        </w:rPr>
        <w:t>9.3 如甲方使用上述货物构成对第三人侵权的，则由乙方承担全部责任。</w:t>
      </w:r>
    </w:p>
    <w:p>
      <w:pPr>
        <w:autoSpaceDE w:val="0"/>
        <w:autoSpaceDN w:val="0"/>
        <w:adjustRightInd w:val="0"/>
        <w:snapToGrid w:val="0"/>
        <w:spacing w:line="406" w:lineRule="exact"/>
        <w:jc w:val="left"/>
        <w:rPr>
          <w:rFonts w:hint="eastAsia" w:ascii="宋体" w:hAnsi="宋体"/>
          <w:b/>
          <w:bCs/>
          <w:color w:val="auto"/>
          <w:sz w:val="24"/>
        </w:rPr>
      </w:pPr>
      <w:r>
        <w:rPr>
          <w:rFonts w:hint="eastAsia" w:ascii="宋体" w:hAnsi="宋体"/>
          <w:b/>
          <w:bCs/>
          <w:color w:val="auto"/>
          <w:sz w:val="24"/>
        </w:rPr>
        <w:t>10. 知识产权保护</w:t>
      </w:r>
    </w:p>
    <w:p>
      <w:pPr>
        <w:autoSpaceDE w:val="0"/>
        <w:autoSpaceDN w:val="0"/>
        <w:adjustRightInd w:val="0"/>
        <w:snapToGrid w:val="0"/>
        <w:spacing w:line="406" w:lineRule="exact"/>
        <w:ind w:firstLine="420" w:firstLineChars="200"/>
        <w:jc w:val="left"/>
        <w:rPr>
          <w:rFonts w:hint="eastAsia" w:ascii="宋体" w:hAnsi="宋体"/>
          <w:color w:val="auto"/>
          <w:szCs w:val="21"/>
        </w:rPr>
      </w:pPr>
      <w:r>
        <w:rPr>
          <w:rFonts w:hint="eastAsia" w:ascii="宋体" w:hAnsi="宋体"/>
          <w:color w:val="auto"/>
          <w:szCs w:val="21"/>
        </w:rPr>
        <w:t>10.1 乙方对其所销售的货物应当享有知识产权或经权利人合法授权，保证没有侵犯任何第三人的知识产权等权利。</w:t>
      </w:r>
      <w:bookmarkStart w:id="127" w:name="_Hlk163047038"/>
      <w:r>
        <w:rPr>
          <w:rFonts w:hint="eastAsia" w:ascii="宋体" w:hAnsi="宋体" w:cs="宋体"/>
          <w:color w:val="auto"/>
          <w:szCs w:val="15"/>
        </w:rPr>
        <w:t>因违反前述约定对第三人构成侵权的，应当由乙方向第三人承担法律责任；甲方依法向第三人赔偿后，有权向乙方追偿。甲方有其他损失的，乙方应当赔偿</w:t>
      </w:r>
      <w:bookmarkEnd w:id="127"/>
      <w:r>
        <w:rPr>
          <w:rFonts w:hint="eastAsia" w:ascii="宋体" w:hAnsi="宋体"/>
          <w:color w:val="auto"/>
          <w:szCs w:val="21"/>
        </w:rPr>
        <w:t>。</w:t>
      </w:r>
    </w:p>
    <w:p>
      <w:pPr>
        <w:autoSpaceDE w:val="0"/>
        <w:autoSpaceDN w:val="0"/>
        <w:adjustRightInd w:val="0"/>
        <w:snapToGrid w:val="0"/>
        <w:spacing w:line="406" w:lineRule="exact"/>
        <w:jc w:val="left"/>
        <w:rPr>
          <w:rFonts w:hint="eastAsia" w:ascii="宋体" w:hAnsi="宋体"/>
          <w:b/>
          <w:bCs/>
          <w:color w:val="auto"/>
          <w:sz w:val="24"/>
        </w:rPr>
      </w:pPr>
      <w:r>
        <w:rPr>
          <w:rFonts w:hint="eastAsia" w:ascii="宋体" w:hAnsi="宋体"/>
          <w:b/>
          <w:bCs/>
          <w:color w:val="auto"/>
          <w:sz w:val="24"/>
        </w:rPr>
        <w:t>11. 保密义务</w:t>
      </w:r>
    </w:p>
    <w:p>
      <w:pPr>
        <w:autoSpaceDE w:val="0"/>
        <w:autoSpaceDN w:val="0"/>
        <w:adjustRightInd w:val="0"/>
        <w:snapToGrid w:val="0"/>
        <w:spacing w:line="406" w:lineRule="exact"/>
        <w:ind w:firstLine="420" w:firstLineChars="200"/>
        <w:jc w:val="left"/>
        <w:rPr>
          <w:rFonts w:hint="eastAsia" w:ascii="宋体" w:hAnsi="宋体" w:cs="宋体"/>
          <w:color w:val="auto"/>
          <w:szCs w:val="15"/>
        </w:rPr>
      </w:pPr>
      <w:r>
        <w:rPr>
          <w:rFonts w:hint="eastAsia" w:ascii="宋体" w:hAnsi="宋体" w:cs="宋体"/>
          <w:color w:val="auto"/>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宋体" w:hAnsi="宋体" w:cs="宋体"/>
          <w:b/>
          <w:bCs/>
          <w:color w:val="auto"/>
          <w:szCs w:val="15"/>
        </w:rPr>
        <w:t>【政府采购合同专用条款】</w:t>
      </w:r>
      <w:r>
        <w:rPr>
          <w:rFonts w:hint="eastAsia" w:ascii="宋体" w:hAnsi="宋体" w:cs="宋体"/>
          <w:color w:val="auto"/>
          <w:szCs w:val="15"/>
        </w:rPr>
        <w:t>中约定。</w:t>
      </w:r>
    </w:p>
    <w:p>
      <w:pPr>
        <w:autoSpaceDE w:val="0"/>
        <w:autoSpaceDN w:val="0"/>
        <w:adjustRightInd w:val="0"/>
        <w:snapToGrid w:val="0"/>
        <w:spacing w:line="406" w:lineRule="exact"/>
        <w:jc w:val="left"/>
        <w:rPr>
          <w:rFonts w:hint="eastAsia" w:ascii="宋体" w:hAnsi="宋体"/>
          <w:b/>
          <w:bCs/>
          <w:color w:val="auto"/>
          <w:sz w:val="24"/>
        </w:rPr>
      </w:pPr>
      <w:r>
        <w:rPr>
          <w:rFonts w:hint="eastAsia" w:ascii="宋体" w:hAnsi="宋体"/>
          <w:b/>
          <w:bCs/>
          <w:color w:val="auto"/>
          <w:sz w:val="24"/>
        </w:rPr>
        <w:t>12. 合同价款支付</w:t>
      </w:r>
    </w:p>
    <w:p>
      <w:pPr>
        <w:adjustRightInd w:val="0"/>
        <w:snapToGrid w:val="0"/>
        <w:spacing w:line="406" w:lineRule="exact"/>
        <w:ind w:firstLine="420" w:firstLineChars="200"/>
        <w:jc w:val="left"/>
        <w:rPr>
          <w:rFonts w:hint="eastAsia" w:ascii="宋体" w:hAnsi="宋体"/>
          <w:color w:val="auto"/>
          <w:szCs w:val="21"/>
        </w:rPr>
      </w:pPr>
      <w:r>
        <w:rPr>
          <w:rFonts w:hint="eastAsia" w:ascii="宋体" w:hAnsi="宋体"/>
          <w:color w:val="auto"/>
          <w:szCs w:val="21"/>
        </w:rPr>
        <w:t>12.1 合同价款支付按照国库集中支付制度及财政管理相关规定执行。</w:t>
      </w:r>
    </w:p>
    <w:p>
      <w:pPr>
        <w:keepNext/>
        <w:keepLines/>
        <w:spacing w:line="406" w:lineRule="exact"/>
        <w:ind w:firstLine="420" w:firstLineChars="200"/>
        <w:outlineLvl w:val="1"/>
        <w:rPr>
          <w:rFonts w:ascii="Arial" w:hAnsi="Arial"/>
          <w:b/>
          <w:bCs/>
          <w:color w:val="auto"/>
          <w:sz w:val="24"/>
          <w:szCs w:val="32"/>
        </w:rPr>
      </w:pPr>
      <w:r>
        <w:rPr>
          <w:rFonts w:hint="eastAsia" w:ascii="宋体" w:hAnsi="宋体"/>
          <w:color w:val="auto"/>
          <w:szCs w:val="21"/>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b/>
          <w:bCs/>
          <w:color w:val="auto"/>
          <w:szCs w:val="21"/>
        </w:rPr>
        <w:t>政府采购合同专用条款</w:t>
      </w:r>
      <w:r>
        <w:rPr>
          <w:rFonts w:hint="eastAsia" w:ascii="宋体" w:hAnsi="宋体"/>
          <w:color w:val="auto"/>
          <w:szCs w:val="21"/>
        </w:rPr>
        <w:t>】中约定。</w:t>
      </w:r>
    </w:p>
    <w:p>
      <w:pPr>
        <w:spacing w:line="406" w:lineRule="exact"/>
        <w:rPr>
          <w:rFonts w:hint="eastAsia" w:ascii="宋体" w:hAnsi="宋体"/>
          <w:b/>
          <w:bCs/>
          <w:color w:val="auto"/>
          <w:sz w:val="24"/>
        </w:rPr>
      </w:pPr>
      <w:r>
        <w:rPr>
          <w:rFonts w:hint="eastAsia" w:ascii="宋体" w:hAnsi="宋体"/>
          <w:b/>
          <w:bCs/>
          <w:color w:val="auto"/>
          <w:sz w:val="24"/>
        </w:rPr>
        <w:t>13. 履约保证金</w:t>
      </w:r>
    </w:p>
    <w:p>
      <w:pPr>
        <w:adjustRightInd w:val="0"/>
        <w:snapToGrid w:val="0"/>
        <w:spacing w:line="406" w:lineRule="exact"/>
        <w:ind w:firstLine="420" w:firstLineChars="200"/>
        <w:jc w:val="left"/>
        <w:rPr>
          <w:rFonts w:hint="eastAsia" w:ascii="宋体" w:hAnsi="宋体"/>
          <w:color w:val="auto"/>
          <w:szCs w:val="21"/>
        </w:rPr>
      </w:pPr>
      <w:r>
        <w:rPr>
          <w:rFonts w:hint="eastAsia" w:ascii="宋体" w:hAnsi="宋体"/>
          <w:color w:val="auto"/>
          <w:szCs w:val="21"/>
        </w:rPr>
        <w:t xml:space="preserve">13.1 </w:t>
      </w:r>
      <w:r>
        <w:rPr>
          <w:rFonts w:hint="eastAsia" w:ascii="宋体" w:hAnsi="宋体" w:cs="宋体"/>
          <w:color w:val="auto"/>
          <w:szCs w:val="15"/>
        </w:rPr>
        <w:t>乙方应当以支票、汇票、本票或者金融机构、担保机构出具的保函等非现金形式提交。</w:t>
      </w:r>
    </w:p>
    <w:p>
      <w:pPr>
        <w:adjustRightInd w:val="0"/>
        <w:snapToGrid w:val="0"/>
        <w:spacing w:line="406" w:lineRule="exact"/>
        <w:ind w:firstLine="420" w:firstLineChars="200"/>
        <w:jc w:val="left"/>
        <w:rPr>
          <w:rFonts w:hint="eastAsia" w:ascii="宋体" w:hAnsi="宋体"/>
          <w:color w:val="auto"/>
          <w:szCs w:val="21"/>
        </w:rPr>
      </w:pPr>
      <w:r>
        <w:rPr>
          <w:rFonts w:hint="eastAsia" w:ascii="宋体" w:hAnsi="宋体"/>
          <w:color w:val="auto"/>
          <w:szCs w:val="21"/>
        </w:rPr>
        <w:t>13.2 如果乙方出现</w:t>
      </w:r>
      <w:r>
        <w:rPr>
          <w:rFonts w:hint="eastAsia" w:ascii="宋体" w:hAnsi="宋体" w:cs="宋体"/>
          <w:b/>
          <w:bCs/>
          <w:color w:val="auto"/>
          <w:szCs w:val="15"/>
        </w:rPr>
        <w:t>【政府采购合同专用条款】</w:t>
      </w:r>
      <w:r>
        <w:rPr>
          <w:rFonts w:hint="eastAsia" w:ascii="宋体" w:hAnsi="宋体" w:cs="宋体"/>
          <w:color w:val="auto"/>
          <w:szCs w:val="15"/>
        </w:rPr>
        <w:t>约定情形的</w:t>
      </w:r>
      <w:r>
        <w:rPr>
          <w:rFonts w:hint="eastAsia" w:ascii="宋体" w:hAnsi="宋体"/>
          <w:color w:val="auto"/>
          <w:szCs w:val="21"/>
        </w:rPr>
        <w:t>，履约保证金不予退还；如果乙方未能按合同约定全面履行义务，甲方有权从履约保证金中取得补偿或赔偿，且不影响甲方要求乙方承担合同约定的超过履约保证金的违约责任的权利。</w:t>
      </w:r>
    </w:p>
    <w:p>
      <w:pPr>
        <w:spacing w:line="406" w:lineRule="exact"/>
        <w:ind w:firstLine="420"/>
        <w:rPr>
          <w:color w:val="auto"/>
        </w:rPr>
      </w:pPr>
      <w:r>
        <w:rPr>
          <w:rFonts w:hint="eastAsia" w:ascii="宋体" w:hAnsi="宋体"/>
          <w:color w:val="auto"/>
          <w:szCs w:val="21"/>
        </w:rPr>
        <w:t>13.3 甲方在项目通过验收后按照</w:t>
      </w:r>
      <w:r>
        <w:rPr>
          <w:rFonts w:hint="eastAsia" w:ascii="宋体" w:hAnsi="宋体"/>
          <w:b/>
          <w:color w:val="auto"/>
          <w:szCs w:val="21"/>
        </w:rPr>
        <w:t>【政府采购合同专用条款】</w:t>
      </w:r>
      <w:r>
        <w:rPr>
          <w:rFonts w:hint="eastAsia" w:ascii="宋体" w:hAnsi="宋体"/>
          <w:color w:val="auto"/>
          <w:szCs w:val="21"/>
        </w:rPr>
        <w:t>规定的时间内将履约保证金退还乙方；逾期退还的，乙方可要求甲方支付违约金，违约金按照</w:t>
      </w:r>
      <w:r>
        <w:rPr>
          <w:rFonts w:hint="eastAsia" w:ascii="宋体" w:hAnsi="宋体"/>
          <w:b/>
          <w:color w:val="auto"/>
          <w:szCs w:val="21"/>
        </w:rPr>
        <w:t>【政府采购合同专用条款】</w:t>
      </w:r>
      <w:r>
        <w:rPr>
          <w:rFonts w:hint="eastAsia" w:ascii="宋体" w:hAnsi="宋体"/>
          <w:color w:val="auto"/>
          <w:szCs w:val="21"/>
        </w:rPr>
        <w:t>规定支付。</w:t>
      </w:r>
    </w:p>
    <w:p>
      <w:pPr>
        <w:autoSpaceDE w:val="0"/>
        <w:autoSpaceDN w:val="0"/>
        <w:adjustRightInd w:val="0"/>
        <w:snapToGrid w:val="0"/>
        <w:spacing w:line="406" w:lineRule="exact"/>
        <w:jc w:val="left"/>
        <w:rPr>
          <w:rFonts w:hint="eastAsia" w:ascii="宋体" w:hAnsi="宋体"/>
          <w:b/>
          <w:color w:val="auto"/>
          <w:sz w:val="24"/>
        </w:rPr>
      </w:pPr>
      <w:r>
        <w:rPr>
          <w:rFonts w:hint="eastAsia" w:ascii="宋体" w:hAnsi="宋体"/>
          <w:b/>
          <w:bCs/>
          <w:color w:val="auto"/>
          <w:sz w:val="24"/>
        </w:rPr>
        <w:t xml:space="preserve">14. </w:t>
      </w:r>
      <w:r>
        <w:rPr>
          <w:rFonts w:hint="eastAsia"/>
          <w:b/>
          <w:color w:val="auto"/>
          <w:sz w:val="24"/>
        </w:rPr>
        <w:t>售后</w:t>
      </w:r>
      <w:r>
        <w:rPr>
          <w:rFonts w:hint="eastAsia" w:ascii="宋体" w:hAnsi="宋体"/>
          <w:b/>
          <w:color w:val="auto"/>
          <w:sz w:val="24"/>
        </w:rPr>
        <w:t>服务</w:t>
      </w:r>
    </w:p>
    <w:p>
      <w:pPr>
        <w:autoSpaceDE w:val="0"/>
        <w:autoSpaceDN w:val="0"/>
        <w:adjustRightInd w:val="0"/>
        <w:snapToGrid w:val="0"/>
        <w:spacing w:line="406" w:lineRule="exact"/>
        <w:ind w:firstLine="420" w:firstLineChars="200"/>
        <w:jc w:val="left"/>
        <w:rPr>
          <w:rFonts w:hint="eastAsia" w:ascii="宋体" w:hAnsi="宋体"/>
          <w:color w:val="auto"/>
          <w:szCs w:val="21"/>
        </w:rPr>
      </w:pPr>
      <w:r>
        <w:rPr>
          <w:rFonts w:hint="eastAsia" w:ascii="宋体" w:hAnsi="宋体"/>
          <w:color w:val="auto"/>
          <w:szCs w:val="21"/>
        </w:rPr>
        <w:t>14.1 除项目不涉及或采购活动中明确约定无须承担外，乙方还应提供下列服务：</w:t>
      </w:r>
    </w:p>
    <w:p>
      <w:pPr>
        <w:autoSpaceDE w:val="0"/>
        <w:autoSpaceDN w:val="0"/>
        <w:adjustRightInd w:val="0"/>
        <w:snapToGrid w:val="0"/>
        <w:spacing w:line="406" w:lineRule="exact"/>
        <w:ind w:firstLine="420" w:firstLineChars="200"/>
        <w:jc w:val="left"/>
        <w:rPr>
          <w:rFonts w:hint="eastAsia" w:ascii="宋体" w:hAnsi="宋体"/>
          <w:color w:val="auto"/>
          <w:szCs w:val="21"/>
        </w:rPr>
      </w:pPr>
      <w:r>
        <w:rPr>
          <w:rFonts w:hint="eastAsia" w:ascii="宋体" w:hAnsi="宋体"/>
          <w:color w:val="auto"/>
          <w:szCs w:val="21"/>
        </w:rPr>
        <w:t>（1）货物的现场移动、安装、调试、启动监督及技术支持；</w:t>
      </w:r>
    </w:p>
    <w:p>
      <w:pPr>
        <w:autoSpaceDE w:val="0"/>
        <w:autoSpaceDN w:val="0"/>
        <w:adjustRightInd w:val="0"/>
        <w:snapToGrid w:val="0"/>
        <w:spacing w:line="406" w:lineRule="exact"/>
        <w:ind w:firstLine="420" w:firstLineChars="200"/>
        <w:jc w:val="left"/>
        <w:rPr>
          <w:rFonts w:hint="eastAsia" w:ascii="宋体" w:hAnsi="宋体"/>
          <w:color w:val="auto"/>
          <w:szCs w:val="21"/>
        </w:rPr>
      </w:pPr>
      <w:r>
        <w:rPr>
          <w:rFonts w:hint="eastAsia" w:ascii="宋体" w:hAnsi="宋体"/>
          <w:color w:val="auto"/>
          <w:szCs w:val="21"/>
        </w:rPr>
        <w:t>（2）提供货物组装和维修所需的专用工具和辅助材料；</w:t>
      </w:r>
    </w:p>
    <w:p>
      <w:pPr>
        <w:autoSpaceDE w:val="0"/>
        <w:autoSpaceDN w:val="0"/>
        <w:adjustRightInd w:val="0"/>
        <w:snapToGrid w:val="0"/>
        <w:spacing w:line="406" w:lineRule="exact"/>
        <w:ind w:firstLine="420" w:firstLineChars="200"/>
        <w:jc w:val="left"/>
        <w:rPr>
          <w:rFonts w:hint="eastAsia" w:ascii="宋体" w:hAnsi="宋体"/>
          <w:color w:val="auto"/>
          <w:szCs w:val="21"/>
        </w:rPr>
      </w:pPr>
      <w:r>
        <w:rPr>
          <w:rFonts w:hint="eastAsia" w:ascii="宋体" w:hAnsi="宋体"/>
          <w:color w:val="auto"/>
          <w:szCs w:val="21"/>
        </w:rPr>
        <w:t>（3）在</w:t>
      </w:r>
      <w:r>
        <w:rPr>
          <w:rFonts w:hint="eastAsia" w:ascii="宋体" w:hAnsi="宋体" w:cs="宋体"/>
          <w:b/>
          <w:bCs/>
          <w:color w:val="auto"/>
          <w:szCs w:val="15"/>
        </w:rPr>
        <w:t>【政府采购合同专用条款】</w:t>
      </w:r>
      <w:r>
        <w:rPr>
          <w:rFonts w:hint="eastAsia" w:ascii="宋体" w:hAnsi="宋体"/>
          <w:color w:val="auto"/>
          <w:szCs w:val="21"/>
        </w:rPr>
        <w:t>约定的期限内对所有的货物实施运行监督、维修，但前提条件是该服务并不能免除乙方在质量保证期内所承担的义务；</w:t>
      </w:r>
    </w:p>
    <w:p>
      <w:pPr>
        <w:autoSpaceDE w:val="0"/>
        <w:autoSpaceDN w:val="0"/>
        <w:adjustRightInd w:val="0"/>
        <w:snapToGrid w:val="0"/>
        <w:spacing w:line="406" w:lineRule="exact"/>
        <w:ind w:firstLine="420" w:firstLineChars="200"/>
        <w:jc w:val="left"/>
        <w:rPr>
          <w:rFonts w:hint="eastAsia" w:ascii="宋体" w:hAnsi="宋体"/>
          <w:color w:val="auto"/>
          <w:szCs w:val="21"/>
        </w:rPr>
      </w:pPr>
      <w:r>
        <w:rPr>
          <w:rFonts w:hint="eastAsia" w:ascii="宋体" w:hAnsi="宋体"/>
          <w:color w:val="auto"/>
          <w:szCs w:val="21"/>
        </w:rPr>
        <w:t>（4）在制造商所在地或指定现场就货物的安装、启动、运营、维护、废弃处置等对甲方操作人员进行培训</w:t>
      </w:r>
      <w:r>
        <w:rPr>
          <w:rFonts w:hint="eastAsia" w:ascii="宋体" w:hAnsi="宋体" w:cs="宋体"/>
          <w:color w:val="auto"/>
          <w:szCs w:val="15"/>
        </w:rPr>
        <w:t>；</w:t>
      </w:r>
    </w:p>
    <w:p>
      <w:pPr>
        <w:widowControl/>
        <w:autoSpaceDE w:val="0"/>
        <w:autoSpaceDN w:val="0"/>
        <w:adjustRightInd w:val="0"/>
        <w:spacing w:line="406" w:lineRule="exact"/>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（5）依照法律、行政法规的规定或者按照</w:t>
      </w:r>
      <w:r>
        <w:rPr>
          <w:rFonts w:hint="eastAsia" w:ascii="宋体" w:hAnsi="宋体" w:cs="宋体"/>
          <w:b/>
          <w:bCs/>
          <w:color w:val="auto"/>
          <w:kern w:val="0"/>
          <w:szCs w:val="21"/>
        </w:rPr>
        <w:t>【政府采购合同专用条款】</w:t>
      </w:r>
      <w:r>
        <w:rPr>
          <w:rFonts w:hint="eastAsia" w:ascii="宋体" w:hAnsi="宋体" w:cs="宋体"/>
          <w:color w:val="auto"/>
          <w:kern w:val="0"/>
          <w:szCs w:val="21"/>
        </w:rPr>
        <w:t>约定，货物在有效使用年限届满后应予回收的，乙方负有自行或者委托第三人对货物予以回收的义务；</w:t>
      </w:r>
    </w:p>
    <w:p>
      <w:pPr>
        <w:autoSpaceDE w:val="0"/>
        <w:autoSpaceDN w:val="0"/>
        <w:adjustRightInd w:val="0"/>
        <w:snapToGrid w:val="0"/>
        <w:spacing w:line="406" w:lineRule="exact"/>
        <w:ind w:firstLine="420" w:firstLineChars="200"/>
        <w:jc w:val="left"/>
        <w:rPr>
          <w:rFonts w:hint="eastAsia" w:ascii="宋体" w:hAnsi="宋体"/>
          <w:color w:val="auto"/>
          <w:szCs w:val="21"/>
        </w:rPr>
      </w:pPr>
      <w:r>
        <w:rPr>
          <w:rFonts w:hint="eastAsia" w:ascii="宋体" w:hAnsi="宋体"/>
          <w:color w:val="auto"/>
          <w:szCs w:val="21"/>
        </w:rPr>
        <w:t>（6）</w:t>
      </w:r>
      <w:r>
        <w:rPr>
          <w:rFonts w:hint="eastAsia" w:ascii="宋体" w:hAnsi="宋体"/>
          <w:b/>
          <w:color w:val="auto"/>
          <w:szCs w:val="21"/>
        </w:rPr>
        <w:t>【政府采购合同专用条款】</w:t>
      </w:r>
      <w:r>
        <w:rPr>
          <w:rFonts w:hint="eastAsia" w:ascii="宋体" w:hAnsi="宋体"/>
          <w:color w:val="auto"/>
          <w:szCs w:val="21"/>
        </w:rPr>
        <w:t>规定由乙方提供的其他服务。</w:t>
      </w:r>
    </w:p>
    <w:p>
      <w:pPr>
        <w:autoSpaceDE w:val="0"/>
        <w:autoSpaceDN w:val="0"/>
        <w:adjustRightInd w:val="0"/>
        <w:snapToGrid w:val="0"/>
        <w:spacing w:line="406" w:lineRule="exact"/>
        <w:ind w:firstLine="420" w:firstLineChars="200"/>
        <w:jc w:val="left"/>
        <w:rPr>
          <w:rFonts w:hint="eastAsia" w:ascii="宋体" w:hAnsi="宋体"/>
          <w:color w:val="auto"/>
          <w:szCs w:val="21"/>
        </w:rPr>
      </w:pPr>
      <w:r>
        <w:rPr>
          <w:rFonts w:hint="eastAsia" w:ascii="宋体" w:hAnsi="宋体"/>
          <w:color w:val="auto"/>
          <w:szCs w:val="21"/>
        </w:rPr>
        <w:t>14.2 乙方提供的售后服务的费用已包含在合同价款中，甲方不再另行支付。</w:t>
      </w:r>
    </w:p>
    <w:p>
      <w:pPr>
        <w:adjustRightInd w:val="0"/>
        <w:snapToGrid w:val="0"/>
        <w:spacing w:line="406" w:lineRule="exact"/>
        <w:jc w:val="left"/>
        <w:rPr>
          <w:rFonts w:hint="eastAsia" w:ascii="宋体" w:hAnsi="宋体"/>
          <w:b/>
          <w:bCs/>
          <w:color w:val="auto"/>
          <w:sz w:val="24"/>
        </w:rPr>
      </w:pPr>
      <w:r>
        <w:rPr>
          <w:rFonts w:hint="eastAsia" w:ascii="宋体" w:hAnsi="宋体"/>
          <w:b/>
          <w:bCs/>
          <w:color w:val="auto"/>
          <w:sz w:val="24"/>
        </w:rPr>
        <w:t>15. 违约责任</w:t>
      </w:r>
    </w:p>
    <w:p>
      <w:pPr>
        <w:adjustRightInd w:val="0"/>
        <w:snapToGrid w:val="0"/>
        <w:spacing w:line="406" w:lineRule="exact"/>
        <w:ind w:firstLine="420" w:firstLineChars="200"/>
        <w:jc w:val="left"/>
        <w:rPr>
          <w:rFonts w:hint="eastAsia" w:ascii="宋体" w:hAnsi="宋体"/>
          <w:bCs/>
          <w:color w:val="auto"/>
          <w:szCs w:val="21"/>
        </w:rPr>
      </w:pPr>
      <w:r>
        <w:rPr>
          <w:rFonts w:hint="eastAsia" w:ascii="宋体" w:hAnsi="宋体"/>
          <w:bCs/>
          <w:color w:val="auto"/>
          <w:szCs w:val="21"/>
        </w:rPr>
        <w:t>15.1质量瑕疵的违约责任</w:t>
      </w:r>
    </w:p>
    <w:p>
      <w:pPr>
        <w:autoSpaceDE w:val="0"/>
        <w:autoSpaceDN w:val="0"/>
        <w:adjustRightInd w:val="0"/>
        <w:snapToGrid w:val="0"/>
        <w:spacing w:line="406" w:lineRule="exact"/>
        <w:ind w:firstLine="420" w:firstLineChars="200"/>
        <w:jc w:val="left"/>
        <w:rPr>
          <w:rFonts w:hint="eastAsia" w:ascii="宋体" w:hAnsi="宋体"/>
          <w:color w:val="auto"/>
          <w:szCs w:val="21"/>
        </w:rPr>
      </w:pPr>
      <w:r>
        <w:rPr>
          <w:rFonts w:hint="eastAsia" w:ascii="宋体" w:hAnsi="宋体"/>
          <w:color w:val="auto"/>
          <w:szCs w:val="21"/>
        </w:rPr>
        <w:t>乙方提供的产品不符合合同约定的质量标准或存在产品质量缺陷，甲方有权要求乙方根据</w:t>
      </w:r>
      <w:r>
        <w:rPr>
          <w:rFonts w:hint="eastAsia" w:ascii="宋体" w:hAnsi="宋体"/>
          <w:b/>
          <w:color w:val="auto"/>
          <w:szCs w:val="21"/>
        </w:rPr>
        <w:t>【政府采购合同专用条款】</w:t>
      </w:r>
      <w:r>
        <w:rPr>
          <w:rFonts w:hint="eastAsia" w:ascii="宋体" w:hAnsi="宋体"/>
          <w:bCs/>
          <w:color w:val="auto"/>
          <w:szCs w:val="21"/>
        </w:rPr>
        <w:t>要求</w:t>
      </w:r>
      <w:r>
        <w:rPr>
          <w:rFonts w:hint="eastAsia" w:ascii="宋体" w:hAnsi="宋体"/>
          <w:color w:val="auto"/>
          <w:szCs w:val="21"/>
        </w:rPr>
        <w:t>及时修理、重作、更换，并承担由此给甲方造成的损失。</w:t>
      </w:r>
    </w:p>
    <w:p>
      <w:pPr>
        <w:autoSpaceDE w:val="0"/>
        <w:autoSpaceDN w:val="0"/>
        <w:adjustRightInd w:val="0"/>
        <w:snapToGrid w:val="0"/>
        <w:spacing w:line="406" w:lineRule="exact"/>
        <w:ind w:firstLine="420" w:firstLineChars="200"/>
        <w:jc w:val="left"/>
        <w:rPr>
          <w:rFonts w:hint="eastAsia" w:ascii="宋体" w:hAnsi="宋体"/>
          <w:bCs/>
          <w:color w:val="auto"/>
          <w:szCs w:val="21"/>
        </w:rPr>
      </w:pPr>
      <w:r>
        <w:rPr>
          <w:rFonts w:hint="eastAsia" w:ascii="宋体" w:hAnsi="宋体"/>
          <w:bCs/>
          <w:color w:val="auto"/>
          <w:szCs w:val="21"/>
        </w:rPr>
        <w:t>15.2 迟延交货的违约责任</w:t>
      </w:r>
    </w:p>
    <w:p>
      <w:pPr>
        <w:autoSpaceDE w:val="0"/>
        <w:autoSpaceDN w:val="0"/>
        <w:adjustRightInd w:val="0"/>
        <w:snapToGrid w:val="0"/>
        <w:spacing w:line="406" w:lineRule="exact"/>
        <w:ind w:firstLine="420" w:firstLineChars="200"/>
        <w:jc w:val="left"/>
        <w:rPr>
          <w:rFonts w:hint="eastAsia" w:ascii="宋体" w:hAnsi="宋体"/>
          <w:color w:val="auto"/>
          <w:szCs w:val="21"/>
        </w:rPr>
      </w:pPr>
      <w:r>
        <w:rPr>
          <w:rFonts w:hint="eastAsia" w:ascii="宋体" w:hAnsi="宋体"/>
          <w:color w:val="auto"/>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pPr>
        <w:autoSpaceDE w:val="0"/>
        <w:autoSpaceDN w:val="0"/>
        <w:adjustRightInd w:val="0"/>
        <w:snapToGrid w:val="0"/>
        <w:spacing w:line="406" w:lineRule="exact"/>
        <w:ind w:firstLine="420" w:firstLineChars="200"/>
        <w:jc w:val="left"/>
        <w:rPr>
          <w:rFonts w:hint="eastAsia" w:ascii="宋体" w:hAnsi="宋体"/>
          <w:color w:val="auto"/>
          <w:szCs w:val="21"/>
        </w:rPr>
      </w:pPr>
      <w:r>
        <w:rPr>
          <w:rFonts w:hint="eastAsia" w:ascii="宋体" w:hAnsi="宋体"/>
          <w:color w:val="auto"/>
          <w:szCs w:val="21"/>
        </w:rPr>
        <w:t>（2）如果乙方没有按照合同规定的时间交货和提供相关服务，甲方有权从货款中扣除误期赔偿费而不影响合同项下的其他补救方法，赔偿费按</w:t>
      </w:r>
      <w:r>
        <w:rPr>
          <w:rFonts w:hint="eastAsia" w:ascii="宋体" w:hAnsi="宋体"/>
          <w:b/>
          <w:color w:val="auto"/>
          <w:szCs w:val="21"/>
        </w:rPr>
        <w:t>【政府采购合同专用条款】</w:t>
      </w:r>
      <w:r>
        <w:rPr>
          <w:rFonts w:hint="eastAsia" w:ascii="宋体" w:hAnsi="宋体"/>
          <w:color w:val="auto"/>
          <w:szCs w:val="21"/>
        </w:rPr>
        <w:t>规定执行。如果涉及公共利益，且赔偿金额无法弥补公共利益损失，甲方可要求继续履行或者采取其他补救措施。</w:t>
      </w:r>
    </w:p>
    <w:p>
      <w:pPr>
        <w:autoSpaceDE w:val="0"/>
        <w:autoSpaceDN w:val="0"/>
        <w:adjustRightInd w:val="0"/>
        <w:snapToGrid w:val="0"/>
        <w:spacing w:line="406" w:lineRule="exact"/>
        <w:ind w:firstLine="420" w:firstLineChars="200"/>
        <w:jc w:val="left"/>
        <w:rPr>
          <w:rFonts w:hint="eastAsia" w:ascii="宋体" w:hAnsi="宋体"/>
          <w:color w:val="auto"/>
          <w:szCs w:val="21"/>
        </w:rPr>
      </w:pPr>
      <w:r>
        <w:rPr>
          <w:rFonts w:hint="eastAsia" w:ascii="宋体" w:hAnsi="宋体"/>
          <w:color w:val="auto"/>
          <w:szCs w:val="21"/>
        </w:rPr>
        <w:t>15.3 迟延支付的违约责任</w:t>
      </w:r>
    </w:p>
    <w:p>
      <w:pPr>
        <w:autoSpaceDE w:val="0"/>
        <w:autoSpaceDN w:val="0"/>
        <w:adjustRightInd w:val="0"/>
        <w:snapToGrid w:val="0"/>
        <w:spacing w:line="406" w:lineRule="exact"/>
        <w:ind w:firstLine="420" w:firstLineChars="200"/>
        <w:jc w:val="left"/>
        <w:rPr>
          <w:rFonts w:hint="eastAsia" w:ascii="宋体" w:hAnsi="宋体"/>
          <w:color w:val="auto"/>
          <w:szCs w:val="21"/>
        </w:rPr>
      </w:pPr>
      <w:r>
        <w:rPr>
          <w:rFonts w:hint="eastAsia" w:ascii="宋体" w:hAnsi="宋体"/>
          <w:color w:val="auto"/>
          <w:szCs w:val="21"/>
        </w:rPr>
        <w:t>甲方存在迟延支付乙方合同款项的，应当承担</w:t>
      </w:r>
      <w:r>
        <w:rPr>
          <w:rFonts w:hint="eastAsia" w:ascii="宋体" w:hAnsi="宋体"/>
          <w:b/>
          <w:bCs/>
          <w:color w:val="auto"/>
          <w:szCs w:val="21"/>
        </w:rPr>
        <w:t>【政府采购合同专用条款】</w:t>
      </w:r>
      <w:r>
        <w:rPr>
          <w:rFonts w:hint="eastAsia" w:ascii="宋体" w:hAnsi="宋体"/>
          <w:color w:val="auto"/>
          <w:szCs w:val="21"/>
        </w:rPr>
        <w:t>规定的逾期付款利息。</w:t>
      </w:r>
    </w:p>
    <w:p>
      <w:pPr>
        <w:adjustRightInd w:val="0"/>
        <w:snapToGrid w:val="0"/>
        <w:spacing w:line="406" w:lineRule="exact"/>
        <w:ind w:firstLine="420" w:firstLineChars="200"/>
        <w:jc w:val="left"/>
        <w:rPr>
          <w:rFonts w:hint="eastAsia" w:ascii="宋体" w:hAnsi="宋体"/>
          <w:color w:val="auto"/>
          <w:szCs w:val="21"/>
        </w:rPr>
      </w:pPr>
      <w:r>
        <w:rPr>
          <w:rFonts w:hint="eastAsia" w:ascii="宋体" w:hAnsi="宋体"/>
          <w:bCs/>
          <w:color w:val="auto"/>
          <w:szCs w:val="21"/>
        </w:rPr>
        <w:t>15.4其他违约责任根据项目实际需要按</w:t>
      </w:r>
      <w:r>
        <w:rPr>
          <w:rFonts w:hint="eastAsia" w:ascii="宋体" w:hAnsi="宋体"/>
          <w:b/>
          <w:bCs/>
          <w:color w:val="auto"/>
          <w:szCs w:val="21"/>
        </w:rPr>
        <w:t>【政府采购合同专用条款】</w:t>
      </w:r>
      <w:r>
        <w:rPr>
          <w:rFonts w:hint="eastAsia" w:ascii="宋体" w:hAnsi="宋体"/>
          <w:color w:val="auto"/>
          <w:szCs w:val="21"/>
        </w:rPr>
        <w:t>规定执行。</w:t>
      </w:r>
    </w:p>
    <w:p>
      <w:pPr>
        <w:numPr>
          <w:ilvl w:val="0"/>
          <w:numId w:val="8"/>
        </w:numPr>
        <w:autoSpaceDE w:val="0"/>
        <w:autoSpaceDN w:val="0"/>
        <w:adjustRightInd w:val="0"/>
        <w:snapToGrid w:val="0"/>
        <w:spacing w:line="406" w:lineRule="exact"/>
        <w:ind w:firstLine="482" w:firstLineChars="200"/>
        <w:jc w:val="left"/>
        <w:rPr>
          <w:rFonts w:hint="eastAsia" w:ascii="宋体" w:hAnsi="宋体"/>
          <w:b/>
          <w:color w:val="auto"/>
          <w:sz w:val="24"/>
        </w:rPr>
      </w:pPr>
      <w:r>
        <w:rPr>
          <w:rFonts w:hint="eastAsia" w:ascii="宋体" w:hAnsi="宋体"/>
          <w:b/>
          <w:color w:val="auto"/>
          <w:sz w:val="24"/>
        </w:rPr>
        <w:t>合同变更、中止与终止</w:t>
      </w:r>
    </w:p>
    <w:p>
      <w:pPr>
        <w:adjustRightInd w:val="0"/>
        <w:snapToGrid w:val="0"/>
        <w:spacing w:line="406" w:lineRule="exact"/>
        <w:jc w:val="left"/>
        <w:rPr>
          <w:rFonts w:hint="eastAsia" w:ascii="宋体" w:hAnsi="宋体"/>
          <w:color w:val="auto"/>
          <w:szCs w:val="21"/>
        </w:rPr>
      </w:pPr>
      <w:r>
        <w:rPr>
          <w:rFonts w:hint="eastAsia" w:ascii="宋体" w:hAnsi="宋体"/>
          <w:color w:val="auto"/>
          <w:szCs w:val="21"/>
        </w:rPr>
        <w:t xml:space="preserve">    16.1合同的变更</w:t>
      </w:r>
    </w:p>
    <w:p>
      <w:pPr>
        <w:autoSpaceDE w:val="0"/>
        <w:autoSpaceDN w:val="0"/>
        <w:adjustRightInd w:val="0"/>
        <w:snapToGrid w:val="0"/>
        <w:spacing w:line="406" w:lineRule="exact"/>
        <w:ind w:firstLine="420" w:firstLineChars="200"/>
        <w:jc w:val="left"/>
        <w:rPr>
          <w:rFonts w:hint="eastAsia" w:ascii="宋体" w:hAnsi="宋体"/>
          <w:color w:val="auto"/>
          <w:szCs w:val="21"/>
        </w:rPr>
      </w:pPr>
      <w:r>
        <w:rPr>
          <w:rFonts w:hint="eastAsia" w:ascii="宋体" w:hAnsi="宋体"/>
          <w:color w:val="auto"/>
          <w:szCs w:val="21"/>
        </w:rPr>
        <w:t>政府采购合同履行中，在不改变合同其他条款的前提下，甲方可以在合同价款10%的范围内追加与合同标的相同的货物，并就此与乙方协商一致后签订补充协议。</w:t>
      </w:r>
    </w:p>
    <w:p>
      <w:pPr>
        <w:adjustRightInd w:val="0"/>
        <w:snapToGrid w:val="0"/>
        <w:spacing w:line="406" w:lineRule="exact"/>
        <w:ind w:firstLine="420" w:firstLineChars="200"/>
        <w:jc w:val="left"/>
        <w:rPr>
          <w:rFonts w:hint="eastAsia" w:ascii="宋体" w:hAnsi="宋体"/>
          <w:color w:val="auto"/>
          <w:szCs w:val="21"/>
        </w:rPr>
      </w:pPr>
      <w:r>
        <w:rPr>
          <w:rFonts w:hint="eastAsia" w:ascii="宋体" w:hAnsi="宋体"/>
          <w:color w:val="auto"/>
          <w:szCs w:val="21"/>
        </w:rPr>
        <w:t>16.2合同的中止</w:t>
      </w:r>
    </w:p>
    <w:p>
      <w:pPr>
        <w:autoSpaceDE w:val="0"/>
        <w:autoSpaceDN w:val="0"/>
        <w:adjustRightInd w:val="0"/>
        <w:snapToGrid w:val="0"/>
        <w:spacing w:line="406" w:lineRule="exact"/>
        <w:ind w:firstLine="420" w:firstLineChars="200"/>
        <w:jc w:val="left"/>
        <w:rPr>
          <w:rFonts w:hint="eastAsia" w:ascii="宋体" w:hAnsi="宋体"/>
          <w:color w:val="auto"/>
          <w:szCs w:val="21"/>
        </w:rPr>
      </w:pPr>
      <w:r>
        <w:rPr>
          <w:rFonts w:hint="eastAsia" w:ascii="宋体" w:hAnsi="宋体"/>
          <w:color w:val="auto"/>
          <w:szCs w:val="21"/>
        </w:rPr>
        <w:t>（1）合同履行过程中因供应商就采购文件、采购过程或结果提起投诉的，甲方认为有必要的，可以中止合同的履行。</w:t>
      </w:r>
    </w:p>
    <w:p>
      <w:pPr>
        <w:autoSpaceDE w:val="0"/>
        <w:autoSpaceDN w:val="0"/>
        <w:adjustRightInd w:val="0"/>
        <w:snapToGrid w:val="0"/>
        <w:spacing w:line="406" w:lineRule="exact"/>
        <w:ind w:firstLine="420" w:firstLineChars="200"/>
        <w:jc w:val="left"/>
        <w:rPr>
          <w:rFonts w:hint="eastAsia" w:ascii="宋体" w:hAnsi="宋体"/>
          <w:color w:val="auto"/>
          <w:szCs w:val="21"/>
        </w:rPr>
      </w:pPr>
      <w:r>
        <w:rPr>
          <w:rFonts w:hint="eastAsia" w:ascii="宋体" w:hAnsi="宋体"/>
          <w:color w:val="auto"/>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pPr>
        <w:widowControl/>
        <w:autoSpaceDE w:val="0"/>
        <w:autoSpaceDN w:val="0"/>
        <w:adjustRightInd w:val="0"/>
        <w:spacing w:line="406" w:lineRule="exact"/>
        <w:ind w:firstLine="420" w:firstLineChars="200"/>
        <w:rPr>
          <w:rFonts w:hint="eastAsia" w:ascii="华文楷体" w:hAnsi="华文楷体" w:eastAsia="华文楷体" w:cs="华文楷体"/>
          <w:color w:val="auto"/>
          <w:kern w:val="0"/>
          <w:szCs w:val="21"/>
        </w:rPr>
      </w:pPr>
      <w:r>
        <w:rPr>
          <w:rFonts w:hint="eastAsia" w:ascii="宋体" w:hAnsi="宋体" w:cs="宋体"/>
          <w:color w:val="auto"/>
          <w:kern w:val="0"/>
          <w:szCs w:val="21"/>
        </w:rPr>
        <w:t>（3）乙方分立、合并或者变更住所的，应当及时以书面形式告知甲方。乙方没有及时告知甲方，致使合同履行发生困难的，甲方可以中止合同履行并要求乙方承担由此给甲方造成的损失。</w:t>
      </w:r>
    </w:p>
    <w:p>
      <w:pPr>
        <w:snapToGrid w:val="0"/>
        <w:spacing w:line="406" w:lineRule="exact"/>
        <w:ind w:firstLine="420" w:firstLineChars="200"/>
        <w:jc w:val="left"/>
        <w:rPr>
          <w:color w:val="auto"/>
        </w:rPr>
      </w:pPr>
      <w:r>
        <w:rPr>
          <w:rFonts w:hint="eastAsia" w:ascii="宋体" w:hAnsi="宋体"/>
          <w:color w:val="auto"/>
          <w:szCs w:val="21"/>
        </w:rPr>
        <w:t>（4）甲方不得以行政区划调整、政府换届、机构或者职能调整以及相关责任人更替为由中止合同。</w:t>
      </w:r>
    </w:p>
    <w:p>
      <w:pPr>
        <w:adjustRightInd w:val="0"/>
        <w:snapToGrid w:val="0"/>
        <w:spacing w:line="406" w:lineRule="exact"/>
        <w:ind w:firstLine="420" w:firstLineChars="200"/>
        <w:jc w:val="left"/>
        <w:rPr>
          <w:rFonts w:hint="eastAsia" w:ascii="宋体" w:hAnsi="宋体"/>
          <w:color w:val="auto"/>
          <w:szCs w:val="21"/>
        </w:rPr>
      </w:pPr>
      <w:r>
        <w:rPr>
          <w:rFonts w:hint="eastAsia" w:ascii="宋体" w:hAnsi="宋体"/>
          <w:color w:val="auto"/>
          <w:szCs w:val="21"/>
        </w:rPr>
        <w:t>16.3合同的终止</w:t>
      </w:r>
    </w:p>
    <w:p>
      <w:pPr>
        <w:autoSpaceDE w:val="0"/>
        <w:autoSpaceDN w:val="0"/>
        <w:adjustRightInd w:val="0"/>
        <w:snapToGrid w:val="0"/>
        <w:spacing w:line="406" w:lineRule="exact"/>
        <w:ind w:firstLine="420" w:firstLineChars="200"/>
        <w:jc w:val="left"/>
        <w:rPr>
          <w:rFonts w:hint="eastAsia" w:ascii="宋体" w:hAnsi="宋体"/>
          <w:color w:val="auto"/>
          <w:szCs w:val="21"/>
        </w:rPr>
      </w:pPr>
      <w:r>
        <w:rPr>
          <w:rFonts w:hint="eastAsia" w:ascii="宋体" w:hAnsi="宋体"/>
          <w:color w:val="auto"/>
          <w:szCs w:val="21"/>
        </w:rPr>
        <w:t>（1）合同因有效期限届满而终止；</w:t>
      </w:r>
    </w:p>
    <w:p>
      <w:pPr>
        <w:snapToGrid w:val="0"/>
        <w:spacing w:line="406" w:lineRule="exact"/>
        <w:ind w:firstLine="420" w:firstLineChars="200"/>
        <w:rPr>
          <w:rFonts w:hint="eastAsia" w:ascii="宋体" w:hAnsi="宋体" w:cs="宋体"/>
          <w:color w:val="auto"/>
          <w:szCs w:val="21"/>
        </w:rPr>
      </w:pPr>
      <w:r>
        <w:rPr>
          <w:rFonts w:hint="eastAsia" w:ascii="宋体" w:hAnsi="宋体"/>
          <w:color w:val="auto"/>
          <w:szCs w:val="21"/>
        </w:rPr>
        <w:t>（2）乙方未按合同约定履行，构成根本性违约的，甲方有权终止合同，</w:t>
      </w:r>
      <w:r>
        <w:rPr>
          <w:rFonts w:hint="eastAsia" w:ascii="宋体" w:hAnsi="宋体" w:cs="宋体"/>
          <w:color w:val="auto"/>
          <w:szCs w:val="21"/>
        </w:rPr>
        <w:t>并追究乙方的违约责任</w:t>
      </w:r>
      <w:r>
        <w:rPr>
          <w:rFonts w:hint="eastAsia" w:ascii="宋体" w:hAnsi="宋体"/>
          <w:color w:val="auto"/>
          <w:szCs w:val="21"/>
        </w:rPr>
        <w:t>。</w:t>
      </w:r>
    </w:p>
    <w:p>
      <w:pPr>
        <w:widowControl/>
        <w:autoSpaceDE w:val="0"/>
        <w:autoSpaceDN w:val="0"/>
        <w:adjustRightInd w:val="0"/>
        <w:spacing w:line="406" w:lineRule="exact"/>
        <w:ind w:firstLine="440" w:firstLineChars="200"/>
        <w:jc w:val="left"/>
        <w:rPr>
          <w:rFonts w:hint="eastAsia" w:ascii="宋体" w:hAnsi="宋体" w:eastAsia="华文楷体" w:cs="华文楷体"/>
          <w:color w:val="auto"/>
          <w:kern w:val="0"/>
          <w:sz w:val="22"/>
          <w:szCs w:val="21"/>
        </w:rPr>
      </w:pPr>
      <w:r>
        <w:rPr>
          <w:rFonts w:hint="eastAsia" w:ascii="宋体" w:hAnsi="宋体" w:eastAsia="华文楷体" w:cs="华文楷体"/>
          <w:color w:val="auto"/>
          <w:kern w:val="0"/>
          <w:sz w:val="22"/>
          <w:szCs w:val="21"/>
        </w:rPr>
        <w:t xml:space="preserve">16.4 </w:t>
      </w:r>
      <w:r>
        <w:rPr>
          <w:rFonts w:hint="eastAsia" w:ascii="宋体" w:hAnsi="宋体"/>
          <w:color w:val="auto"/>
          <w:szCs w:val="21"/>
        </w:rPr>
        <w:t>涉及国家利益、社会公共利益的情形</w:t>
      </w:r>
    </w:p>
    <w:p>
      <w:pPr>
        <w:widowControl/>
        <w:autoSpaceDE w:val="0"/>
        <w:autoSpaceDN w:val="0"/>
        <w:adjustRightInd w:val="0"/>
        <w:spacing w:line="406" w:lineRule="exact"/>
        <w:ind w:firstLine="420" w:firstLineChars="200"/>
        <w:rPr>
          <w:rFonts w:hint="eastAsia" w:ascii="华文楷体" w:hAnsi="华文楷体" w:eastAsia="华文楷体" w:cs="华文楷体"/>
          <w:color w:val="auto"/>
          <w:kern w:val="0"/>
          <w:szCs w:val="21"/>
        </w:rPr>
      </w:pPr>
      <w:r>
        <w:rPr>
          <w:rFonts w:hint="eastAsia" w:ascii="宋体" w:hAnsi="宋体" w:cs="宋体"/>
          <w:color w:val="auto"/>
          <w:kern w:val="0"/>
          <w:szCs w:val="21"/>
        </w:rPr>
        <w:t>政府采购合同继续履行将损害国家利益和社会公共利益的，双方当事人应当变更、中止或者终止合同。有过错的一方应当承担赔偿责任，双方都有过错的，各自承担相应的责任。</w:t>
      </w:r>
    </w:p>
    <w:p>
      <w:pPr>
        <w:autoSpaceDE w:val="0"/>
        <w:autoSpaceDN w:val="0"/>
        <w:adjustRightInd w:val="0"/>
        <w:snapToGrid w:val="0"/>
        <w:spacing w:line="406" w:lineRule="exact"/>
        <w:jc w:val="left"/>
        <w:rPr>
          <w:rFonts w:hint="eastAsia" w:ascii="宋体" w:hAnsi="宋体"/>
          <w:b/>
          <w:bCs/>
          <w:color w:val="auto"/>
          <w:sz w:val="24"/>
        </w:rPr>
      </w:pPr>
      <w:r>
        <w:rPr>
          <w:rFonts w:hint="eastAsia" w:ascii="宋体" w:hAnsi="宋体"/>
          <w:b/>
          <w:bCs/>
          <w:color w:val="auto"/>
          <w:sz w:val="24"/>
        </w:rPr>
        <w:t>17. 合同分包</w:t>
      </w:r>
    </w:p>
    <w:p>
      <w:pPr>
        <w:autoSpaceDE w:val="0"/>
        <w:autoSpaceDN w:val="0"/>
        <w:adjustRightInd w:val="0"/>
        <w:snapToGrid w:val="0"/>
        <w:spacing w:line="406" w:lineRule="exact"/>
        <w:ind w:firstLine="420" w:firstLineChars="200"/>
        <w:jc w:val="left"/>
        <w:rPr>
          <w:rFonts w:hint="eastAsia" w:ascii="宋体" w:hAnsi="宋体"/>
          <w:color w:val="auto"/>
          <w:szCs w:val="21"/>
        </w:rPr>
      </w:pPr>
      <w:r>
        <w:rPr>
          <w:rFonts w:hint="eastAsia" w:ascii="宋体" w:hAnsi="宋体"/>
          <w:color w:val="auto"/>
          <w:szCs w:val="21"/>
        </w:rPr>
        <w:t>17.1 乙方不得将合同转包给其他供应商。涉及合同分包的，乙方应根据采购文件和投标（响应）文件规定进行合同分包。</w:t>
      </w:r>
    </w:p>
    <w:p>
      <w:pPr>
        <w:autoSpaceDE w:val="0"/>
        <w:autoSpaceDN w:val="0"/>
        <w:adjustRightInd w:val="0"/>
        <w:snapToGrid w:val="0"/>
        <w:spacing w:line="406" w:lineRule="exact"/>
        <w:ind w:firstLine="420" w:firstLineChars="200"/>
        <w:jc w:val="left"/>
        <w:rPr>
          <w:rFonts w:hint="eastAsia" w:ascii="宋体" w:hAnsi="宋体"/>
          <w:color w:val="auto"/>
          <w:szCs w:val="21"/>
        </w:rPr>
      </w:pPr>
      <w:r>
        <w:rPr>
          <w:rFonts w:hint="eastAsia" w:ascii="宋体" w:hAnsi="宋体"/>
          <w:color w:val="auto"/>
          <w:szCs w:val="21"/>
        </w:rPr>
        <w:t>17.2 乙方执行政府采购政策向中小企业依法分包的，乙方应当按采购文件和投标（响应）文件签订分包意向协议，分包意向协议属于本合同组成部分。</w:t>
      </w:r>
    </w:p>
    <w:p>
      <w:pPr>
        <w:autoSpaceDE w:val="0"/>
        <w:autoSpaceDN w:val="0"/>
        <w:adjustRightInd w:val="0"/>
        <w:snapToGrid w:val="0"/>
        <w:spacing w:line="406" w:lineRule="exact"/>
        <w:jc w:val="left"/>
        <w:rPr>
          <w:rFonts w:hint="eastAsia" w:ascii="宋体" w:hAnsi="宋体"/>
          <w:b/>
          <w:bCs/>
          <w:color w:val="auto"/>
          <w:sz w:val="24"/>
        </w:rPr>
      </w:pPr>
      <w:r>
        <w:rPr>
          <w:rFonts w:hint="eastAsia" w:ascii="宋体" w:hAnsi="宋体"/>
          <w:b/>
          <w:bCs/>
          <w:color w:val="auto"/>
          <w:sz w:val="24"/>
        </w:rPr>
        <w:t>18. 不可抗力</w:t>
      </w:r>
    </w:p>
    <w:p>
      <w:pPr>
        <w:autoSpaceDE w:val="0"/>
        <w:autoSpaceDN w:val="0"/>
        <w:adjustRightInd w:val="0"/>
        <w:snapToGrid w:val="0"/>
        <w:spacing w:line="406" w:lineRule="exact"/>
        <w:ind w:firstLine="420" w:firstLineChars="200"/>
        <w:jc w:val="left"/>
        <w:rPr>
          <w:rFonts w:hint="eastAsia" w:ascii="宋体" w:hAnsi="宋体"/>
          <w:color w:val="auto"/>
          <w:szCs w:val="21"/>
        </w:rPr>
      </w:pPr>
      <w:r>
        <w:rPr>
          <w:rFonts w:hint="eastAsia" w:ascii="宋体" w:hAnsi="宋体"/>
          <w:color w:val="auto"/>
          <w:szCs w:val="21"/>
        </w:rPr>
        <w:t>18.1 不可抗力是指合同双方不能预见、不能避免且不能克服的客观情况。</w:t>
      </w:r>
    </w:p>
    <w:p>
      <w:pPr>
        <w:autoSpaceDE w:val="0"/>
        <w:autoSpaceDN w:val="0"/>
        <w:adjustRightInd w:val="0"/>
        <w:snapToGrid w:val="0"/>
        <w:spacing w:line="406" w:lineRule="exact"/>
        <w:ind w:firstLine="420" w:firstLineChars="200"/>
        <w:jc w:val="left"/>
        <w:rPr>
          <w:rFonts w:hint="eastAsia" w:ascii="宋体" w:hAnsi="宋体"/>
          <w:color w:val="auto"/>
          <w:szCs w:val="21"/>
        </w:rPr>
      </w:pPr>
      <w:r>
        <w:rPr>
          <w:rFonts w:hint="eastAsia" w:ascii="宋体" w:hAnsi="宋体"/>
          <w:color w:val="auto"/>
          <w:szCs w:val="21"/>
        </w:rPr>
        <w:t>18.2 任何一方对由于不可抗力造成的部分或全部不能履行合同不承担违约责任。但迟延履行后发生不可抗力的，不能免除责任。</w:t>
      </w:r>
    </w:p>
    <w:p>
      <w:pPr>
        <w:autoSpaceDE w:val="0"/>
        <w:autoSpaceDN w:val="0"/>
        <w:adjustRightInd w:val="0"/>
        <w:snapToGrid w:val="0"/>
        <w:spacing w:line="406" w:lineRule="exact"/>
        <w:ind w:firstLine="420" w:firstLineChars="200"/>
        <w:jc w:val="left"/>
        <w:rPr>
          <w:rFonts w:hint="eastAsia" w:ascii="宋体" w:hAnsi="宋体"/>
          <w:color w:val="auto"/>
          <w:szCs w:val="21"/>
        </w:rPr>
      </w:pPr>
      <w:r>
        <w:rPr>
          <w:rFonts w:hint="eastAsia" w:ascii="宋体" w:hAnsi="宋体"/>
          <w:color w:val="auto"/>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pPr>
        <w:autoSpaceDE w:val="0"/>
        <w:autoSpaceDN w:val="0"/>
        <w:adjustRightInd w:val="0"/>
        <w:snapToGrid w:val="0"/>
        <w:spacing w:line="406" w:lineRule="exact"/>
        <w:jc w:val="left"/>
        <w:rPr>
          <w:rFonts w:hint="eastAsia" w:ascii="宋体" w:hAnsi="宋体"/>
          <w:b/>
          <w:bCs/>
          <w:color w:val="auto"/>
          <w:sz w:val="24"/>
        </w:rPr>
      </w:pPr>
      <w:r>
        <w:rPr>
          <w:rFonts w:hint="eastAsia" w:ascii="宋体" w:hAnsi="宋体"/>
          <w:b/>
          <w:bCs/>
          <w:color w:val="auto"/>
          <w:sz w:val="24"/>
        </w:rPr>
        <w:t>19. 解决争议的方法</w:t>
      </w:r>
    </w:p>
    <w:p>
      <w:pPr>
        <w:widowControl/>
        <w:autoSpaceDE w:val="0"/>
        <w:autoSpaceDN w:val="0"/>
        <w:adjustRightInd w:val="0"/>
        <w:spacing w:line="406" w:lineRule="exact"/>
        <w:ind w:firstLine="420" w:firstLineChars="200"/>
        <w:rPr>
          <w:rFonts w:hint="eastAsia" w:ascii="宋体" w:hAnsi="宋体" w:cs="宋体"/>
          <w:color w:val="auto"/>
          <w:kern w:val="0"/>
          <w:szCs w:val="21"/>
        </w:rPr>
      </w:pPr>
      <w:r>
        <w:rPr>
          <w:rFonts w:hint="eastAsia" w:ascii="宋体" w:hAnsi="宋体" w:cs="宋体"/>
          <w:color w:val="auto"/>
          <w:kern w:val="0"/>
          <w:szCs w:val="21"/>
        </w:rPr>
        <w:t>19.1 因本合同及合同有关事项发生的争议，由甲乙双方友好协商解决。协商不成时，可以向有关组织申请调解。合同一方或双方不愿调解或调解不成的，可以通过仲裁或诉讼的方式解决争议。</w:t>
      </w:r>
    </w:p>
    <w:p>
      <w:pPr>
        <w:widowControl/>
        <w:autoSpaceDE w:val="0"/>
        <w:autoSpaceDN w:val="0"/>
        <w:adjustRightInd w:val="0"/>
        <w:spacing w:line="406" w:lineRule="exact"/>
        <w:ind w:firstLine="420" w:firstLineChars="200"/>
        <w:rPr>
          <w:rFonts w:hint="eastAsia" w:ascii="宋体" w:hAnsi="宋体" w:cs="宋体"/>
          <w:color w:val="auto"/>
          <w:kern w:val="0"/>
          <w:szCs w:val="21"/>
        </w:rPr>
      </w:pPr>
      <w:r>
        <w:rPr>
          <w:rFonts w:hint="eastAsia" w:ascii="宋体" w:hAnsi="宋体" w:cs="宋体"/>
          <w:color w:val="auto"/>
          <w:kern w:val="0"/>
          <w:szCs w:val="21"/>
        </w:rPr>
        <w:t>19.2 选择仲裁的，应在</w:t>
      </w:r>
      <w:r>
        <w:rPr>
          <w:rFonts w:hint="eastAsia" w:ascii="宋体" w:hAnsi="宋体" w:cs="宋体"/>
          <w:b/>
          <w:bCs/>
          <w:color w:val="auto"/>
          <w:kern w:val="0"/>
          <w:szCs w:val="21"/>
        </w:rPr>
        <w:t>【政府采购合同专用条款】</w:t>
      </w:r>
      <w:r>
        <w:rPr>
          <w:rFonts w:hint="eastAsia" w:ascii="宋体" w:hAnsi="宋体" w:cs="宋体"/>
          <w:color w:val="auto"/>
          <w:kern w:val="0"/>
          <w:szCs w:val="21"/>
        </w:rPr>
        <w:t>中明确仲裁机构及仲裁地；通过诉讼方式解决的，可以在</w:t>
      </w:r>
      <w:r>
        <w:rPr>
          <w:rFonts w:hint="eastAsia" w:ascii="宋体" w:hAnsi="宋体" w:cs="宋体"/>
          <w:b/>
          <w:bCs/>
          <w:color w:val="auto"/>
          <w:kern w:val="0"/>
          <w:szCs w:val="21"/>
        </w:rPr>
        <w:t>【政府采购合同专用条款】</w:t>
      </w:r>
      <w:r>
        <w:rPr>
          <w:rFonts w:hint="eastAsia" w:ascii="宋体" w:hAnsi="宋体" w:cs="宋体"/>
          <w:color w:val="auto"/>
          <w:kern w:val="0"/>
          <w:szCs w:val="21"/>
        </w:rPr>
        <w:t>中进一步约定选择与争议有实际联系的地点的人民法院管辖，但管辖法院的约定不得违反级别管辖和专属管辖的规定。</w:t>
      </w:r>
    </w:p>
    <w:p>
      <w:pPr>
        <w:widowControl/>
        <w:autoSpaceDE w:val="0"/>
        <w:autoSpaceDN w:val="0"/>
        <w:adjustRightInd w:val="0"/>
        <w:spacing w:line="406" w:lineRule="exact"/>
        <w:ind w:firstLine="420" w:firstLineChars="200"/>
        <w:rPr>
          <w:rFonts w:hint="eastAsia" w:ascii="宋体" w:hAnsi="宋体" w:cs="宋体"/>
          <w:color w:val="auto"/>
          <w:kern w:val="0"/>
          <w:szCs w:val="21"/>
        </w:rPr>
      </w:pPr>
      <w:r>
        <w:rPr>
          <w:rFonts w:hint="eastAsia" w:ascii="宋体" w:hAnsi="宋体" w:cs="宋体"/>
          <w:color w:val="auto"/>
          <w:kern w:val="0"/>
          <w:szCs w:val="21"/>
        </w:rPr>
        <w:t>19.3 如甲乙双方有争议的事项不影响合同其他部分的履行，在争议解决期间，合同其他部分应当继续履行。</w:t>
      </w:r>
    </w:p>
    <w:p>
      <w:pPr>
        <w:autoSpaceDE w:val="0"/>
        <w:autoSpaceDN w:val="0"/>
        <w:adjustRightInd w:val="0"/>
        <w:snapToGrid w:val="0"/>
        <w:spacing w:line="406" w:lineRule="exact"/>
        <w:jc w:val="left"/>
        <w:rPr>
          <w:rFonts w:hint="eastAsia" w:ascii="宋体" w:hAnsi="宋体"/>
          <w:color w:val="auto"/>
          <w:sz w:val="24"/>
        </w:rPr>
      </w:pPr>
      <w:r>
        <w:rPr>
          <w:rFonts w:hint="eastAsia" w:ascii="宋体" w:hAnsi="宋体"/>
          <w:b/>
          <w:color w:val="auto"/>
          <w:sz w:val="24"/>
        </w:rPr>
        <w:t>20. 政府采购政策</w:t>
      </w:r>
    </w:p>
    <w:p>
      <w:pPr>
        <w:autoSpaceDE w:val="0"/>
        <w:autoSpaceDN w:val="0"/>
        <w:adjustRightInd w:val="0"/>
        <w:snapToGrid w:val="0"/>
        <w:spacing w:line="406" w:lineRule="exact"/>
        <w:ind w:firstLine="420" w:firstLineChars="200"/>
        <w:jc w:val="left"/>
        <w:rPr>
          <w:rFonts w:hint="eastAsia" w:ascii="宋体" w:hAnsi="宋体"/>
          <w:color w:val="auto"/>
          <w:szCs w:val="21"/>
        </w:rPr>
      </w:pPr>
      <w:r>
        <w:rPr>
          <w:rFonts w:hint="eastAsia" w:ascii="宋体" w:hAnsi="宋体"/>
          <w:color w:val="auto"/>
          <w:szCs w:val="21"/>
        </w:rPr>
        <w:t xml:space="preserve">20.1 </w:t>
      </w:r>
      <w:r>
        <w:rPr>
          <w:rFonts w:hint="eastAsia" w:ascii="宋体" w:hAnsi="宋体" w:cs="宋体"/>
          <w:color w:val="auto"/>
          <w:lang w:val="en-GB"/>
        </w:rPr>
        <w:t>本合同应当按照规定执行政府采购政策。</w:t>
      </w:r>
    </w:p>
    <w:p>
      <w:pPr>
        <w:autoSpaceDE w:val="0"/>
        <w:autoSpaceDN w:val="0"/>
        <w:adjustRightInd w:val="0"/>
        <w:snapToGrid w:val="0"/>
        <w:spacing w:line="406" w:lineRule="exact"/>
        <w:ind w:firstLine="420" w:firstLineChars="200"/>
        <w:jc w:val="left"/>
        <w:rPr>
          <w:rFonts w:hint="eastAsia" w:ascii="宋体" w:hAnsi="宋体"/>
          <w:color w:val="auto"/>
          <w:szCs w:val="21"/>
        </w:rPr>
      </w:pPr>
      <w:r>
        <w:rPr>
          <w:rFonts w:ascii="宋体" w:hAnsi="宋体"/>
          <w:color w:val="auto"/>
          <w:szCs w:val="21"/>
        </w:rPr>
        <w:t>2</w:t>
      </w:r>
      <w:r>
        <w:rPr>
          <w:rFonts w:hint="eastAsia" w:ascii="宋体" w:hAnsi="宋体"/>
          <w:color w:val="auto"/>
          <w:szCs w:val="21"/>
        </w:rPr>
        <w:t>0.2 本合同依法执行政府采购政策的方式和内容，属于合同履约验收的范围。</w:t>
      </w:r>
      <w:r>
        <w:rPr>
          <w:rFonts w:hint="eastAsia" w:ascii="宋体" w:hAnsi="宋体" w:cs="宋体"/>
          <w:color w:val="auto"/>
        </w:rPr>
        <w:t>甲乙双方</w:t>
      </w:r>
      <w:r>
        <w:rPr>
          <w:rFonts w:hint="eastAsia" w:ascii="宋体" w:hAnsi="宋体" w:cs="宋体"/>
          <w:color w:val="auto"/>
          <w:lang w:val="en-GB"/>
        </w:rPr>
        <w:t>未按规定要求执行政府采购政策造成损失的</w:t>
      </w:r>
      <w:r>
        <w:rPr>
          <w:rFonts w:hint="eastAsia" w:ascii="宋体" w:hAnsi="宋体"/>
          <w:color w:val="auto"/>
          <w:szCs w:val="21"/>
        </w:rPr>
        <w:t>，有过错的一方应当承担赔偿责任，双方都有过错的，各自承担相应的责任。</w:t>
      </w:r>
    </w:p>
    <w:p>
      <w:pPr>
        <w:spacing w:line="406" w:lineRule="exact"/>
        <w:ind w:firstLine="420" w:firstLineChars="200"/>
        <w:rPr>
          <w:rFonts w:ascii="Calibri" w:hAnsi="Calibri"/>
          <w:color w:val="auto"/>
          <w:szCs w:val="22"/>
        </w:rPr>
      </w:pPr>
      <w:r>
        <w:rPr>
          <w:rFonts w:ascii="宋体" w:hAnsi="宋体"/>
          <w:color w:val="auto"/>
          <w:szCs w:val="21"/>
        </w:rPr>
        <w:t>2</w:t>
      </w:r>
      <w:r>
        <w:rPr>
          <w:rFonts w:hint="eastAsia" w:ascii="宋体" w:hAnsi="宋体"/>
          <w:color w:val="auto"/>
          <w:szCs w:val="21"/>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adjustRightInd w:val="0"/>
        <w:snapToGrid w:val="0"/>
        <w:spacing w:line="406" w:lineRule="exact"/>
        <w:jc w:val="left"/>
        <w:rPr>
          <w:rFonts w:hint="eastAsia" w:ascii="宋体" w:hAnsi="宋体"/>
          <w:b/>
          <w:color w:val="auto"/>
          <w:sz w:val="24"/>
        </w:rPr>
      </w:pPr>
      <w:r>
        <w:rPr>
          <w:rFonts w:hint="eastAsia" w:ascii="宋体" w:hAnsi="宋体"/>
          <w:b/>
          <w:color w:val="auto"/>
          <w:sz w:val="24"/>
        </w:rPr>
        <w:t>21. 法律适用</w:t>
      </w:r>
    </w:p>
    <w:p>
      <w:pPr>
        <w:widowControl/>
        <w:autoSpaceDE w:val="0"/>
        <w:autoSpaceDN w:val="0"/>
        <w:adjustRightInd w:val="0"/>
        <w:spacing w:line="406" w:lineRule="exact"/>
        <w:ind w:firstLine="420" w:firstLineChars="200"/>
        <w:rPr>
          <w:rFonts w:hint="eastAsia" w:ascii="宋体" w:hAnsi="宋体" w:cs="宋体"/>
          <w:color w:val="auto"/>
          <w:kern w:val="0"/>
          <w:szCs w:val="21"/>
        </w:rPr>
      </w:pPr>
      <w:r>
        <w:rPr>
          <w:rFonts w:hint="eastAsia" w:ascii="宋体" w:hAnsi="宋体" w:cs="宋体"/>
          <w:color w:val="auto"/>
          <w:kern w:val="0"/>
          <w:szCs w:val="21"/>
        </w:rPr>
        <w:t>21.1 本合同的订立、生效、解释、履行及与本合同有关的争议解决，均适用法律、行政法规。</w:t>
      </w:r>
    </w:p>
    <w:p>
      <w:pPr>
        <w:widowControl/>
        <w:autoSpaceDE w:val="0"/>
        <w:autoSpaceDN w:val="0"/>
        <w:adjustRightInd w:val="0"/>
        <w:spacing w:line="406" w:lineRule="exact"/>
        <w:ind w:firstLine="420" w:firstLineChars="200"/>
        <w:rPr>
          <w:rFonts w:hint="eastAsia" w:ascii="宋体" w:hAnsi="宋体" w:cs="宋体"/>
          <w:color w:val="auto"/>
          <w:kern w:val="0"/>
          <w:szCs w:val="21"/>
        </w:rPr>
      </w:pPr>
      <w:r>
        <w:rPr>
          <w:rFonts w:hint="eastAsia" w:ascii="宋体" w:hAnsi="宋体" w:cs="宋体"/>
          <w:color w:val="auto"/>
          <w:kern w:val="0"/>
          <w:szCs w:val="21"/>
        </w:rPr>
        <w:t>21.2 本合同条款与法律、行政法规的强制性规定不一致的，双方当事人应按照法律、行政法规的强制性规定修改本合同的相关条款。</w:t>
      </w:r>
    </w:p>
    <w:p>
      <w:pPr>
        <w:numPr>
          <w:ilvl w:val="255"/>
          <w:numId w:val="0"/>
        </w:numPr>
        <w:autoSpaceDE w:val="0"/>
        <w:autoSpaceDN w:val="0"/>
        <w:adjustRightInd w:val="0"/>
        <w:snapToGrid w:val="0"/>
        <w:spacing w:line="406" w:lineRule="exact"/>
        <w:jc w:val="left"/>
        <w:rPr>
          <w:rFonts w:hint="eastAsia" w:ascii="宋体" w:hAnsi="宋体"/>
          <w:b/>
          <w:color w:val="auto"/>
          <w:sz w:val="24"/>
        </w:rPr>
      </w:pPr>
      <w:r>
        <w:rPr>
          <w:rFonts w:hint="eastAsia" w:ascii="宋体" w:hAnsi="宋体"/>
          <w:b/>
          <w:color w:val="auto"/>
          <w:sz w:val="24"/>
        </w:rPr>
        <w:t>22. 通知</w:t>
      </w:r>
    </w:p>
    <w:p>
      <w:pPr>
        <w:widowControl/>
        <w:autoSpaceDE w:val="0"/>
        <w:autoSpaceDN w:val="0"/>
        <w:adjustRightInd w:val="0"/>
        <w:spacing w:line="406" w:lineRule="exact"/>
        <w:ind w:firstLine="420" w:firstLineChars="200"/>
        <w:rPr>
          <w:rFonts w:hint="eastAsia" w:ascii="宋体" w:hAnsi="宋体" w:cs="宋体"/>
          <w:color w:val="auto"/>
          <w:kern w:val="0"/>
          <w:szCs w:val="21"/>
        </w:rPr>
      </w:pPr>
      <w:r>
        <w:rPr>
          <w:rFonts w:hint="eastAsia" w:ascii="宋体" w:hAnsi="宋体" w:cs="宋体"/>
          <w:color w:val="auto"/>
          <w:kern w:val="0"/>
          <w:szCs w:val="21"/>
        </w:rPr>
        <w:t>22.1 本合同任何一方向对方发出的通知、信件、数据电文等，应当发送至本合同第一部分《政府采购合同协议书》所约定的通讯地址、联系人、联系电话或电子邮箱。</w:t>
      </w:r>
    </w:p>
    <w:p>
      <w:pPr>
        <w:widowControl/>
        <w:autoSpaceDE w:val="0"/>
        <w:autoSpaceDN w:val="0"/>
        <w:adjustRightInd w:val="0"/>
        <w:spacing w:line="406" w:lineRule="exact"/>
        <w:rPr>
          <w:rFonts w:hint="eastAsia" w:ascii="华文楷体" w:hAnsi="华文楷体" w:eastAsia="华文楷体" w:cs="华文楷体"/>
          <w:color w:val="auto"/>
          <w:kern w:val="0"/>
          <w:szCs w:val="21"/>
        </w:rPr>
      </w:pPr>
      <w:r>
        <w:rPr>
          <w:rFonts w:hint="eastAsia" w:ascii="宋体" w:hAnsi="宋体" w:cs="宋体"/>
          <w:color w:val="auto"/>
          <w:kern w:val="0"/>
          <w:szCs w:val="21"/>
        </w:rPr>
        <w:t xml:space="preserve">    22.2 一方当事人变更名称、住所、联系人、联系电话或电子邮箱等信息的，应当在变更后3日内及时书面通知对方，对方实际收到变更通知前的送达仍为有效送达。</w:t>
      </w:r>
    </w:p>
    <w:p>
      <w:pPr>
        <w:adjustRightInd w:val="0"/>
        <w:snapToGrid w:val="0"/>
        <w:spacing w:line="406" w:lineRule="exact"/>
        <w:ind w:firstLine="420" w:firstLineChars="200"/>
        <w:jc w:val="left"/>
        <w:rPr>
          <w:rFonts w:hint="eastAsia" w:ascii="宋体" w:hAnsi="宋体"/>
          <w:color w:val="auto"/>
          <w:szCs w:val="21"/>
        </w:rPr>
      </w:pPr>
      <w:r>
        <w:rPr>
          <w:rFonts w:hint="eastAsia" w:ascii="宋体" w:hAnsi="宋体"/>
          <w:color w:val="auto"/>
          <w:szCs w:val="21"/>
        </w:rPr>
        <w:t>22.3本合同一方给另一方的通知均应采用书面形式，传真或快递送到本合同中规定的对方的地址和办理签收手续。</w:t>
      </w:r>
    </w:p>
    <w:p>
      <w:pPr>
        <w:adjustRightInd w:val="0"/>
        <w:snapToGrid w:val="0"/>
        <w:spacing w:line="406" w:lineRule="exact"/>
        <w:ind w:firstLine="420" w:firstLineChars="200"/>
        <w:jc w:val="left"/>
        <w:rPr>
          <w:rFonts w:hint="eastAsia" w:ascii="宋体" w:hAnsi="宋体"/>
          <w:color w:val="auto"/>
          <w:szCs w:val="21"/>
        </w:rPr>
      </w:pPr>
      <w:r>
        <w:rPr>
          <w:rFonts w:hint="eastAsia" w:ascii="宋体" w:hAnsi="宋体"/>
          <w:color w:val="auto"/>
          <w:szCs w:val="21"/>
        </w:rPr>
        <w:t>22.4通知以送达之日或通知书中规定的生效之日起生效，两者中以较迟之日为准。</w:t>
      </w:r>
    </w:p>
    <w:p>
      <w:pPr>
        <w:numPr>
          <w:ilvl w:val="0"/>
          <w:numId w:val="9"/>
        </w:numPr>
        <w:adjustRightInd w:val="0"/>
        <w:snapToGrid w:val="0"/>
        <w:spacing w:line="406" w:lineRule="exact"/>
        <w:ind w:firstLine="482" w:firstLineChars="200"/>
        <w:jc w:val="left"/>
        <w:rPr>
          <w:rFonts w:hint="eastAsia" w:ascii="宋体" w:hAnsi="宋体"/>
          <w:b/>
          <w:bCs/>
          <w:color w:val="auto"/>
          <w:sz w:val="24"/>
        </w:rPr>
      </w:pPr>
      <w:r>
        <w:rPr>
          <w:rFonts w:hint="eastAsia" w:ascii="宋体" w:hAnsi="宋体"/>
          <w:b/>
          <w:bCs/>
          <w:color w:val="auto"/>
          <w:sz w:val="24"/>
        </w:rPr>
        <w:t>合同未尽事项</w:t>
      </w:r>
    </w:p>
    <w:p>
      <w:pPr>
        <w:adjustRightInd w:val="0"/>
        <w:snapToGrid w:val="0"/>
        <w:spacing w:line="406" w:lineRule="exact"/>
        <w:ind w:firstLine="420" w:firstLineChars="200"/>
        <w:jc w:val="left"/>
        <w:rPr>
          <w:rFonts w:hint="eastAsia" w:ascii="宋体" w:hAnsi="宋体"/>
          <w:bCs/>
          <w:color w:val="auto"/>
          <w:szCs w:val="21"/>
        </w:rPr>
      </w:pPr>
      <w:r>
        <w:rPr>
          <w:rFonts w:hint="eastAsia" w:ascii="宋体" w:hAnsi="宋体"/>
          <w:bCs/>
          <w:color w:val="auto"/>
          <w:szCs w:val="21"/>
        </w:rPr>
        <w:t>23.1合同未尽事项见</w:t>
      </w:r>
      <w:r>
        <w:rPr>
          <w:rFonts w:hint="eastAsia" w:ascii="宋体" w:hAnsi="宋体"/>
          <w:b/>
          <w:color w:val="auto"/>
          <w:szCs w:val="21"/>
        </w:rPr>
        <w:t>【政府采购合同专用条款】</w:t>
      </w:r>
      <w:r>
        <w:rPr>
          <w:rFonts w:hint="eastAsia" w:ascii="宋体" w:hAnsi="宋体"/>
          <w:bCs/>
          <w:color w:val="auto"/>
          <w:szCs w:val="21"/>
        </w:rPr>
        <w:t>。</w:t>
      </w:r>
    </w:p>
    <w:p>
      <w:pPr>
        <w:adjustRightInd w:val="0"/>
        <w:snapToGrid w:val="0"/>
        <w:spacing w:line="406" w:lineRule="exact"/>
        <w:jc w:val="left"/>
        <w:rPr>
          <w:rFonts w:hint="eastAsia" w:ascii="黑体" w:hAnsi="华文中宋" w:eastAsia="黑体"/>
          <w:color w:val="auto"/>
          <w:sz w:val="28"/>
          <w:szCs w:val="28"/>
        </w:rPr>
      </w:pPr>
      <w:r>
        <w:rPr>
          <w:rFonts w:hint="eastAsia" w:ascii="宋体" w:hAnsi="宋体"/>
          <w:bCs/>
          <w:color w:val="auto"/>
          <w:szCs w:val="21"/>
        </w:rPr>
        <w:t xml:space="preserve">    23.2 合同附件与合同正文具有同等的法律效力。</w:t>
      </w:r>
      <w:bookmarkStart w:id="128" w:name="_Toc20313"/>
    </w:p>
    <w:p>
      <w:pPr>
        <w:adjustRightInd w:val="0"/>
        <w:snapToGrid w:val="0"/>
        <w:jc w:val="center"/>
        <w:rPr>
          <w:rFonts w:hint="eastAsia" w:ascii="黑体" w:hAnsi="华文中宋" w:eastAsia="黑体"/>
          <w:color w:val="auto"/>
          <w:sz w:val="28"/>
          <w:szCs w:val="28"/>
        </w:rPr>
      </w:pPr>
      <w:r>
        <w:rPr>
          <w:rFonts w:hint="eastAsia" w:ascii="黑体" w:hAnsi="华文中宋" w:eastAsia="黑体"/>
          <w:color w:val="auto"/>
          <w:sz w:val="28"/>
          <w:szCs w:val="28"/>
        </w:rPr>
        <w:br w:type="page"/>
      </w:r>
    </w:p>
    <w:p>
      <w:pPr>
        <w:keepNext/>
        <w:keepLines/>
        <w:adjustRightInd w:val="0"/>
        <w:snapToGrid w:val="0"/>
        <w:spacing w:line="360" w:lineRule="auto"/>
        <w:jc w:val="center"/>
        <w:outlineLvl w:val="1"/>
        <w:rPr>
          <w:rFonts w:hint="eastAsia" w:ascii="黑体" w:hAnsi="华文中宋" w:eastAsia="黑体"/>
          <w:color w:val="auto"/>
          <w:sz w:val="28"/>
          <w:szCs w:val="28"/>
        </w:rPr>
      </w:pPr>
      <w:r>
        <w:rPr>
          <w:rFonts w:hint="eastAsia" w:ascii="黑体" w:hAnsi="华文中宋" w:eastAsia="黑体"/>
          <w:color w:val="auto"/>
          <w:sz w:val="28"/>
          <w:szCs w:val="28"/>
        </w:rPr>
        <w:t>第三节 政府采购合同专用条款</w:t>
      </w:r>
      <w:bookmarkEnd w:id="128"/>
    </w:p>
    <w:tbl>
      <w:tblPr>
        <w:tblStyle w:val="34"/>
        <w:tblW w:w="10065" w:type="dxa"/>
        <w:tblInd w:w="-157"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872"/>
        <w:gridCol w:w="2362"/>
        <w:gridCol w:w="5831"/>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872" w:type="dxa"/>
            <w:vAlign w:val="center"/>
          </w:tcPr>
          <w:p>
            <w:pPr>
              <w:adjustRightInd w:val="0"/>
              <w:snapToGrid w:val="0"/>
              <w:jc w:val="center"/>
              <w:rPr>
                <w:rFonts w:hint="eastAsia" w:ascii="宋体" w:hAnsi="宋体"/>
                <w:color w:val="auto"/>
                <w:szCs w:val="21"/>
              </w:rPr>
            </w:pPr>
            <w:r>
              <w:rPr>
                <w:rFonts w:hint="eastAsia" w:ascii="宋体" w:hAnsi="宋体"/>
                <w:color w:val="auto"/>
                <w:szCs w:val="21"/>
              </w:rPr>
              <w:t>第二节</w:t>
            </w:r>
          </w:p>
          <w:p>
            <w:pPr>
              <w:adjustRightInd w:val="0"/>
              <w:snapToGrid w:val="0"/>
              <w:jc w:val="center"/>
              <w:rPr>
                <w:rFonts w:hint="eastAsia" w:ascii="宋体" w:hAnsi="宋体"/>
                <w:color w:val="auto"/>
                <w:szCs w:val="21"/>
              </w:rPr>
            </w:pPr>
            <w:r>
              <w:rPr>
                <w:rFonts w:hint="eastAsia" w:ascii="宋体" w:hAnsi="宋体"/>
                <w:color w:val="auto"/>
                <w:szCs w:val="21"/>
              </w:rPr>
              <w:t>第1.2（6）项</w:t>
            </w:r>
          </w:p>
        </w:tc>
        <w:tc>
          <w:tcPr>
            <w:tcW w:w="2362" w:type="dxa"/>
            <w:vAlign w:val="center"/>
          </w:tcPr>
          <w:p>
            <w:pPr>
              <w:adjustRightInd w:val="0"/>
              <w:snapToGrid w:val="0"/>
              <w:jc w:val="left"/>
              <w:rPr>
                <w:rFonts w:hint="eastAsia" w:ascii="宋体" w:hAnsi="宋体"/>
                <w:color w:val="auto"/>
                <w:szCs w:val="21"/>
              </w:rPr>
            </w:pPr>
            <w:r>
              <w:rPr>
                <w:rFonts w:hint="eastAsia" w:ascii="宋体" w:hAnsi="宋体"/>
                <w:color w:val="auto"/>
                <w:szCs w:val="21"/>
              </w:rPr>
              <w:t>联合体具体要求</w:t>
            </w:r>
          </w:p>
        </w:tc>
        <w:tc>
          <w:tcPr>
            <w:tcW w:w="5831" w:type="dxa"/>
            <w:vAlign w:val="center"/>
          </w:tcPr>
          <w:p>
            <w:pPr>
              <w:adjustRightInd w:val="0"/>
              <w:snapToGrid w:val="0"/>
              <w:jc w:val="left"/>
              <w:rPr>
                <w:rFonts w:hint="eastAsia"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872" w:type="dxa"/>
            <w:vAlign w:val="center"/>
          </w:tcPr>
          <w:p>
            <w:pPr>
              <w:adjustRightInd w:val="0"/>
              <w:snapToGrid w:val="0"/>
              <w:jc w:val="center"/>
              <w:rPr>
                <w:rFonts w:hint="eastAsia" w:ascii="宋体" w:hAnsi="宋体"/>
                <w:color w:val="auto"/>
                <w:szCs w:val="21"/>
              </w:rPr>
            </w:pPr>
            <w:r>
              <w:rPr>
                <w:rFonts w:hint="eastAsia" w:ascii="宋体" w:hAnsi="宋体"/>
                <w:color w:val="auto"/>
                <w:szCs w:val="21"/>
              </w:rPr>
              <w:t>第二节</w:t>
            </w:r>
          </w:p>
          <w:p>
            <w:pPr>
              <w:adjustRightInd w:val="0"/>
              <w:snapToGrid w:val="0"/>
              <w:jc w:val="center"/>
              <w:rPr>
                <w:rFonts w:hint="eastAsia" w:ascii="宋体" w:hAnsi="宋体"/>
                <w:color w:val="auto"/>
                <w:szCs w:val="21"/>
              </w:rPr>
            </w:pPr>
            <w:r>
              <w:rPr>
                <w:rFonts w:hint="eastAsia" w:ascii="宋体" w:hAnsi="宋体"/>
                <w:color w:val="auto"/>
                <w:szCs w:val="21"/>
              </w:rPr>
              <w:t>第1.2（7）项</w:t>
            </w:r>
          </w:p>
        </w:tc>
        <w:tc>
          <w:tcPr>
            <w:tcW w:w="2362" w:type="dxa"/>
            <w:vAlign w:val="center"/>
          </w:tcPr>
          <w:p>
            <w:pPr>
              <w:adjustRightInd w:val="0"/>
              <w:snapToGrid w:val="0"/>
              <w:jc w:val="left"/>
              <w:rPr>
                <w:rFonts w:hint="eastAsia" w:ascii="宋体" w:hAnsi="宋体"/>
                <w:color w:val="auto"/>
                <w:szCs w:val="21"/>
              </w:rPr>
            </w:pPr>
            <w:r>
              <w:rPr>
                <w:rFonts w:hint="eastAsia" w:ascii="宋体" w:hAnsi="宋体"/>
                <w:color w:val="auto"/>
                <w:szCs w:val="21"/>
              </w:rPr>
              <w:t>其他术语解释</w:t>
            </w:r>
          </w:p>
        </w:tc>
        <w:tc>
          <w:tcPr>
            <w:tcW w:w="5831" w:type="dxa"/>
            <w:vAlign w:val="center"/>
          </w:tcPr>
          <w:p>
            <w:pPr>
              <w:adjustRightInd w:val="0"/>
              <w:snapToGrid w:val="0"/>
              <w:jc w:val="left"/>
              <w:rPr>
                <w:rFonts w:hint="eastAsia"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872" w:type="dxa"/>
            <w:vAlign w:val="center"/>
          </w:tcPr>
          <w:p>
            <w:pPr>
              <w:adjustRightInd w:val="0"/>
              <w:snapToGrid w:val="0"/>
              <w:jc w:val="center"/>
              <w:rPr>
                <w:rFonts w:hint="eastAsia" w:ascii="宋体" w:hAnsi="宋体"/>
                <w:color w:val="auto"/>
                <w:szCs w:val="21"/>
              </w:rPr>
            </w:pPr>
            <w:r>
              <w:rPr>
                <w:rFonts w:hint="eastAsia" w:ascii="宋体" w:hAnsi="宋体"/>
                <w:color w:val="auto"/>
                <w:szCs w:val="21"/>
              </w:rPr>
              <w:t>第二节</w:t>
            </w:r>
          </w:p>
          <w:p>
            <w:pPr>
              <w:adjustRightInd w:val="0"/>
              <w:snapToGrid w:val="0"/>
              <w:jc w:val="center"/>
              <w:rPr>
                <w:rFonts w:hint="eastAsia" w:ascii="宋体" w:hAnsi="宋体"/>
                <w:color w:val="auto"/>
                <w:szCs w:val="21"/>
              </w:rPr>
            </w:pPr>
            <w:r>
              <w:rPr>
                <w:rFonts w:hint="eastAsia" w:ascii="宋体" w:hAnsi="宋体"/>
                <w:color w:val="auto"/>
                <w:szCs w:val="21"/>
              </w:rPr>
              <w:t>第4.4款</w:t>
            </w:r>
          </w:p>
        </w:tc>
        <w:tc>
          <w:tcPr>
            <w:tcW w:w="2362" w:type="dxa"/>
            <w:vAlign w:val="center"/>
          </w:tcPr>
          <w:p>
            <w:pPr>
              <w:adjustRightInd w:val="0"/>
              <w:snapToGrid w:val="0"/>
              <w:jc w:val="left"/>
              <w:rPr>
                <w:rFonts w:hint="eastAsia" w:ascii="宋体" w:hAnsi="宋体"/>
                <w:color w:val="auto"/>
                <w:szCs w:val="21"/>
              </w:rPr>
            </w:pPr>
            <w:r>
              <w:rPr>
                <w:rFonts w:hint="eastAsia" w:ascii="宋体" w:hAnsi="宋体"/>
                <w:color w:val="auto"/>
                <w:szCs w:val="21"/>
              </w:rPr>
              <w:t>履约验收中甲方提出异议或作出说明的期限</w:t>
            </w:r>
          </w:p>
        </w:tc>
        <w:tc>
          <w:tcPr>
            <w:tcW w:w="5831" w:type="dxa"/>
            <w:vAlign w:val="center"/>
          </w:tcPr>
          <w:p>
            <w:pPr>
              <w:adjustRightInd w:val="0"/>
              <w:snapToGrid w:val="0"/>
              <w:jc w:val="left"/>
              <w:rPr>
                <w:rFonts w:hint="eastAsia"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872" w:type="dxa"/>
            <w:vAlign w:val="center"/>
          </w:tcPr>
          <w:p>
            <w:pPr>
              <w:adjustRightInd w:val="0"/>
              <w:snapToGrid w:val="0"/>
              <w:jc w:val="center"/>
              <w:rPr>
                <w:rFonts w:hint="eastAsia" w:ascii="宋体" w:hAnsi="宋体"/>
                <w:color w:val="auto"/>
                <w:szCs w:val="21"/>
              </w:rPr>
            </w:pPr>
            <w:r>
              <w:rPr>
                <w:rFonts w:hint="eastAsia" w:ascii="宋体" w:hAnsi="宋体"/>
                <w:color w:val="auto"/>
                <w:szCs w:val="21"/>
              </w:rPr>
              <w:t>第二节</w:t>
            </w:r>
          </w:p>
          <w:p>
            <w:pPr>
              <w:adjustRightInd w:val="0"/>
              <w:snapToGrid w:val="0"/>
              <w:jc w:val="center"/>
              <w:rPr>
                <w:rFonts w:hint="eastAsia" w:ascii="宋体" w:hAnsi="宋体"/>
                <w:color w:val="auto"/>
                <w:szCs w:val="21"/>
              </w:rPr>
            </w:pPr>
            <w:r>
              <w:rPr>
                <w:rFonts w:hint="eastAsia" w:ascii="宋体" w:hAnsi="宋体"/>
                <w:color w:val="auto"/>
                <w:szCs w:val="21"/>
              </w:rPr>
              <w:t>第4.6款</w:t>
            </w:r>
          </w:p>
        </w:tc>
        <w:tc>
          <w:tcPr>
            <w:tcW w:w="2362" w:type="dxa"/>
            <w:vAlign w:val="center"/>
          </w:tcPr>
          <w:p>
            <w:pPr>
              <w:adjustRightInd w:val="0"/>
              <w:snapToGrid w:val="0"/>
              <w:jc w:val="left"/>
              <w:rPr>
                <w:rFonts w:hint="eastAsia" w:ascii="宋体" w:hAnsi="宋体"/>
                <w:color w:val="auto"/>
                <w:szCs w:val="21"/>
              </w:rPr>
            </w:pPr>
            <w:r>
              <w:rPr>
                <w:rFonts w:hint="eastAsia" w:ascii="宋体" w:hAnsi="宋体"/>
                <w:color w:val="auto"/>
                <w:szCs w:val="21"/>
              </w:rPr>
              <w:t>约定甲方承担的其他义务和责任</w:t>
            </w:r>
          </w:p>
        </w:tc>
        <w:tc>
          <w:tcPr>
            <w:tcW w:w="5831" w:type="dxa"/>
            <w:vAlign w:val="center"/>
          </w:tcPr>
          <w:p>
            <w:pPr>
              <w:adjustRightInd w:val="0"/>
              <w:snapToGrid w:val="0"/>
              <w:jc w:val="left"/>
              <w:rPr>
                <w:rFonts w:hint="eastAsia"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872" w:type="dxa"/>
            <w:vAlign w:val="center"/>
          </w:tcPr>
          <w:p>
            <w:pPr>
              <w:adjustRightInd w:val="0"/>
              <w:snapToGrid w:val="0"/>
              <w:jc w:val="center"/>
              <w:rPr>
                <w:rFonts w:hint="eastAsia" w:ascii="宋体" w:hAnsi="宋体"/>
                <w:color w:val="auto"/>
                <w:szCs w:val="21"/>
              </w:rPr>
            </w:pPr>
            <w:r>
              <w:rPr>
                <w:rFonts w:hint="eastAsia" w:ascii="宋体" w:hAnsi="宋体"/>
                <w:color w:val="auto"/>
                <w:szCs w:val="21"/>
              </w:rPr>
              <w:t>第二节</w:t>
            </w:r>
          </w:p>
          <w:p>
            <w:pPr>
              <w:snapToGrid w:val="0"/>
              <w:jc w:val="center"/>
              <w:rPr>
                <w:color w:val="auto"/>
              </w:rPr>
            </w:pPr>
            <w:r>
              <w:rPr>
                <w:rFonts w:hint="eastAsia" w:ascii="宋体" w:hAnsi="宋体"/>
                <w:color w:val="auto"/>
                <w:szCs w:val="21"/>
              </w:rPr>
              <w:t>第5.4款</w:t>
            </w:r>
          </w:p>
        </w:tc>
        <w:tc>
          <w:tcPr>
            <w:tcW w:w="2362" w:type="dxa"/>
            <w:vAlign w:val="center"/>
          </w:tcPr>
          <w:p>
            <w:pPr>
              <w:adjustRightInd w:val="0"/>
              <w:snapToGrid w:val="0"/>
              <w:jc w:val="left"/>
              <w:rPr>
                <w:rFonts w:hint="eastAsia" w:ascii="宋体" w:hAnsi="宋体"/>
                <w:color w:val="auto"/>
                <w:szCs w:val="21"/>
              </w:rPr>
            </w:pPr>
            <w:r>
              <w:rPr>
                <w:rFonts w:hint="eastAsia" w:ascii="宋体" w:hAnsi="宋体"/>
                <w:color w:val="auto"/>
                <w:szCs w:val="21"/>
              </w:rPr>
              <w:t>约定乙方承担的其他义务和责任</w:t>
            </w:r>
          </w:p>
        </w:tc>
        <w:tc>
          <w:tcPr>
            <w:tcW w:w="5831" w:type="dxa"/>
            <w:vAlign w:val="center"/>
          </w:tcPr>
          <w:p>
            <w:pPr>
              <w:adjustRightInd w:val="0"/>
              <w:snapToGrid w:val="0"/>
              <w:jc w:val="left"/>
              <w:rPr>
                <w:rFonts w:hint="eastAsia"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872" w:type="dxa"/>
            <w:vAlign w:val="center"/>
          </w:tcPr>
          <w:p>
            <w:pPr>
              <w:adjustRightInd w:val="0"/>
              <w:snapToGrid w:val="0"/>
              <w:jc w:val="center"/>
              <w:rPr>
                <w:rFonts w:hint="eastAsia" w:ascii="宋体" w:hAnsi="宋体"/>
                <w:color w:val="auto"/>
                <w:szCs w:val="21"/>
              </w:rPr>
            </w:pPr>
            <w:r>
              <w:rPr>
                <w:rFonts w:hint="eastAsia" w:ascii="宋体" w:hAnsi="宋体"/>
                <w:color w:val="auto"/>
                <w:szCs w:val="21"/>
              </w:rPr>
              <w:t>第二节</w:t>
            </w:r>
          </w:p>
          <w:p>
            <w:pPr>
              <w:snapToGrid w:val="0"/>
              <w:jc w:val="center"/>
              <w:rPr>
                <w:rFonts w:hint="eastAsia" w:ascii="宋体" w:hAnsi="宋体"/>
                <w:color w:val="auto"/>
                <w:szCs w:val="21"/>
              </w:rPr>
            </w:pPr>
            <w:r>
              <w:rPr>
                <w:rFonts w:hint="eastAsia" w:ascii="宋体" w:hAnsi="宋体"/>
                <w:color w:val="auto"/>
                <w:szCs w:val="21"/>
              </w:rPr>
              <w:t>第6.1款</w:t>
            </w:r>
          </w:p>
        </w:tc>
        <w:tc>
          <w:tcPr>
            <w:tcW w:w="2362" w:type="dxa"/>
            <w:vAlign w:val="center"/>
          </w:tcPr>
          <w:p>
            <w:pPr>
              <w:adjustRightInd w:val="0"/>
              <w:snapToGrid w:val="0"/>
              <w:jc w:val="left"/>
              <w:rPr>
                <w:rFonts w:hint="eastAsia" w:ascii="宋体" w:hAnsi="宋体"/>
                <w:color w:val="auto"/>
                <w:szCs w:val="21"/>
              </w:rPr>
            </w:pPr>
            <w:r>
              <w:rPr>
                <w:rFonts w:hint="eastAsia" w:ascii="宋体" w:hAnsi="宋体"/>
                <w:color w:val="auto"/>
                <w:szCs w:val="21"/>
              </w:rPr>
              <w:t>履行合同义务的顺序</w:t>
            </w:r>
          </w:p>
        </w:tc>
        <w:tc>
          <w:tcPr>
            <w:tcW w:w="5831" w:type="dxa"/>
            <w:vAlign w:val="center"/>
          </w:tcPr>
          <w:p>
            <w:pPr>
              <w:adjustRightInd w:val="0"/>
              <w:snapToGrid w:val="0"/>
              <w:jc w:val="left"/>
              <w:rPr>
                <w:rFonts w:hint="eastAsia"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872" w:type="dxa"/>
            <w:vMerge w:val="restart"/>
            <w:vAlign w:val="center"/>
          </w:tcPr>
          <w:p>
            <w:pPr>
              <w:adjustRightInd w:val="0"/>
              <w:snapToGrid w:val="0"/>
              <w:jc w:val="center"/>
              <w:rPr>
                <w:rFonts w:hint="eastAsia" w:ascii="宋体" w:hAnsi="宋体"/>
                <w:color w:val="auto"/>
                <w:szCs w:val="21"/>
              </w:rPr>
            </w:pPr>
            <w:r>
              <w:rPr>
                <w:rFonts w:hint="eastAsia" w:ascii="宋体" w:hAnsi="宋体"/>
                <w:color w:val="auto"/>
                <w:szCs w:val="21"/>
              </w:rPr>
              <w:t>第二节</w:t>
            </w:r>
          </w:p>
          <w:p>
            <w:pPr>
              <w:adjustRightInd w:val="0"/>
              <w:snapToGrid w:val="0"/>
              <w:jc w:val="center"/>
              <w:rPr>
                <w:rFonts w:hint="eastAsia" w:ascii="宋体" w:hAnsi="宋体"/>
                <w:color w:val="auto"/>
                <w:szCs w:val="21"/>
              </w:rPr>
            </w:pPr>
            <w:r>
              <w:rPr>
                <w:rFonts w:hint="eastAsia" w:ascii="宋体" w:hAnsi="宋体"/>
                <w:color w:val="auto"/>
                <w:szCs w:val="21"/>
              </w:rPr>
              <w:t>第7.1款</w:t>
            </w:r>
          </w:p>
        </w:tc>
        <w:tc>
          <w:tcPr>
            <w:tcW w:w="2362" w:type="dxa"/>
            <w:vAlign w:val="center"/>
          </w:tcPr>
          <w:p>
            <w:pPr>
              <w:adjustRightInd w:val="0"/>
              <w:snapToGrid w:val="0"/>
              <w:jc w:val="left"/>
              <w:rPr>
                <w:rFonts w:hint="eastAsia" w:ascii="宋体" w:hAnsi="宋体"/>
                <w:color w:val="auto"/>
                <w:szCs w:val="21"/>
              </w:rPr>
            </w:pPr>
            <w:r>
              <w:rPr>
                <w:rFonts w:hint="eastAsia" w:ascii="宋体" w:hAnsi="宋体"/>
                <w:color w:val="auto"/>
                <w:szCs w:val="21"/>
              </w:rPr>
              <w:t>包装特殊要求</w:t>
            </w:r>
          </w:p>
        </w:tc>
        <w:tc>
          <w:tcPr>
            <w:tcW w:w="5831" w:type="dxa"/>
            <w:vAlign w:val="center"/>
          </w:tcPr>
          <w:p>
            <w:pPr>
              <w:rPr>
                <w:color w:val="auto"/>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872" w:type="dxa"/>
            <w:vMerge w:val="continue"/>
            <w:vAlign w:val="center"/>
          </w:tcPr>
          <w:p>
            <w:pPr>
              <w:adjustRightInd w:val="0"/>
              <w:snapToGrid w:val="0"/>
              <w:jc w:val="center"/>
              <w:rPr>
                <w:rFonts w:hint="eastAsia" w:ascii="宋体" w:hAnsi="宋体"/>
                <w:color w:val="auto"/>
                <w:szCs w:val="21"/>
              </w:rPr>
            </w:pPr>
          </w:p>
        </w:tc>
        <w:tc>
          <w:tcPr>
            <w:tcW w:w="2362" w:type="dxa"/>
            <w:vAlign w:val="center"/>
          </w:tcPr>
          <w:p>
            <w:pPr>
              <w:adjustRightInd w:val="0"/>
              <w:snapToGrid w:val="0"/>
              <w:jc w:val="left"/>
              <w:rPr>
                <w:rFonts w:hint="eastAsia" w:ascii="宋体" w:hAnsi="宋体"/>
                <w:color w:val="auto"/>
                <w:szCs w:val="21"/>
              </w:rPr>
            </w:pPr>
            <w:r>
              <w:rPr>
                <w:rFonts w:hint="eastAsia" w:ascii="宋体" w:hAnsi="宋体"/>
                <w:color w:val="auto"/>
                <w:szCs w:val="21"/>
              </w:rPr>
              <w:t>指定现场</w:t>
            </w:r>
          </w:p>
        </w:tc>
        <w:tc>
          <w:tcPr>
            <w:tcW w:w="5831" w:type="dxa"/>
            <w:vAlign w:val="center"/>
          </w:tcPr>
          <w:p>
            <w:pPr>
              <w:rPr>
                <w:color w:val="auto"/>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872" w:type="dxa"/>
            <w:vAlign w:val="center"/>
          </w:tcPr>
          <w:p>
            <w:pPr>
              <w:adjustRightInd w:val="0"/>
              <w:snapToGrid w:val="0"/>
              <w:jc w:val="center"/>
              <w:rPr>
                <w:rFonts w:hint="eastAsia" w:ascii="宋体" w:hAnsi="宋体"/>
                <w:color w:val="auto"/>
                <w:szCs w:val="21"/>
              </w:rPr>
            </w:pPr>
            <w:r>
              <w:rPr>
                <w:rFonts w:hint="eastAsia" w:ascii="宋体" w:hAnsi="宋体"/>
                <w:color w:val="auto"/>
                <w:szCs w:val="21"/>
              </w:rPr>
              <w:t>第二节</w:t>
            </w:r>
          </w:p>
          <w:p>
            <w:pPr>
              <w:adjustRightInd w:val="0"/>
              <w:snapToGrid w:val="0"/>
              <w:jc w:val="center"/>
              <w:rPr>
                <w:rFonts w:hint="eastAsia" w:ascii="宋体" w:hAnsi="宋体"/>
                <w:color w:val="auto"/>
                <w:szCs w:val="21"/>
              </w:rPr>
            </w:pPr>
            <w:r>
              <w:rPr>
                <w:rFonts w:hint="eastAsia" w:ascii="宋体" w:hAnsi="宋体"/>
                <w:color w:val="auto"/>
                <w:szCs w:val="21"/>
              </w:rPr>
              <w:t>第7.2款</w:t>
            </w:r>
          </w:p>
        </w:tc>
        <w:tc>
          <w:tcPr>
            <w:tcW w:w="2362" w:type="dxa"/>
            <w:vAlign w:val="center"/>
          </w:tcPr>
          <w:p>
            <w:pPr>
              <w:adjustRightInd w:val="0"/>
              <w:snapToGrid w:val="0"/>
              <w:jc w:val="left"/>
              <w:rPr>
                <w:rFonts w:hint="eastAsia" w:ascii="宋体" w:hAnsi="宋体"/>
                <w:color w:val="auto"/>
                <w:szCs w:val="21"/>
              </w:rPr>
            </w:pPr>
            <w:r>
              <w:rPr>
                <w:rFonts w:hint="eastAsia" w:ascii="宋体" w:hAnsi="宋体"/>
                <w:color w:val="auto"/>
                <w:szCs w:val="21"/>
              </w:rPr>
              <w:t>运输特殊要求</w:t>
            </w:r>
          </w:p>
        </w:tc>
        <w:tc>
          <w:tcPr>
            <w:tcW w:w="5831" w:type="dxa"/>
            <w:vAlign w:val="center"/>
          </w:tcPr>
          <w:p>
            <w:pPr>
              <w:rPr>
                <w:color w:val="auto"/>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872" w:type="dxa"/>
            <w:vAlign w:val="center"/>
          </w:tcPr>
          <w:p>
            <w:pPr>
              <w:adjustRightInd w:val="0"/>
              <w:snapToGrid w:val="0"/>
              <w:jc w:val="center"/>
              <w:rPr>
                <w:rFonts w:hint="eastAsia" w:ascii="宋体" w:hAnsi="宋体"/>
                <w:color w:val="auto"/>
                <w:szCs w:val="21"/>
              </w:rPr>
            </w:pPr>
            <w:r>
              <w:rPr>
                <w:rFonts w:hint="eastAsia" w:ascii="宋体" w:hAnsi="宋体"/>
                <w:color w:val="auto"/>
                <w:szCs w:val="21"/>
              </w:rPr>
              <w:t>第二节</w:t>
            </w:r>
          </w:p>
          <w:p>
            <w:pPr>
              <w:adjustRightInd w:val="0"/>
              <w:snapToGrid w:val="0"/>
              <w:jc w:val="center"/>
              <w:rPr>
                <w:rFonts w:hint="eastAsia" w:ascii="宋体" w:hAnsi="宋体"/>
                <w:color w:val="auto"/>
                <w:szCs w:val="21"/>
              </w:rPr>
            </w:pPr>
            <w:r>
              <w:rPr>
                <w:rFonts w:hint="eastAsia" w:ascii="宋体" w:hAnsi="宋体"/>
                <w:color w:val="auto"/>
                <w:szCs w:val="21"/>
              </w:rPr>
              <w:t>第7.3款</w:t>
            </w:r>
          </w:p>
        </w:tc>
        <w:tc>
          <w:tcPr>
            <w:tcW w:w="2362" w:type="dxa"/>
            <w:vAlign w:val="center"/>
          </w:tcPr>
          <w:p>
            <w:pPr>
              <w:adjustRightInd w:val="0"/>
              <w:snapToGrid w:val="0"/>
              <w:jc w:val="left"/>
              <w:rPr>
                <w:rFonts w:hint="eastAsia" w:ascii="宋体" w:hAnsi="宋体"/>
                <w:color w:val="auto"/>
                <w:szCs w:val="21"/>
              </w:rPr>
            </w:pPr>
            <w:r>
              <w:rPr>
                <w:rFonts w:hint="eastAsia" w:ascii="宋体" w:hAnsi="宋体"/>
                <w:color w:val="auto"/>
                <w:szCs w:val="21"/>
              </w:rPr>
              <w:t>保险要求</w:t>
            </w:r>
          </w:p>
        </w:tc>
        <w:tc>
          <w:tcPr>
            <w:tcW w:w="5831" w:type="dxa"/>
            <w:vAlign w:val="center"/>
          </w:tcPr>
          <w:p>
            <w:pPr>
              <w:rPr>
                <w:color w:val="auto"/>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872" w:type="dxa"/>
            <w:vAlign w:val="center"/>
          </w:tcPr>
          <w:p>
            <w:pPr>
              <w:adjustRightInd w:val="0"/>
              <w:snapToGrid w:val="0"/>
              <w:jc w:val="center"/>
              <w:rPr>
                <w:rFonts w:hint="eastAsia" w:ascii="宋体" w:hAnsi="宋体"/>
                <w:color w:val="auto"/>
                <w:szCs w:val="21"/>
              </w:rPr>
            </w:pPr>
            <w:r>
              <w:rPr>
                <w:rFonts w:hint="eastAsia" w:ascii="宋体" w:hAnsi="宋体"/>
                <w:color w:val="auto"/>
                <w:szCs w:val="21"/>
              </w:rPr>
              <w:t>第二节</w:t>
            </w:r>
          </w:p>
          <w:p>
            <w:pPr>
              <w:adjustRightInd w:val="0"/>
              <w:snapToGrid w:val="0"/>
              <w:jc w:val="center"/>
              <w:rPr>
                <w:rFonts w:hint="eastAsia" w:ascii="宋体" w:hAnsi="宋体"/>
                <w:color w:val="auto"/>
                <w:szCs w:val="21"/>
              </w:rPr>
            </w:pPr>
            <w:r>
              <w:rPr>
                <w:rFonts w:hint="eastAsia" w:ascii="宋体" w:hAnsi="宋体"/>
                <w:color w:val="auto"/>
                <w:szCs w:val="21"/>
              </w:rPr>
              <w:t>第8.2（1）项</w:t>
            </w:r>
          </w:p>
        </w:tc>
        <w:tc>
          <w:tcPr>
            <w:tcW w:w="2362" w:type="dxa"/>
            <w:vAlign w:val="center"/>
          </w:tcPr>
          <w:p>
            <w:pPr>
              <w:adjustRightInd w:val="0"/>
              <w:snapToGrid w:val="0"/>
              <w:jc w:val="left"/>
              <w:rPr>
                <w:rFonts w:hint="eastAsia" w:ascii="宋体" w:hAnsi="宋体"/>
                <w:color w:val="auto"/>
                <w:szCs w:val="21"/>
              </w:rPr>
            </w:pPr>
            <w:r>
              <w:rPr>
                <w:rFonts w:hint="eastAsia" w:ascii="宋体" w:hAnsi="宋体"/>
                <w:color w:val="auto"/>
                <w:szCs w:val="21"/>
              </w:rPr>
              <w:t>质量保证期</w:t>
            </w:r>
          </w:p>
        </w:tc>
        <w:tc>
          <w:tcPr>
            <w:tcW w:w="5831" w:type="dxa"/>
            <w:vAlign w:val="center"/>
          </w:tcPr>
          <w:p>
            <w:pPr>
              <w:autoSpaceDE w:val="0"/>
              <w:autoSpaceDN w:val="0"/>
              <w:adjustRightInd w:val="0"/>
              <w:snapToGrid w:val="0"/>
              <w:ind w:firstLine="420" w:firstLineChars="200"/>
              <w:jc w:val="left"/>
              <w:rPr>
                <w:rFonts w:hint="eastAsia"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872" w:type="dxa"/>
            <w:vAlign w:val="center"/>
          </w:tcPr>
          <w:p>
            <w:pPr>
              <w:adjustRightInd w:val="0"/>
              <w:snapToGrid w:val="0"/>
              <w:jc w:val="center"/>
              <w:rPr>
                <w:rFonts w:hint="eastAsia" w:ascii="宋体" w:hAnsi="宋体"/>
                <w:color w:val="auto"/>
                <w:szCs w:val="21"/>
              </w:rPr>
            </w:pPr>
            <w:r>
              <w:rPr>
                <w:rFonts w:hint="eastAsia" w:ascii="宋体" w:hAnsi="宋体"/>
                <w:color w:val="auto"/>
                <w:szCs w:val="21"/>
              </w:rPr>
              <w:t>第二节</w:t>
            </w:r>
          </w:p>
          <w:p>
            <w:pPr>
              <w:adjustRightInd w:val="0"/>
              <w:snapToGrid w:val="0"/>
              <w:jc w:val="center"/>
              <w:rPr>
                <w:rFonts w:hint="eastAsia" w:ascii="宋体" w:hAnsi="宋体"/>
                <w:color w:val="auto"/>
                <w:szCs w:val="21"/>
              </w:rPr>
            </w:pPr>
            <w:r>
              <w:rPr>
                <w:rFonts w:hint="eastAsia" w:ascii="宋体" w:hAnsi="宋体"/>
                <w:color w:val="auto"/>
                <w:szCs w:val="21"/>
              </w:rPr>
              <w:t>第8.2（3）项</w:t>
            </w:r>
          </w:p>
        </w:tc>
        <w:tc>
          <w:tcPr>
            <w:tcW w:w="2362" w:type="dxa"/>
            <w:vAlign w:val="center"/>
          </w:tcPr>
          <w:p>
            <w:pPr>
              <w:adjustRightInd w:val="0"/>
              <w:snapToGrid w:val="0"/>
              <w:jc w:val="left"/>
              <w:rPr>
                <w:rFonts w:hint="eastAsia" w:ascii="宋体" w:hAnsi="宋体"/>
                <w:color w:val="auto"/>
                <w:szCs w:val="21"/>
              </w:rPr>
            </w:pPr>
            <w:r>
              <w:rPr>
                <w:rFonts w:hint="eastAsia" w:ascii="宋体" w:hAnsi="宋体"/>
                <w:color w:val="auto"/>
                <w:szCs w:val="21"/>
              </w:rPr>
              <w:t>货物质量缺陷</w:t>
            </w:r>
          </w:p>
          <w:p>
            <w:pPr>
              <w:adjustRightInd w:val="0"/>
              <w:snapToGrid w:val="0"/>
              <w:jc w:val="left"/>
              <w:rPr>
                <w:rFonts w:hint="eastAsia" w:ascii="宋体" w:hAnsi="宋体"/>
                <w:color w:val="auto"/>
                <w:szCs w:val="21"/>
              </w:rPr>
            </w:pPr>
            <w:r>
              <w:rPr>
                <w:rFonts w:hint="eastAsia" w:ascii="宋体" w:hAnsi="宋体"/>
                <w:color w:val="auto"/>
                <w:szCs w:val="21"/>
              </w:rPr>
              <w:t>响应时间</w:t>
            </w:r>
          </w:p>
        </w:tc>
        <w:tc>
          <w:tcPr>
            <w:tcW w:w="5831" w:type="dxa"/>
            <w:vAlign w:val="center"/>
          </w:tcPr>
          <w:p>
            <w:pPr>
              <w:adjustRightInd w:val="0"/>
              <w:snapToGrid w:val="0"/>
              <w:jc w:val="left"/>
              <w:rPr>
                <w:rFonts w:hint="eastAsia"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872" w:type="dxa"/>
            <w:vAlign w:val="center"/>
          </w:tcPr>
          <w:p>
            <w:pPr>
              <w:snapToGrid w:val="0"/>
              <w:jc w:val="center"/>
              <w:rPr>
                <w:rFonts w:hint="eastAsia" w:ascii="宋体" w:hAnsi="宋体" w:cs="宋体"/>
                <w:color w:val="auto"/>
                <w:szCs w:val="21"/>
              </w:rPr>
            </w:pPr>
            <w:r>
              <w:rPr>
                <w:rFonts w:hint="eastAsia" w:ascii="宋体" w:hAnsi="宋体" w:cs="宋体"/>
                <w:color w:val="auto"/>
                <w:szCs w:val="21"/>
              </w:rPr>
              <w:t>第二节</w:t>
            </w:r>
          </w:p>
          <w:p>
            <w:pPr>
              <w:widowControl/>
              <w:autoSpaceDE w:val="0"/>
              <w:autoSpaceDN w:val="0"/>
              <w:adjustRightInd w:val="0"/>
              <w:spacing w:line="400" w:lineRule="exact"/>
              <w:jc w:val="center"/>
              <w:rPr>
                <w:rFonts w:hint="eastAsia" w:ascii="华文楷体" w:hAnsi="华文楷体" w:eastAsia="华文楷体" w:cs="华文楷体"/>
                <w:color w:val="auto"/>
                <w:kern w:val="0"/>
                <w:sz w:val="22"/>
                <w:szCs w:val="21"/>
              </w:rPr>
            </w:pPr>
            <w:r>
              <w:rPr>
                <w:rFonts w:hint="eastAsia" w:ascii="宋体" w:hAnsi="宋体" w:cs="宋体"/>
                <w:color w:val="auto"/>
                <w:kern w:val="0"/>
                <w:sz w:val="22"/>
                <w:szCs w:val="21"/>
              </w:rPr>
              <w:t>第11.1款</w:t>
            </w:r>
          </w:p>
        </w:tc>
        <w:tc>
          <w:tcPr>
            <w:tcW w:w="2362" w:type="dxa"/>
            <w:vAlign w:val="center"/>
          </w:tcPr>
          <w:p>
            <w:pPr>
              <w:adjustRightInd w:val="0"/>
              <w:snapToGrid w:val="0"/>
              <w:rPr>
                <w:rFonts w:hint="eastAsia" w:ascii="宋体" w:hAnsi="宋体"/>
                <w:color w:val="auto"/>
                <w:szCs w:val="21"/>
              </w:rPr>
            </w:pPr>
            <w:r>
              <w:rPr>
                <w:rFonts w:hint="eastAsia" w:ascii="宋体" w:hAnsi="宋体"/>
                <w:color w:val="auto"/>
                <w:szCs w:val="21"/>
              </w:rPr>
              <w:t>其他应当保密的信息</w:t>
            </w:r>
          </w:p>
        </w:tc>
        <w:tc>
          <w:tcPr>
            <w:tcW w:w="5831" w:type="dxa"/>
            <w:vAlign w:val="center"/>
          </w:tcPr>
          <w:p>
            <w:pPr>
              <w:adjustRightInd w:val="0"/>
              <w:snapToGrid w:val="0"/>
              <w:jc w:val="left"/>
              <w:rPr>
                <w:rFonts w:hint="eastAsia"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872" w:type="dxa"/>
            <w:vAlign w:val="center"/>
          </w:tcPr>
          <w:p>
            <w:pPr>
              <w:adjustRightInd w:val="0"/>
              <w:snapToGrid w:val="0"/>
              <w:jc w:val="center"/>
              <w:rPr>
                <w:rFonts w:hint="eastAsia" w:ascii="宋体" w:hAnsi="宋体"/>
                <w:color w:val="auto"/>
                <w:szCs w:val="21"/>
              </w:rPr>
            </w:pPr>
            <w:r>
              <w:rPr>
                <w:rFonts w:hint="eastAsia" w:ascii="宋体" w:hAnsi="宋体"/>
                <w:color w:val="auto"/>
                <w:szCs w:val="21"/>
              </w:rPr>
              <w:t>第二节</w:t>
            </w:r>
          </w:p>
          <w:p>
            <w:pPr>
              <w:adjustRightInd w:val="0"/>
              <w:snapToGrid w:val="0"/>
              <w:jc w:val="center"/>
              <w:rPr>
                <w:rFonts w:hint="eastAsia" w:ascii="宋体" w:hAnsi="宋体"/>
                <w:color w:val="auto"/>
                <w:szCs w:val="21"/>
              </w:rPr>
            </w:pPr>
            <w:r>
              <w:rPr>
                <w:rFonts w:hint="eastAsia" w:ascii="宋体" w:hAnsi="宋体"/>
                <w:color w:val="auto"/>
                <w:szCs w:val="21"/>
              </w:rPr>
              <w:t>第12.2款</w:t>
            </w:r>
          </w:p>
        </w:tc>
        <w:tc>
          <w:tcPr>
            <w:tcW w:w="2362" w:type="dxa"/>
            <w:vAlign w:val="center"/>
          </w:tcPr>
          <w:p>
            <w:pPr>
              <w:adjustRightInd w:val="0"/>
              <w:snapToGrid w:val="0"/>
              <w:jc w:val="left"/>
              <w:rPr>
                <w:rFonts w:hint="eastAsia" w:ascii="宋体" w:hAnsi="宋体"/>
                <w:color w:val="auto"/>
                <w:szCs w:val="21"/>
              </w:rPr>
            </w:pPr>
            <w:r>
              <w:rPr>
                <w:rFonts w:hint="eastAsia" w:ascii="宋体" w:hAnsi="宋体"/>
                <w:color w:val="auto"/>
                <w:szCs w:val="21"/>
              </w:rPr>
              <w:t>合同价款支付时间</w:t>
            </w:r>
          </w:p>
        </w:tc>
        <w:tc>
          <w:tcPr>
            <w:tcW w:w="5831" w:type="dxa"/>
            <w:vAlign w:val="center"/>
          </w:tcPr>
          <w:p>
            <w:pPr>
              <w:adjustRightInd w:val="0"/>
              <w:snapToGrid w:val="0"/>
              <w:jc w:val="left"/>
              <w:rPr>
                <w:rFonts w:hint="eastAsia"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872" w:type="dxa"/>
            <w:vAlign w:val="center"/>
          </w:tcPr>
          <w:p>
            <w:pPr>
              <w:adjustRightInd w:val="0"/>
              <w:snapToGrid w:val="0"/>
              <w:jc w:val="center"/>
              <w:rPr>
                <w:rFonts w:hint="eastAsia" w:ascii="宋体" w:hAnsi="宋体"/>
                <w:color w:val="auto"/>
                <w:szCs w:val="21"/>
              </w:rPr>
            </w:pPr>
            <w:r>
              <w:rPr>
                <w:rFonts w:hint="eastAsia" w:ascii="宋体" w:hAnsi="宋体"/>
                <w:color w:val="auto"/>
                <w:szCs w:val="21"/>
              </w:rPr>
              <w:t>第二节</w:t>
            </w:r>
          </w:p>
          <w:p>
            <w:pPr>
              <w:adjustRightInd w:val="0"/>
              <w:snapToGrid w:val="0"/>
              <w:jc w:val="center"/>
              <w:rPr>
                <w:rFonts w:hint="eastAsia" w:ascii="宋体" w:hAnsi="宋体"/>
                <w:color w:val="auto"/>
                <w:szCs w:val="21"/>
              </w:rPr>
            </w:pPr>
            <w:r>
              <w:rPr>
                <w:rFonts w:hint="eastAsia" w:ascii="宋体" w:hAnsi="宋体"/>
                <w:color w:val="auto"/>
                <w:szCs w:val="21"/>
              </w:rPr>
              <w:t>第13.2款</w:t>
            </w:r>
          </w:p>
        </w:tc>
        <w:tc>
          <w:tcPr>
            <w:tcW w:w="2362" w:type="dxa"/>
            <w:vAlign w:val="center"/>
          </w:tcPr>
          <w:p>
            <w:pPr>
              <w:adjustRightInd w:val="0"/>
              <w:snapToGrid w:val="0"/>
              <w:jc w:val="left"/>
              <w:rPr>
                <w:rFonts w:hint="eastAsia" w:ascii="宋体" w:hAnsi="宋体"/>
                <w:color w:val="auto"/>
                <w:szCs w:val="21"/>
              </w:rPr>
            </w:pPr>
            <w:r>
              <w:rPr>
                <w:rFonts w:hint="eastAsia" w:ascii="宋体" w:hAnsi="宋体"/>
                <w:color w:val="auto"/>
                <w:szCs w:val="21"/>
              </w:rPr>
              <w:t>履约保证金不予退还的情形</w:t>
            </w:r>
          </w:p>
        </w:tc>
        <w:tc>
          <w:tcPr>
            <w:tcW w:w="5831" w:type="dxa"/>
            <w:vAlign w:val="center"/>
          </w:tcPr>
          <w:p>
            <w:pPr>
              <w:adjustRightInd w:val="0"/>
              <w:snapToGrid w:val="0"/>
              <w:jc w:val="left"/>
              <w:rPr>
                <w:rFonts w:hint="eastAsia"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872" w:type="dxa"/>
            <w:vAlign w:val="center"/>
          </w:tcPr>
          <w:p>
            <w:pPr>
              <w:adjustRightInd w:val="0"/>
              <w:snapToGrid w:val="0"/>
              <w:jc w:val="center"/>
              <w:rPr>
                <w:rFonts w:hint="eastAsia" w:ascii="宋体" w:hAnsi="宋体"/>
                <w:color w:val="auto"/>
                <w:szCs w:val="21"/>
              </w:rPr>
            </w:pPr>
            <w:r>
              <w:rPr>
                <w:rFonts w:hint="eastAsia" w:ascii="宋体" w:hAnsi="宋体"/>
                <w:color w:val="auto"/>
                <w:szCs w:val="21"/>
              </w:rPr>
              <w:t>第二节</w:t>
            </w:r>
          </w:p>
          <w:p>
            <w:pPr>
              <w:adjustRightInd w:val="0"/>
              <w:snapToGrid w:val="0"/>
              <w:jc w:val="center"/>
              <w:rPr>
                <w:rFonts w:hint="eastAsia" w:ascii="宋体" w:hAnsi="宋体"/>
                <w:color w:val="auto"/>
                <w:szCs w:val="21"/>
              </w:rPr>
            </w:pPr>
            <w:r>
              <w:rPr>
                <w:rFonts w:hint="eastAsia" w:ascii="宋体" w:hAnsi="宋体"/>
                <w:color w:val="auto"/>
                <w:szCs w:val="21"/>
              </w:rPr>
              <w:t>第13.3款</w:t>
            </w:r>
          </w:p>
        </w:tc>
        <w:tc>
          <w:tcPr>
            <w:tcW w:w="2362" w:type="dxa"/>
            <w:vAlign w:val="center"/>
          </w:tcPr>
          <w:p>
            <w:pPr>
              <w:adjustRightInd w:val="0"/>
              <w:snapToGrid w:val="0"/>
              <w:jc w:val="left"/>
              <w:rPr>
                <w:rFonts w:hint="eastAsia" w:ascii="宋体" w:hAnsi="宋体"/>
                <w:color w:val="auto"/>
                <w:szCs w:val="21"/>
              </w:rPr>
            </w:pPr>
            <w:r>
              <w:rPr>
                <w:rFonts w:hint="eastAsia" w:ascii="宋体" w:hAnsi="宋体"/>
                <w:color w:val="auto"/>
                <w:szCs w:val="21"/>
              </w:rPr>
              <w:t>履约保证金退还时间及逾期退还的违约金</w:t>
            </w:r>
          </w:p>
        </w:tc>
        <w:tc>
          <w:tcPr>
            <w:tcW w:w="5831" w:type="dxa"/>
            <w:vAlign w:val="center"/>
          </w:tcPr>
          <w:p>
            <w:pPr>
              <w:adjustRightInd w:val="0"/>
              <w:snapToGrid w:val="0"/>
              <w:jc w:val="left"/>
              <w:rPr>
                <w:rFonts w:hint="eastAsia"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872" w:type="dxa"/>
            <w:vAlign w:val="center"/>
          </w:tcPr>
          <w:p>
            <w:pPr>
              <w:adjustRightInd w:val="0"/>
              <w:snapToGrid w:val="0"/>
              <w:jc w:val="center"/>
              <w:rPr>
                <w:rFonts w:hint="eastAsia" w:ascii="宋体" w:hAnsi="宋体"/>
                <w:color w:val="auto"/>
                <w:szCs w:val="21"/>
              </w:rPr>
            </w:pPr>
            <w:r>
              <w:rPr>
                <w:rFonts w:hint="eastAsia" w:ascii="宋体" w:hAnsi="宋体"/>
                <w:color w:val="auto"/>
                <w:szCs w:val="21"/>
              </w:rPr>
              <w:t>第二节</w:t>
            </w:r>
          </w:p>
          <w:p>
            <w:pPr>
              <w:adjustRightInd w:val="0"/>
              <w:snapToGrid w:val="0"/>
              <w:jc w:val="center"/>
              <w:rPr>
                <w:rFonts w:hint="eastAsia" w:ascii="宋体" w:hAnsi="宋体"/>
                <w:color w:val="auto"/>
                <w:szCs w:val="21"/>
              </w:rPr>
            </w:pPr>
            <w:r>
              <w:rPr>
                <w:rFonts w:hint="eastAsia" w:ascii="宋体" w:hAnsi="宋体"/>
                <w:color w:val="auto"/>
                <w:szCs w:val="21"/>
              </w:rPr>
              <w:t>第14.1（3）项</w:t>
            </w:r>
          </w:p>
        </w:tc>
        <w:tc>
          <w:tcPr>
            <w:tcW w:w="2362" w:type="dxa"/>
            <w:vAlign w:val="center"/>
          </w:tcPr>
          <w:p>
            <w:pPr>
              <w:adjustRightInd w:val="0"/>
              <w:snapToGrid w:val="0"/>
              <w:jc w:val="left"/>
              <w:rPr>
                <w:rFonts w:hint="eastAsia" w:ascii="宋体" w:hAnsi="宋体"/>
                <w:color w:val="auto"/>
                <w:szCs w:val="21"/>
              </w:rPr>
            </w:pPr>
            <w:r>
              <w:rPr>
                <w:rFonts w:hint="eastAsia" w:ascii="宋体" w:hAnsi="宋体"/>
                <w:color w:val="auto"/>
                <w:szCs w:val="21"/>
              </w:rPr>
              <w:t>运行监督、维修期限</w:t>
            </w:r>
          </w:p>
        </w:tc>
        <w:tc>
          <w:tcPr>
            <w:tcW w:w="5831" w:type="dxa"/>
            <w:vAlign w:val="center"/>
          </w:tcPr>
          <w:p>
            <w:pPr>
              <w:adjustRightInd w:val="0"/>
              <w:snapToGrid w:val="0"/>
              <w:jc w:val="left"/>
              <w:rPr>
                <w:rFonts w:hint="eastAsia"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872" w:type="dxa"/>
            <w:vAlign w:val="center"/>
          </w:tcPr>
          <w:p>
            <w:pPr>
              <w:adjustRightInd w:val="0"/>
              <w:snapToGrid w:val="0"/>
              <w:jc w:val="center"/>
              <w:rPr>
                <w:rFonts w:hint="eastAsia" w:ascii="宋体" w:hAnsi="宋体"/>
                <w:color w:val="auto"/>
                <w:szCs w:val="21"/>
              </w:rPr>
            </w:pPr>
            <w:r>
              <w:rPr>
                <w:rFonts w:hint="eastAsia" w:ascii="宋体" w:hAnsi="宋体"/>
                <w:color w:val="auto"/>
                <w:szCs w:val="21"/>
              </w:rPr>
              <w:t>第二节</w:t>
            </w:r>
          </w:p>
          <w:p>
            <w:pPr>
              <w:adjustRightInd w:val="0"/>
              <w:snapToGrid w:val="0"/>
              <w:jc w:val="center"/>
              <w:rPr>
                <w:rFonts w:hint="eastAsia" w:ascii="宋体" w:hAnsi="宋体"/>
                <w:color w:val="auto"/>
                <w:szCs w:val="21"/>
              </w:rPr>
            </w:pPr>
            <w:r>
              <w:rPr>
                <w:rFonts w:hint="eastAsia" w:ascii="宋体" w:hAnsi="宋体"/>
                <w:color w:val="auto"/>
                <w:szCs w:val="21"/>
              </w:rPr>
              <w:t>第14.1（5）项</w:t>
            </w:r>
          </w:p>
        </w:tc>
        <w:tc>
          <w:tcPr>
            <w:tcW w:w="2362" w:type="dxa"/>
            <w:vAlign w:val="center"/>
          </w:tcPr>
          <w:p>
            <w:pPr>
              <w:adjustRightInd w:val="0"/>
              <w:snapToGrid w:val="0"/>
              <w:jc w:val="left"/>
              <w:rPr>
                <w:rFonts w:hint="eastAsia" w:ascii="宋体" w:hAnsi="宋体"/>
                <w:color w:val="auto"/>
                <w:szCs w:val="21"/>
              </w:rPr>
            </w:pPr>
            <w:r>
              <w:rPr>
                <w:rFonts w:hint="eastAsia" w:ascii="宋体" w:hAnsi="宋体"/>
                <w:color w:val="auto"/>
                <w:szCs w:val="21"/>
              </w:rPr>
              <w:t>货物回收的约定</w:t>
            </w:r>
          </w:p>
        </w:tc>
        <w:tc>
          <w:tcPr>
            <w:tcW w:w="5831" w:type="dxa"/>
            <w:vAlign w:val="center"/>
          </w:tcPr>
          <w:p>
            <w:pPr>
              <w:adjustRightInd w:val="0"/>
              <w:snapToGrid w:val="0"/>
              <w:jc w:val="left"/>
              <w:rPr>
                <w:rFonts w:hint="eastAsia"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872" w:type="dxa"/>
            <w:vAlign w:val="center"/>
          </w:tcPr>
          <w:p>
            <w:pPr>
              <w:adjustRightInd w:val="0"/>
              <w:snapToGrid w:val="0"/>
              <w:jc w:val="center"/>
              <w:rPr>
                <w:rFonts w:hint="eastAsia" w:ascii="宋体" w:hAnsi="宋体"/>
                <w:color w:val="auto"/>
                <w:szCs w:val="21"/>
              </w:rPr>
            </w:pPr>
            <w:r>
              <w:rPr>
                <w:rFonts w:hint="eastAsia" w:ascii="宋体" w:hAnsi="宋体"/>
                <w:color w:val="auto"/>
                <w:szCs w:val="21"/>
              </w:rPr>
              <w:t>第二节</w:t>
            </w:r>
          </w:p>
          <w:p>
            <w:pPr>
              <w:adjustRightInd w:val="0"/>
              <w:snapToGrid w:val="0"/>
              <w:jc w:val="center"/>
              <w:rPr>
                <w:rFonts w:hint="eastAsia" w:ascii="宋体" w:hAnsi="宋体"/>
                <w:color w:val="auto"/>
                <w:szCs w:val="21"/>
              </w:rPr>
            </w:pPr>
            <w:r>
              <w:rPr>
                <w:rFonts w:hint="eastAsia" w:ascii="宋体" w:hAnsi="宋体"/>
                <w:color w:val="auto"/>
                <w:szCs w:val="21"/>
              </w:rPr>
              <w:t>第14.1（6）项</w:t>
            </w:r>
          </w:p>
        </w:tc>
        <w:tc>
          <w:tcPr>
            <w:tcW w:w="2362" w:type="dxa"/>
            <w:vAlign w:val="center"/>
          </w:tcPr>
          <w:p>
            <w:pPr>
              <w:adjustRightInd w:val="0"/>
              <w:snapToGrid w:val="0"/>
              <w:jc w:val="left"/>
              <w:rPr>
                <w:rFonts w:hint="eastAsia" w:ascii="宋体" w:hAnsi="宋体"/>
                <w:color w:val="auto"/>
                <w:szCs w:val="21"/>
              </w:rPr>
            </w:pPr>
            <w:r>
              <w:rPr>
                <w:rFonts w:hint="eastAsia" w:ascii="宋体" w:hAnsi="宋体"/>
                <w:color w:val="auto"/>
                <w:szCs w:val="21"/>
              </w:rPr>
              <w:t>乙方提供的其他服务</w:t>
            </w:r>
          </w:p>
        </w:tc>
        <w:tc>
          <w:tcPr>
            <w:tcW w:w="5831" w:type="dxa"/>
            <w:vAlign w:val="center"/>
          </w:tcPr>
          <w:p>
            <w:pPr>
              <w:adjustRightInd w:val="0"/>
              <w:snapToGrid w:val="0"/>
              <w:jc w:val="left"/>
              <w:rPr>
                <w:rFonts w:hint="eastAsia"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872" w:type="dxa"/>
            <w:vAlign w:val="center"/>
          </w:tcPr>
          <w:p>
            <w:pPr>
              <w:adjustRightInd w:val="0"/>
              <w:snapToGrid w:val="0"/>
              <w:jc w:val="center"/>
              <w:rPr>
                <w:rFonts w:hint="eastAsia" w:ascii="宋体" w:hAnsi="宋体"/>
                <w:color w:val="auto"/>
                <w:szCs w:val="21"/>
              </w:rPr>
            </w:pPr>
            <w:r>
              <w:rPr>
                <w:rFonts w:hint="eastAsia" w:ascii="宋体" w:hAnsi="宋体"/>
                <w:color w:val="auto"/>
                <w:szCs w:val="21"/>
              </w:rPr>
              <w:t>第二节</w:t>
            </w:r>
          </w:p>
          <w:p>
            <w:pPr>
              <w:adjustRightInd w:val="0"/>
              <w:snapToGrid w:val="0"/>
              <w:jc w:val="center"/>
              <w:rPr>
                <w:rFonts w:hint="eastAsia" w:ascii="宋体" w:hAnsi="宋体"/>
                <w:color w:val="auto"/>
                <w:szCs w:val="21"/>
              </w:rPr>
            </w:pPr>
            <w:r>
              <w:rPr>
                <w:rFonts w:hint="eastAsia" w:ascii="宋体" w:hAnsi="宋体"/>
                <w:color w:val="auto"/>
                <w:szCs w:val="21"/>
              </w:rPr>
              <w:t>第15.1款</w:t>
            </w:r>
          </w:p>
        </w:tc>
        <w:tc>
          <w:tcPr>
            <w:tcW w:w="2362" w:type="dxa"/>
            <w:vAlign w:val="center"/>
          </w:tcPr>
          <w:p>
            <w:pPr>
              <w:adjustRightInd w:val="0"/>
              <w:snapToGrid w:val="0"/>
              <w:jc w:val="left"/>
              <w:rPr>
                <w:rFonts w:hint="eastAsia" w:ascii="宋体" w:hAnsi="宋体"/>
                <w:color w:val="auto"/>
                <w:szCs w:val="21"/>
              </w:rPr>
            </w:pPr>
            <w:r>
              <w:rPr>
                <w:rFonts w:hint="eastAsia" w:ascii="宋体" w:hAnsi="宋体"/>
                <w:color w:val="auto"/>
                <w:szCs w:val="21"/>
              </w:rPr>
              <w:t>修理、重作、更换相关具体规定</w:t>
            </w:r>
          </w:p>
        </w:tc>
        <w:tc>
          <w:tcPr>
            <w:tcW w:w="5831" w:type="dxa"/>
            <w:vAlign w:val="center"/>
          </w:tcPr>
          <w:p>
            <w:pPr>
              <w:adjustRightInd w:val="0"/>
              <w:snapToGrid w:val="0"/>
              <w:jc w:val="left"/>
              <w:rPr>
                <w:rFonts w:hint="eastAsia"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872" w:type="dxa"/>
            <w:vAlign w:val="center"/>
          </w:tcPr>
          <w:p>
            <w:pPr>
              <w:adjustRightInd w:val="0"/>
              <w:snapToGrid w:val="0"/>
              <w:jc w:val="center"/>
              <w:rPr>
                <w:rFonts w:hint="eastAsia" w:ascii="宋体" w:hAnsi="宋体"/>
                <w:color w:val="auto"/>
                <w:szCs w:val="21"/>
              </w:rPr>
            </w:pPr>
            <w:r>
              <w:rPr>
                <w:rFonts w:hint="eastAsia" w:ascii="宋体" w:hAnsi="宋体"/>
                <w:color w:val="auto"/>
                <w:szCs w:val="21"/>
              </w:rPr>
              <w:t>第二节</w:t>
            </w:r>
          </w:p>
          <w:p>
            <w:pPr>
              <w:adjustRightInd w:val="0"/>
              <w:snapToGrid w:val="0"/>
              <w:jc w:val="center"/>
              <w:rPr>
                <w:rFonts w:hint="eastAsia" w:ascii="宋体" w:hAnsi="宋体"/>
                <w:color w:val="auto"/>
                <w:szCs w:val="21"/>
              </w:rPr>
            </w:pPr>
            <w:r>
              <w:rPr>
                <w:rFonts w:hint="eastAsia" w:ascii="宋体" w:hAnsi="宋体"/>
                <w:color w:val="auto"/>
                <w:szCs w:val="21"/>
              </w:rPr>
              <w:t>第15.2（2）项</w:t>
            </w:r>
          </w:p>
        </w:tc>
        <w:tc>
          <w:tcPr>
            <w:tcW w:w="2362" w:type="dxa"/>
            <w:vAlign w:val="center"/>
          </w:tcPr>
          <w:p>
            <w:pPr>
              <w:adjustRightInd w:val="0"/>
              <w:snapToGrid w:val="0"/>
              <w:jc w:val="left"/>
              <w:rPr>
                <w:rFonts w:hint="eastAsia" w:ascii="宋体" w:hAnsi="宋体"/>
                <w:color w:val="auto"/>
                <w:szCs w:val="21"/>
              </w:rPr>
            </w:pPr>
            <w:r>
              <w:rPr>
                <w:rFonts w:hint="eastAsia" w:ascii="宋体" w:hAnsi="宋体"/>
                <w:color w:val="auto"/>
                <w:szCs w:val="21"/>
              </w:rPr>
              <w:t>迟延交货赔偿费</w:t>
            </w:r>
          </w:p>
        </w:tc>
        <w:tc>
          <w:tcPr>
            <w:tcW w:w="5831" w:type="dxa"/>
            <w:vAlign w:val="center"/>
          </w:tcPr>
          <w:p>
            <w:pPr>
              <w:adjustRightInd w:val="0"/>
              <w:snapToGrid w:val="0"/>
              <w:jc w:val="left"/>
              <w:rPr>
                <w:rFonts w:hint="eastAsia" w:ascii="宋体" w:hAnsi="宋体"/>
                <w:color w:val="auto"/>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872" w:type="dxa"/>
            <w:vAlign w:val="center"/>
          </w:tcPr>
          <w:p>
            <w:pPr>
              <w:adjustRightInd w:val="0"/>
              <w:snapToGrid w:val="0"/>
              <w:jc w:val="center"/>
              <w:rPr>
                <w:rFonts w:hint="eastAsia" w:ascii="宋体" w:hAnsi="宋体"/>
                <w:color w:val="auto"/>
                <w:szCs w:val="21"/>
              </w:rPr>
            </w:pPr>
            <w:r>
              <w:rPr>
                <w:rFonts w:hint="eastAsia" w:ascii="宋体" w:hAnsi="宋体"/>
                <w:color w:val="auto"/>
                <w:szCs w:val="21"/>
              </w:rPr>
              <w:t>第二节</w:t>
            </w:r>
          </w:p>
          <w:p>
            <w:pPr>
              <w:adjustRightInd w:val="0"/>
              <w:snapToGrid w:val="0"/>
              <w:jc w:val="center"/>
              <w:rPr>
                <w:rFonts w:hint="eastAsia" w:ascii="宋体" w:hAnsi="宋体"/>
                <w:color w:val="auto"/>
                <w:szCs w:val="21"/>
              </w:rPr>
            </w:pPr>
            <w:r>
              <w:rPr>
                <w:rFonts w:hint="eastAsia" w:ascii="宋体" w:hAnsi="宋体"/>
                <w:color w:val="auto"/>
                <w:szCs w:val="21"/>
              </w:rPr>
              <w:t>第15.3款</w:t>
            </w:r>
          </w:p>
        </w:tc>
        <w:tc>
          <w:tcPr>
            <w:tcW w:w="2362" w:type="dxa"/>
            <w:vAlign w:val="center"/>
          </w:tcPr>
          <w:p>
            <w:pPr>
              <w:adjustRightInd w:val="0"/>
              <w:snapToGrid w:val="0"/>
              <w:jc w:val="left"/>
              <w:rPr>
                <w:rFonts w:hint="eastAsia" w:ascii="宋体" w:hAnsi="宋体"/>
                <w:color w:val="auto"/>
                <w:szCs w:val="21"/>
              </w:rPr>
            </w:pPr>
            <w:r>
              <w:rPr>
                <w:rFonts w:hint="eastAsia" w:ascii="宋体" w:hAnsi="宋体"/>
                <w:color w:val="auto"/>
                <w:szCs w:val="21"/>
              </w:rPr>
              <w:t>逾期付款利息</w:t>
            </w:r>
          </w:p>
        </w:tc>
        <w:tc>
          <w:tcPr>
            <w:tcW w:w="5831" w:type="dxa"/>
            <w:vAlign w:val="center"/>
          </w:tcPr>
          <w:p>
            <w:pPr>
              <w:adjustRightInd w:val="0"/>
              <w:snapToGrid w:val="0"/>
              <w:jc w:val="left"/>
              <w:rPr>
                <w:rFonts w:hint="eastAsia" w:ascii="宋体" w:hAnsi="宋体"/>
                <w:color w:val="auto"/>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872" w:type="dxa"/>
            <w:tcBorders>
              <w:bottom w:val="single" w:color="auto" w:sz="2" w:space="0"/>
              <w:right w:val="single" w:color="auto" w:sz="2" w:space="0"/>
            </w:tcBorders>
            <w:vAlign w:val="center"/>
          </w:tcPr>
          <w:p>
            <w:pPr>
              <w:adjustRightInd w:val="0"/>
              <w:snapToGrid w:val="0"/>
              <w:jc w:val="center"/>
              <w:rPr>
                <w:rFonts w:hint="eastAsia" w:ascii="宋体" w:hAnsi="宋体"/>
                <w:color w:val="auto"/>
                <w:szCs w:val="21"/>
              </w:rPr>
            </w:pPr>
            <w:r>
              <w:rPr>
                <w:rFonts w:hint="eastAsia" w:ascii="宋体" w:hAnsi="宋体"/>
                <w:color w:val="auto"/>
                <w:szCs w:val="21"/>
              </w:rPr>
              <w:t>第二节</w:t>
            </w:r>
          </w:p>
          <w:p>
            <w:pPr>
              <w:adjustRightInd w:val="0"/>
              <w:snapToGrid w:val="0"/>
              <w:jc w:val="center"/>
              <w:rPr>
                <w:rFonts w:hint="eastAsia" w:ascii="宋体" w:hAnsi="宋体"/>
                <w:color w:val="auto"/>
                <w:szCs w:val="21"/>
              </w:rPr>
            </w:pPr>
            <w:r>
              <w:rPr>
                <w:rFonts w:hint="eastAsia" w:ascii="宋体" w:hAnsi="宋体"/>
                <w:color w:val="auto"/>
                <w:szCs w:val="21"/>
              </w:rPr>
              <w:t>第15.4款</w:t>
            </w:r>
          </w:p>
        </w:tc>
        <w:tc>
          <w:tcPr>
            <w:tcW w:w="2362" w:type="dxa"/>
            <w:tcBorders>
              <w:left w:val="single" w:color="auto" w:sz="2" w:space="0"/>
              <w:bottom w:val="single" w:color="auto" w:sz="2" w:space="0"/>
              <w:right w:val="single" w:color="auto" w:sz="2" w:space="0"/>
            </w:tcBorders>
            <w:vAlign w:val="center"/>
          </w:tcPr>
          <w:p>
            <w:pPr>
              <w:adjustRightInd w:val="0"/>
              <w:snapToGrid w:val="0"/>
              <w:jc w:val="left"/>
              <w:rPr>
                <w:rFonts w:hint="eastAsia" w:ascii="宋体" w:hAnsi="宋体"/>
                <w:color w:val="auto"/>
                <w:szCs w:val="21"/>
              </w:rPr>
            </w:pPr>
            <w:r>
              <w:rPr>
                <w:rFonts w:hint="eastAsia" w:ascii="宋体" w:hAnsi="宋体"/>
                <w:color w:val="auto"/>
                <w:szCs w:val="21"/>
              </w:rPr>
              <w:t>其他违约责任</w:t>
            </w:r>
          </w:p>
        </w:tc>
        <w:tc>
          <w:tcPr>
            <w:tcW w:w="5831" w:type="dxa"/>
            <w:tcBorders>
              <w:left w:val="single" w:color="auto" w:sz="2" w:space="0"/>
              <w:bottom w:val="single" w:color="auto" w:sz="2" w:space="0"/>
            </w:tcBorders>
            <w:vAlign w:val="center"/>
          </w:tcPr>
          <w:p>
            <w:pPr>
              <w:adjustRightInd w:val="0"/>
              <w:snapToGrid w:val="0"/>
              <w:jc w:val="left"/>
              <w:rPr>
                <w:rFonts w:hint="eastAsia" w:ascii="宋体" w:hAnsi="宋体"/>
                <w:color w:val="auto"/>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872" w:type="dxa"/>
            <w:tcBorders>
              <w:top w:val="single" w:color="auto" w:sz="2" w:space="0"/>
              <w:right w:val="single" w:color="auto" w:sz="2" w:space="0"/>
            </w:tcBorders>
            <w:vAlign w:val="center"/>
          </w:tcPr>
          <w:p>
            <w:pPr>
              <w:adjustRightInd w:val="0"/>
              <w:snapToGrid w:val="0"/>
              <w:jc w:val="center"/>
              <w:rPr>
                <w:rFonts w:hint="eastAsia" w:ascii="宋体" w:hAnsi="宋体"/>
                <w:color w:val="auto"/>
                <w:szCs w:val="21"/>
              </w:rPr>
            </w:pPr>
            <w:r>
              <w:rPr>
                <w:rFonts w:hint="eastAsia" w:ascii="宋体" w:hAnsi="宋体"/>
                <w:color w:val="auto"/>
                <w:szCs w:val="21"/>
              </w:rPr>
              <w:t>第二节</w:t>
            </w:r>
          </w:p>
          <w:p>
            <w:pPr>
              <w:adjustRightInd w:val="0"/>
              <w:snapToGrid w:val="0"/>
              <w:jc w:val="center"/>
              <w:rPr>
                <w:rFonts w:hint="eastAsia" w:ascii="宋体" w:hAnsi="宋体"/>
                <w:color w:val="auto"/>
                <w:szCs w:val="21"/>
              </w:rPr>
            </w:pPr>
            <w:r>
              <w:rPr>
                <w:rFonts w:hint="eastAsia" w:ascii="宋体" w:hAnsi="宋体"/>
                <w:color w:val="auto"/>
                <w:szCs w:val="21"/>
              </w:rPr>
              <w:t>第19.2款</w:t>
            </w:r>
          </w:p>
        </w:tc>
        <w:tc>
          <w:tcPr>
            <w:tcW w:w="2362" w:type="dxa"/>
            <w:tcBorders>
              <w:top w:val="single" w:color="auto" w:sz="2" w:space="0"/>
              <w:left w:val="single" w:color="auto" w:sz="2" w:space="0"/>
              <w:right w:val="single" w:color="auto" w:sz="2" w:space="0"/>
            </w:tcBorders>
            <w:vAlign w:val="center"/>
          </w:tcPr>
          <w:p>
            <w:pPr>
              <w:adjustRightInd w:val="0"/>
              <w:snapToGrid w:val="0"/>
              <w:jc w:val="left"/>
              <w:rPr>
                <w:rFonts w:hint="eastAsia" w:ascii="宋体" w:hAnsi="宋体"/>
                <w:color w:val="auto"/>
                <w:szCs w:val="21"/>
              </w:rPr>
            </w:pPr>
            <w:r>
              <w:rPr>
                <w:rFonts w:hint="eastAsia" w:ascii="宋体" w:hAnsi="宋体"/>
                <w:color w:val="auto"/>
                <w:szCs w:val="21"/>
              </w:rPr>
              <w:t>解决争议的方法</w:t>
            </w:r>
          </w:p>
        </w:tc>
        <w:tc>
          <w:tcPr>
            <w:tcW w:w="5831" w:type="dxa"/>
            <w:tcBorders>
              <w:top w:val="single" w:color="auto" w:sz="2" w:space="0"/>
              <w:left w:val="single" w:color="auto" w:sz="2" w:space="0"/>
            </w:tcBorders>
            <w:vAlign w:val="center"/>
          </w:tcPr>
          <w:p>
            <w:pPr>
              <w:autoSpaceDE w:val="0"/>
              <w:autoSpaceDN w:val="0"/>
              <w:adjustRightInd w:val="0"/>
              <w:snapToGrid w:val="0"/>
              <w:spacing w:line="400" w:lineRule="exact"/>
              <w:jc w:val="left"/>
              <w:rPr>
                <w:rFonts w:hint="eastAsia" w:ascii="宋体" w:hAnsi="宋体" w:cs="宋体"/>
                <w:iCs/>
                <w:color w:val="auto"/>
                <w:szCs w:val="21"/>
              </w:rPr>
            </w:pPr>
            <w:r>
              <w:rPr>
                <w:rFonts w:hint="eastAsia" w:ascii="宋体" w:hAnsi="宋体" w:cs="宋体"/>
                <w:iCs/>
                <w:color w:val="auto"/>
                <w:szCs w:val="21"/>
              </w:rPr>
              <w:t>因本合同及合同有关事项发生的争议，按下列第</w:t>
            </w:r>
            <w:r>
              <w:rPr>
                <w:rFonts w:hint="eastAsia" w:ascii="宋体" w:hAnsi="宋体" w:cs="宋体"/>
                <w:iCs/>
                <w:color w:val="auto"/>
                <w:szCs w:val="21"/>
                <w:u w:val="single"/>
              </w:rPr>
              <w:t xml:space="preserve">   </w:t>
            </w:r>
            <w:r>
              <w:rPr>
                <w:rFonts w:hint="eastAsia" w:ascii="宋体" w:hAnsi="宋体" w:cs="宋体"/>
                <w:iCs/>
                <w:color w:val="auto"/>
                <w:szCs w:val="21"/>
              </w:rPr>
              <w:t>种方式解决：</w:t>
            </w:r>
          </w:p>
          <w:p>
            <w:pPr>
              <w:autoSpaceDE w:val="0"/>
              <w:autoSpaceDN w:val="0"/>
              <w:adjustRightInd w:val="0"/>
              <w:snapToGrid w:val="0"/>
              <w:spacing w:line="400" w:lineRule="exact"/>
              <w:jc w:val="left"/>
              <w:rPr>
                <w:rFonts w:hint="eastAsia" w:ascii="宋体" w:hAnsi="宋体" w:cs="宋体"/>
                <w:iCs/>
                <w:color w:val="auto"/>
                <w:szCs w:val="21"/>
              </w:rPr>
            </w:pPr>
            <w:r>
              <w:rPr>
                <w:rFonts w:hint="eastAsia" w:ascii="宋体" w:hAnsi="宋体" w:cs="宋体"/>
                <w:iCs/>
                <w:color w:val="auto"/>
                <w:szCs w:val="21"/>
              </w:rPr>
              <w:t>（1）向</w:t>
            </w:r>
            <w:r>
              <w:rPr>
                <w:rFonts w:hint="eastAsia" w:ascii="宋体" w:hAnsi="宋体" w:cs="宋体"/>
                <w:iCs/>
                <w:color w:val="auto"/>
                <w:szCs w:val="21"/>
                <w:u w:val="single"/>
              </w:rPr>
              <w:t xml:space="preserve">       </w:t>
            </w:r>
            <w:r>
              <w:rPr>
                <w:rFonts w:hint="eastAsia" w:ascii="宋体" w:hAnsi="宋体" w:cs="宋体"/>
                <w:iCs/>
                <w:color w:val="auto"/>
                <w:szCs w:val="21"/>
              </w:rPr>
              <w:t>仲裁委员会申请仲裁，仲裁地点为</w:t>
            </w:r>
            <w:r>
              <w:rPr>
                <w:rFonts w:hint="eastAsia" w:ascii="宋体" w:hAnsi="宋体" w:cs="宋体"/>
                <w:iCs/>
                <w:color w:val="auto"/>
                <w:szCs w:val="21"/>
                <w:u w:val="single"/>
              </w:rPr>
              <w:t xml:space="preserve">        </w:t>
            </w:r>
            <w:r>
              <w:rPr>
                <w:rFonts w:hint="eastAsia" w:ascii="宋体" w:hAnsi="宋体" w:cs="宋体"/>
                <w:iCs/>
                <w:color w:val="auto"/>
                <w:szCs w:val="21"/>
              </w:rPr>
              <w:t>；</w:t>
            </w:r>
          </w:p>
          <w:p>
            <w:pPr>
              <w:adjustRightInd w:val="0"/>
              <w:snapToGrid w:val="0"/>
              <w:jc w:val="left"/>
              <w:rPr>
                <w:rFonts w:hint="eastAsia" w:ascii="宋体" w:hAnsi="宋体"/>
                <w:color w:val="auto"/>
                <w:szCs w:val="21"/>
                <w:u w:val="single"/>
              </w:rPr>
            </w:pPr>
            <w:r>
              <w:rPr>
                <w:rFonts w:hint="eastAsia" w:ascii="宋体" w:hAnsi="宋体" w:cs="宋体"/>
                <w:iCs/>
                <w:color w:val="auto"/>
                <w:szCs w:val="21"/>
              </w:rPr>
              <w:t>（2）向</w:t>
            </w:r>
            <w:r>
              <w:rPr>
                <w:rFonts w:hint="eastAsia" w:ascii="宋体" w:hAnsi="宋体" w:cs="宋体"/>
                <w:iCs/>
                <w:color w:val="auto"/>
                <w:szCs w:val="21"/>
                <w:u w:val="single"/>
              </w:rPr>
              <w:t xml:space="preserve">                    </w:t>
            </w:r>
            <w:r>
              <w:rPr>
                <w:rFonts w:hint="eastAsia" w:ascii="宋体" w:hAnsi="宋体" w:cs="宋体"/>
                <w:iCs/>
                <w:color w:val="auto"/>
                <w:szCs w:val="21"/>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872" w:type="dxa"/>
            <w:vAlign w:val="center"/>
          </w:tcPr>
          <w:p>
            <w:pPr>
              <w:adjustRightInd w:val="0"/>
              <w:snapToGrid w:val="0"/>
              <w:jc w:val="center"/>
              <w:rPr>
                <w:rFonts w:hint="eastAsia" w:ascii="宋体" w:hAnsi="宋体"/>
                <w:color w:val="auto"/>
                <w:szCs w:val="21"/>
              </w:rPr>
            </w:pPr>
            <w:r>
              <w:rPr>
                <w:rFonts w:hint="eastAsia" w:ascii="宋体" w:hAnsi="宋体"/>
                <w:color w:val="auto"/>
                <w:szCs w:val="21"/>
              </w:rPr>
              <w:t>第二节</w:t>
            </w:r>
          </w:p>
          <w:p>
            <w:pPr>
              <w:adjustRightInd w:val="0"/>
              <w:snapToGrid w:val="0"/>
              <w:jc w:val="center"/>
              <w:rPr>
                <w:rFonts w:hint="eastAsia" w:ascii="宋体" w:hAnsi="宋体"/>
                <w:color w:val="auto"/>
                <w:szCs w:val="21"/>
              </w:rPr>
            </w:pPr>
            <w:r>
              <w:rPr>
                <w:rFonts w:hint="eastAsia" w:ascii="宋体" w:hAnsi="宋体"/>
                <w:color w:val="auto"/>
                <w:szCs w:val="21"/>
              </w:rPr>
              <w:t>第23.1款</w:t>
            </w:r>
          </w:p>
        </w:tc>
        <w:tc>
          <w:tcPr>
            <w:tcW w:w="2362" w:type="dxa"/>
            <w:vAlign w:val="center"/>
          </w:tcPr>
          <w:p>
            <w:pPr>
              <w:adjustRightInd w:val="0"/>
              <w:snapToGrid w:val="0"/>
              <w:jc w:val="left"/>
              <w:rPr>
                <w:rFonts w:hint="eastAsia" w:ascii="宋体" w:hAnsi="宋体"/>
                <w:color w:val="auto"/>
                <w:szCs w:val="21"/>
              </w:rPr>
            </w:pPr>
            <w:r>
              <w:rPr>
                <w:rFonts w:hint="eastAsia" w:ascii="宋体" w:hAnsi="宋体"/>
                <w:bCs/>
                <w:color w:val="auto"/>
                <w:szCs w:val="21"/>
              </w:rPr>
              <w:t>其他专用条款</w:t>
            </w:r>
          </w:p>
        </w:tc>
        <w:tc>
          <w:tcPr>
            <w:tcW w:w="5831" w:type="dxa"/>
            <w:vAlign w:val="center"/>
          </w:tcPr>
          <w:p>
            <w:pPr>
              <w:adjustRightInd w:val="0"/>
              <w:snapToGrid w:val="0"/>
              <w:jc w:val="left"/>
              <w:rPr>
                <w:rFonts w:hint="eastAsia" w:ascii="宋体" w:hAnsi="宋体"/>
                <w:color w:val="auto"/>
                <w:szCs w:val="21"/>
              </w:rPr>
            </w:pPr>
          </w:p>
        </w:tc>
      </w:tr>
    </w:tbl>
    <w:p>
      <w:pPr>
        <w:rPr>
          <w:color w:val="auto"/>
        </w:rPr>
      </w:pPr>
      <w:r>
        <w:rPr>
          <w:color w:val="auto"/>
        </w:rPr>
        <w:br w:type="page"/>
      </w:r>
    </w:p>
    <w:p>
      <w:pPr>
        <w:pStyle w:val="20"/>
        <w:jc w:val="left"/>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pStyle w:val="3"/>
        <w:spacing w:line="400" w:lineRule="exact"/>
        <w:rPr>
          <w:rFonts w:hint="eastAsia" w:ascii="方正小标宋_GBK" w:hAnsi="方正小标宋_GBK" w:eastAsia="方正小标宋_GBK"/>
          <w:color w:val="auto"/>
        </w:rPr>
      </w:pPr>
      <w:bookmarkStart w:id="129" w:name="_Toc92355028"/>
      <w:bookmarkStart w:id="130" w:name="_Toc397585460"/>
      <w:r>
        <w:rPr>
          <w:rFonts w:hint="eastAsia" w:ascii="方正小标宋_GBK" w:hAnsi="方正小标宋_GBK" w:eastAsia="方正小标宋_GBK"/>
          <w:color w:val="auto"/>
        </w:rPr>
        <w:t>第六章  响应文件格式</w:t>
      </w:r>
      <w:bookmarkEnd w:id="129"/>
      <w:bookmarkEnd w:id="130"/>
    </w:p>
    <w:p>
      <w:pPr>
        <w:jc w:val="left"/>
        <w:rPr>
          <w:rFonts w:hint="eastAsia" w:hAnsi="宋体"/>
          <w:color w:val="auto"/>
          <w:sz w:val="36"/>
          <w:szCs w:val="36"/>
        </w:rPr>
      </w:pPr>
      <w:r>
        <w:rPr>
          <w:b/>
          <w:color w:val="auto"/>
          <w:sz w:val="30"/>
          <w:szCs w:val="30"/>
        </w:rPr>
        <w:br w:type="page"/>
      </w:r>
      <w:r>
        <w:rPr>
          <w:rFonts w:hint="eastAsia" w:ascii="仿宋_GB2312"/>
          <w:b/>
          <w:bCs/>
          <w:color w:val="auto"/>
          <w:sz w:val="36"/>
          <w:szCs w:val="36"/>
        </w:rPr>
        <w:t>一、供应商资格文件</w:t>
      </w:r>
    </w:p>
    <w:p>
      <w:pPr>
        <w:tabs>
          <w:tab w:val="left" w:pos="3402"/>
        </w:tabs>
        <w:ind w:firstLine="602"/>
        <w:jc w:val="center"/>
        <w:rPr>
          <w:rFonts w:hint="eastAsia" w:ascii="仿宋_GB2312" w:hAnsi="Adobe 仿宋 Std R" w:eastAsia="仿宋_GB2312"/>
          <w:b/>
          <w:color w:val="auto"/>
          <w:spacing w:val="10"/>
          <w:sz w:val="32"/>
          <w:szCs w:val="32"/>
        </w:rPr>
      </w:pPr>
      <w:bookmarkStart w:id="131" w:name="_Hlk111728366"/>
      <w:r>
        <w:rPr>
          <w:rFonts w:hint="eastAsia" w:ascii="仿宋_GB2312" w:hAnsi="Adobe 仿宋 Std R" w:eastAsia="仿宋_GB2312"/>
          <w:b/>
          <w:color w:val="auto"/>
          <w:spacing w:val="10"/>
          <w:sz w:val="32"/>
          <w:szCs w:val="32"/>
        </w:rPr>
        <w:t>供应商具备参加政府采购活动条件的承诺书</w:t>
      </w:r>
      <w:r>
        <w:rPr>
          <w:rFonts w:hint="eastAsia" w:ascii="仿宋_GB2312" w:hAnsi="Adobe 仿宋 Std R" w:eastAsia="仿宋_GB2312" w:cs="黑体"/>
          <w:bCs/>
          <w:color w:val="auto"/>
          <w:sz w:val="24"/>
        </w:rPr>
        <w:t>(格式)</w:t>
      </w:r>
    </w:p>
    <w:p>
      <w:pPr>
        <w:tabs>
          <w:tab w:val="left" w:pos="3402"/>
        </w:tabs>
        <w:jc w:val="left"/>
        <w:rPr>
          <w:rFonts w:hint="eastAsia" w:ascii="仿宋_GB2312" w:hAnsi="仿宋" w:eastAsia="仿宋_GB2312"/>
          <w:b/>
          <w:color w:val="auto"/>
          <w:spacing w:val="10"/>
          <w:szCs w:val="21"/>
        </w:rPr>
      </w:pPr>
    </w:p>
    <w:p>
      <w:pPr>
        <w:spacing w:line="520" w:lineRule="exact"/>
        <w:rPr>
          <w:rFonts w:hint="eastAsia" w:ascii="宋体" w:hAnsi="宋体"/>
          <w:bCs/>
          <w:color w:val="auto"/>
          <w:szCs w:val="22"/>
        </w:rPr>
      </w:pPr>
      <w:r>
        <w:rPr>
          <w:rFonts w:hint="eastAsia" w:ascii="宋体" w:hAnsi="宋体"/>
          <w:bCs/>
          <w:color w:val="auto"/>
          <w:szCs w:val="22"/>
        </w:rPr>
        <w:t>钦州市政府采购中心：</w:t>
      </w:r>
    </w:p>
    <w:p>
      <w:pPr>
        <w:spacing w:line="520" w:lineRule="exact"/>
        <w:ind w:firstLine="420"/>
        <w:rPr>
          <w:rFonts w:hint="eastAsia" w:ascii="宋体" w:hAnsi="宋体"/>
          <w:bCs/>
          <w:color w:val="auto"/>
          <w:szCs w:val="22"/>
        </w:rPr>
      </w:pPr>
      <w:r>
        <w:rPr>
          <w:rFonts w:hint="eastAsia" w:ascii="宋体" w:hAnsi="宋体"/>
          <w:bCs/>
          <w:color w:val="auto"/>
          <w:szCs w:val="22"/>
        </w:rPr>
        <w:t>根据《中华人民共和国政府采购法》实施条例第十七条的规定，现郑重承诺：</w:t>
      </w:r>
    </w:p>
    <w:p>
      <w:pPr>
        <w:spacing w:line="520" w:lineRule="exact"/>
        <w:ind w:firstLine="420"/>
        <w:rPr>
          <w:rFonts w:hint="eastAsia" w:ascii="宋体" w:hAnsi="宋体"/>
          <w:bCs/>
          <w:color w:val="auto"/>
          <w:szCs w:val="22"/>
        </w:rPr>
      </w:pPr>
      <w:r>
        <w:rPr>
          <w:rFonts w:ascii="宋体" w:hAnsi="宋体"/>
          <w:bCs/>
          <w:color w:val="auto"/>
          <w:szCs w:val="22"/>
          <w:u w:val="single"/>
        </w:rPr>
        <w:t>(</w:t>
      </w:r>
      <w:r>
        <w:rPr>
          <w:rFonts w:hint="eastAsia" w:ascii="宋体" w:hAnsi="宋体"/>
          <w:bCs/>
          <w:color w:val="auto"/>
          <w:szCs w:val="22"/>
          <w:u w:val="single"/>
        </w:rPr>
        <w:t>供应商名称)</w:t>
      </w:r>
      <w:r>
        <w:rPr>
          <w:rFonts w:hint="eastAsia" w:ascii="宋体" w:hAnsi="宋体"/>
          <w:bCs/>
          <w:color w:val="auto"/>
          <w:szCs w:val="22"/>
        </w:rPr>
        <w:t>具有良好的商业信誉和健全的财务会计制度，具有履行合同所必需的设备和专业技术能力，有依法缴纳税收和社会保障资金的良好记录。</w:t>
      </w:r>
    </w:p>
    <w:p>
      <w:pPr>
        <w:spacing w:line="520" w:lineRule="exact"/>
        <w:ind w:firstLine="420"/>
        <w:rPr>
          <w:rFonts w:hint="eastAsia" w:ascii="宋体" w:hAnsi="宋体"/>
          <w:bCs/>
          <w:color w:val="auto"/>
          <w:szCs w:val="22"/>
        </w:rPr>
      </w:pPr>
      <w:r>
        <w:rPr>
          <w:rFonts w:hint="eastAsia" w:ascii="宋体" w:hAnsi="宋体"/>
          <w:bCs/>
          <w:color w:val="auto"/>
          <w:szCs w:val="22"/>
        </w:rPr>
        <w:t>本单位对上述承诺内容事项真实性负责，如有虚假，由我单位承担相关法律责任。</w:t>
      </w:r>
    </w:p>
    <w:p>
      <w:pPr>
        <w:spacing w:line="520" w:lineRule="exact"/>
        <w:ind w:firstLine="420"/>
        <w:rPr>
          <w:rFonts w:hint="eastAsia" w:ascii="宋体" w:hAnsi="宋体"/>
          <w:bCs/>
          <w:color w:val="auto"/>
          <w:szCs w:val="22"/>
        </w:rPr>
      </w:pPr>
      <w:r>
        <w:rPr>
          <w:rFonts w:hint="eastAsia" w:ascii="宋体" w:hAnsi="宋体"/>
          <w:bCs/>
          <w:color w:val="auto"/>
          <w:szCs w:val="22"/>
        </w:rPr>
        <w:t>特此承诺。</w:t>
      </w:r>
    </w:p>
    <w:p>
      <w:pPr>
        <w:ind w:firstLine="420"/>
        <w:rPr>
          <w:rFonts w:hint="eastAsia" w:ascii="宋体" w:hAnsi="宋体"/>
          <w:bCs/>
          <w:color w:val="auto"/>
          <w:szCs w:val="22"/>
        </w:rPr>
      </w:pPr>
    </w:p>
    <w:p>
      <w:pPr>
        <w:ind w:firstLine="420"/>
        <w:rPr>
          <w:rFonts w:hint="eastAsia" w:ascii="宋体" w:hAnsi="宋体"/>
          <w:bCs/>
          <w:color w:val="auto"/>
          <w:szCs w:val="22"/>
        </w:rPr>
      </w:pPr>
    </w:p>
    <w:p>
      <w:pPr>
        <w:spacing w:line="440" w:lineRule="exact"/>
        <w:ind w:right="1050" w:rightChars="500" w:firstLine="5250" w:firstLineChars="2500"/>
        <w:jc w:val="left"/>
        <w:rPr>
          <w:rFonts w:hint="eastAsia" w:ascii="宋体" w:hAnsi="宋体"/>
          <w:bCs/>
          <w:color w:val="auto"/>
        </w:rPr>
      </w:pPr>
      <w:r>
        <w:rPr>
          <w:rFonts w:hint="eastAsia" w:ascii="宋体" w:hAnsi="宋体"/>
          <w:bCs/>
          <w:color w:val="auto"/>
          <w:szCs w:val="22"/>
        </w:rPr>
        <w:t xml:space="preserve"> </w:t>
      </w:r>
      <w:r>
        <w:rPr>
          <w:rFonts w:ascii="宋体" w:hAnsi="宋体"/>
          <w:bCs/>
          <w:color w:val="auto"/>
          <w:szCs w:val="22"/>
        </w:rPr>
        <w:t xml:space="preserve">   </w:t>
      </w:r>
      <w:r>
        <w:rPr>
          <w:rFonts w:hint="eastAsia" w:ascii="宋体" w:hAnsi="宋体"/>
          <w:bCs/>
          <w:color w:val="auto"/>
        </w:rPr>
        <w:t>供应商（盖章）：</w:t>
      </w:r>
      <w:r>
        <w:rPr>
          <w:rFonts w:hint="eastAsia" w:ascii="宋体" w:hAnsi="宋体"/>
          <w:bCs/>
          <w:color w:val="auto"/>
          <w:u w:val="single"/>
        </w:rPr>
        <w:t xml:space="preserve">   </w:t>
      </w:r>
      <w:r>
        <w:rPr>
          <w:rFonts w:ascii="宋体" w:hAnsi="宋体"/>
          <w:bCs/>
          <w:color w:val="auto"/>
          <w:u w:val="single"/>
        </w:rPr>
        <w:t xml:space="preserve">  </w:t>
      </w:r>
      <w:r>
        <w:rPr>
          <w:rFonts w:hint="eastAsia" w:ascii="宋体" w:hAnsi="宋体"/>
          <w:bCs/>
          <w:color w:val="auto"/>
          <w:u w:val="single"/>
        </w:rPr>
        <w:t xml:space="preserve">  </w:t>
      </w:r>
      <w:r>
        <w:rPr>
          <w:rFonts w:ascii="宋体" w:hAnsi="宋体"/>
          <w:bCs/>
          <w:color w:val="auto"/>
          <w:u w:val="single"/>
        </w:rPr>
        <w:t xml:space="preserve"> </w:t>
      </w:r>
      <w:r>
        <w:rPr>
          <w:rFonts w:hint="eastAsia" w:ascii="宋体" w:hAnsi="宋体"/>
          <w:bCs/>
          <w:color w:val="auto"/>
          <w:u w:val="single"/>
        </w:rPr>
        <w:t xml:space="preserve">   </w:t>
      </w:r>
    </w:p>
    <w:p>
      <w:pPr>
        <w:spacing w:line="440" w:lineRule="exact"/>
        <w:ind w:right="420"/>
        <w:jc w:val="center"/>
        <w:rPr>
          <w:rFonts w:hint="eastAsia" w:ascii="宋体" w:hAnsi="宋体"/>
          <w:bCs/>
          <w:color w:val="auto"/>
        </w:rPr>
      </w:pPr>
      <w:r>
        <w:rPr>
          <w:rFonts w:hint="eastAsia" w:ascii="宋体" w:hAnsi="宋体"/>
          <w:bCs/>
          <w:color w:val="auto"/>
        </w:rPr>
        <w:t xml:space="preserve"> </w:t>
      </w:r>
      <w:r>
        <w:rPr>
          <w:rFonts w:ascii="宋体" w:hAnsi="宋体"/>
          <w:bCs/>
          <w:color w:val="auto"/>
        </w:rPr>
        <w:t xml:space="preserve">                                                </w:t>
      </w:r>
      <w:r>
        <w:rPr>
          <w:rFonts w:hint="eastAsia" w:ascii="宋体" w:hAnsi="宋体"/>
          <w:bCs/>
          <w:color w:val="auto"/>
        </w:rPr>
        <w:t>日期：</w:t>
      </w:r>
      <w:r>
        <w:rPr>
          <w:rFonts w:hint="eastAsia" w:ascii="宋体" w:hAnsi="宋体"/>
          <w:bCs/>
          <w:color w:val="auto"/>
          <w:u w:val="single"/>
        </w:rPr>
        <w:t xml:space="preserve">      </w:t>
      </w:r>
      <w:r>
        <w:rPr>
          <w:rFonts w:hint="eastAsia" w:ascii="宋体" w:hAnsi="宋体"/>
          <w:bCs/>
          <w:color w:val="auto"/>
        </w:rPr>
        <w:t>年</w:t>
      </w:r>
      <w:r>
        <w:rPr>
          <w:rFonts w:hint="eastAsia" w:ascii="宋体" w:hAnsi="宋体"/>
          <w:bCs/>
          <w:color w:val="auto"/>
          <w:u w:val="single"/>
        </w:rPr>
        <w:t xml:space="preserve">    </w:t>
      </w:r>
      <w:r>
        <w:rPr>
          <w:rFonts w:hint="eastAsia" w:ascii="宋体" w:hAnsi="宋体"/>
          <w:bCs/>
          <w:color w:val="auto"/>
        </w:rPr>
        <w:t>月</w:t>
      </w:r>
      <w:r>
        <w:rPr>
          <w:rFonts w:hint="eastAsia" w:ascii="宋体" w:hAnsi="宋体"/>
          <w:bCs/>
          <w:color w:val="auto"/>
          <w:u w:val="single"/>
        </w:rPr>
        <w:t xml:space="preserve">    </w:t>
      </w:r>
      <w:r>
        <w:rPr>
          <w:rFonts w:hint="eastAsia" w:ascii="宋体" w:hAnsi="宋体"/>
          <w:bCs/>
          <w:color w:val="auto"/>
        </w:rPr>
        <w:t>日</w:t>
      </w:r>
    </w:p>
    <w:bookmarkEnd w:id="131"/>
    <w:p>
      <w:pPr>
        <w:rPr>
          <w:color w:val="auto"/>
        </w:rPr>
      </w:pPr>
    </w:p>
    <w:p>
      <w:pPr>
        <w:rPr>
          <w:color w:val="auto"/>
        </w:rPr>
      </w:pPr>
    </w:p>
    <w:p>
      <w:pPr>
        <w:rPr>
          <w:color w:val="auto"/>
        </w:rPr>
      </w:pPr>
    </w:p>
    <w:p>
      <w:pPr>
        <w:rPr>
          <w:color w:val="auto"/>
        </w:rPr>
      </w:pPr>
    </w:p>
    <w:p>
      <w:pPr>
        <w:rPr>
          <w:color w:val="auto"/>
        </w:rPr>
      </w:pPr>
    </w:p>
    <w:p>
      <w:pPr>
        <w:tabs>
          <w:tab w:val="left" w:pos="3402"/>
        </w:tabs>
        <w:spacing w:line="460" w:lineRule="exact"/>
        <w:jc w:val="center"/>
        <w:rPr>
          <w:rFonts w:hint="eastAsia" w:ascii="仿宋_GB2312" w:hAnsi="仿宋" w:eastAsia="仿宋_GB2312"/>
          <w:b/>
          <w:color w:val="auto"/>
          <w:spacing w:val="10"/>
          <w:sz w:val="32"/>
          <w:szCs w:val="32"/>
        </w:rPr>
      </w:pPr>
      <w:r>
        <w:rPr>
          <w:rFonts w:hint="eastAsia" w:ascii="仿宋_GB2312" w:hAnsi="仿宋" w:eastAsia="仿宋_GB2312"/>
          <w:b/>
          <w:color w:val="auto"/>
          <w:spacing w:val="10"/>
          <w:sz w:val="32"/>
          <w:szCs w:val="32"/>
        </w:rPr>
        <w:t>无重大违法记录的书面声明</w:t>
      </w:r>
      <w:r>
        <w:rPr>
          <w:rFonts w:hint="eastAsia" w:ascii="仿宋" w:hAnsi="仿宋" w:eastAsia="仿宋" w:cs="黑体"/>
          <w:bCs/>
          <w:color w:val="auto"/>
          <w:sz w:val="24"/>
        </w:rPr>
        <w:t>(格式</w:t>
      </w:r>
      <w:r>
        <w:rPr>
          <w:rFonts w:ascii="仿宋" w:hAnsi="仿宋" w:eastAsia="仿宋" w:cs="黑体"/>
          <w:bCs/>
          <w:color w:val="auto"/>
          <w:sz w:val="24"/>
        </w:rPr>
        <w:t>)</w:t>
      </w:r>
    </w:p>
    <w:p>
      <w:pPr>
        <w:spacing w:line="400" w:lineRule="exact"/>
        <w:rPr>
          <w:rFonts w:hint="eastAsia" w:ascii="宋体" w:hAnsi="宋体"/>
          <w:b/>
          <w:color w:val="auto"/>
        </w:rPr>
      </w:pPr>
    </w:p>
    <w:p>
      <w:pPr>
        <w:spacing w:line="520" w:lineRule="exact"/>
        <w:rPr>
          <w:rFonts w:hint="eastAsia" w:ascii="宋体" w:hAnsi="宋体"/>
          <w:bCs/>
          <w:color w:val="auto"/>
        </w:rPr>
      </w:pPr>
      <w:r>
        <w:rPr>
          <w:rFonts w:hint="eastAsia" w:ascii="宋体" w:hAnsi="宋体"/>
          <w:bCs/>
          <w:color w:val="auto"/>
        </w:rPr>
        <w:t>钦州市政府采购中心：</w:t>
      </w:r>
    </w:p>
    <w:p>
      <w:pPr>
        <w:spacing w:line="520" w:lineRule="exact"/>
        <w:ind w:firstLine="420"/>
        <w:rPr>
          <w:rFonts w:hint="eastAsia" w:ascii="宋体" w:hAnsi="宋体"/>
          <w:bCs/>
          <w:color w:val="auto"/>
        </w:rPr>
      </w:pPr>
      <w:r>
        <w:rPr>
          <w:rFonts w:hint="eastAsia" w:ascii="宋体" w:hAnsi="宋体"/>
          <w:bCs/>
          <w:color w:val="auto"/>
        </w:rPr>
        <w:t>根据《中华人民共和国政府采购法实施条例》第十七条第一款第(四</w:t>
      </w:r>
      <w:r>
        <w:rPr>
          <w:rFonts w:ascii="宋体" w:hAnsi="宋体"/>
          <w:bCs/>
          <w:color w:val="auto"/>
        </w:rPr>
        <w:t>）</w:t>
      </w:r>
      <w:r>
        <w:rPr>
          <w:rFonts w:hint="eastAsia" w:ascii="宋体" w:hAnsi="宋体"/>
          <w:bCs/>
          <w:color w:val="auto"/>
        </w:rPr>
        <w:t>项的规定，现郑重声明：</w:t>
      </w:r>
    </w:p>
    <w:p>
      <w:pPr>
        <w:spacing w:line="520" w:lineRule="exact"/>
        <w:ind w:firstLine="420"/>
        <w:rPr>
          <w:rFonts w:hint="eastAsia" w:ascii="宋体" w:hAnsi="宋体"/>
          <w:bCs/>
          <w:color w:val="auto"/>
        </w:rPr>
      </w:pPr>
      <w:r>
        <w:rPr>
          <w:rFonts w:ascii="宋体" w:hAnsi="宋体"/>
          <w:bCs/>
          <w:color w:val="auto"/>
          <w:u w:val="single"/>
        </w:rPr>
        <w:t>(</w:t>
      </w:r>
      <w:r>
        <w:rPr>
          <w:rFonts w:hint="eastAsia" w:ascii="宋体" w:hAnsi="宋体"/>
          <w:bCs/>
          <w:color w:val="auto"/>
          <w:u w:val="single"/>
        </w:rPr>
        <w:t>供应商名称)</w:t>
      </w:r>
      <w:r>
        <w:rPr>
          <w:rFonts w:hint="eastAsia" w:ascii="宋体" w:hAnsi="宋体"/>
          <w:bCs/>
          <w:color w:val="auto"/>
        </w:rPr>
        <w:t>在参加本次政府采购活动前3年内在经营活动中没有重大违法记录（</w:t>
      </w:r>
      <w:r>
        <w:rPr>
          <w:rFonts w:hint="eastAsia" w:ascii="宋体" w:hAnsi="宋体"/>
          <w:bCs/>
          <w:color w:val="auto"/>
          <w:u w:val="single"/>
        </w:rPr>
        <w:t>即因违法经营受到刑事处罚或者责令停产停业、吊销许可证或者执照、较大数额罚款等行政处罚的行为</w:t>
      </w:r>
      <w:r>
        <w:rPr>
          <w:rFonts w:hint="eastAsia" w:ascii="宋体" w:hAnsi="宋体"/>
          <w:bCs/>
          <w:color w:val="auto"/>
        </w:rPr>
        <w:t>）。</w:t>
      </w:r>
    </w:p>
    <w:p>
      <w:pPr>
        <w:spacing w:line="520" w:lineRule="exact"/>
        <w:ind w:firstLine="420"/>
        <w:rPr>
          <w:rFonts w:hint="eastAsia" w:ascii="宋体" w:hAnsi="宋体"/>
          <w:bCs/>
          <w:color w:val="auto"/>
        </w:rPr>
      </w:pPr>
      <w:r>
        <w:rPr>
          <w:rFonts w:hint="eastAsia" w:ascii="宋体" w:hAnsi="宋体"/>
          <w:bCs/>
          <w:color w:val="auto"/>
        </w:rPr>
        <w:t>本单位对上述声明内容事项真实性负责，如有虚假，由我单位承担相关法律责任。</w:t>
      </w:r>
    </w:p>
    <w:p>
      <w:pPr>
        <w:spacing w:line="520" w:lineRule="exact"/>
        <w:ind w:firstLine="420"/>
        <w:rPr>
          <w:rFonts w:hint="eastAsia" w:ascii="宋体" w:hAnsi="宋体"/>
          <w:bCs/>
          <w:color w:val="auto"/>
        </w:rPr>
      </w:pPr>
      <w:r>
        <w:rPr>
          <w:rFonts w:hint="eastAsia" w:ascii="宋体" w:hAnsi="宋体"/>
          <w:bCs/>
          <w:color w:val="auto"/>
        </w:rPr>
        <w:t>特此声明。</w:t>
      </w:r>
    </w:p>
    <w:p>
      <w:pPr>
        <w:rPr>
          <w:rFonts w:hint="eastAsia" w:ascii="宋体" w:hAnsi="宋体"/>
          <w:bCs/>
          <w:color w:val="auto"/>
          <w:szCs w:val="22"/>
        </w:rPr>
      </w:pPr>
    </w:p>
    <w:p>
      <w:pPr>
        <w:rPr>
          <w:rFonts w:hint="eastAsia" w:ascii="宋体" w:hAnsi="宋体"/>
          <w:bCs/>
          <w:color w:val="auto"/>
          <w:szCs w:val="22"/>
        </w:rPr>
      </w:pPr>
    </w:p>
    <w:p>
      <w:pPr>
        <w:spacing w:line="440" w:lineRule="exact"/>
        <w:ind w:right="1050" w:rightChars="500" w:firstLine="5670" w:firstLineChars="2700"/>
        <w:jc w:val="left"/>
        <w:rPr>
          <w:rFonts w:hint="eastAsia" w:ascii="宋体" w:hAnsi="宋体"/>
          <w:bCs/>
          <w:color w:val="auto"/>
        </w:rPr>
      </w:pPr>
      <w:r>
        <w:rPr>
          <w:rFonts w:hint="eastAsia" w:ascii="宋体" w:hAnsi="宋体"/>
          <w:bCs/>
          <w:color w:val="auto"/>
        </w:rPr>
        <w:t>供应商（盖章）：</w:t>
      </w:r>
      <w:r>
        <w:rPr>
          <w:rFonts w:hint="eastAsia" w:ascii="宋体" w:hAnsi="宋体"/>
          <w:bCs/>
          <w:color w:val="auto"/>
          <w:u w:val="single"/>
        </w:rPr>
        <w:t xml:space="preserve">   </w:t>
      </w:r>
      <w:r>
        <w:rPr>
          <w:rFonts w:ascii="宋体" w:hAnsi="宋体"/>
          <w:bCs/>
          <w:color w:val="auto"/>
          <w:u w:val="single"/>
        </w:rPr>
        <w:t xml:space="preserve">  </w:t>
      </w:r>
      <w:r>
        <w:rPr>
          <w:rFonts w:hint="eastAsia" w:ascii="宋体" w:hAnsi="宋体"/>
          <w:bCs/>
          <w:color w:val="auto"/>
          <w:u w:val="single"/>
        </w:rPr>
        <w:t xml:space="preserve">  </w:t>
      </w:r>
      <w:r>
        <w:rPr>
          <w:rFonts w:ascii="宋体" w:hAnsi="宋体"/>
          <w:bCs/>
          <w:color w:val="auto"/>
          <w:u w:val="single"/>
        </w:rPr>
        <w:t xml:space="preserve"> </w:t>
      </w:r>
      <w:r>
        <w:rPr>
          <w:rFonts w:hint="eastAsia" w:ascii="宋体" w:hAnsi="宋体"/>
          <w:bCs/>
          <w:color w:val="auto"/>
          <w:u w:val="single"/>
        </w:rPr>
        <w:t xml:space="preserve">  </w:t>
      </w:r>
    </w:p>
    <w:p>
      <w:pPr>
        <w:spacing w:line="440" w:lineRule="exact"/>
        <w:ind w:right="420"/>
        <w:jc w:val="center"/>
        <w:rPr>
          <w:rFonts w:hint="eastAsia" w:ascii="宋体" w:hAnsi="宋体"/>
          <w:bCs/>
          <w:color w:val="auto"/>
        </w:rPr>
      </w:pPr>
      <w:r>
        <w:rPr>
          <w:rFonts w:hint="eastAsia" w:ascii="宋体" w:hAnsi="宋体"/>
          <w:bCs/>
          <w:color w:val="auto"/>
        </w:rPr>
        <w:t xml:space="preserve"> </w:t>
      </w:r>
      <w:r>
        <w:rPr>
          <w:rFonts w:ascii="宋体" w:hAnsi="宋体"/>
          <w:bCs/>
          <w:color w:val="auto"/>
        </w:rPr>
        <w:t xml:space="preserve">                                                </w:t>
      </w:r>
      <w:r>
        <w:rPr>
          <w:rFonts w:hint="eastAsia" w:ascii="宋体" w:hAnsi="宋体"/>
          <w:bCs/>
          <w:color w:val="auto"/>
        </w:rPr>
        <w:t>日期：</w:t>
      </w:r>
      <w:r>
        <w:rPr>
          <w:rFonts w:hint="eastAsia" w:ascii="宋体" w:hAnsi="宋体"/>
          <w:bCs/>
          <w:color w:val="auto"/>
          <w:u w:val="single"/>
        </w:rPr>
        <w:t xml:space="preserve">      </w:t>
      </w:r>
      <w:r>
        <w:rPr>
          <w:rFonts w:hint="eastAsia" w:ascii="宋体" w:hAnsi="宋体"/>
          <w:bCs/>
          <w:color w:val="auto"/>
        </w:rPr>
        <w:t>年</w:t>
      </w:r>
      <w:r>
        <w:rPr>
          <w:rFonts w:hint="eastAsia" w:ascii="宋体" w:hAnsi="宋体"/>
          <w:bCs/>
          <w:color w:val="auto"/>
          <w:u w:val="single"/>
        </w:rPr>
        <w:t xml:space="preserve">    </w:t>
      </w:r>
      <w:r>
        <w:rPr>
          <w:rFonts w:hint="eastAsia" w:ascii="宋体" w:hAnsi="宋体"/>
          <w:bCs/>
          <w:color w:val="auto"/>
        </w:rPr>
        <w:t>月</w:t>
      </w:r>
      <w:r>
        <w:rPr>
          <w:rFonts w:hint="eastAsia" w:ascii="宋体" w:hAnsi="宋体"/>
          <w:bCs/>
          <w:color w:val="auto"/>
          <w:u w:val="single"/>
        </w:rPr>
        <w:t xml:space="preserve">    </w:t>
      </w:r>
      <w:r>
        <w:rPr>
          <w:rFonts w:hint="eastAsia" w:ascii="宋体" w:hAnsi="宋体"/>
          <w:bCs/>
          <w:color w:val="auto"/>
        </w:rPr>
        <w:t>日</w:t>
      </w:r>
    </w:p>
    <w:p>
      <w:pPr>
        <w:spacing w:line="400" w:lineRule="exact"/>
        <w:ind w:right="1050" w:rightChars="500"/>
        <w:jc w:val="right"/>
        <w:rPr>
          <w:rFonts w:hint="eastAsia" w:ascii="黑体" w:hAnsi="黑体" w:eastAsia="黑体" w:cs="黑体"/>
          <w:b/>
          <w:color w:val="auto"/>
          <w:sz w:val="32"/>
          <w:szCs w:val="32"/>
        </w:rPr>
      </w:pPr>
    </w:p>
    <w:p>
      <w:pPr>
        <w:widowControl/>
        <w:jc w:val="left"/>
        <w:rPr>
          <w:rFonts w:hint="eastAsia" w:ascii="黑体" w:hAnsi="黑体" w:eastAsia="黑体" w:cs="黑体"/>
          <w:b/>
          <w:color w:val="auto"/>
          <w:sz w:val="32"/>
          <w:szCs w:val="32"/>
        </w:rPr>
      </w:pPr>
      <w:r>
        <w:rPr>
          <w:rFonts w:ascii="黑体" w:hAnsi="黑体" w:eastAsia="黑体" w:cs="黑体"/>
          <w:b/>
          <w:color w:val="auto"/>
          <w:sz w:val="32"/>
          <w:szCs w:val="32"/>
        </w:rPr>
        <w:br w:type="page"/>
      </w:r>
      <w:r>
        <w:rPr>
          <w:rFonts w:hint="eastAsia" w:ascii="仿宋" w:hAnsi="仿宋" w:eastAsia="仿宋"/>
          <w:b/>
          <w:color w:val="auto"/>
          <w:sz w:val="36"/>
          <w:szCs w:val="36"/>
        </w:rPr>
        <w:t>二、商务技术文件</w:t>
      </w:r>
    </w:p>
    <w:p>
      <w:pPr>
        <w:widowControl/>
        <w:jc w:val="center"/>
        <w:rPr>
          <w:rFonts w:hint="eastAsia" w:ascii="仿宋" w:hAnsi="仿宋" w:eastAsia="仿宋" w:cs="黑体"/>
          <w:b/>
          <w:color w:val="auto"/>
          <w:sz w:val="32"/>
          <w:szCs w:val="32"/>
        </w:rPr>
      </w:pPr>
      <w:bookmarkStart w:id="132" w:name="_Hlk92702324"/>
      <w:r>
        <w:rPr>
          <w:rFonts w:hint="eastAsia" w:ascii="仿宋" w:hAnsi="仿宋" w:eastAsia="仿宋" w:cs="黑体"/>
          <w:b/>
          <w:color w:val="auto"/>
          <w:sz w:val="32"/>
          <w:szCs w:val="32"/>
        </w:rPr>
        <w:t>谈 判 函</w:t>
      </w:r>
      <w:bookmarkEnd w:id="132"/>
      <w:r>
        <w:rPr>
          <w:rFonts w:hint="eastAsia" w:ascii="仿宋" w:hAnsi="仿宋" w:eastAsia="仿宋" w:cs="黑体"/>
          <w:bCs/>
          <w:color w:val="auto"/>
          <w:sz w:val="24"/>
        </w:rPr>
        <w:t>(格式</w:t>
      </w:r>
      <w:r>
        <w:rPr>
          <w:rFonts w:ascii="仿宋" w:hAnsi="仿宋" w:eastAsia="仿宋" w:cs="黑体"/>
          <w:bCs/>
          <w:color w:val="auto"/>
          <w:sz w:val="24"/>
        </w:rPr>
        <w:t>)</w:t>
      </w:r>
    </w:p>
    <w:p>
      <w:pPr>
        <w:spacing w:line="360" w:lineRule="exact"/>
        <w:jc w:val="center"/>
        <w:rPr>
          <w:rFonts w:hint="eastAsia" w:ascii="宋体" w:hAnsi="宋体"/>
          <w:b/>
          <w:color w:val="auto"/>
          <w:szCs w:val="21"/>
        </w:rPr>
      </w:pPr>
    </w:p>
    <w:p>
      <w:pPr>
        <w:spacing w:line="400" w:lineRule="exact"/>
        <w:rPr>
          <w:rFonts w:hint="eastAsia" w:ascii="宋体" w:hAnsi="宋体"/>
          <w:color w:val="auto"/>
          <w:szCs w:val="21"/>
        </w:rPr>
      </w:pPr>
      <w:r>
        <w:rPr>
          <w:rFonts w:hint="eastAsia" w:ascii="宋体" w:hAnsi="宋体"/>
          <w:color w:val="auto"/>
          <w:szCs w:val="21"/>
        </w:rPr>
        <w:t>致：钦州市政府采购中心：</w:t>
      </w:r>
    </w:p>
    <w:p>
      <w:pPr>
        <w:pStyle w:val="20"/>
        <w:spacing w:line="480" w:lineRule="exact"/>
        <w:ind w:firstLine="420"/>
        <w:rPr>
          <w:rFonts w:hint="eastAsia" w:hAnsi="宋体"/>
          <w:color w:val="auto"/>
        </w:rPr>
      </w:pPr>
      <w:r>
        <w:rPr>
          <w:rFonts w:hint="eastAsia" w:hAnsi="宋体"/>
          <w:color w:val="auto"/>
        </w:rPr>
        <w:t>依据贵方</w:t>
      </w:r>
      <w:r>
        <w:rPr>
          <w:rFonts w:hint="eastAsia" w:hAnsi="宋体"/>
          <w:color w:val="auto"/>
          <w:u w:val="single"/>
        </w:rPr>
        <w:t>（项目名称/文件编号）</w:t>
      </w:r>
      <w:r>
        <w:rPr>
          <w:rFonts w:hint="eastAsia" w:hAnsi="宋体"/>
          <w:color w:val="auto"/>
        </w:rPr>
        <w:t>项目竞争性谈判采购文件，我方</w:t>
      </w:r>
      <w:r>
        <w:rPr>
          <w:rFonts w:hint="eastAsia" w:hAnsi="宋体"/>
          <w:color w:val="auto"/>
          <w:u w:val="single"/>
        </w:rPr>
        <w:t xml:space="preserve"> （供应商名称） </w:t>
      </w:r>
      <w:r>
        <w:rPr>
          <w:rFonts w:hint="eastAsia" w:hAnsi="宋体"/>
          <w:color w:val="auto"/>
        </w:rPr>
        <w:t>经正式授权代表</w:t>
      </w:r>
      <w:r>
        <w:rPr>
          <w:rFonts w:hint="eastAsia" w:hAnsi="宋体"/>
          <w:color w:val="auto"/>
          <w:u w:val="single"/>
        </w:rPr>
        <w:t xml:space="preserve">   （被授权人）</w:t>
      </w:r>
      <w:r>
        <w:rPr>
          <w:rFonts w:hint="eastAsia" w:hAnsi="宋体"/>
          <w:color w:val="auto"/>
        </w:rPr>
        <w:t>提交响应文件。</w:t>
      </w:r>
    </w:p>
    <w:p>
      <w:pPr>
        <w:spacing w:line="400" w:lineRule="exact"/>
        <w:rPr>
          <w:rFonts w:hint="eastAsia" w:ascii="宋体" w:hAnsi="宋体"/>
          <w:color w:val="auto"/>
          <w:szCs w:val="21"/>
        </w:rPr>
      </w:pPr>
      <w:r>
        <w:rPr>
          <w:rFonts w:ascii="宋体" w:hAnsi="宋体"/>
          <w:color w:val="auto"/>
          <w:szCs w:val="21"/>
        </w:rPr>
        <w:tab/>
      </w:r>
      <w:r>
        <w:rPr>
          <w:rFonts w:hint="eastAsia" w:ascii="宋体" w:hAnsi="宋体"/>
          <w:color w:val="auto"/>
          <w:szCs w:val="21"/>
        </w:rPr>
        <w:t>据此函，我公司承诺：</w:t>
      </w:r>
    </w:p>
    <w:p>
      <w:pPr>
        <w:snapToGrid w:val="0"/>
        <w:spacing w:line="360" w:lineRule="exact"/>
        <w:ind w:firstLine="420" w:firstLineChars="200"/>
        <w:rPr>
          <w:rFonts w:hint="eastAsia" w:ascii="宋体" w:hAnsi="宋体"/>
          <w:color w:val="auto"/>
          <w:szCs w:val="21"/>
        </w:rPr>
      </w:pPr>
      <w:r>
        <w:rPr>
          <w:rFonts w:ascii="宋体" w:hAnsi="宋体"/>
          <w:color w:val="auto"/>
          <w:szCs w:val="21"/>
        </w:rPr>
        <w:t>1.</w:t>
      </w:r>
      <w:r>
        <w:rPr>
          <w:rFonts w:hint="eastAsia" w:ascii="宋体" w:hAnsi="宋体"/>
          <w:color w:val="auto"/>
          <w:szCs w:val="21"/>
        </w:rPr>
        <w:t>我方已详细审阅采购文件（包括澄清或者修改文件），已经了解我方对于采购文件、采购过程、采购结果有依法进行询问、质疑、投诉的权利及相关渠道和要求。</w:t>
      </w:r>
    </w:p>
    <w:p>
      <w:pPr>
        <w:snapToGrid w:val="0"/>
        <w:spacing w:line="360" w:lineRule="exact"/>
        <w:ind w:firstLine="420" w:firstLineChars="200"/>
        <w:rPr>
          <w:rFonts w:hint="eastAsia" w:ascii="宋体" w:hAnsi="宋体"/>
          <w:color w:val="auto"/>
          <w:szCs w:val="21"/>
        </w:rPr>
      </w:pPr>
      <w:r>
        <w:rPr>
          <w:rFonts w:hint="eastAsia" w:ascii="宋体" w:hAnsi="宋体"/>
          <w:color w:val="auto"/>
          <w:szCs w:val="21"/>
        </w:rPr>
        <w:t>2.我方不是采购人的附属机构；在获知本项目采购信息后，与采购人聘请的为此项目提供咨询服务的公司及其附属机构没有任何联系。</w:t>
      </w:r>
    </w:p>
    <w:p>
      <w:pPr>
        <w:snapToGrid w:val="0"/>
        <w:spacing w:line="360" w:lineRule="exact"/>
        <w:ind w:firstLine="420" w:firstLineChars="200"/>
        <w:rPr>
          <w:rFonts w:hint="eastAsia" w:ascii="宋体" w:hAnsi="宋体"/>
          <w:color w:val="auto"/>
          <w:szCs w:val="21"/>
        </w:rPr>
      </w:pPr>
      <w:r>
        <w:rPr>
          <w:rFonts w:ascii="宋体" w:hAnsi="宋体"/>
          <w:color w:val="auto"/>
          <w:szCs w:val="21"/>
        </w:rPr>
        <w:t>3.</w:t>
      </w:r>
      <w:r>
        <w:rPr>
          <w:rFonts w:hint="eastAsia" w:ascii="宋体" w:hAnsi="宋体"/>
          <w:color w:val="auto"/>
          <w:szCs w:val="21"/>
        </w:rPr>
        <w:t>我方在谈判之前已经与贵方进行了充分的沟通，完全理解并接受采购文件的各项规定和要求，对采购文件的合理性、合法性不再有异议。</w:t>
      </w:r>
    </w:p>
    <w:p>
      <w:pPr>
        <w:spacing w:line="400" w:lineRule="exact"/>
        <w:rPr>
          <w:rFonts w:hint="eastAsia" w:ascii="宋体" w:hAnsi="宋体"/>
          <w:color w:val="auto"/>
          <w:szCs w:val="21"/>
        </w:rPr>
      </w:pPr>
      <w:r>
        <w:rPr>
          <w:rFonts w:ascii="宋体" w:hAnsi="宋体"/>
          <w:color w:val="auto"/>
          <w:szCs w:val="21"/>
        </w:rPr>
        <w:tab/>
      </w:r>
      <w:r>
        <w:rPr>
          <w:rFonts w:ascii="宋体" w:hAnsi="宋体"/>
          <w:color w:val="auto"/>
          <w:szCs w:val="21"/>
        </w:rPr>
        <w:t>4</w:t>
      </w:r>
      <w:r>
        <w:rPr>
          <w:rFonts w:hint="eastAsia" w:ascii="宋体" w:hAnsi="宋体"/>
          <w:color w:val="auto"/>
          <w:szCs w:val="21"/>
        </w:rPr>
        <w:t>.我方根据采购文件的规定，承担完成合同的责任和义务。</w:t>
      </w:r>
    </w:p>
    <w:p>
      <w:pPr>
        <w:spacing w:line="400" w:lineRule="exact"/>
        <w:rPr>
          <w:rFonts w:hint="eastAsia" w:ascii="宋体" w:hAnsi="宋体"/>
          <w:color w:val="auto"/>
          <w:szCs w:val="21"/>
        </w:rPr>
      </w:pPr>
      <w:r>
        <w:rPr>
          <w:rFonts w:ascii="宋体" w:hAnsi="宋体"/>
          <w:color w:val="auto"/>
          <w:szCs w:val="21"/>
        </w:rPr>
        <w:tab/>
      </w:r>
      <w:r>
        <w:rPr>
          <w:rFonts w:ascii="宋体" w:hAnsi="宋体"/>
          <w:color w:val="auto"/>
          <w:szCs w:val="21"/>
        </w:rPr>
        <w:t>5</w:t>
      </w:r>
      <w:r>
        <w:rPr>
          <w:rFonts w:hint="eastAsia" w:ascii="宋体" w:hAnsi="宋体"/>
          <w:color w:val="auto"/>
          <w:szCs w:val="21"/>
        </w:rPr>
        <w:t>.同意向贵方提供贵方可能要求的与本项目采购有关的人员、数据和资料。</w:t>
      </w:r>
    </w:p>
    <w:p>
      <w:pPr>
        <w:spacing w:line="400" w:lineRule="exact"/>
        <w:ind w:firstLine="424" w:firstLineChars="202"/>
        <w:rPr>
          <w:rFonts w:hint="eastAsia" w:ascii="宋体" w:hAnsi="宋体"/>
          <w:color w:val="auto"/>
          <w:szCs w:val="21"/>
        </w:rPr>
      </w:pPr>
      <w:r>
        <w:rPr>
          <w:rFonts w:ascii="宋体" w:hAnsi="宋体"/>
          <w:color w:val="auto"/>
          <w:szCs w:val="21"/>
        </w:rPr>
        <w:t>6.</w:t>
      </w:r>
      <w:r>
        <w:rPr>
          <w:rFonts w:hint="eastAsia" w:ascii="宋体" w:hAnsi="宋体"/>
          <w:color w:val="auto"/>
          <w:szCs w:val="21"/>
        </w:rPr>
        <w:t>我方向贵方提交的所有响应文件、资料都是准确的和真实的。</w:t>
      </w:r>
    </w:p>
    <w:p>
      <w:pPr>
        <w:spacing w:line="400" w:lineRule="exact"/>
        <w:rPr>
          <w:rFonts w:hint="eastAsia" w:ascii="宋体" w:hAnsi="宋体"/>
          <w:color w:val="auto"/>
          <w:szCs w:val="21"/>
        </w:rPr>
      </w:pPr>
    </w:p>
    <w:p>
      <w:pPr>
        <w:spacing w:line="400" w:lineRule="exact"/>
        <w:ind w:firstLine="426"/>
        <w:rPr>
          <w:rFonts w:hint="eastAsia" w:ascii="宋体" w:hAnsi="宋体"/>
          <w:color w:val="auto"/>
          <w:szCs w:val="21"/>
        </w:rPr>
      </w:pPr>
      <w:r>
        <w:rPr>
          <w:rFonts w:hint="eastAsia" w:ascii="宋体" w:hAnsi="宋体"/>
          <w:color w:val="auto"/>
          <w:szCs w:val="21"/>
        </w:rPr>
        <w:t>与我公司有关的正式通讯方式：</w:t>
      </w:r>
    </w:p>
    <w:p>
      <w:pPr>
        <w:spacing w:line="400" w:lineRule="exact"/>
        <w:rPr>
          <w:rFonts w:hint="eastAsia" w:ascii="宋体" w:hAnsi="宋体"/>
          <w:color w:val="auto"/>
          <w:szCs w:val="21"/>
        </w:rPr>
      </w:pPr>
      <w:r>
        <w:rPr>
          <w:rFonts w:ascii="宋体" w:hAnsi="宋体"/>
          <w:color w:val="auto"/>
          <w:szCs w:val="21"/>
        </w:rPr>
        <w:tab/>
      </w:r>
      <w:r>
        <w:rPr>
          <w:rFonts w:hint="eastAsia" w:ascii="宋体" w:hAnsi="宋体"/>
          <w:color w:val="auto"/>
          <w:szCs w:val="21"/>
        </w:rPr>
        <w:t>地址：</w:t>
      </w:r>
      <w:r>
        <w:rPr>
          <w:rFonts w:hint="eastAsia" w:ascii="宋体" w:hAnsi="宋体"/>
          <w:color w:val="auto"/>
          <w:szCs w:val="21"/>
          <w:u w:val="single"/>
        </w:rPr>
        <w:t xml:space="preserve">                                   </w:t>
      </w:r>
    </w:p>
    <w:p>
      <w:pPr>
        <w:spacing w:line="400" w:lineRule="exact"/>
        <w:rPr>
          <w:rFonts w:hint="eastAsia" w:ascii="宋体" w:hAnsi="宋体"/>
          <w:color w:val="auto"/>
          <w:szCs w:val="21"/>
        </w:rPr>
      </w:pPr>
      <w:r>
        <w:rPr>
          <w:rFonts w:ascii="宋体" w:hAnsi="宋体"/>
          <w:color w:val="auto"/>
          <w:szCs w:val="21"/>
        </w:rPr>
        <w:tab/>
      </w:r>
      <w:r>
        <w:rPr>
          <w:rFonts w:hint="eastAsia" w:ascii="宋体" w:hAnsi="宋体"/>
          <w:color w:val="auto"/>
          <w:szCs w:val="21"/>
        </w:rPr>
        <w:t>邮政编码：</w:t>
      </w:r>
      <w:r>
        <w:rPr>
          <w:rFonts w:hint="eastAsia" w:ascii="宋体" w:hAnsi="宋体"/>
          <w:color w:val="auto"/>
          <w:szCs w:val="21"/>
          <w:u w:val="single"/>
        </w:rPr>
        <w:t xml:space="preserve">                            </w:t>
      </w:r>
      <w:r>
        <w:rPr>
          <w:rFonts w:ascii="宋体" w:hAnsi="宋体"/>
          <w:color w:val="auto"/>
          <w:szCs w:val="21"/>
          <w:u w:val="single"/>
        </w:rPr>
        <w:t xml:space="preserve"> </w:t>
      </w:r>
      <w:r>
        <w:rPr>
          <w:rFonts w:hint="eastAsia" w:ascii="宋体" w:hAnsi="宋体"/>
          <w:color w:val="auto"/>
          <w:szCs w:val="21"/>
          <w:u w:val="single"/>
        </w:rPr>
        <w:t xml:space="preserve">  </w:t>
      </w:r>
    </w:p>
    <w:p>
      <w:pPr>
        <w:spacing w:line="400" w:lineRule="exact"/>
        <w:rPr>
          <w:rFonts w:hint="eastAsia" w:ascii="宋体" w:hAnsi="宋体"/>
          <w:color w:val="auto"/>
          <w:szCs w:val="21"/>
        </w:rPr>
      </w:pPr>
      <w:r>
        <w:rPr>
          <w:rFonts w:ascii="宋体" w:hAnsi="宋体"/>
          <w:color w:val="auto"/>
          <w:szCs w:val="21"/>
        </w:rPr>
        <w:tab/>
      </w:r>
      <w:r>
        <w:rPr>
          <w:rFonts w:hint="eastAsia" w:ascii="宋体" w:hAnsi="宋体"/>
          <w:color w:val="auto"/>
          <w:szCs w:val="21"/>
        </w:rPr>
        <w:t>电话、电报、传真或电传：</w:t>
      </w:r>
      <w:r>
        <w:rPr>
          <w:rFonts w:hint="eastAsia" w:ascii="宋体" w:hAnsi="宋体"/>
          <w:color w:val="auto"/>
          <w:szCs w:val="21"/>
          <w:u w:val="single"/>
        </w:rPr>
        <w:t xml:space="preserve">                 </w:t>
      </w:r>
    </w:p>
    <w:p>
      <w:pPr>
        <w:spacing w:line="400" w:lineRule="exact"/>
        <w:rPr>
          <w:rFonts w:hint="eastAsia" w:ascii="宋体" w:hAnsi="宋体"/>
          <w:color w:val="auto"/>
          <w:szCs w:val="21"/>
        </w:rPr>
      </w:pPr>
      <w:r>
        <w:rPr>
          <w:rFonts w:ascii="宋体" w:hAnsi="宋体"/>
          <w:color w:val="auto"/>
          <w:szCs w:val="21"/>
        </w:rPr>
        <w:tab/>
      </w:r>
      <w:r>
        <w:rPr>
          <w:rFonts w:hint="eastAsia" w:ascii="宋体" w:hAnsi="宋体"/>
          <w:color w:val="auto"/>
          <w:szCs w:val="21"/>
        </w:rPr>
        <w:t>开户名称：</w:t>
      </w:r>
      <w:r>
        <w:rPr>
          <w:rFonts w:hint="eastAsia" w:ascii="宋体" w:hAnsi="宋体"/>
          <w:color w:val="auto"/>
          <w:szCs w:val="21"/>
          <w:u w:val="single"/>
        </w:rPr>
        <w:t xml:space="preserve">                               </w:t>
      </w:r>
    </w:p>
    <w:p>
      <w:pPr>
        <w:spacing w:line="400" w:lineRule="exact"/>
        <w:rPr>
          <w:rFonts w:hint="eastAsia" w:ascii="宋体" w:hAnsi="宋体"/>
          <w:color w:val="auto"/>
          <w:szCs w:val="21"/>
        </w:rPr>
      </w:pPr>
      <w:r>
        <w:rPr>
          <w:rFonts w:ascii="宋体" w:hAnsi="宋体"/>
          <w:color w:val="auto"/>
          <w:szCs w:val="21"/>
        </w:rPr>
        <w:tab/>
      </w:r>
      <w:r>
        <w:rPr>
          <w:rFonts w:hint="eastAsia" w:ascii="宋体" w:hAnsi="宋体"/>
          <w:color w:val="auto"/>
          <w:szCs w:val="21"/>
        </w:rPr>
        <w:t>开户银行：</w:t>
      </w:r>
      <w:r>
        <w:rPr>
          <w:rFonts w:hint="eastAsia" w:ascii="宋体" w:hAnsi="宋体"/>
          <w:color w:val="auto"/>
          <w:szCs w:val="21"/>
          <w:u w:val="single"/>
        </w:rPr>
        <w:t xml:space="preserve">                               </w:t>
      </w:r>
    </w:p>
    <w:p>
      <w:pPr>
        <w:spacing w:line="400" w:lineRule="exact"/>
        <w:rPr>
          <w:rFonts w:hint="eastAsia" w:ascii="宋体" w:hAnsi="宋体"/>
          <w:color w:val="auto"/>
          <w:szCs w:val="21"/>
          <w:u w:val="single"/>
        </w:rPr>
      </w:pPr>
      <w:r>
        <w:rPr>
          <w:rFonts w:ascii="宋体" w:hAnsi="宋体"/>
          <w:color w:val="auto"/>
          <w:szCs w:val="21"/>
        </w:rPr>
        <w:tab/>
      </w:r>
      <w:r>
        <w:rPr>
          <w:rFonts w:hint="eastAsia" w:ascii="宋体" w:hAnsi="宋体"/>
          <w:color w:val="auto"/>
          <w:szCs w:val="21"/>
        </w:rPr>
        <w:t>账    号：</w:t>
      </w:r>
      <w:r>
        <w:rPr>
          <w:rFonts w:hint="eastAsia" w:ascii="宋体" w:hAnsi="宋体"/>
          <w:color w:val="auto"/>
          <w:szCs w:val="21"/>
          <w:u w:val="single"/>
        </w:rPr>
        <w:t xml:space="preserve">                               </w:t>
      </w:r>
    </w:p>
    <w:p>
      <w:pPr>
        <w:rPr>
          <w:color w:val="auto"/>
        </w:rPr>
      </w:pPr>
    </w:p>
    <w:p>
      <w:pPr>
        <w:rPr>
          <w:color w:val="auto"/>
        </w:rPr>
      </w:pPr>
    </w:p>
    <w:p>
      <w:pPr>
        <w:rPr>
          <w:color w:val="auto"/>
        </w:rPr>
      </w:pPr>
    </w:p>
    <w:p>
      <w:pPr>
        <w:rPr>
          <w:color w:val="auto"/>
        </w:rPr>
      </w:pPr>
    </w:p>
    <w:p>
      <w:pPr>
        <w:rPr>
          <w:color w:val="auto"/>
        </w:rPr>
      </w:pPr>
    </w:p>
    <w:p>
      <w:pPr>
        <w:spacing w:line="400" w:lineRule="exact"/>
        <w:rPr>
          <w:rFonts w:hint="eastAsia" w:ascii="宋体" w:hAnsi="宋体"/>
          <w:color w:val="auto"/>
          <w:szCs w:val="21"/>
        </w:rPr>
      </w:pPr>
      <w:r>
        <w:rPr>
          <w:rFonts w:ascii="宋体" w:hAnsi="宋体"/>
          <w:color w:val="auto"/>
          <w:szCs w:val="21"/>
        </w:rPr>
        <w:tab/>
      </w:r>
      <w:r>
        <w:rPr>
          <w:rFonts w:ascii="宋体" w:hAnsi="宋体"/>
          <w:color w:val="auto"/>
          <w:szCs w:val="21"/>
        </w:rPr>
        <w:t xml:space="preserve">                                           </w:t>
      </w:r>
      <w:r>
        <w:rPr>
          <w:rFonts w:hint="eastAsia" w:ascii="宋体" w:hAnsi="宋体"/>
          <w:color w:val="auto"/>
          <w:szCs w:val="21"/>
        </w:rPr>
        <w:t>供应商（盖章）：</w:t>
      </w:r>
      <w:r>
        <w:rPr>
          <w:rFonts w:hint="eastAsia" w:ascii="宋体" w:hAnsi="宋体"/>
          <w:color w:val="auto"/>
          <w:szCs w:val="21"/>
          <w:u w:val="single"/>
        </w:rPr>
        <w:t xml:space="preserve">      </w:t>
      </w:r>
      <w:r>
        <w:rPr>
          <w:rFonts w:ascii="宋体" w:hAnsi="宋体"/>
          <w:color w:val="auto"/>
          <w:szCs w:val="21"/>
          <w:u w:val="single"/>
        </w:rPr>
        <w:t xml:space="preserve">  </w:t>
      </w:r>
      <w:r>
        <w:rPr>
          <w:rFonts w:hint="eastAsia" w:ascii="宋体" w:hAnsi="宋体"/>
          <w:color w:val="auto"/>
          <w:szCs w:val="21"/>
          <w:u w:val="single"/>
        </w:rPr>
        <w:t xml:space="preserve">        </w:t>
      </w:r>
    </w:p>
    <w:p>
      <w:pPr>
        <w:spacing w:line="400" w:lineRule="exact"/>
        <w:rPr>
          <w:rFonts w:hint="eastAsia" w:ascii="宋体" w:hAnsi="宋体"/>
          <w:color w:val="auto"/>
          <w:szCs w:val="21"/>
        </w:rPr>
      </w:pPr>
      <w:r>
        <w:rPr>
          <w:rFonts w:ascii="宋体" w:hAnsi="宋体"/>
          <w:color w:val="auto"/>
          <w:szCs w:val="21"/>
        </w:rPr>
        <w:tab/>
      </w:r>
      <w:r>
        <w:rPr>
          <w:rFonts w:ascii="宋体" w:hAnsi="宋体"/>
          <w:color w:val="auto"/>
          <w:szCs w:val="21"/>
        </w:rPr>
        <w:t xml:space="preserve">                                           </w:t>
      </w:r>
      <w:r>
        <w:rPr>
          <w:rFonts w:hint="eastAsia" w:ascii="宋体" w:hAnsi="宋体"/>
          <w:color w:val="auto"/>
          <w:szCs w:val="21"/>
        </w:rPr>
        <w:t>日期：</w:t>
      </w:r>
      <w:r>
        <w:rPr>
          <w:rFonts w:hint="eastAsia" w:ascii="宋体" w:hAnsi="宋体"/>
          <w:color w:val="auto"/>
          <w:szCs w:val="21"/>
          <w:u w:val="single"/>
        </w:rPr>
        <w:t xml:space="preserve">                    </w:t>
      </w:r>
      <w:r>
        <w:rPr>
          <w:rFonts w:ascii="宋体" w:hAnsi="宋体"/>
          <w:color w:val="auto"/>
          <w:szCs w:val="21"/>
          <w:u w:val="single"/>
        </w:rPr>
        <w:t xml:space="preserve">     </w:t>
      </w:r>
    </w:p>
    <w:p>
      <w:pPr>
        <w:widowControl/>
        <w:jc w:val="left"/>
        <w:rPr>
          <w:color w:val="auto"/>
        </w:rPr>
      </w:pPr>
      <w:r>
        <w:rPr>
          <w:color w:val="auto"/>
        </w:rPr>
        <w:br w:type="page"/>
      </w:r>
    </w:p>
    <w:p>
      <w:pPr>
        <w:rPr>
          <w:color w:val="auto"/>
        </w:rPr>
      </w:pPr>
    </w:p>
    <w:p>
      <w:pPr>
        <w:jc w:val="center"/>
        <w:rPr>
          <w:rFonts w:hint="eastAsia" w:ascii="仿宋" w:hAnsi="仿宋" w:eastAsia="仿宋"/>
          <w:color w:val="auto"/>
          <w:sz w:val="32"/>
          <w:szCs w:val="32"/>
        </w:rPr>
      </w:pPr>
      <w:r>
        <w:rPr>
          <w:rFonts w:hint="eastAsia" w:ascii="仿宋" w:hAnsi="仿宋" w:eastAsia="仿宋"/>
          <w:b/>
          <w:color w:val="auto"/>
          <w:sz w:val="32"/>
          <w:szCs w:val="32"/>
        </w:rPr>
        <w:t>授权委托书</w:t>
      </w:r>
      <w:bookmarkStart w:id="133" w:name="_Hlk92703623"/>
      <w:r>
        <w:rPr>
          <w:rFonts w:hint="eastAsia" w:ascii="仿宋" w:hAnsi="仿宋" w:eastAsia="仿宋"/>
          <w:color w:val="auto"/>
          <w:sz w:val="24"/>
        </w:rPr>
        <w:t>(格式</w:t>
      </w:r>
      <w:r>
        <w:rPr>
          <w:rFonts w:ascii="仿宋" w:hAnsi="仿宋" w:eastAsia="仿宋"/>
          <w:color w:val="auto"/>
          <w:sz w:val="24"/>
        </w:rPr>
        <w:t>)</w:t>
      </w:r>
      <w:bookmarkEnd w:id="133"/>
    </w:p>
    <w:p>
      <w:pPr>
        <w:snapToGrid w:val="0"/>
        <w:spacing w:before="156" w:beforeLines="50" w:after="50" w:line="500" w:lineRule="exact"/>
        <w:rPr>
          <w:rFonts w:hint="eastAsia" w:ascii="宋体" w:hAnsi="宋体"/>
          <w:b/>
          <w:bCs/>
          <w:color w:val="auto"/>
          <w:szCs w:val="21"/>
        </w:rPr>
      </w:pPr>
      <w:r>
        <w:rPr>
          <w:rFonts w:hint="eastAsia" w:ascii="宋体" w:hAnsi="宋体"/>
          <w:bCs/>
          <w:color w:val="auto"/>
          <w:szCs w:val="21"/>
        </w:rPr>
        <w:t>致：</w:t>
      </w:r>
      <w:r>
        <w:rPr>
          <w:rFonts w:hint="eastAsia"/>
          <w:color w:val="auto"/>
        </w:rPr>
        <w:t>钦州市政府采购中心</w:t>
      </w:r>
    </w:p>
    <w:p>
      <w:pPr>
        <w:snapToGrid w:val="0"/>
        <w:spacing w:before="156" w:beforeLines="50" w:after="50" w:line="500" w:lineRule="exact"/>
        <w:ind w:firstLine="420" w:firstLineChars="200"/>
        <w:rPr>
          <w:rFonts w:hint="eastAsia" w:ascii="宋体" w:hAnsi="宋体"/>
          <w:color w:val="auto"/>
          <w:szCs w:val="21"/>
        </w:rPr>
      </w:pPr>
      <w:r>
        <w:rPr>
          <w:rFonts w:hint="eastAsia" w:ascii="宋体" w:hAnsi="宋体"/>
          <w:color w:val="auto"/>
          <w:szCs w:val="21"/>
        </w:rPr>
        <w:t>我</w:t>
      </w:r>
      <w:r>
        <w:rPr>
          <w:rFonts w:hint="eastAsia" w:ascii="宋体" w:hAnsi="宋体"/>
          <w:color w:val="auto"/>
          <w:szCs w:val="21"/>
          <w:u w:val="single"/>
        </w:rPr>
        <w:t>（姓名）</w:t>
      </w:r>
      <w:r>
        <w:rPr>
          <w:rFonts w:hint="eastAsia" w:ascii="宋体" w:hAnsi="宋体"/>
          <w:color w:val="auto"/>
          <w:szCs w:val="21"/>
        </w:rPr>
        <w:t>系</w:t>
      </w:r>
      <w:r>
        <w:rPr>
          <w:rFonts w:hint="eastAsia" w:ascii="宋体" w:hAnsi="宋体"/>
          <w:color w:val="auto"/>
          <w:szCs w:val="21"/>
          <w:u w:val="single"/>
        </w:rPr>
        <w:t>（供应商名称）</w:t>
      </w:r>
      <w:r>
        <w:rPr>
          <w:rFonts w:hint="eastAsia" w:ascii="宋体" w:hAnsi="宋体"/>
          <w:color w:val="auto"/>
          <w:szCs w:val="21"/>
        </w:rPr>
        <w:t>的法定代表人，现授权委托本单位在职职工</w:t>
      </w:r>
      <w:r>
        <w:rPr>
          <w:rFonts w:hint="eastAsia" w:ascii="宋体" w:hAnsi="宋体"/>
          <w:color w:val="auto"/>
          <w:szCs w:val="21"/>
          <w:u w:val="single"/>
        </w:rPr>
        <w:t>（姓名）</w:t>
      </w:r>
      <w:r>
        <w:rPr>
          <w:rFonts w:hint="eastAsia" w:ascii="宋体" w:hAnsi="宋体"/>
          <w:color w:val="auto"/>
          <w:szCs w:val="21"/>
        </w:rPr>
        <w:t>以我方的名义参加</w:t>
      </w:r>
      <w:r>
        <w:rPr>
          <w:rFonts w:hint="eastAsia" w:ascii="宋体" w:hAnsi="宋体"/>
          <w:color w:val="auto"/>
          <w:szCs w:val="21"/>
          <w:u w:val="single"/>
        </w:rPr>
        <w:t>（项目名称/项目编号）</w:t>
      </w:r>
      <w:r>
        <w:rPr>
          <w:rFonts w:hint="eastAsia" w:ascii="宋体" w:hAnsi="宋体"/>
          <w:color w:val="auto"/>
          <w:szCs w:val="21"/>
        </w:rPr>
        <w:t>的谈判活动，并代表我方全权办理针对上述项目的谈判、签约等具体事务和签署相关文件。</w:t>
      </w:r>
    </w:p>
    <w:p>
      <w:pPr>
        <w:snapToGrid w:val="0"/>
        <w:spacing w:before="156" w:beforeLines="50" w:after="50" w:line="500" w:lineRule="exact"/>
        <w:ind w:firstLine="420" w:firstLineChars="200"/>
        <w:rPr>
          <w:rFonts w:hint="eastAsia" w:ascii="宋体" w:hAnsi="宋体"/>
          <w:color w:val="auto"/>
          <w:szCs w:val="21"/>
        </w:rPr>
      </w:pPr>
      <w:r>
        <w:rPr>
          <w:rFonts w:hint="eastAsia" w:ascii="宋体" w:hAnsi="宋体"/>
          <w:color w:val="auto"/>
          <w:szCs w:val="21"/>
        </w:rPr>
        <w:t>我方对被授权人的签名事项负全部责任。</w:t>
      </w:r>
    </w:p>
    <w:p>
      <w:pPr>
        <w:snapToGrid w:val="0"/>
        <w:spacing w:before="156" w:beforeLines="50" w:after="50" w:line="500" w:lineRule="exact"/>
        <w:ind w:firstLine="420" w:firstLineChars="200"/>
        <w:rPr>
          <w:rFonts w:hint="eastAsia" w:ascii="宋体" w:hAnsi="宋体"/>
          <w:color w:val="auto"/>
          <w:szCs w:val="21"/>
        </w:rPr>
      </w:pPr>
      <w:r>
        <w:rPr>
          <w:rFonts w:hint="eastAsia" w:ascii="宋体" w:hAnsi="宋体"/>
          <w:color w:val="auto"/>
          <w:szCs w:val="21"/>
          <w:u w:val="single"/>
        </w:rPr>
        <w:t>在撤销授权的书面通知以前，本授权书一直有效</w:t>
      </w:r>
      <w:r>
        <w:rPr>
          <w:rFonts w:hint="eastAsia" w:ascii="宋体" w:hAnsi="宋体"/>
          <w:color w:val="auto"/>
          <w:szCs w:val="21"/>
        </w:rPr>
        <w:t>。被授权人在授权书有效期内签署的所有文件不因授权的撤销而失效。</w:t>
      </w:r>
    </w:p>
    <w:p>
      <w:pPr>
        <w:snapToGrid w:val="0"/>
        <w:spacing w:before="156" w:beforeLines="50" w:after="50" w:line="500" w:lineRule="exact"/>
        <w:ind w:firstLine="420" w:firstLineChars="200"/>
        <w:rPr>
          <w:rFonts w:hint="eastAsia" w:ascii="宋体" w:hAnsi="宋体"/>
          <w:color w:val="auto"/>
          <w:szCs w:val="21"/>
        </w:rPr>
      </w:pPr>
      <w:r>
        <w:rPr>
          <w:rFonts w:hint="eastAsia" w:ascii="宋体" w:hAnsi="宋体"/>
          <w:color w:val="auto"/>
          <w:szCs w:val="21"/>
        </w:rPr>
        <w:t>被授权人无转委托权，特此委托。</w:t>
      </w:r>
    </w:p>
    <w:p>
      <w:pPr>
        <w:snapToGrid w:val="0"/>
        <w:spacing w:before="156" w:beforeLines="50" w:after="50" w:line="300" w:lineRule="exact"/>
        <w:ind w:firstLine="420" w:firstLineChars="200"/>
        <w:rPr>
          <w:rFonts w:hint="eastAsia" w:ascii="宋体" w:hAnsi="宋体"/>
          <w:color w:val="auto"/>
          <w:szCs w:val="21"/>
          <w:u w:val="single"/>
        </w:rPr>
      </w:pPr>
    </w:p>
    <w:p>
      <w:pPr>
        <w:snapToGrid w:val="0"/>
        <w:spacing w:before="156" w:beforeLines="50" w:after="50" w:line="300" w:lineRule="exact"/>
        <w:ind w:firstLine="420" w:firstLineChars="200"/>
        <w:rPr>
          <w:rFonts w:hint="eastAsia" w:ascii="宋体" w:hAnsi="宋体"/>
          <w:color w:val="auto"/>
          <w:szCs w:val="21"/>
        </w:rPr>
      </w:pPr>
      <w:r>
        <w:rPr>
          <w:rFonts w:hint="eastAsia" w:ascii="宋体" w:hAnsi="宋体"/>
          <w:color w:val="auto"/>
          <w:szCs w:val="21"/>
        </w:rPr>
        <w:t>被授权人身份证号码：</w:t>
      </w:r>
      <w:r>
        <w:rPr>
          <w:rFonts w:hint="eastAsia" w:ascii="宋体" w:hAnsi="宋体"/>
          <w:color w:val="auto"/>
          <w:szCs w:val="21"/>
          <w:u w:val="single"/>
        </w:rPr>
        <w:t xml:space="preserve">                  </w:t>
      </w:r>
    </w:p>
    <w:p>
      <w:pPr>
        <w:snapToGrid w:val="0"/>
        <w:spacing w:before="156" w:beforeLines="50" w:after="50" w:line="300" w:lineRule="exact"/>
        <w:ind w:firstLine="420" w:firstLineChars="200"/>
        <w:rPr>
          <w:rFonts w:hint="eastAsia" w:hAnsi="宋体"/>
          <w:color w:val="auto"/>
        </w:rPr>
      </w:pPr>
      <w:r>
        <w:rPr>
          <w:rFonts w:hint="eastAsia" w:hAnsi="宋体"/>
          <w:color w:val="auto"/>
        </w:rPr>
        <w:t>附：委托代理人身份证(正反面</w:t>
      </w:r>
      <w:r>
        <w:rPr>
          <w:rFonts w:hAnsi="宋体"/>
          <w:color w:val="auto"/>
        </w:rPr>
        <w:t>)</w:t>
      </w:r>
    </w:p>
    <w:p>
      <w:pPr>
        <w:rPr>
          <w:color w:val="auto"/>
        </w:rPr>
      </w:pPr>
    </w:p>
    <w:p>
      <w:pPr>
        <w:rPr>
          <w:color w:val="auto"/>
        </w:rPr>
      </w:pPr>
    </w:p>
    <w:p>
      <w:pPr>
        <w:snapToGrid w:val="0"/>
        <w:spacing w:before="156" w:beforeLines="50" w:after="50" w:line="200" w:lineRule="exact"/>
        <w:ind w:firstLine="4620" w:firstLineChars="2200"/>
        <w:rPr>
          <w:rFonts w:hint="eastAsia" w:ascii="宋体" w:hAnsi="宋体"/>
          <w:color w:val="auto"/>
          <w:szCs w:val="21"/>
          <w:u w:val="single"/>
        </w:rPr>
      </w:pPr>
      <w:r>
        <w:rPr>
          <w:rFonts w:hint="eastAsia" w:ascii="宋体" w:hAnsi="宋体"/>
          <w:color w:val="auto"/>
          <w:szCs w:val="21"/>
        </w:rPr>
        <w:t xml:space="preserve">       供应商（盖章）：</w:t>
      </w:r>
      <w:r>
        <w:rPr>
          <w:rFonts w:hint="eastAsia" w:ascii="宋体" w:hAnsi="宋体"/>
          <w:color w:val="auto"/>
          <w:szCs w:val="21"/>
          <w:u w:val="single"/>
        </w:rPr>
        <w:t xml:space="preserve">      </w:t>
      </w:r>
      <w:r>
        <w:rPr>
          <w:rFonts w:ascii="宋体" w:hAnsi="宋体"/>
          <w:color w:val="auto"/>
          <w:szCs w:val="21"/>
          <w:u w:val="single"/>
        </w:rPr>
        <w:t xml:space="preserve">  </w:t>
      </w:r>
      <w:r>
        <w:rPr>
          <w:rFonts w:hint="eastAsia" w:ascii="宋体" w:hAnsi="宋体"/>
          <w:color w:val="auto"/>
          <w:szCs w:val="21"/>
          <w:u w:val="single"/>
        </w:rPr>
        <w:t xml:space="preserve">     </w:t>
      </w:r>
      <w:r>
        <w:rPr>
          <w:rFonts w:ascii="宋体" w:hAnsi="宋体"/>
          <w:color w:val="auto"/>
          <w:szCs w:val="21"/>
          <w:u w:val="single"/>
        </w:rPr>
        <w:t xml:space="preserve">     </w:t>
      </w:r>
      <w:r>
        <w:rPr>
          <w:rFonts w:hint="eastAsia" w:ascii="宋体" w:hAnsi="宋体"/>
          <w:color w:val="auto"/>
          <w:szCs w:val="21"/>
          <w:u w:val="single"/>
        </w:rPr>
        <w:t xml:space="preserve">    </w:t>
      </w:r>
    </w:p>
    <w:p>
      <w:pPr>
        <w:snapToGrid w:val="0"/>
        <w:spacing w:before="156" w:beforeLines="50" w:after="50" w:line="200" w:lineRule="exact"/>
        <w:ind w:firstLine="5355" w:firstLineChars="2550"/>
        <w:rPr>
          <w:rFonts w:hint="eastAsia" w:ascii="宋体" w:hAnsi="宋体"/>
          <w:color w:val="auto"/>
          <w:szCs w:val="21"/>
        </w:rPr>
      </w:pPr>
      <w:r>
        <w:rPr>
          <w:rFonts w:hint="eastAsia" w:ascii="宋体" w:hAnsi="宋体"/>
          <w:color w:val="auto"/>
          <w:szCs w:val="21"/>
        </w:rPr>
        <w:t>法定代表人签名：</w:t>
      </w:r>
      <w:r>
        <w:rPr>
          <w:rFonts w:hint="eastAsia" w:ascii="宋体" w:hAnsi="宋体"/>
          <w:color w:val="auto"/>
          <w:szCs w:val="21"/>
          <w:u w:val="single"/>
        </w:rPr>
        <w:t xml:space="preserve">      </w:t>
      </w:r>
      <w:r>
        <w:rPr>
          <w:rFonts w:ascii="宋体" w:hAnsi="宋体"/>
          <w:color w:val="auto"/>
          <w:szCs w:val="21"/>
          <w:u w:val="single"/>
        </w:rPr>
        <w:t xml:space="preserve">        </w:t>
      </w:r>
      <w:r>
        <w:rPr>
          <w:rFonts w:hint="eastAsia" w:ascii="宋体" w:hAnsi="宋体"/>
          <w:color w:val="auto"/>
          <w:szCs w:val="21"/>
          <w:u w:val="single"/>
        </w:rPr>
        <w:t xml:space="preserve">       </w:t>
      </w:r>
    </w:p>
    <w:p>
      <w:pPr>
        <w:snapToGrid w:val="0"/>
        <w:spacing w:before="156" w:beforeLines="50" w:after="50" w:line="200" w:lineRule="exact"/>
        <w:ind w:firstLine="5355" w:firstLineChars="2550"/>
        <w:rPr>
          <w:rFonts w:hint="eastAsia" w:ascii="宋体" w:hAnsi="宋体"/>
          <w:color w:val="auto"/>
          <w:szCs w:val="21"/>
        </w:rPr>
      </w:pPr>
      <w:r>
        <w:rPr>
          <w:rFonts w:hint="eastAsia" w:ascii="宋体" w:hAnsi="宋体"/>
          <w:color w:val="auto"/>
          <w:szCs w:val="21"/>
          <w:u w:val="single"/>
        </w:rPr>
        <w:t xml:space="preserve">           </w:t>
      </w:r>
      <w:r>
        <w:rPr>
          <w:rFonts w:hint="eastAsia" w:ascii="宋体" w:hAnsi="宋体"/>
          <w:color w:val="auto"/>
          <w:szCs w:val="21"/>
        </w:rPr>
        <w:t>年</w:t>
      </w:r>
      <w:r>
        <w:rPr>
          <w:rFonts w:hint="eastAsia" w:ascii="宋体" w:hAnsi="宋体"/>
          <w:color w:val="auto"/>
          <w:szCs w:val="21"/>
          <w:u w:val="single"/>
        </w:rPr>
        <w:t xml:space="preserve">     </w:t>
      </w:r>
      <w:r>
        <w:rPr>
          <w:rFonts w:hint="eastAsia" w:ascii="宋体" w:hAnsi="宋体"/>
          <w:color w:val="auto"/>
          <w:szCs w:val="21"/>
        </w:rPr>
        <w:t>月</w:t>
      </w:r>
      <w:r>
        <w:rPr>
          <w:rFonts w:hint="eastAsia" w:ascii="宋体" w:hAnsi="宋体"/>
          <w:color w:val="auto"/>
          <w:szCs w:val="21"/>
          <w:u w:val="single"/>
        </w:rPr>
        <w:t xml:space="preserve">     </w:t>
      </w:r>
      <w:r>
        <w:rPr>
          <w:rFonts w:hint="eastAsia" w:ascii="宋体" w:hAnsi="宋体"/>
          <w:color w:val="auto"/>
          <w:szCs w:val="21"/>
        </w:rPr>
        <w:t>日</w:t>
      </w:r>
    </w:p>
    <w:p>
      <w:pPr>
        <w:widowControl/>
        <w:jc w:val="left"/>
        <w:rPr>
          <w:rFonts w:ascii="宋体" w:hAnsi="Courier New" w:cs="Courier New"/>
          <w:b/>
          <w:bCs/>
          <w:color w:val="auto"/>
          <w:szCs w:val="21"/>
        </w:rPr>
      </w:pPr>
      <w:r>
        <w:rPr>
          <w:b/>
          <w:bCs/>
          <w:color w:val="auto"/>
        </w:rPr>
        <w:br w:type="page"/>
      </w:r>
    </w:p>
    <w:p>
      <w:pPr>
        <w:rPr>
          <w:color w:val="auto"/>
        </w:rPr>
      </w:pPr>
    </w:p>
    <w:p>
      <w:pPr>
        <w:snapToGrid w:val="0"/>
        <w:spacing w:before="156" w:beforeLines="50" w:after="50" w:line="360" w:lineRule="exact"/>
        <w:jc w:val="center"/>
        <w:rPr>
          <w:rFonts w:hint="eastAsia" w:ascii="仿宋" w:hAnsi="仿宋" w:eastAsia="仿宋"/>
          <w:b/>
          <w:color w:val="auto"/>
          <w:sz w:val="32"/>
          <w:szCs w:val="32"/>
        </w:rPr>
      </w:pPr>
      <w:r>
        <w:rPr>
          <w:rFonts w:hint="eastAsia" w:ascii="仿宋" w:hAnsi="仿宋" w:eastAsia="仿宋"/>
          <w:b/>
          <w:color w:val="auto"/>
          <w:sz w:val="32"/>
          <w:szCs w:val="32"/>
        </w:rPr>
        <w:t>商务响应表</w:t>
      </w:r>
      <w:r>
        <w:rPr>
          <w:rFonts w:hint="eastAsia" w:ascii="仿宋" w:hAnsi="仿宋" w:eastAsia="仿宋"/>
          <w:color w:val="auto"/>
          <w:sz w:val="24"/>
        </w:rPr>
        <w:t>(格式</w:t>
      </w:r>
      <w:r>
        <w:rPr>
          <w:rFonts w:ascii="仿宋" w:hAnsi="仿宋" w:eastAsia="仿宋"/>
          <w:color w:val="auto"/>
          <w:sz w:val="24"/>
        </w:rPr>
        <w:t>)</w:t>
      </w:r>
    </w:p>
    <w:tbl>
      <w:tblPr>
        <w:tblStyle w:val="34"/>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08"/>
        <w:gridCol w:w="3049"/>
        <w:gridCol w:w="2976"/>
        <w:gridCol w:w="153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8"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line="360" w:lineRule="exact"/>
              <w:jc w:val="center"/>
              <w:rPr>
                <w:rFonts w:hint="eastAsia" w:ascii="宋体" w:hAnsi="宋体"/>
                <w:b/>
                <w:color w:val="auto"/>
                <w:szCs w:val="21"/>
              </w:rPr>
            </w:pPr>
            <w:r>
              <w:rPr>
                <w:rFonts w:hint="eastAsia" w:ascii="宋体" w:hAnsi="宋体"/>
                <w:b/>
                <w:color w:val="auto"/>
                <w:szCs w:val="21"/>
              </w:rPr>
              <w:t>项目</w:t>
            </w:r>
          </w:p>
        </w:tc>
        <w:tc>
          <w:tcPr>
            <w:tcW w:w="3049"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line="360" w:lineRule="exact"/>
              <w:jc w:val="center"/>
              <w:rPr>
                <w:rFonts w:hint="eastAsia" w:ascii="宋体" w:hAnsi="宋体"/>
                <w:b/>
                <w:color w:val="auto"/>
                <w:szCs w:val="21"/>
              </w:rPr>
            </w:pPr>
            <w:r>
              <w:rPr>
                <w:rFonts w:hint="eastAsia" w:ascii="宋体" w:hAnsi="宋体"/>
                <w:b/>
                <w:color w:val="auto"/>
                <w:szCs w:val="21"/>
              </w:rPr>
              <w:t>采购文件要求</w:t>
            </w:r>
          </w:p>
        </w:tc>
        <w:tc>
          <w:tcPr>
            <w:tcW w:w="2976"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line="360" w:lineRule="exact"/>
              <w:jc w:val="center"/>
              <w:rPr>
                <w:rFonts w:hint="eastAsia" w:ascii="宋体" w:hAnsi="宋体"/>
                <w:b/>
                <w:color w:val="auto"/>
                <w:szCs w:val="21"/>
              </w:rPr>
            </w:pPr>
            <w:r>
              <w:rPr>
                <w:rFonts w:hint="eastAsia" w:ascii="宋体" w:hAnsi="宋体"/>
                <w:b/>
                <w:color w:val="auto"/>
                <w:szCs w:val="21"/>
              </w:rPr>
              <w:t>供应商的承诺或说明</w:t>
            </w:r>
          </w:p>
        </w:tc>
        <w:tc>
          <w:tcPr>
            <w:tcW w:w="1535"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line="360" w:lineRule="exact"/>
              <w:jc w:val="center"/>
              <w:rPr>
                <w:rFonts w:hint="eastAsia" w:ascii="宋体" w:hAnsi="宋体"/>
                <w:b/>
                <w:color w:val="auto"/>
                <w:szCs w:val="21"/>
              </w:rPr>
            </w:pPr>
            <w:r>
              <w:rPr>
                <w:rFonts w:hint="eastAsia" w:ascii="宋体" w:hAnsi="宋体"/>
                <w:b/>
                <w:color w:val="auto"/>
                <w:szCs w:val="21"/>
              </w:rPr>
              <w:t>是否响应</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8"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line="360" w:lineRule="exact"/>
              <w:jc w:val="center"/>
              <w:rPr>
                <w:rFonts w:hint="eastAsia" w:ascii="宋体" w:hAnsi="宋体"/>
                <w:color w:val="auto"/>
                <w:szCs w:val="21"/>
              </w:rPr>
            </w:pPr>
            <w:r>
              <w:rPr>
                <w:rFonts w:hint="eastAsia" w:ascii="宋体" w:hAnsi="宋体"/>
                <w:color w:val="auto"/>
                <w:szCs w:val="21"/>
              </w:rPr>
              <w:t>质保期</w:t>
            </w:r>
          </w:p>
        </w:tc>
        <w:tc>
          <w:tcPr>
            <w:tcW w:w="3049"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line="360" w:lineRule="exact"/>
              <w:jc w:val="center"/>
              <w:rPr>
                <w:rFonts w:hint="eastAsia" w:ascii="宋体" w:hAnsi="宋体"/>
                <w:color w:val="auto"/>
                <w:szCs w:val="21"/>
              </w:rPr>
            </w:pPr>
          </w:p>
        </w:tc>
        <w:tc>
          <w:tcPr>
            <w:tcW w:w="2976"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line="360" w:lineRule="exact"/>
              <w:jc w:val="center"/>
              <w:rPr>
                <w:rFonts w:hint="eastAsia" w:ascii="宋体" w:hAnsi="宋体"/>
                <w:color w:val="auto"/>
                <w:szCs w:val="21"/>
              </w:rPr>
            </w:pPr>
          </w:p>
        </w:tc>
        <w:tc>
          <w:tcPr>
            <w:tcW w:w="1535"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line="360" w:lineRule="exact"/>
              <w:jc w:val="center"/>
              <w:rPr>
                <w:rFonts w:hint="eastAsia"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8"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line="360" w:lineRule="exact"/>
              <w:jc w:val="center"/>
              <w:rPr>
                <w:rFonts w:hint="eastAsia" w:ascii="宋体" w:hAnsi="宋体"/>
                <w:color w:val="auto"/>
                <w:szCs w:val="21"/>
              </w:rPr>
            </w:pPr>
            <w:r>
              <w:rPr>
                <w:rFonts w:hint="eastAsia" w:ascii="宋体" w:hAnsi="宋体"/>
                <w:color w:val="auto"/>
                <w:szCs w:val="21"/>
              </w:rPr>
              <w:t>售后技术服务要求</w:t>
            </w:r>
          </w:p>
        </w:tc>
        <w:tc>
          <w:tcPr>
            <w:tcW w:w="3049"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line="360" w:lineRule="exact"/>
              <w:jc w:val="center"/>
              <w:rPr>
                <w:rFonts w:hint="eastAsia" w:ascii="宋体" w:hAnsi="宋体"/>
                <w:color w:val="auto"/>
                <w:szCs w:val="21"/>
              </w:rPr>
            </w:pPr>
          </w:p>
        </w:tc>
        <w:tc>
          <w:tcPr>
            <w:tcW w:w="2976"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line="360" w:lineRule="exact"/>
              <w:jc w:val="center"/>
              <w:rPr>
                <w:rFonts w:hint="eastAsia" w:ascii="宋体" w:hAnsi="宋体"/>
                <w:color w:val="auto"/>
                <w:szCs w:val="21"/>
              </w:rPr>
            </w:pPr>
          </w:p>
        </w:tc>
        <w:tc>
          <w:tcPr>
            <w:tcW w:w="1535"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line="360" w:lineRule="exact"/>
              <w:jc w:val="center"/>
              <w:rPr>
                <w:rFonts w:hint="eastAsia"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8"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line="360" w:lineRule="exact"/>
              <w:jc w:val="center"/>
              <w:rPr>
                <w:rFonts w:hint="eastAsia" w:ascii="宋体" w:hAnsi="宋体"/>
                <w:color w:val="auto"/>
                <w:szCs w:val="21"/>
              </w:rPr>
            </w:pPr>
            <w:r>
              <w:rPr>
                <w:rFonts w:hint="eastAsia" w:ascii="宋体" w:hAnsi="宋体"/>
                <w:color w:val="auto"/>
                <w:szCs w:val="21"/>
              </w:rPr>
              <w:t>交货时间及地点</w:t>
            </w:r>
          </w:p>
        </w:tc>
        <w:tc>
          <w:tcPr>
            <w:tcW w:w="3049"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line="360" w:lineRule="exact"/>
              <w:jc w:val="center"/>
              <w:rPr>
                <w:rFonts w:hint="eastAsia" w:ascii="宋体" w:hAnsi="宋体"/>
                <w:color w:val="auto"/>
                <w:szCs w:val="21"/>
              </w:rPr>
            </w:pPr>
          </w:p>
        </w:tc>
        <w:tc>
          <w:tcPr>
            <w:tcW w:w="2976"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line="360" w:lineRule="exact"/>
              <w:ind w:left="43"/>
              <w:jc w:val="center"/>
              <w:rPr>
                <w:rFonts w:hint="eastAsia" w:ascii="宋体" w:hAnsi="宋体"/>
                <w:color w:val="auto"/>
                <w:szCs w:val="21"/>
              </w:rPr>
            </w:pPr>
          </w:p>
        </w:tc>
        <w:tc>
          <w:tcPr>
            <w:tcW w:w="1535"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line="360" w:lineRule="exact"/>
              <w:ind w:left="43"/>
              <w:jc w:val="center"/>
              <w:rPr>
                <w:rFonts w:hint="eastAsia"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8"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line="360" w:lineRule="exact"/>
              <w:jc w:val="center"/>
              <w:rPr>
                <w:rFonts w:hint="eastAsia" w:ascii="宋体" w:hAnsi="宋体"/>
                <w:color w:val="auto"/>
                <w:szCs w:val="21"/>
              </w:rPr>
            </w:pPr>
            <w:r>
              <w:rPr>
                <w:rFonts w:hint="eastAsia" w:ascii="宋体" w:hAnsi="宋体"/>
                <w:color w:val="auto"/>
                <w:szCs w:val="21"/>
              </w:rPr>
              <w:t>付款条件</w:t>
            </w:r>
          </w:p>
        </w:tc>
        <w:tc>
          <w:tcPr>
            <w:tcW w:w="3049"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line="360" w:lineRule="exact"/>
              <w:jc w:val="center"/>
              <w:rPr>
                <w:rFonts w:hint="eastAsia" w:ascii="宋体" w:hAnsi="宋体"/>
                <w:color w:val="auto"/>
                <w:szCs w:val="21"/>
              </w:rPr>
            </w:pPr>
          </w:p>
        </w:tc>
        <w:tc>
          <w:tcPr>
            <w:tcW w:w="2976"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line="360" w:lineRule="exact"/>
              <w:jc w:val="center"/>
              <w:rPr>
                <w:rFonts w:hint="eastAsia" w:ascii="宋体" w:hAnsi="宋体"/>
                <w:color w:val="auto"/>
                <w:szCs w:val="21"/>
              </w:rPr>
            </w:pPr>
          </w:p>
        </w:tc>
        <w:tc>
          <w:tcPr>
            <w:tcW w:w="1535"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line="360" w:lineRule="exact"/>
              <w:jc w:val="center"/>
              <w:rPr>
                <w:rFonts w:hint="eastAsia"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8"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line="360" w:lineRule="exact"/>
              <w:jc w:val="center"/>
              <w:rPr>
                <w:rFonts w:hint="eastAsia" w:ascii="宋体" w:hAnsi="宋体"/>
                <w:color w:val="auto"/>
                <w:szCs w:val="21"/>
              </w:rPr>
            </w:pPr>
            <w:r>
              <w:rPr>
                <w:rFonts w:hint="eastAsia" w:ascii="宋体" w:hAnsi="宋体"/>
                <w:color w:val="auto"/>
                <w:szCs w:val="21"/>
              </w:rPr>
              <w:t>…</w:t>
            </w:r>
          </w:p>
        </w:tc>
        <w:tc>
          <w:tcPr>
            <w:tcW w:w="3049"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line="360" w:lineRule="exact"/>
              <w:jc w:val="center"/>
              <w:rPr>
                <w:rFonts w:hint="eastAsia" w:ascii="宋体" w:hAnsi="宋体"/>
                <w:color w:val="auto"/>
                <w:szCs w:val="21"/>
              </w:rPr>
            </w:pPr>
          </w:p>
        </w:tc>
        <w:tc>
          <w:tcPr>
            <w:tcW w:w="2976"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line="360" w:lineRule="exact"/>
              <w:jc w:val="center"/>
              <w:rPr>
                <w:rFonts w:hint="eastAsia" w:ascii="宋体" w:hAnsi="宋体"/>
                <w:color w:val="auto"/>
                <w:szCs w:val="21"/>
              </w:rPr>
            </w:pPr>
          </w:p>
        </w:tc>
        <w:tc>
          <w:tcPr>
            <w:tcW w:w="1535"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line="360" w:lineRule="exact"/>
              <w:jc w:val="center"/>
              <w:rPr>
                <w:rFonts w:hint="eastAsia" w:ascii="宋体" w:hAnsi="宋体"/>
                <w:color w:val="auto"/>
                <w:szCs w:val="21"/>
              </w:rPr>
            </w:pPr>
          </w:p>
        </w:tc>
      </w:tr>
    </w:tbl>
    <w:p>
      <w:pPr>
        <w:tabs>
          <w:tab w:val="left" w:pos="3870"/>
          <w:tab w:val="left" w:pos="4085"/>
        </w:tabs>
        <w:snapToGrid w:val="0"/>
        <w:spacing w:line="400" w:lineRule="exact"/>
        <w:rPr>
          <w:rFonts w:hint="eastAsia" w:ascii="宋体" w:hAnsi="宋体"/>
          <w:b/>
          <w:color w:val="auto"/>
          <w:szCs w:val="21"/>
        </w:rPr>
      </w:pPr>
    </w:p>
    <w:p>
      <w:pPr>
        <w:tabs>
          <w:tab w:val="left" w:pos="3870"/>
          <w:tab w:val="left" w:pos="4085"/>
        </w:tabs>
        <w:snapToGrid w:val="0"/>
        <w:spacing w:line="400" w:lineRule="exact"/>
        <w:rPr>
          <w:rFonts w:hint="eastAsia" w:ascii="宋体" w:hAnsi="宋体"/>
          <w:b/>
          <w:color w:val="auto"/>
          <w:szCs w:val="21"/>
        </w:rPr>
      </w:pPr>
    </w:p>
    <w:p>
      <w:pPr>
        <w:snapToGrid w:val="0"/>
        <w:spacing w:before="50" w:after="50" w:line="350" w:lineRule="exact"/>
        <w:ind w:right="-817" w:rightChars="-389"/>
        <w:rPr>
          <w:rFonts w:hint="eastAsia" w:ascii="宋体" w:hAnsi="宋体"/>
          <w:color w:val="auto"/>
          <w:szCs w:val="21"/>
        </w:rPr>
      </w:pPr>
      <w:r>
        <w:rPr>
          <w:rFonts w:hint="eastAsia" w:ascii="宋体" w:hAnsi="宋体"/>
          <w:color w:val="auto"/>
          <w:szCs w:val="21"/>
        </w:rPr>
        <w:t xml:space="preserve"> </w:t>
      </w:r>
      <w:r>
        <w:rPr>
          <w:rFonts w:ascii="宋体" w:hAnsi="宋体"/>
          <w:color w:val="auto"/>
          <w:szCs w:val="21"/>
        </w:rPr>
        <w:t xml:space="preserve">                                                     </w:t>
      </w:r>
      <w:r>
        <w:rPr>
          <w:rFonts w:hint="eastAsia" w:ascii="宋体" w:hAnsi="宋体"/>
          <w:color w:val="auto"/>
          <w:szCs w:val="21"/>
        </w:rPr>
        <w:t>供应商（盖章）：</w:t>
      </w:r>
      <w:r>
        <w:rPr>
          <w:rFonts w:hint="eastAsia" w:ascii="宋体" w:hAnsi="宋体"/>
          <w:color w:val="auto"/>
          <w:szCs w:val="21"/>
          <w:u w:val="single"/>
        </w:rPr>
        <w:t xml:space="preserve">         </w:t>
      </w:r>
    </w:p>
    <w:p>
      <w:pPr>
        <w:snapToGrid w:val="0"/>
        <w:spacing w:before="50" w:after="50" w:line="350" w:lineRule="exact"/>
        <w:ind w:right="-817" w:rightChars="-389"/>
        <w:rPr>
          <w:rFonts w:hint="eastAsia" w:ascii="宋体" w:hAnsi="宋体"/>
          <w:color w:val="auto"/>
          <w:szCs w:val="21"/>
        </w:rPr>
      </w:pPr>
      <w:r>
        <w:rPr>
          <w:rFonts w:hint="eastAsia" w:ascii="宋体" w:hAnsi="宋体"/>
          <w:color w:val="auto"/>
          <w:szCs w:val="21"/>
        </w:rPr>
        <w:t xml:space="preserve">       </w:t>
      </w:r>
      <w:r>
        <w:rPr>
          <w:rFonts w:ascii="宋体" w:hAnsi="宋体"/>
          <w:color w:val="auto"/>
          <w:szCs w:val="21"/>
        </w:rPr>
        <w:t xml:space="preserve">                                  </w:t>
      </w:r>
      <w:r>
        <w:rPr>
          <w:rFonts w:hint="eastAsia" w:ascii="宋体" w:hAnsi="宋体"/>
          <w:color w:val="auto"/>
          <w:szCs w:val="21"/>
        </w:rPr>
        <w:t xml:space="preserve">  </w:t>
      </w:r>
      <w:r>
        <w:rPr>
          <w:rFonts w:ascii="宋体" w:hAnsi="宋体"/>
          <w:color w:val="auto"/>
          <w:szCs w:val="21"/>
        </w:rPr>
        <w:t xml:space="preserve">           </w:t>
      </w:r>
      <w:r>
        <w:rPr>
          <w:rFonts w:hint="eastAsia" w:ascii="宋体" w:hAnsi="宋体"/>
          <w:color w:val="auto"/>
          <w:szCs w:val="21"/>
        </w:rPr>
        <w:t>日期：</w:t>
      </w:r>
      <w:r>
        <w:rPr>
          <w:rFonts w:hint="eastAsia" w:ascii="宋体" w:hAnsi="宋体"/>
          <w:color w:val="auto"/>
          <w:szCs w:val="21"/>
          <w:u w:val="single"/>
        </w:rPr>
        <w:t xml:space="preserve">      </w:t>
      </w:r>
      <w:r>
        <w:rPr>
          <w:rFonts w:hint="eastAsia" w:ascii="宋体" w:hAnsi="宋体"/>
          <w:color w:val="auto"/>
          <w:szCs w:val="21"/>
        </w:rPr>
        <w:t>年</w:t>
      </w:r>
      <w:r>
        <w:rPr>
          <w:rFonts w:hint="eastAsia" w:ascii="宋体" w:hAnsi="宋体"/>
          <w:color w:val="auto"/>
          <w:szCs w:val="21"/>
          <w:u w:val="single"/>
        </w:rPr>
        <w:t xml:space="preserve">   </w:t>
      </w:r>
      <w:r>
        <w:rPr>
          <w:rFonts w:hint="eastAsia" w:ascii="宋体" w:hAnsi="宋体"/>
          <w:color w:val="auto"/>
          <w:szCs w:val="21"/>
        </w:rPr>
        <w:t>月</w:t>
      </w:r>
      <w:r>
        <w:rPr>
          <w:rFonts w:hint="eastAsia" w:ascii="宋体" w:hAnsi="宋体"/>
          <w:color w:val="auto"/>
          <w:szCs w:val="21"/>
          <w:u w:val="single"/>
        </w:rPr>
        <w:t xml:space="preserve"> </w:t>
      </w:r>
      <w:r>
        <w:rPr>
          <w:rFonts w:ascii="宋体" w:hAnsi="宋体"/>
          <w:color w:val="auto"/>
          <w:szCs w:val="21"/>
          <w:u w:val="single"/>
        </w:rPr>
        <w:t xml:space="preserve"> </w:t>
      </w:r>
      <w:r>
        <w:rPr>
          <w:rFonts w:hint="eastAsia" w:ascii="宋体" w:hAnsi="宋体"/>
          <w:color w:val="auto"/>
          <w:szCs w:val="21"/>
          <w:u w:val="single"/>
        </w:rPr>
        <w:t xml:space="preserve"> </w:t>
      </w:r>
      <w:r>
        <w:rPr>
          <w:rFonts w:hint="eastAsia" w:ascii="宋体" w:hAnsi="宋体"/>
          <w:color w:val="auto"/>
          <w:szCs w:val="21"/>
        </w:rPr>
        <w:t>日</w:t>
      </w:r>
    </w:p>
    <w:p>
      <w:pPr>
        <w:snapToGrid w:val="0"/>
        <w:spacing w:before="50" w:after="50" w:line="350" w:lineRule="exact"/>
        <w:ind w:right="-817" w:rightChars="-389"/>
        <w:rPr>
          <w:rFonts w:hint="eastAsia" w:ascii="宋体" w:hAnsi="宋体"/>
          <w:color w:val="auto"/>
          <w:szCs w:val="21"/>
        </w:rPr>
      </w:pPr>
    </w:p>
    <w:p>
      <w:pPr>
        <w:snapToGrid w:val="0"/>
        <w:spacing w:before="50" w:after="50" w:line="350" w:lineRule="exact"/>
        <w:ind w:right="-817" w:rightChars="-389"/>
        <w:rPr>
          <w:rFonts w:hint="eastAsia" w:ascii="宋体" w:hAnsi="宋体"/>
          <w:color w:val="auto"/>
          <w:szCs w:val="21"/>
        </w:rPr>
      </w:pPr>
    </w:p>
    <w:p>
      <w:pPr>
        <w:pStyle w:val="20"/>
        <w:spacing w:line="440" w:lineRule="exact"/>
        <w:ind w:firstLine="840"/>
        <w:jc w:val="center"/>
        <w:rPr>
          <w:rFonts w:hint="eastAsia" w:ascii="仿宋" w:hAnsi="仿宋" w:eastAsia="仿宋"/>
          <w:color w:val="auto"/>
        </w:rPr>
      </w:pPr>
      <w:r>
        <w:rPr>
          <w:rFonts w:hint="eastAsia" w:ascii="仿宋" w:hAnsi="仿宋" w:eastAsia="仿宋" w:cs="黑体"/>
          <w:b/>
          <w:color w:val="auto"/>
          <w:sz w:val="32"/>
          <w:szCs w:val="32"/>
        </w:rPr>
        <w:t>技术响应表</w:t>
      </w:r>
      <w:r>
        <w:rPr>
          <w:rFonts w:hint="eastAsia" w:ascii="仿宋" w:hAnsi="仿宋" w:eastAsia="仿宋"/>
          <w:color w:val="auto"/>
          <w:sz w:val="24"/>
          <w:szCs w:val="24"/>
        </w:rPr>
        <w:t>(格式</w:t>
      </w:r>
      <w:r>
        <w:rPr>
          <w:rFonts w:ascii="仿宋" w:hAnsi="仿宋" w:eastAsia="仿宋"/>
          <w:color w:val="auto"/>
          <w:sz w:val="24"/>
          <w:szCs w:val="24"/>
        </w:rPr>
        <w:t>)</w:t>
      </w:r>
    </w:p>
    <w:p>
      <w:pPr>
        <w:rPr>
          <w:color w:val="auto"/>
        </w:rPr>
      </w:pPr>
    </w:p>
    <w:p>
      <w:pPr>
        <w:rPr>
          <w:color w:val="auto"/>
        </w:rPr>
      </w:pPr>
      <w:r>
        <w:rPr>
          <w:rFonts w:hint="eastAsia"/>
          <w:color w:val="auto"/>
        </w:rPr>
        <w:t>采购项目编号：</w:t>
      </w:r>
      <w:r>
        <w:rPr>
          <w:rFonts w:hint="eastAsia"/>
          <w:color w:val="auto"/>
          <w:u w:val="single"/>
        </w:rPr>
        <w:t xml:space="preserve">                 </w:t>
      </w:r>
    </w:p>
    <w:p>
      <w:pPr>
        <w:rPr>
          <w:color w:val="auto"/>
        </w:rPr>
      </w:pPr>
      <w:r>
        <w:rPr>
          <w:rFonts w:hint="eastAsia"/>
          <w:color w:val="auto"/>
        </w:rPr>
        <w:t>采购项目名称：</w:t>
      </w:r>
      <w:r>
        <w:rPr>
          <w:rFonts w:hint="eastAsia"/>
          <w:color w:val="auto"/>
          <w:u w:val="single"/>
        </w:rPr>
        <w:t xml:space="preserve">                 </w:t>
      </w:r>
    </w:p>
    <w:tbl>
      <w:tblPr>
        <w:tblStyle w:val="34"/>
        <w:tblW w:w="9415" w:type="dxa"/>
        <w:tblInd w:w="7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05"/>
        <w:gridCol w:w="1480"/>
        <w:gridCol w:w="2835"/>
        <w:gridCol w:w="2268"/>
        <w:gridCol w:w="1418"/>
        <w:gridCol w:w="70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43" w:hRule="atLeast"/>
        </w:trPr>
        <w:tc>
          <w:tcPr>
            <w:tcW w:w="705" w:type="dxa"/>
            <w:vAlign w:val="center"/>
          </w:tcPr>
          <w:p>
            <w:pPr>
              <w:jc w:val="center"/>
              <w:rPr>
                <w:color w:val="auto"/>
              </w:rPr>
            </w:pPr>
            <w:r>
              <w:rPr>
                <w:rFonts w:hint="eastAsia"/>
                <w:color w:val="auto"/>
              </w:rPr>
              <w:t>序号</w:t>
            </w:r>
          </w:p>
        </w:tc>
        <w:tc>
          <w:tcPr>
            <w:tcW w:w="1480" w:type="dxa"/>
            <w:vAlign w:val="center"/>
          </w:tcPr>
          <w:p>
            <w:pPr>
              <w:jc w:val="center"/>
              <w:rPr>
                <w:color w:val="auto"/>
              </w:rPr>
            </w:pPr>
            <w:r>
              <w:rPr>
                <w:rFonts w:hint="eastAsia"/>
                <w:color w:val="auto"/>
              </w:rPr>
              <w:t>标的名称</w:t>
            </w:r>
          </w:p>
        </w:tc>
        <w:tc>
          <w:tcPr>
            <w:tcW w:w="2835" w:type="dxa"/>
            <w:vAlign w:val="center"/>
          </w:tcPr>
          <w:p>
            <w:pPr>
              <w:jc w:val="center"/>
              <w:rPr>
                <w:color w:val="auto"/>
              </w:rPr>
            </w:pPr>
            <w:r>
              <w:rPr>
                <w:rFonts w:hint="eastAsia"/>
                <w:color w:val="auto"/>
              </w:rPr>
              <w:t>竞争性谈判采购文件要求</w:t>
            </w:r>
          </w:p>
        </w:tc>
        <w:tc>
          <w:tcPr>
            <w:tcW w:w="2268" w:type="dxa"/>
            <w:vAlign w:val="center"/>
          </w:tcPr>
          <w:p>
            <w:pPr>
              <w:jc w:val="center"/>
              <w:rPr>
                <w:color w:val="auto"/>
              </w:rPr>
            </w:pPr>
            <w:r>
              <w:rPr>
                <w:rFonts w:hint="eastAsia"/>
                <w:color w:val="auto"/>
              </w:rPr>
              <w:t>响应文件具体响应</w:t>
            </w:r>
          </w:p>
        </w:tc>
        <w:tc>
          <w:tcPr>
            <w:tcW w:w="1418" w:type="dxa"/>
            <w:vAlign w:val="center"/>
          </w:tcPr>
          <w:p>
            <w:pPr>
              <w:jc w:val="center"/>
              <w:rPr>
                <w:color w:val="auto"/>
              </w:rPr>
            </w:pPr>
            <w:r>
              <w:rPr>
                <w:rFonts w:hint="eastAsia"/>
                <w:color w:val="auto"/>
              </w:rPr>
              <w:t>响应/偏离</w:t>
            </w:r>
          </w:p>
        </w:tc>
        <w:tc>
          <w:tcPr>
            <w:tcW w:w="709" w:type="dxa"/>
            <w:vAlign w:val="center"/>
          </w:tcPr>
          <w:p>
            <w:pPr>
              <w:jc w:val="center"/>
              <w:rPr>
                <w:color w:val="auto"/>
              </w:rPr>
            </w:pPr>
            <w:r>
              <w:rPr>
                <w:rFonts w:hint="eastAsia"/>
                <w:color w:val="auto"/>
              </w:rPr>
              <w:t>说明</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trPr>
        <w:tc>
          <w:tcPr>
            <w:tcW w:w="705" w:type="dxa"/>
            <w:vAlign w:val="center"/>
          </w:tcPr>
          <w:p>
            <w:pPr>
              <w:jc w:val="center"/>
              <w:rPr>
                <w:color w:val="auto"/>
              </w:rPr>
            </w:pPr>
            <w:r>
              <w:rPr>
                <w:rFonts w:hint="eastAsia"/>
                <w:color w:val="auto"/>
              </w:rPr>
              <w:t>1</w:t>
            </w:r>
          </w:p>
        </w:tc>
        <w:tc>
          <w:tcPr>
            <w:tcW w:w="1480" w:type="dxa"/>
            <w:vAlign w:val="center"/>
          </w:tcPr>
          <w:p>
            <w:pPr>
              <w:rPr>
                <w:color w:val="auto"/>
              </w:rPr>
            </w:pPr>
          </w:p>
        </w:tc>
        <w:tc>
          <w:tcPr>
            <w:tcW w:w="2835" w:type="dxa"/>
            <w:vAlign w:val="center"/>
          </w:tcPr>
          <w:p>
            <w:pPr>
              <w:rPr>
                <w:color w:val="auto"/>
              </w:rPr>
            </w:pPr>
          </w:p>
        </w:tc>
        <w:tc>
          <w:tcPr>
            <w:tcW w:w="2268" w:type="dxa"/>
            <w:vAlign w:val="center"/>
          </w:tcPr>
          <w:p>
            <w:pPr>
              <w:rPr>
                <w:color w:val="auto"/>
              </w:rPr>
            </w:pPr>
          </w:p>
        </w:tc>
        <w:tc>
          <w:tcPr>
            <w:tcW w:w="1418" w:type="dxa"/>
            <w:vAlign w:val="center"/>
          </w:tcPr>
          <w:p>
            <w:pPr>
              <w:rPr>
                <w:color w:val="auto"/>
              </w:rPr>
            </w:pPr>
          </w:p>
        </w:tc>
        <w:tc>
          <w:tcPr>
            <w:tcW w:w="709" w:type="dxa"/>
            <w:vAlign w:val="center"/>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trPr>
        <w:tc>
          <w:tcPr>
            <w:tcW w:w="705" w:type="dxa"/>
            <w:vAlign w:val="center"/>
          </w:tcPr>
          <w:p>
            <w:pPr>
              <w:jc w:val="center"/>
              <w:rPr>
                <w:color w:val="auto"/>
              </w:rPr>
            </w:pPr>
            <w:r>
              <w:rPr>
                <w:rFonts w:hint="eastAsia"/>
                <w:color w:val="auto"/>
              </w:rPr>
              <w:t>2</w:t>
            </w:r>
          </w:p>
        </w:tc>
        <w:tc>
          <w:tcPr>
            <w:tcW w:w="1480" w:type="dxa"/>
            <w:vAlign w:val="center"/>
          </w:tcPr>
          <w:p>
            <w:pPr>
              <w:rPr>
                <w:color w:val="auto"/>
              </w:rPr>
            </w:pPr>
          </w:p>
        </w:tc>
        <w:tc>
          <w:tcPr>
            <w:tcW w:w="2835" w:type="dxa"/>
            <w:vAlign w:val="center"/>
          </w:tcPr>
          <w:p>
            <w:pPr>
              <w:rPr>
                <w:color w:val="auto"/>
              </w:rPr>
            </w:pPr>
          </w:p>
        </w:tc>
        <w:tc>
          <w:tcPr>
            <w:tcW w:w="2268" w:type="dxa"/>
            <w:vAlign w:val="center"/>
          </w:tcPr>
          <w:p>
            <w:pPr>
              <w:rPr>
                <w:color w:val="auto"/>
              </w:rPr>
            </w:pPr>
          </w:p>
        </w:tc>
        <w:tc>
          <w:tcPr>
            <w:tcW w:w="1418" w:type="dxa"/>
            <w:vAlign w:val="center"/>
          </w:tcPr>
          <w:p>
            <w:pPr>
              <w:rPr>
                <w:color w:val="auto"/>
              </w:rPr>
            </w:pPr>
          </w:p>
        </w:tc>
        <w:tc>
          <w:tcPr>
            <w:tcW w:w="709" w:type="dxa"/>
            <w:vAlign w:val="center"/>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trPr>
        <w:tc>
          <w:tcPr>
            <w:tcW w:w="705" w:type="dxa"/>
            <w:vAlign w:val="center"/>
          </w:tcPr>
          <w:p>
            <w:pPr>
              <w:jc w:val="center"/>
              <w:rPr>
                <w:color w:val="auto"/>
              </w:rPr>
            </w:pPr>
            <w:r>
              <w:rPr>
                <w:rFonts w:hint="eastAsia"/>
                <w:color w:val="auto"/>
              </w:rPr>
              <w:t>3</w:t>
            </w:r>
          </w:p>
        </w:tc>
        <w:tc>
          <w:tcPr>
            <w:tcW w:w="1480" w:type="dxa"/>
            <w:vAlign w:val="center"/>
          </w:tcPr>
          <w:p>
            <w:pPr>
              <w:rPr>
                <w:color w:val="auto"/>
              </w:rPr>
            </w:pPr>
          </w:p>
        </w:tc>
        <w:tc>
          <w:tcPr>
            <w:tcW w:w="2835" w:type="dxa"/>
            <w:vAlign w:val="center"/>
          </w:tcPr>
          <w:p>
            <w:pPr>
              <w:rPr>
                <w:color w:val="auto"/>
              </w:rPr>
            </w:pPr>
          </w:p>
        </w:tc>
        <w:tc>
          <w:tcPr>
            <w:tcW w:w="2268" w:type="dxa"/>
            <w:vAlign w:val="center"/>
          </w:tcPr>
          <w:p>
            <w:pPr>
              <w:rPr>
                <w:color w:val="auto"/>
              </w:rPr>
            </w:pPr>
          </w:p>
        </w:tc>
        <w:tc>
          <w:tcPr>
            <w:tcW w:w="1418" w:type="dxa"/>
            <w:vAlign w:val="center"/>
          </w:tcPr>
          <w:p>
            <w:pPr>
              <w:rPr>
                <w:color w:val="auto"/>
              </w:rPr>
            </w:pPr>
          </w:p>
        </w:tc>
        <w:tc>
          <w:tcPr>
            <w:tcW w:w="709" w:type="dxa"/>
            <w:vAlign w:val="center"/>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trPr>
        <w:tc>
          <w:tcPr>
            <w:tcW w:w="705" w:type="dxa"/>
            <w:vAlign w:val="center"/>
          </w:tcPr>
          <w:p>
            <w:pPr>
              <w:jc w:val="center"/>
              <w:rPr>
                <w:color w:val="auto"/>
              </w:rPr>
            </w:pPr>
            <w:r>
              <w:rPr>
                <w:rFonts w:hint="eastAsia"/>
                <w:color w:val="auto"/>
              </w:rPr>
              <w:t>4</w:t>
            </w:r>
          </w:p>
        </w:tc>
        <w:tc>
          <w:tcPr>
            <w:tcW w:w="1480" w:type="dxa"/>
            <w:vAlign w:val="center"/>
          </w:tcPr>
          <w:p>
            <w:pPr>
              <w:rPr>
                <w:color w:val="auto"/>
              </w:rPr>
            </w:pPr>
          </w:p>
        </w:tc>
        <w:tc>
          <w:tcPr>
            <w:tcW w:w="2835" w:type="dxa"/>
            <w:vAlign w:val="center"/>
          </w:tcPr>
          <w:p>
            <w:pPr>
              <w:rPr>
                <w:color w:val="auto"/>
              </w:rPr>
            </w:pPr>
          </w:p>
        </w:tc>
        <w:tc>
          <w:tcPr>
            <w:tcW w:w="2268" w:type="dxa"/>
            <w:vAlign w:val="center"/>
          </w:tcPr>
          <w:p>
            <w:pPr>
              <w:rPr>
                <w:color w:val="auto"/>
              </w:rPr>
            </w:pPr>
          </w:p>
        </w:tc>
        <w:tc>
          <w:tcPr>
            <w:tcW w:w="1418" w:type="dxa"/>
            <w:vAlign w:val="center"/>
          </w:tcPr>
          <w:p>
            <w:pPr>
              <w:rPr>
                <w:color w:val="auto"/>
              </w:rPr>
            </w:pPr>
          </w:p>
        </w:tc>
        <w:tc>
          <w:tcPr>
            <w:tcW w:w="709" w:type="dxa"/>
            <w:vAlign w:val="center"/>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trPr>
        <w:tc>
          <w:tcPr>
            <w:tcW w:w="705" w:type="dxa"/>
            <w:vAlign w:val="center"/>
          </w:tcPr>
          <w:p>
            <w:pPr>
              <w:jc w:val="center"/>
              <w:rPr>
                <w:color w:val="auto"/>
              </w:rPr>
            </w:pPr>
            <w:r>
              <w:rPr>
                <w:rFonts w:hint="eastAsia"/>
                <w:color w:val="auto"/>
              </w:rPr>
              <w:t>5</w:t>
            </w:r>
          </w:p>
        </w:tc>
        <w:tc>
          <w:tcPr>
            <w:tcW w:w="1480" w:type="dxa"/>
            <w:vAlign w:val="center"/>
          </w:tcPr>
          <w:p>
            <w:pPr>
              <w:rPr>
                <w:color w:val="auto"/>
              </w:rPr>
            </w:pPr>
          </w:p>
        </w:tc>
        <w:tc>
          <w:tcPr>
            <w:tcW w:w="2835" w:type="dxa"/>
            <w:vAlign w:val="center"/>
          </w:tcPr>
          <w:p>
            <w:pPr>
              <w:rPr>
                <w:color w:val="auto"/>
              </w:rPr>
            </w:pPr>
          </w:p>
        </w:tc>
        <w:tc>
          <w:tcPr>
            <w:tcW w:w="2268" w:type="dxa"/>
            <w:vAlign w:val="center"/>
          </w:tcPr>
          <w:p>
            <w:pPr>
              <w:rPr>
                <w:color w:val="auto"/>
              </w:rPr>
            </w:pPr>
          </w:p>
        </w:tc>
        <w:tc>
          <w:tcPr>
            <w:tcW w:w="1418" w:type="dxa"/>
            <w:vAlign w:val="center"/>
          </w:tcPr>
          <w:p>
            <w:pPr>
              <w:rPr>
                <w:color w:val="auto"/>
              </w:rPr>
            </w:pPr>
          </w:p>
        </w:tc>
        <w:tc>
          <w:tcPr>
            <w:tcW w:w="709" w:type="dxa"/>
            <w:vAlign w:val="center"/>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trPr>
        <w:tc>
          <w:tcPr>
            <w:tcW w:w="705" w:type="dxa"/>
            <w:vAlign w:val="center"/>
          </w:tcPr>
          <w:p>
            <w:pPr>
              <w:jc w:val="center"/>
              <w:rPr>
                <w:color w:val="auto"/>
              </w:rPr>
            </w:pPr>
            <w:r>
              <w:rPr>
                <w:rFonts w:hint="eastAsia"/>
                <w:color w:val="auto"/>
              </w:rPr>
              <w:t>…</w:t>
            </w:r>
          </w:p>
        </w:tc>
        <w:tc>
          <w:tcPr>
            <w:tcW w:w="1480" w:type="dxa"/>
            <w:vAlign w:val="center"/>
          </w:tcPr>
          <w:p>
            <w:pPr>
              <w:rPr>
                <w:color w:val="auto"/>
              </w:rPr>
            </w:pPr>
          </w:p>
        </w:tc>
        <w:tc>
          <w:tcPr>
            <w:tcW w:w="2835" w:type="dxa"/>
            <w:vAlign w:val="center"/>
          </w:tcPr>
          <w:p>
            <w:pPr>
              <w:rPr>
                <w:color w:val="auto"/>
              </w:rPr>
            </w:pPr>
          </w:p>
        </w:tc>
        <w:tc>
          <w:tcPr>
            <w:tcW w:w="2268" w:type="dxa"/>
            <w:vAlign w:val="center"/>
          </w:tcPr>
          <w:p>
            <w:pPr>
              <w:rPr>
                <w:color w:val="auto"/>
              </w:rPr>
            </w:pPr>
          </w:p>
        </w:tc>
        <w:tc>
          <w:tcPr>
            <w:tcW w:w="1418" w:type="dxa"/>
            <w:tcBorders>
              <w:right w:val="single" w:color="auto" w:sz="4" w:space="0"/>
            </w:tcBorders>
            <w:vAlign w:val="center"/>
          </w:tcPr>
          <w:p>
            <w:pPr>
              <w:rPr>
                <w:color w:val="auto"/>
              </w:rPr>
            </w:pPr>
          </w:p>
        </w:tc>
        <w:tc>
          <w:tcPr>
            <w:tcW w:w="709" w:type="dxa"/>
            <w:tcBorders>
              <w:left w:val="single" w:color="auto" w:sz="4" w:space="0"/>
            </w:tcBorders>
            <w:vAlign w:val="center"/>
          </w:tcPr>
          <w:p>
            <w:pPr>
              <w:rPr>
                <w:color w:val="auto"/>
              </w:rPr>
            </w:pPr>
          </w:p>
        </w:tc>
      </w:tr>
    </w:tbl>
    <w:p>
      <w:pPr>
        <w:pStyle w:val="17"/>
        <w:spacing w:line="300" w:lineRule="auto"/>
        <w:ind w:firstLine="105" w:firstLineChars="50"/>
        <w:rPr>
          <w:rFonts w:hint="eastAsia" w:ascii="宋体" w:hAnsi="宋体" w:eastAsia="宋体"/>
          <w:color w:val="auto"/>
          <w:sz w:val="21"/>
          <w:szCs w:val="21"/>
        </w:rPr>
      </w:pPr>
      <w:r>
        <w:rPr>
          <w:rFonts w:hint="eastAsia" w:ascii="宋体" w:hAnsi="宋体" w:eastAsia="宋体"/>
          <w:color w:val="auto"/>
          <w:sz w:val="21"/>
          <w:szCs w:val="21"/>
        </w:rPr>
        <w:t>注：供应商须对照竞争性谈判采购文件第二章《项目需求》，逐条说明所提供货物和服务对项目需求中货物的</w:t>
      </w:r>
      <w:bookmarkStart w:id="134" w:name="_Hlk92703260"/>
      <w:r>
        <w:rPr>
          <w:rFonts w:hint="eastAsia" w:ascii="宋体" w:hAnsi="宋体" w:eastAsia="宋体"/>
          <w:color w:val="auto"/>
          <w:sz w:val="21"/>
          <w:szCs w:val="21"/>
        </w:rPr>
        <w:t>技术参数及其性能（规格）</w:t>
      </w:r>
      <w:bookmarkEnd w:id="134"/>
      <w:r>
        <w:rPr>
          <w:rFonts w:hint="eastAsia" w:ascii="宋体" w:hAnsi="宋体" w:eastAsia="宋体"/>
          <w:color w:val="auto"/>
          <w:sz w:val="21"/>
          <w:szCs w:val="21"/>
        </w:rPr>
        <w:t>及服务要求作出的响应，并申明偏离情况。对有具体参数要求的指标，供应商须提供所供设备的具体技术参数及其性能（规格）。</w:t>
      </w:r>
    </w:p>
    <w:p>
      <w:pPr>
        <w:pStyle w:val="17"/>
        <w:spacing w:line="300" w:lineRule="auto"/>
        <w:ind w:firstLine="0" w:firstLineChars="0"/>
        <w:rPr>
          <w:rFonts w:hint="eastAsia" w:ascii="宋体" w:hAnsi="宋体" w:eastAsia="宋体"/>
          <w:color w:val="auto"/>
          <w:sz w:val="21"/>
          <w:szCs w:val="21"/>
        </w:rPr>
      </w:pPr>
    </w:p>
    <w:p>
      <w:pPr>
        <w:pStyle w:val="20"/>
        <w:spacing w:line="300" w:lineRule="auto"/>
        <w:rPr>
          <w:rFonts w:hint="eastAsia" w:hAnsi="宋体"/>
          <w:color w:val="auto"/>
        </w:rPr>
      </w:pPr>
    </w:p>
    <w:p>
      <w:pPr>
        <w:pStyle w:val="20"/>
        <w:spacing w:line="300" w:lineRule="auto"/>
        <w:ind w:firstLine="5880" w:firstLineChars="2800"/>
        <w:rPr>
          <w:rFonts w:hint="eastAsia" w:hAnsi="宋体"/>
          <w:color w:val="auto"/>
        </w:rPr>
      </w:pPr>
      <w:r>
        <w:rPr>
          <w:rFonts w:hint="eastAsia" w:hAnsi="宋体"/>
          <w:color w:val="auto"/>
        </w:rPr>
        <w:t>供应商（盖章）：</w:t>
      </w:r>
      <w:r>
        <w:rPr>
          <w:rFonts w:hint="eastAsia" w:hAnsi="宋体"/>
          <w:color w:val="auto"/>
          <w:u w:val="single"/>
        </w:rPr>
        <w:t xml:space="preserve">      </w:t>
      </w:r>
      <w:r>
        <w:rPr>
          <w:rFonts w:hAnsi="宋体"/>
          <w:color w:val="auto"/>
          <w:u w:val="single"/>
        </w:rPr>
        <w:t xml:space="preserve">   </w:t>
      </w:r>
      <w:r>
        <w:rPr>
          <w:rFonts w:hint="eastAsia" w:hAnsi="宋体"/>
          <w:color w:val="auto"/>
          <w:u w:val="single"/>
        </w:rPr>
        <w:t xml:space="preserve"> </w:t>
      </w:r>
    </w:p>
    <w:p>
      <w:pPr>
        <w:pStyle w:val="20"/>
        <w:spacing w:line="300" w:lineRule="auto"/>
        <w:ind w:firstLine="5880" w:firstLineChars="2800"/>
        <w:rPr>
          <w:rFonts w:hint="eastAsia" w:hAnsi="宋体"/>
          <w:color w:val="auto"/>
        </w:rPr>
      </w:pPr>
      <w:r>
        <w:rPr>
          <w:rFonts w:hint="eastAsia" w:hAnsi="宋体"/>
          <w:color w:val="auto"/>
        </w:rPr>
        <w:t>日期：</w:t>
      </w:r>
      <w:r>
        <w:rPr>
          <w:rFonts w:hint="eastAsia" w:hAnsi="宋体"/>
          <w:color w:val="auto"/>
          <w:u w:val="single"/>
        </w:rPr>
        <w:t xml:space="preserve">    </w:t>
      </w:r>
      <w:r>
        <w:rPr>
          <w:rFonts w:hAnsi="宋体"/>
          <w:color w:val="auto"/>
          <w:u w:val="single"/>
        </w:rPr>
        <w:t xml:space="preserve"> </w:t>
      </w:r>
      <w:r>
        <w:rPr>
          <w:rFonts w:hint="eastAsia" w:hAnsi="宋体"/>
          <w:color w:val="auto"/>
          <w:u w:val="single"/>
        </w:rPr>
        <w:t xml:space="preserve">  </w:t>
      </w:r>
      <w:r>
        <w:rPr>
          <w:rFonts w:hint="eastAsia" w:hAnsi="宋体"/>
          <w:color w:val="auto"/>
        </w:rPr>
        <w:t>年</w:t>
      </w:r>
      <w:r>
        <w:rPr>
          <w:rFonts w:hint="eastAsia" w:hAnsi="宋体"/>
          <w:color w:val="auto"/>
          <w:u w:val="single"/>
        </w:rPr>
        <w:t xml:space="preserve">   </w:t>
      </w:r>
      <w:r>
        <w:rPr>
          <w:rFonts w:hint="eastAsia" w:hAnsi="宋体"/>
          <w:color w:val="auto"/>
        </w:rPr>
        <w:t>月</w:t>
      </w:r>
      <w:r>
        <w:rPr>
          <w:rFonts w:hint="eastAsia" w:hAnsi="宋体"/>
          <w:color w:val="auto"/>
          <w:u w:val="single"/>
        </w:rPr>
        <w:t xml:space="preserve">   </w:t>
      </w:r>
      <w:r>
        <w:rPr>
          <w:rFonts w:hint="eastAsia" w:hAnsi="宋体"/>
          <w:color w:val="auto"/>
        </w:rPr>
        <w:t>日</w:t>
      </w:r>
    </w:p>
    <w:bookmarkEnd w:id="43"/>
    <w:bookmarkEnd w:id="44"/>
    <w:bookmarkEnd w:id="45"/>
    <w:bookmarkEnd w:id="46"/>
    <w:p>
      <w:pPr>
        <w:rPr>
          <w:color w:val="auto"/>
        </w:rPr>
      </w:pPr>
    </w:p>
    <w:p>
      <w:pPr>
        <w:spacing w:line="440" w:lineRule="exact"/>
        <w:ind w:left="420" w:hanging="420"/>
        <w:jc w:val="center"/>
        <w:rPr>
          <w:rFonts w:hint="eastAsia" w:ascii="仿宋" w:hAnsi="仿宋" w:eastAsia="仿宋"/>
          <w:b/>
          <w:color w:val="auto"/>
          <w:sz w:val="32"/>
          <w:szCs w:val="32"/>
        </w:rPr>
      </w:pPr>
      <w:bookmarkStart w:id="135" w:name="_Hlk94194102"/>
      <w:r>
        <w:rPr>
          <w:rFonts w:hint="eastAsia" w:ascii="仿宋" w:hAnsi="仿宋" w:eastAsia="仿宋"/>
          <w:b/>
          <w:color w:val="auto"/>
          <w:sz w:val="32"/>
          <w:szCs w:val="32"/>
        </w:rPr>
        <w:t>中小企业声明函</w:t>
      </w:r>
      <w:r>
        <w:rPr>
          <w:rFonts w:hint="eastAsia" w:ascii="仿宋" w:hAnsi="仿宋" w:eastAsia="仿宋"/>
          <w:color w:val="auto"/>
          <w:sz w:val="24"/>
        </w:rPr>
        <w:t>(格式</w:t>
      </w:r>
      <w:r>
        <w:rPr>
          <w:rFonts w:ascii="仿宋" w:hAnsi="仿宋" w:eastAsia="仿宋"/>
          <w:color w:val="auto"/>
          <w:sz w:val="24"/>
        </w:rPr>
        <w:t>)</w:t>
      </w:r>
    </w:p>
    <w:p>
      <w:pPr>
        <w:rPr>
          <w:color w:val="auto"/>
        </w:rPr>
      </w:pPr>
    </w:p>
    <w:p>
      <w:pPr>
        <w:spacing w:line="600" w:lineRule="exact"/>
        <w:ind w:firstLine="294" w:firstLineChars="140"/>
        <w:jc w:val="left"/>
        <w:rPr>
          <w:rFonts w:hint="eastAsia" w:ascii="宋体" w:hAnsi="宋体"/>
          <w:bCs/>
          <w:color w:val="auto"/>
          <w:szCs w:val="21"/>
        </w:rPr>
      </w:pPr>
      <w:r>
        <w:rPr>
          <w:rFonts w:hint="eastAsia" w:ascii="宋体" w:hAnsi="宋体"/>
          <w:bCs/>
          <w:color w:val="auto"/>
          <w:szCs w:val="21"/>
        </w:rPr>
        <w:t>本公司郑重声明，根据</w:t>
      </w:r>
      <w:bookmarkStart w:id="136" w:name="_Hlk82091685"/>
      <w:r>
        <w:rPr>
          <w:rFonts w:ascii="宋体" w:hAnsi="宋体"/>
          <w:bCs/>
          <w:color w:val="auto"/>
          <w:szCs w:val="21"/>
        </w:rPr>
        <w:fldChar w:fldCharType="begin"/>
      </w:r>
      <w:r>
        <w:rPr>
          <w:rFonts w:ascii="宋体" w:hAnsi="宋体"/>
          <w:bCs/>
          <w:color w:val="auto"/>
          <w:szCs w:val="21"/>
        </w:rPr>
        <w:instrText xml:space="preserve"> </w:instrText>
      </w:r>
      <w:r>
        <w:rPr>
          <w:rFonts w:hint="eastAsia" w:ascii="宋体" w:hAnsi="宋体"/>
          <w:bCs/>
          <w:color w:val="auto"/>
          <w:szCs w:val="21"/>
        </w:rPr>
        <w:instrText xml:space="preserve">HYPERLINK "http://www.gov.cn/zhengce/zhengceku/2020-12/29/content_5574611.htm"</w:instrText>
      </w:r>
      <w:r>
        <w:rPr>
          <w:rFonts w:ascii="宋体" w:hAnsi="宋体"/>
          <w:bCs/>
          <w:color w:val="auto"/>
          <w:szCs w:val="21"/>
        </w:rPr>
        <w:instrText xml:space="preserve"> </w:instrText>
      </w:r>
      <w:r>
        <w:rPr>
          <w:rFonts w:ascii="宋体" w:hAnsi="宋体"/>
          <w:bCs/>
          <w:color w:val="auto"/>
          <w:szCs w:val="21"/>
        </w:rPr>
        <w:fldChar w:fldCharType="separate"/>
      </w:r>
      <w:r>
        <w:rPr>
          <w:rStyle w:val="41"/>
          <w:rFonts w:hint="eastAsia" w:ascii="宋体" w:hAnsi="宋体"/>
          <w:bCs/>
          <w:color w:val="auto"/>
          <w:szCs w:val="21"/>
          <w:u w:val="none"/>
        </w:rPr>
        <w:t>《政府采购促进中小企业发展管理办法》</w:t>
      </w:r>
      <w:bookmarkStart w:id="137" w:name="_Hlk60836554"/>
      <w:r>
        <w:rPr>
          <w:rStyle w:val="41"/>
          <w:rFonts w:hint="eastAsia" w:ascii="宋体" w:hAnsi="宋体"/>
          <w:bCs/>
          <w:color w:val="auto"/>
          <w:szCs w:val="21"/>
          <w:u w:val="none"/>
        </w:rPr>
        <w:t>（财库﹝2020﹞46号）</w:t>
      </w:r>
      <w:bookmarkEnd w:id="136"/>
      <w:bookmarkEnd w:id="137"/>
      <w:r>
        <w:rPr>
          <w:rFonts w:ascii="宋体" w:hAnsi="宋体"/>
          <w:bCs/>
          <w:color w:val="auto"/>
          <w:szCs w:val="21"/>
        </w:rPr>
        <w:fldChar w:fldCharType="end"/>
      </w:r>
      <w:r>
        <w:rPr>
          <w:rFonts w:hint="eastAsia" w:ascii="宋体" w:hAnsi="宋体"/>
          <w:bCs/>
          <w:color w:val="auto"/>
          <w:szCs w:val="21"/>
        </w:rPr>
        <w:t>的规定，本公司参加</w:t>
      </w:r>
      <w:bookmarkStart w:id="138" w:name="_Hlk82091228"/>
      <w:r>
        <w:rPr>
          <w:rFonts w:hint="eastAsia" w:ascii="宋体" w:hAnsi="宋体"/>
          <w:bCs/>
          <w:color w:val="auto"/>
          <w:szCs w:val="21"/>
        </w:rPr>
        <w:t>（</w:t>
      </w:r>
      <w:r>
        <w:rPr>
          <w:rFonts w:hint="eastAsia" w:ascii="宋体" w:hAnsi="宋体"/>
          <w:bCs/>
          <w:color w:val="auto"/>
          <w:szCs w:val="21"/>
          <w:u w:val="single"/>
        </w:rPr>
        <w:t>单位名称</w:t>
      </w:r>
      <w:r>
        <w:rPr>
          <w:rFonts w:hint="eastAsia" w:ascii="宋体" w:hAnsi="宋体"/>
          <w:bCs/>
          <w:color w:val="auto"/>
          <w:szCs w:val="21"/>
        </w:rPr>
        <w:t>）的（</w:t>
      </w:r>
      <w:r>
        <w:rPr>
          <w:rFonts w:hint="eastAsia" w:ascii="宋体" w:hAnsi="宋体"/>
          <w:bCs/>
          <w:color w:val="auto"/>
          <w:szCs w:val="21"/>
          <w:u w:val="single"/>
        </w:rPr>
        <w:t>项目名称</w:t>
      </w:r>
      <w:r>
        <w:rPr>
          <w:rFonts w:hint="eastAsia" w:ascii="宋体" w:hAnsi="宋体"/>
          <w:bCs/>
          <w:color w:val="auto"/>
          <w:szCs w:val="21"/>
        </w:rPr>
        <w:t>）</w:t>
      </w:r>
      <w:bookmarkEnd w:id="138"/>
      <w:r>
        <w:rPr>
          <w:rFonts w:hint="eastAsia" w:ascii="宋体" w:hAnsi="宋体"/>
          <w:bCs/>
          <w:color w:val="auto"/>
          <w:szCs w:val="21"/>
        </w:rPr>
        <w:t>采购活动，提供的货物全部由符合政策要求的中小企业制造。相关企业的具体情况如下：</w:t>
      </w:r>
    </w:p>
    <w:p>
      <w:pPr>
        <w:spacing w:line="600" w:lineRule="exact"/>
        <w:ind w:firstLine="294" w:firstLineChars="140"/>
        <w:jc w:val="left"/>
        <w:rPr>
          <w:rFonts w:hint="eastAsia" w:ascii="宋体" w:hAnsi="宋体"/>
          <w:bCs/>
          <w:color w:val="auto"/>
          <w:szCs w:val="21"/>
        </w:rPr>
      </w:pPr>
      <w:r>
        <w:rPr>
          <w:rFonts w:hint="eastAsia" w:ascii="宋体" w:hAnsi="宋体"/>
          <w:bCs/>
          <w:color w:val="auto"/>
          <w:szCs w:val="21"/>
        </w:rPr>
        <w:t>1.</w:t>
      </w:r>
      <w:bookmarkStart w:id="139" w:name="_Hlk60836996"/>
      <w:r>
        <w:rPr>
          <w:rFonts w:hint="eastAsia" w:ascii="宋体" w:hAnsi="宋体"/>
          <w:bCs/>
          <w:color w:val="auto"/>
          <w:szCs w:val="21"/>
        </w:rPr>
        <w:t>（</w:t>
      </w:r>
      <w:r>
        <w:rPr>
          <w:rFonts w:hint="eastAsia" w:ascii="宋体" w:hAnsi="宋体"/>
          <w:bCs/>
          <w:color w:val="auto"/>
          <w:szCs w:val="21"/>
          <w:u w:val="single"/>
        </w:rPr>
        <w:t>标的名称</w:t>
      </w:r>
      <w:r>
        <w:rPr>
          <w:rFonts w:ascii="宋体" w:hAnsi="宋体"/>
          <w:bCs/>
          <w:color w:val="auto"/>
          <w:szCs w:val="21"/>
        </w:rPr>
        <w:t>）</w:t>
      </w:r>
      <w:r>
        <w:rPr>
          <w:rFonts w:hint="eastAsia" w:ascii="宋体" w:hAnsi="宋体"/>
          <w:bCs/>
          <w:color w:val="auto"/>
          <w:szCs w:val="21"/>
        </w:rPr>
        <w:t>，属于(</w:t>
      </w:r>
      <w:r>
        <w:rPr>
          <w:rFonts w:hint="eastAsia" w:ascii="宋体" w:hAnsi="宋体"/>
          <w:bCs/>
          <w:color w:val="auto"/>
          <w:szCs w:val="21"/>
          <w:u w:val="single"/>
        </w:rPr>
        <w:t>采购文件中明确的所属行业</w:t>
      </w:r>
      <w:r>
        <w:rPr>
          <w:rFonts w:ascii="宋体" w:hAnsi="宋体"/>
          <w:bCs/>
          <w:color w:val="auto"/>
          <w:szCs w:val="21"/>
        </w:rPr>
        <w:t>）</w:t>
      </w:r>
      <w:r>
        <w:rPr>
          <w:rFonts w:hint="eastAsia" w:ascii="宋体" w:hAnsi="宋体"/>
          <w:bCs/>
          <w:color w:val="auto"/>
          <w:szCs w:val="21"/>
        </w:rPr>
        <w:t>行业；制造商为(</w:t>
      </w:r>
      <w:r>
        <w:rPr>
          <w:rFonts w:hint="eastAsia" w:ascii="宋体" w:hAnsi="宋体"/>
          <w:bCs/>
          <w:color w:val="auto"/>
          <w:szCs w:val="21"/>
          <w:u w:val="single"/>
        </w:rPr>
        <w:t>企业名称</w:t>
      </w:r>
      <w:r>
        <w:rPr>
          <w:rFonts w:ascii="宋体" w:hAnsi="宋体"/>
          <w:bCs/>
          <w:color w:val="auto"/>
          <w:szCs w:val="21"/>
        </w:rPr>
        <w:t>）</w:t>
      </w:r>
      <w:r>
        <w:rPr>
          <w:rFonts w:hint="eastAsia" w:ascii="宋体" w:hAnsi="宋体"/>
          <w:bCs/>
          <w:color w:val="auto"/>
          <w:szCs w:val="21"/>
        </w:rPr>
        <w:t>，从业人员</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人，营业收入为</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万元，资产总额为</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万元，属于（</w:t>
      </w:r>
      <w:r>
        <w:rPr>
          <w:rFonts w:hint="eastAsia" w:ascii="宋体" w:hAnsi="宋体"/>
          <w:bCs/>
          <w:color w:val="auto"/>
          <w:szCs w:val="21"/>
          <w:u w:val="single"/>
        </w:rPr>
        <w:t>中型企业、小型企业、微型企业</w:t>
      </w:r>
      <w:r>
        <w:rPr>
          <w:rFonts w:hint="eastAsia" w:ascii="宋体" w:hAnsi="宋体"/>
          <w:bCs/>
          <w:color w:val="auto"/>
          <w:szCs w:val="21"/>
        </w:rPr>
        <w:t>）；</w:t>
      </w:r>
      <w:bookmarkEnd w:id="139"/>
    </w:p>
    <w:p>
      <w:pPr>
        <w:spacing w:line="600" w:lineRule="exact"/>
        <w:ind w:firstLine="294" w:firstLineChars="140"/>
        <w:jc w:val="left"/>
        <w:rPr>
          <w:rFonts w:hint="eastAsia" w:ascii="宋体" w:hAnsi="宋体"/>
          <w:bCs/>
          <w:color w:val="auto"/>
          <w:szCs w:val="21"/>
        </w:rPr>
      </w:pPr>
      <w:r>
        <w:rPr>
          <w:rFonts w:hint="eastAsia" w:ascii="宋体" w:hAnsi="宋体"/>
          <w:bCs/>
          <w:color w:val="auto"/>
          <w:szCs w:val="21"/>
        </w:rPr>
        <w:t>2.（</w:t>
      </w:r>
      <w:r>
        <w:rPr>
          <w:rFonts w:hint="eastAsia" w:ascii="宋体" w:hAnsi="宋体"/>
          <w:bCs/>
          <w:color w:val="auto"/>
          <w:szCs w:val="21"/>
          <w:u w:val="single"/>
        </w:rPr>
        <w:t>标的名称</w:t>
      </w:r>
      <w:r>
        <w:rPr>
          <w:rFonts w:hint="eastAsia" w:ascii="宋体" w:hAnsi="宋体"/>
          <w:bCs/>
          <w:color w:val="auto"/>
          <w:szCs w:val="21"/>
        </w:rPr>
        <w:t>），属于(</w:t>
      </w:r>
      <w:r>
        <w:rPr>
          <w:rFonts w:hint="eastAsia" w:ascii="宋体" w:hAnsi="宋体"/>
          <w:bCs/>
          <w:color w:val="auto"/>
          <w:szCs w:val="21"/>
          <w:u w:val="single"/>
        </w:rPr>
        <w:t>采购文件中明确的所属行业</w:t>
      </w:r>
      <w:r>
        <w:rPr>
          <w:rFonts w:hint="eastAsia" w:ascii="宋体" w:hAnsi="宋体"/>
          <w:bCs/>
          <w:color w:val="auto"/>
          <w:szCs w:val="21"/>
        </w:rPr>
        <w:t>)行业；制造商为(</w:t>
      </w:r>
      <w:r>
        <w:rPr>
          <w:rFonts w:hint="eastAsia" w:ascii="宋体" w:hAnsi="宋体"/>
          <w:bCs/>
          <w:color w:val="auto"/>
          <w:szCs w:val="21"/>
          <w:u w:val="single"/>
        </w:rPr>
        <w:t>企业名称</w:t>
      </w:r>
      <w:r>
        <w:rPr>
          <w:rFonts w:hint="eastAsia" w:ascii="宋体" w:hAnsi="宋体"/>
          <w:bCs/>
          <w:color w:val="auto"/>
          <w:szCs w:val="21"/>
        </w:rPr>
        <w:t>)，从业人员</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人，营业收入为</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万元，资产总额为</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万元，属于（</w:t>
      </w:r>
      <w:r>
        <w:rPr>
          <w:rFonts w:hint="eastAsia" w:ascii="宋体" w:hAnsi="宋体"/>
          <w:bCs/>
          <w:color w:val="auto"/>
          <w:szCs w:val="21"/>
          <w:u w:val="single"/>
        </w:rPr>
        <w:t>中型企业、小型企业、微型企业</w:t>
      </w:r>
      <w:r>
        <w:rPr>
          <w:rFonts w:hint="eastAsia" w:ascii="宋体" w:hAnsi="宋体"/>
          <w:bCs/>
          <w:color w:val="auto"/>
          <w:szCs w:val="21"/>
        </w:rPr>
        <w:t>）；</w:t>
      </w:r>
    </w:p>
    <w:p>
      <w:pPr>
        <w:spacing w:line="600" w:lineRule="exact"/>
        <w:ind w:firstLine="294" w:firstLineChars="140"/>
        <w:jc w:val="left"/>
        <w:rPr>
          <w:rFonts w:hint="eastAsia" w:ascii="宋体" w:hAnsi="宋体"/>
          <w:bCs/>
          <w:color w:val="auto"/>
          <w:szCs w:val="21"/>
        </w:rPr>
      </w:pPr>
      <w:r>
        <w:rPr>
          <w:rFonts w:hint="eastAsia" w:ascii="宋体" w:hAnsi="宋体"/>
          <w:bCs/>
          <w:color w:val="auto"/>
          <w:szCs w:val="21"/>
        </w:rPr>
        <w:t>……</w:t>
      </w:r>
    </w:p>
    <w:p>
      <w:pPr>
        <w:spacing w:line="600" w:lineRule="exact"/>
        <w:ind w:firstLine="294" w:firstLineChars="140"/>
        <w:jc w:val="left"/>
        <w:rPr>
          <w:rFonts w:hint="eastAsia" w:ascii="宋体" w:hAnsi="宋体"/>
          <w:bCs/>
          <w:color w:val="auto"/>
          <w:szCs w:val="21"/>
        </w:rPr>
      </w:pPr>
      <w:r>
        <w:rPr>
          <w:rFonts w:hint="eastAsia" w:ascii="宋体" w:hAnsi="宋体"/>
          <w:bCs/>
          <w:color w:val="auto"/>
          <w:szCs w:val="21"/>
        </w:rPr>
        <w:t>以上企业，不属于大企业的分支机构，不存在控股股东为大企业的情形，也不存在与大企业的负责人为同一人的情形。</w:t>
      </w:r>
    </w:p>
    <w:p>
      <w:pPr>
        <w:spacing w:line="600" w:lineRule="exact"/>
        <w:ind w:firstLine="294" w:firstLineChars="140"/>
        <w:jc w:val="left"/>
        <w:rPr>
          <w:rFonts w:hint="eastAsia" w:ascii="宋体" w:hAnsi="宋体"/>
          <w:bCs/>
          <w:color w:val="auto"/>
          <w:szCs w:val="21"/>
        </w:rPr>
      </w:pPr>
      <w:r>
        <w:rPr>
          <w:rFonts w:hint="eastAsia" w:ascii="宋体" w:hAnsi="宋体"/>
          <w:bCs/>
          <w:color w:val="auto"/>
          <w:szCs w:val="21"/>
        </w:rPr>
        <w:t>本企业对上述声明内容的真实性负责。如有虚假，将依法承担相应责任。</w:t>
      </w:r>
    </w:p>
    <w:p>
      <w:pPr>
        <w:spacing w:line="400" w:lineRule="exact"/>
        <w:rPr>
          <w:color w:val="auto"/>
          <w:szCs w:val="21"/>
        </w:rPr>
      </w:pPr>
    </w:p>
    <w:p>
      <w:pPr>
        <w:spacing w:line="400" w:lineRule="exact"/>
        <w:rPr>
          <w:color w:val="auto"/>
          <w:szCs w:val="21"/>
        </w:rPr>
      </w:pPr>
    </w:p>
    <w:p>
      <w:pPr>
        <w:spacing w:line="400" w:lineRule="exact"/>
        <w:rPr>
          <w:color w:val="auto"/>
          <w:szCs w:val="21"/>
        </w:rPr>
      </w:pPr>
    </w:p>
    <w:p>
      <w:pPr>
        <w:spacing w:line="440" w:lineRule="exact"/>
        <w:ind w:firstLine="5250" w:firstLineChars="2500"/>
        <w:jc w:val="left"/>
        <w:rPr>
          <w:rFonts w:hint="eastAsia" w:ascii="宋体" w:hAnsi="宋体"/>
          <w:bCs/>
          <w:color w:val="auto"/>
          <w:szCs w:val="21"/>
        </w:rPr>
      </w:pPr>
      <w:r>
        <w:rPr>
          <w:rFonts w:hint="eastAsia" w:ascii="宋体" w:hAnsi="宋体"/>
          <w:bCs/>
          <w:color w:val="auto"/>
          <w:szCs w:val="21"/>
        </w:rPr>
        <w:t>企业名称（盖章）：</w:t>
      </w:r>
      <w:r>
        <w:rPr>
          <w:rFonts w:hint="eastAsia" w:hAnsi="宋体"/>
          <w:color w:val="auto"/>
          <w:szCs w:val="21"/>
          <w:u w:val="single"/>
        </w:rPr>
        <w:t xml:space="preserve"> </w:t>
      </w:r>
      <w:r>
        <w:rPr>
          <w:rFonts w:hAnsi="宋体"/>
          <w:color w:val="auto"/>
          <w:szCs w:val="21"/>
          <w:u w:val="single"/>
        </w:rPr>
        <w:t xml:space="preserve">              </w:t>
      </w:r>
    </w:p>
    <w:p>
      <w:pPr>
        <w:spacing w:line="440" w:lineRule="exact"/>
        <w:ind w:firstLine="5250" w:firstLineChars="2500"/>
        <w:jc w:val="left"/>
        <w:rPr>
          <w:rFonts w:hint="eastAsia" w:ascii="宋体" w:hAnsi="宋体"/>
          <w:bCs/>
          <w:color w:val="auto"/>
          <w:szCs w:val="21"/>
        </w:rPr>
      </w:pPr>
      <w:r>
        <w:rPr>
          <w:rFonts w:hint="eastAsia" w:ascii="宋体" w:hAnsi="宋体"/>
          <w:bCs/>
          <w:color w:val="auto"/>
          <w:szCs w:val="21"/>
        </w:rPr>
        <w:t>日 期：</w:t>
      </w:r>
      <w:r>
        <w:rPr>
          <w:rFonts w:hint="eastAsia" w:hAnsi="宋体"/>
          <w:color w:val="auto"/>
          <w:szCs w:val="21"/>
          <w:u w:val="single"/>
        </w:rPr>
        <w:t xml:space="preserve"> </w:t>
      </w:r>
      <w:r>
        <w:rPr>
          <w:rFonts w:hAnsi="宋体"/>
          <w:color w:val="auto"/>
          <w:szCs w:val="21"/>
          <w:u w:val="single"/>
        </w:rPr>
        <w:t xml:space="preserve">                        </w:t>
      </w: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spacing w:line="320" w:lineRule="exact"/>
        <w:jc w:val="left"/>
        <w:rPr>
          <w:rFonts w:hint="eastAsia" w:hAnsi="宋体"/>
          <w:bCs/>
          <w:color w:val="auto"/>
          <w:sz w:val="18"/>
          <w:szCs w:val="18"/>
        </w:rPr>
      </w:pPr>
      <w:bookmarkStart w:id="140" w:name="_Hlk82091879"/>
      <w:r>
        <w:rPr>
          <w:rFonts w:hAnsi="宋体"/>
          <w:bCs/>
          <w:color w:val="auto"/>
          <w:sz w:val="18"/>
          <w:szCs w:val="18"/>
        </w:rPr>
        <w:fldChar w:fldCharType="begin"/>
      </w:r>
      <w:r>
        <w:rPr>
          <w:rFonts w:hAnsi="宋体"/>
          <w:bCs/>
          <w:color w:val="auto"/>
          <w:sz w:val="18"/>
          <w:szCs w:val="18"/>
        </w:rPr>
        <w:instrText xml:space="preserve">EQ \* jc2 \* hps9 \o\ad(\s\up 8(</w:instrText>
      </w:r>
      <w:r>
        <w:rPr>
          <w:rFonts w:ascii="宋体" w:hAnsi="宋体"/>
          <w:bCs/>
          <w:color w:val="auto"/>
          <w:sz w:val="18"/>
          <w:szCs w:val="18"/>
        </w:rPr>
        <w:instrText xml:space="preserve">——</w:instrText>
      </w:r>
      <w:r>
        <w:rPr>
          <w:rFonts w:hAnsi="宋体"/>
          <w:bCs/>
          <w:color w:val="auto"/>
          <w:sz w:val="18"/>
          <w:szCs w:val="18"/>
        </w:rPr>
        <w:instrText xml:space="preserve">),从)</w:instrText>
      </w:r>
      <w:r>
        <w:rPr>
          <w:rFonts w:hAnsi="宋体"/>
          <w:bCs/>
          <w:color w:val="auto"/>
          <w:sz w:val="18"/>
          <w:szCs w:val="18"/>
        </w:rPr>
        <w:fldChar w:fldCharType="end"/>
      </w:r>
      <w:r>
        <w:rPr>
          <w:rFonts w:hAnsi="宋体"/>
          <w:bCs/>
          <w:color w:val="auto"/>
          <w:sz w:val="18"/>
          <w:szCs w:val="18"/>
        </w:rPr>
        <w:fldChar w:fldCharType="begin"/>
      </w:r>
      <w:r>
        <w:rPr>
          <w:rFonts w:hAnsi="宋体"/>
          <w:bCs/>
          <w:color w:val="auto"/>
          <w:sz w:val="18"/>
          <w:szCs w:val="18"/>
        </w:rPr>
        <w:instrText xml:space="preserve">EQ \* jc2 \* hps9 \o\ad(\s\up 8(</w:instrText>
      </w:r>
      <w:r>
        <w:rPr>
          <w:rFonts w:ascii="宋体" w:hAnsi="宋体"/>
          <w:bCs/>
          <w:color w:val="auto"/>
          <w:sz w:val="18"/>
          <w:szCs w:val="18"/>
        </w:rPr>
        <w:instrText xml:space="preserve">——</w:instrText>
      </w:r>
      <w:r>
        <w:rPr>
          <w:rFonts w:hAnsi="宋体"/>
          <w:bCs/>
          <w:color w:val="auto"/>
          <w:sz w:val="18"/>
          <w:szCs w:val="18"/>
        </w:rPr>
        <w:instrText xml:space="preserve">),业)</w:instrText>
      </w:r>
      <w:r>
        <w:rPr>
          <w:rFonts w:hAnsi="宋体"/>
          <w:bCs/>
          <w:color w:val="auto"/>
          <w:sz w:val="18"/>
          <w:szCs w:val="18"/>
        </w:rPr>
        <w:fldChar w:fldCharType="end"/>
      </w:r>
      <w:r>
        <w:rPr>
          <w:rFonts w:hAnsi="宋体"/>
          <w:bCs/>
          <w:color w:val="auto"/>
          <w:sz w:val="18"/>
          <w:szCs w:val="18"/>
        </w:rPr>
        <w:fldChar w:fldCharType="begin"/>
      </w:r>
      <w:r>
        <w:rPr>
          <w:rFonts w:hAnsi="宋体"/>
          <w:bCs/>
          <w:color w:val="auto"/>
          <w:sz w:val="18"/>
          <w:szCs w:val="18"/>
        </w:rPr>
        <w:instrText xml:space="preserve">EQ \* jc2 \* hps9 \o\ad(\s\up 8(</w:instrText>
      </w:r>
      <w:r>
        <w:rPr>
          <w:rFonts w:ascii="宋体" w:hAnsi="宋体"/>
          <w:bCs/>
          <w:color w:val="auto"/>
          <w:sz w:val="18"/>
          <w:szCs w:val="18"/>
        </w:rPr>
        <w:instrText xml:space="preserve">——</w:instrText>
      </w:r>
      <w:r>
        <w:rPr>
          <w:rFonts w:hAnsi="宋体"/>
          <w:bCs/>
          <w:color w:val="auto"/>
          <w:sz w:val="18"/>
          <w:szCs w:val="18"/>
        </w:rPr>
        <w:instrText xml:space="preserve">),人)</w:instrText>
      </w:r>
      <w:r>
        <w:rPr>
          <w:rFonts w:hAnsi="宋体"/>
          <w:bCs/>
          <w:color w:val="auto"/>
          <w:sz w:val="18"/>
          <w:szCs w:val="18"/>
        </w:rPr>
        <w:fldChar w:fldCharType="end"/>
      </w:r>
      <w:r>
        <w:rPr>
          <w:rFonts w:hAnsi="宋体"/>
          <w:bCs/>
          <w:color w:val="auto"/>
          <w:sz w:val="18"/>
          <w:szCs w:val="18"/>
        </w:rPr>
        <w:fldChar w:fldCharType="begin"/>
      </w:r>
      <w:r>
        <w:rPr>
          <w:rFonts w:hAnsi="宋体"/>
          <w:bCs/>
          <w:color w:val="auto"/>
          <w:sz w:val="18"/>
          <w:szCs w:val="18"/>
        </w:rPr>
        <w:instrText xml:space="preserve">EQ \* jc2 \* hps9 \o\ad(\s\up 8(</w:instrText>
      </w:r>
      <w:r>
        <w:rPr>
          <w:rFonts w:ascii="宋体" w:hAnsi="宋体"/>
          <w:bCs/>
          <w:color w:val="auto"/>
          <w:sz w:val="18"/>
          <w:szCs w:val="18"/>
        </w:rPr>
        <w:instrText xml:space="preserve">——</w:instrText>
      </w:r>
      <w:r>
        <w:rPr>
          <w:rFonts w:hAnsi="宋体"/>
          <w:bCs/>
          <w:color w:val="auto"/>
          <w:sz w:val="18"/>
          <w:szCs w:val="18"/>
        </w:rPr>
        <w:instrText xml:space="preserve">),员)</w:instrText>
      </w:r>
      <w:r>
        <w:rPr>
          <w:rFonts w:hAnsi="宋体"/>
          <w:bCs/>
          <w:color w:val="auto"/>
          <w:sz w:val="18"/>
          <w:szCs w:val="18"/>
        </w:rPr>
        <w:fldChar w:fldCharType="end"/>
      </w:r>
      <w:r>
        <w:rPr>
          <w:rFonts w:hAnsi="宋体"/>
          <w:bCs/>
          <w:color w:val="auto"/>
          <w:sz w:val="18"/>
          <w:szCs w:val="18"/>
        </w:rPr>
        <w:fldChar w:fldCharType="begin"/>
      </w:r>
      <w:r>
        <w:rPr>
          <w:rFonts w:hAnsi="宋体"/>
          <w:bCs/>
          <w:color w:val="auto"/>
          <w:sz w:val="18"/>
          <w:szCs w:val="18"/>
        </w:rPr>
        <w:instrText xml:space="preserve">EQ \* jc2 \* hps9 \o\ad(\s\up 8(</w:instrText>
      </w:r>
      <w:r>
        <w:rPr>
          <w:rFonts w:ascii="宋体" w:hAnsi="宋体"/>
          <w:bCs/>
          <w:color w:val="auto"/>
          <w:sz w:val="18"/>
          <w:szCs w:val="18"/>
        </w:rPr>
        <w:instrText xml:space="preserve">——</w:instrText>
      </w:r>
      <w:r>
        <w:rPr>
          <w:rFonts w:hAnsi="宋体"/>
          <w:bCs/>
          <w:color w:val="auto"/>
          <w:sz w:val="18"/>
          <w:szCs w:val="18"/>
        </w:rPr>
        <w:instrText xml:space="preserve">),、)</w:instrText>
      </w:r>
      <w:r>
        <w:rPr>
          <w:rFonts w:hAnsi="宋体"/>
          <w:bCs/>
          <w:color w:val="auto"/>
          <w:sz w:val="18"/>
          <w:szCs w:val="18"/>
        </w:rPr>
        <w:fldChar w:fldCharType="end"/>
      </w:r>
      <w:r>
        <w:rPr>
          <w:rFonts w:hAnsi="宋体"/>
          <w:bCs/>
          <w:color w:val="auto"/>
          <w:sz w:val="18"/>
          <w:szCs w:val="18"/>
        </w:rPr>
        <w:fldChar w:fldCharType="begin"/>
      </w:r>
      <w:r>
        <w:rPr>
          <w:rFonts w:hAnsi="宋体"/>
          <w:bCs/>
          <w:color w:val="auto"/>
          <w:sz w:val="18"/>
          <w:szCs w:val="18"/>
        </w:rPr>
        <w:instrText xml:space="preserve">EQ \* jc2 \* hps9 \o\ad(\s\up 8(</w:instrText>
      </w:r>
      <w:r>
        <w:rPr>
          <w:rFonts w:ascii="宋体" w:hAnsi="宋体"/>
          <w:bCs/>
          <w:color w:val="auto"/>
          <w:sz w:val="18"/>
          <w:szCs w:val="18"/>
        </w:rPr>
        <w:instrText xml:space="preserve">——</w:instrText>
      </w:r>
      <w:r>
        <w:rPr>
          <w:rFonts w:hAnsi="宋体"/>
          <w:bCs/>
          <w:color w:val="auto"/>
          <w:sz w:val="18"/>
          <w:szCs w:val="18"/>
        </w:rPr>
        <w:instrText xml:space="preserve">),营)</w:instrText>
      </w:r>
      <w:r>
        <w:rPr>
          <w:rFonts w:hAnsi="宋体"/>
          <w:bCs/>
          <w:color w:val="auto"/>
          <w:sz w:val="18"/>
          <w:szCs w:val="18"/>
        </w:rPr>
        <w:fldChar w:fldCharType="end"/>
      </w:r>
      <w:r>
        <w:rPr>
          <w:rFonts w:hAnsi="宋体"/>
          <w:bCs/>
          <w:color w:val="auto"/>
          <w:sz w:val="18"/>
          <w:szCs w:val="18"/>
        </w:rPr>
        <w:fldChar w:fldCharType="begin"/>
      </w:r>
      <w:r>
        <w:rPr>
          <w:rFonts w:hAnsi="宋体"/>
          <w:bCs/>
          <w:color w:val="auto"/>
          <w:sz w:val="18"/>
          <w:szCs w:val="18"/>
        </w:rPr>
        <w:instrText xml:space="preserve">EQ \* jc2 \* hps9 \o\ad(\s\up 8(</w:instrText>
      </w:r>
      <w:r>
        <w:rPr>
          <w:rFonts w:ascii="宋体" w:hAnsi="宋体"/>
          <w:bCs/>
          <w:color w:val="auto"/>
          <w:sz w:val="18"/>
          <w:szCs w:val="18"/>
        </w:rPr>
        <w:instrText xml:space="preserve">——</w:instrText>
      </w:r>
      <w:r>
        <w:rPr>
          <w:rFonts w:hAnsi="宋体"/>
          <w:bCs/>
          <w:color w:val="auto"/>
          <w:sz w:val="18"/>
          <w:szCs w:val="18"/>
        </w:rPr>
        <w:instrText xml:space="preserve">),业)</w:instrText>
      </w:r>
      <w:r>
        <w:rPr>
          <w:rFonts w:hAnsi="宋体"/>
          <w:bCs/>
          <w:color w:val="auto"/>
          <w:sz w:val="18"/>
          <w:szCs w:val="18"/>
        </w:rPr>
        <w:fldChar w:fldCharType="end"/>
      </w:r>
      <w:r>
        <w:rPr>
          <w:rFonts w:hAnsi="宋体"/>
          <w:bCs/>
          <w:color w:val="auto"/>
          <w:sz w:val="18"/>
          <w:szCs w:val="18"/>
        </w:rPr>
        <w:fldChar w:fldCharType="begin"/>
      </w:r>
      <w:r>
        <w:rPr>
          <w:rFonts w:hAnsi="宋体"/>
          <w:bCs/>
          <w:color w:val="auto"/>
          <w:sz w:val="18"/>
          <w:szCs w:val="18"/>
        </w:rPr>
        <w:instrText xml:space="preserve">EQ \* jc2 \* hps9 \o\ad(\s\up 8(</w:instrText>
      </w:r>
      <w:r>
        <w:rPr>
          <w:rFonts w:ascii="宋体" w:hAnsi="宋体"/>
          <w:bCs/>
          <w:color w:val="auto"/>
          <w:sz w:val="18"/>
          <w:szCs w:val="18"/>
        </w:rPr>
        <w:instrText xml:space="preserve">——</w:instrText>
      </w:r>
      <w:r>
        <w:rPr>
          <w:rFonts w:hAnsi="宋体"/>
          <w:bCs/>
          <w:color w:val="auto"/>
          <w:sz w:val="18"/>
          <w:szCs w:val="18"/>
        </w:rPr>
        <w:instrText xml:space="preserve">),收)</w:instrText>
      </w:r>
      <w:r>
        <w:rPr>
          <w:rFonts w:hAnsi="宋体"/>
          <w:bCs/>
          <w:color w:val="auto"/>
          <w:sz w:val="18"/>
          <w:szCs w:val="18"/>
        </w:rPr>
        <w:fldChar w:fldCharType="end"/>
      </w:r>
      <w:r>
        <w:rPr>
          <w:rFonts w:hAnsi="宋体"/>
          <w:bCs/>
          <w:color w:val="auto"/>
          <w:sz w:val="18"/>
          <w:szCs w:val="18"/>
        </w:rPr>
        <w:fldChar w:fldCharType="begin"/>
      </w:r>
      <w:r>
        <w:rPr>
          <w:rFonts w:hAnsi="宋体"/>
          <w:bCs/>
          <w:color w:val="auto"/>
          <w:sz w:val="18"/>
          <w:szCs w:val="18"/>
        </w:rPr>
        <w:instrText xml:space="preserve">EQ \* jc2 \* hps9 \o\ad(\s\up 8(</w:instrText>
      </w:r>
      <w:r>
        <w:rPr>
          <w:rFonts w:ascii="宋体" w:hAnsi="宋体"/>
          <w:bCs/>
          <w:color w:val="auto"/>
          <w:sz w:val="18"/>
          <w:szCs w:val="18"/>
        </w:rPr>
        <w:instrText xml:space="preserve">——</w:instrText>
      </w:r>
      <w:r>
        <w:rPr>
          <w:rFonts w:hAnsi="宋体"/>
          <w:bCs/>
          <w:color w:val="auto"/>
          <w:sz w:val="18"/>
          <w:szCs w:val="18"/>
        </w:rPr>
        <w:instrText xml:space="preserve">),入)</w:instrText>
      </w:r>
      <w:r>
        <w:rPr>
          <w:rFonts w:hAnsi="宋体"/>
          <w:bCs/>
          <w:color w:val="auto"/>
          <w:sz w:val="18"/>
          <w:szCs w:val="18"/>
        </w:rPr>
        <w:fldChar w:fldCharType="end"/>
      </w:r>
      <w:r>
        <w:rPr>
          <w:rFonts w:hAnsi="宋体"/>
          <w:bCs/>
          <w:color w:val="auto"/>
          <w:sz w:val="18"/>
          <w:szCs w:val="18"/>
        </w:rPr>
        <w:fldChar w:fldCharType="begin"/>
      </w:r>
      <w:r>
        <w:rPr>
          <w:rFonts w:hAnsi="宋体"/>
          <w:bCs/>
          <w:color w:val="auto"/>
          <w:sz w:val="18"/>
          <w:szCs w:val="18"/>
        </w:rPr>
        <w:instrText xml:space="preserve">EQ \* jc2 \* hps9 \o\ad(\s\up 8(</w:instrText>
      </w:r>
      <w:r>
        <w:rPr>
          <w:rFonts w:ascii="宋体" w:hAnsi="宋体"/>
          <w:bCs/>
          <w:color w:val="auto"/>
          <w:sz w:val="18"/>
          <w:szCs w:val="18"/>
        </w:rPr>
        <w:instrText xml:space="preserve">——</w:instrText>
      </w:r>
      <w:r>
        <w:rPr>
          <w:rFonts w:hAnsi="宋体"/>
          <w:bCs/>
          <w:color w:val="auto"/>
          <w:sz w:val="18"/>
          <w:szCs w:val="18"/>
        </w:rPr>
        <w:instrText xml:space="preserve">),、)</w:instrText>
      </w:r>
      <w:r>
        <w:rPr>
          <w:rFonts w:hAnsi="宋体"/>
          <w:bCs/>
          <w:color w:val="auto"/>
          <w:sz w:val="18"/>
          <w:szCs w:val="18"/>
        </w:rPr>
        <w:fldChar w:fldCharType="end"/>
      </w:r>
      <w:r>
        <w:rPr>
          <w:rFonts w:hAnsi="宋体"/>
          <w:bCs/>
          <w:color w:val="auto"/>
          <w:sz w:val="18"/>
          <w:szCs w:val="18"/>
        </w:rPr>
        <w:fldChar w:fldCharType="begin"/>
      </w:r>
      <w:r>
        <w:rPr>
          <w:rFonts w:hAnsi="宋体"/>
          <w:bCs/>
          <w:color w:val="auto"/>
          <w:sz w:val="18"/>
          <w:szCs w:val="18"/>
        </w:rPr>
        <w:instrText xml:space="preserve">EQ \* jc2 \* hps9 \o\ad(\s\up 8(</w:instrText>
      </w:r>
      <w:r>
        <w:rPr>
          <w:rFonts w:ascii="宋体" w:hAnsi="宋体"/>
          <w:bCs/>
          <w:color w:val="auto"/>
          <w:sz w:val="18"/>
          <w:szCs w:val="18"/>
        </w:rPr>
        <w:instrText xml:space="preserve">——</w:instrText>
      </w:r>
      <w:r>
        <w:rPr>
          <w:rFonts w:hAnsi="宋体"/>
          <w:bCs/>
          <w:color w:val="auto"/>
          <w:sz w:val="18"/>
          <w:szCs w:val="18"/>
        </w:rPr>
        <w:instrText xml:space="preserve">),资)</w:instrText>
      </w:r>
      <w:r>
        <w:rPr>
          <w:rFonts w:hAnsi="宋体"/>
          <w:bCs/>
          <w:color w:val="auto"/>
          <w:sz w:val="18"/>
          <w:szCs w:val="18"/>
        </w:rPr>
        <w:fldChar w:fldCharType="end"/>
      </w:r>
      <w:r>
        <w:rPr>
          <w:rFonts w:hAnsi="宋体"/>
          <w:bCs/>
          <w:color w:val="auto"/>
          <w:sz w:val="18"/>
          <w:szCs w:val="18"/>
        </w:rPr>
        <w:fldChar w:fldCharType="begin"/>
      </w:r>
      <w:r>
        <w:rPr>
          <w:rFonts w:hAnsi="宋体"/>
          <w:bCs/>
          <w:color w:val="auto"/>
          <w:sz w:val="18"/>
          <w:szCs w:val="18"/>
        </w:rPr>
        <w:instrText xml:space="preserve">EQ \* jc2 \* hps9 \o\ad(\s\up 8(</w:instrText>
      </w:r>
      <w:r>
        <w:rPr>
          <w:rFonts w:ascii="宋体" w:hAnsi="宋体"/>
          <w:bCs/>
          <w:color w:val="auto"/>
          <w:sz w:val="18"/>
          <w:szCs w:val="18"/>
        </w:rPr>
        <w:instrText xml:space="preserve">——</w:instrText>
      </w:r>
      <w:r>
        <w:rPr>
          <w:rFonts w:hAnsi="宋体"/>
          <w:bCs/>
          <w:color w:val="auto"/>
          <w:sz w:val="18"/>
          <w:szCs w:val="18"/>
        </w:rPr>
        <w:instrText xml:space="preserve">),产)</w:instrText>
      </w:r>
      <w:r>
        <w:rPr>
          <w:rFonts w:hAnsi="宋体"/>
          <w:bCs/>
          <w:color w:val="auto"/>
          <w:sz w:val="18"/>
          <w:szCs w:val="18"/>
        </w:rPr>
        <w:fldChar w:fldCharType="end"/>
      </w:r>
      <w:r>
        <w:rPr>
          <w:rFonts w:hAnsi="宋体"/>
          <w:bCs/>
          <w:color w:val="auto"/>
          <w:sz w:val="18"/>
          <w:szCs w:val="18"/>
        </w:rPr>
        <w:fldChar w:fldCharType="begin"/>
      </w:r>
      <w:r>
        <w:rPr>
          <w:rFonts w:hAnsi="宋体"/>
          <w:bCs/>
          <w:color w:val="auto"/>
          <w:sz w:val="18"/>
          <w:szCs w:val="18"/>
        </w:rPr>
        <w:instrText xml:space="preserve">EQ \* jc2 \* hps9 \o\ad(\s\up 8(</w:instrText>
      </w:r>
      <w:r>
        <w:rPr>
          <w:rFonts w:ascii="宋体" w:hAnsi="宋体"/>
          <w:bCs/>
          <w:color w:val="auto"/>
          <w:sz w:val="18"/>
          <w:szCs w:val="18"/>
        </w:rPr>
        <w:instrText xml:space="preserve">——</w:instrText>
      </w:r>
      <w:r>
        <w:rPr>
          <w:rFonts w:hAnsi="宋体"/>
          <w:bCs/>
          <w:color w:val="auto"/>
          <w:sz w:val="18"/>
          <w:szCs w:val="18"/>
        </w:rPr>
        <w:instrText xml:space="preserve">),总)</w:instrText>
      </w:r>
      <w:r>
        <w:rPr>
          <w:rFonts w:hAnsi="宋体"/>
          <w:bCs/>
          <w:color w:val="auto"/>
          <w:sz w:val="18"/>
          <w:szCs w:val="18"/>
        </w:rPr>
        <w:fldChar w:fldCharType="end"/>
      </w:r>
      <w:r>
        <w:rPr>
          <w:rFonts w:hAnsi="宋体"/>
          <w:bCs/>
          <w:color w:val="auto"/>
          <w:sz w:val="18"/>
          <w:szCs w:val="18"/>
        </w:rPr>
        <w:fldChar w:fldCharType="begin"/>
      </w:r>
      <w:r>
        <w:rPr>
          <w:rFonts w:hAnsi="宋体"/>
          <w:bCs/>
          <w:color w:val="auto"/>
          <w:sz w:val="18"/>
          <w:szCs w:val="18"/>
        </w:rPr>
        <w:instrText xml:space="preserve">EQ \* jc2 \* hps9 \o\ad(\s\up 8(</w:instrText>
      </w:r>
      <w:r>
        <w:rPr>
          <w:rFonts w:ascii="宋体" w:hAnsi="宋体"/>
          <w:bCs/>
          <w:color w:val="auto"/>
          <w:sz w:val="18"/>
          <w:szCs w:val="18"/>
        </w:rPr>
        <w:instrText xml:space="preserve">——</w:instrText>
      </w:r>
      <w:r>
        <w:rPr>
          <w:rFonts w:hAnsi="宋体"/>
          <w:bCs/>
          <w:color w:val="auto"/>
          <w:sz w:val="18"/>
          <w:szCs w:val="18"/>
        </w:rPr>
        <w:instrText xml:space="preserve">),额)</w:instrText>
      </w:r>
      <w:r>
        <w:rPr>
          <w:rFonts w:hAnsi="宋体"/>
          <w:bCs/>
          <w:color w:val="auto"/>
          <w:sz w:val="18"/>
          <w:szCs w:val="18"/>
        </w:rPr>
        <w:fldChar w:fldCharType="end"/>
      </w:r>
      <w:r>
        <w:rPr>
          <w:rFonts w:hAnsi="宋体"/>
          <w:bCs/>
          <w:color w:val="auto"/>
          <w:sz w:val="18"/>
          <w:szCs w:val="18"/>
        </w:rPr>
        <w:fldChar w:fldCharType="begin"/>
      </w:r>
      <w:r>
        <w:rPr>
          <w:rFonts w:hAnsi="宋体"/>
          <w:bCs/>
          <w:color w:val="auto"/>
          <w:sz w:val="18"/>
          <w:szCs w:val="18"/>
        </w:rPr>
        <w:instrText xml:space="preserve">EQ \* jc2 \* hps9 \o\ad(\s\up 8(</w:instrText>
      </w:r>
      <w:r>
        <w:rPr>
          <w:rFonts w:ascii="宋体" w:hAnsi="宋体"/>
          <w:bCs/>
          <w:color w:val="auto"/>
          <w:sz w:val="18"/>
          <w:szCs w:val="18"/>
        </w:rPr>
        <w:instrText xml:space="preserve">——</w:instrText>
      </w:r>
      <w:r>
        <w:rPr>
          <w:rFonts w:hAnsi="宋体"/>
          <w:bCs/>
          <w:color w:val="auto"/>
          <w:sz w:val="18"/>
          <w:szCs w:val="18"/>
        </w:rPr>
        <w:instrText xml:space="preserve">),填)</w:instrText>
      </w:r>
      <w:r>
        <w:rPr>
          <w:rFonts w:hAnsi="宋体"/>
          <w:bCs/>
          <w:color w:val="auto"/>
          <w:sz w:val="18"/>
          <w:szCs w:val="18"/>
        </w:rPr>
        <w:fldChar w:fldCharType="end"/>
      </w:r>
      <w:r>
        <w:rPr>
          <w:rFonts w:hAnsi="宋体"/>
          <w:bCs/>
          <w:color w:val="auto"/>
          <w:sz w:val="18"/>
          <w:szCs w:val="18"/>
        </w:rPr>
        <w:fldChar w:fldCharType="begin"/>
      </w:r>
      <w:r>
        <w:rPr>
          <w:rFonts w:hAnsi="宋体"/>
          <w:bCs/>
          <w:color w:val="auto"/>
          <w:sz w:val="18"/>
          <w:szCs w:val="18"/>
        </w:rPr>
        <w:instrText xml:space="preserve">EQ \* jc2 \* hps9 \o\ad(\s\up 8(</w:instrText>
      </w:r>
      <w:r>
        <w:rPr>
          <w:rFonts w:ascii="宋体" w:hAnsi="宋体"/>
          <w:bCs/>
          <w:color w:val="auto"/>
          <w:sz w:val="18"/>
          <w:szCs w:val="18"/>
        </w:rPr>
        <w:instrText xml:space="preserve">——</w:instrText>
      </w:r>
      <w:r>
        <w:rPr>
          <w:rFonts w:hAnsi="宋体"/>
          <w:bCs/>
          <w:color w:val="auto"/>
          <w:sz w:val="18"/>
          <w:szCs w:val="18"/>
        </w:rPr>
        <w:instrText xml:space="preserve">),报)</w:instrText>
      </w:r>
      <w:r>
        <w:rPr>
          <w:rFonts w:hAnsi="宋体"/>
          <w:bCs/>
          <w:color w:val="auto"/>
          <w:sz w:val="18"/>
          <w:szCs w:val="18"/>
        </w:rPr>
        <w:fldChar w:fldCharType="end"/>
      </w:r>
      <w:bookmarkEnd w:id="140"/>
      <w:r>
        <w:rPr>
          <w:rFonts w:hint="eastAsia" w:hAnsi="宋体"/>
          <w:bCs/>
          <w:color w:val="auto"/>
          <w:sz w:val="18"/>
          <w:szCs w:val="18"/>
        </w:rPr>
        <w:t>上一年度数据，无上一年度数据的新成立企业可不填报。</w:t>
      </w:r>
    </w:p>
    <w:tbl>
      <w:tblPr>
        <w:tblStyle w:val="34"/>
        <w:tblW w:w="9952" w:type="dxa"/>
        <w:tblInd w:w="150" w:type="dxa"/>
        <w:shd w:val="clear" w:color="auto" w:fill="FFFFFF"/>
        <w:tblLayout w:type="autofit"/>
        <w:tblCellMar>
          <w:top w:w="15" w:type="dxa"/>
          <w:left w:w="15" w:type="dxa"/>
          <w:bottom w:w="15" w:type="dxa"/>
          <w:right w:w="15" w:type="dxa"/>
        </w:tblCellMar>
      </w:tblPr>
      <w:tblGrid>
        <w:gridCol w:w="2127"/>
        <w:gridCol w:w="1413"/>
        <w:gridCol w:w="714"/>
        <w:gridCol w:w="1275"/>
        <w:gridCol w:w="1843"/>
        <w:gridCol w:w="1559"/>
        <w:gridCol w:w="1021"/>
      </w:tblGrid>
      <w:tr>
        <w:tblPrEx>
          <w:shd w:val="clear" w:color="auto" w:fill="FFFFFF"/>
          <w:tblCellMar>
            <w:top w:w="15" w:type="dxa"/>
            <w:left w:w="15" w:type="dxa"/>
            <w:bottom w:w="15" w:type="dxa"/>
            <w:right w:w="15" w:type="dxa"/>
          </w:tblCellMar>
        </w:tblPrEx>
        <w:trPr>
          <w:trHeight w:val="330" w:hRule="atLeast"/>
        </w:trPr>
        <w:tc>
          <w:tcPr>
            <w:tcW w:w="9952" w:type="dxa"/>
            <w:gridSpan w:val="7"/>
            <w:tcBorders>
              <w:top w:val="nil"/>
              <w:left w:val="nil"/>
              <w:bottom w:val="single" w:color="auto" w:sz="6" w:space="0"/>
              <w:right w:val="nil"/>
            </w:tcBorders>
            <w:shd w:val="clear" w:color="auto" w:fill="FFFFFF"/>
            <w:tcMar>
              <w:top w:w="30" w:type="dxa"/>
              <w:left w:w="150" w:type="dxa"/>
              <w:bottom w:w="30" w:type="dxa"/>
              <w:right w:w="150" w:type="dxa"/>
            </w:tcMar>
            <w:vAlign w:val="center"/>
          </w:tcPr>
          <w:p>
            <w:pPr>
              <w:widowControl/>
              <w:jc w:val="center"/>
              <w:rPr>
                <w:rFonts w:ascii="Helvetica" w:hAnsi="Helvetica" w:cs="Helvetica"/>
                <w:b/>
                <w:bCs/>
                <w:color w:val="auto"/>
                <w:kern w:val="0"/>
                <w:szCs w:val="21"/>
              </w:rPr>
            </w:pPr>
            <w:r>
              <w:rPr>
                <w:rFonts w:ascii="Helvetica" w:hAnsi="Helvetica" w:cs="Helvetica"/>
                <w:b/>
                <w:bCs/>
                <w:color w:val="auto"/>
                <w:kern w:val="0"/>
                <w:szCs w:val="21"/>
              </w:rPr>
              <w:t>大中小微型企业划分标准</w:t>
            </w:r>
          </w:p>
        </w:tc>
      </w:tr>
      <w:tr>
        <w:tblPrEx>
          <w:shd w:val="clear" w:color="auto" w:fill="FFFFFF"/>
          <w:tblCellMar>
            <w:top w:w="15" w:type="dxa"/>
            <w:left w:w="15" w:type="dxa"/>
            <w:bottom w:w="15" w:type="dxa"/>
            <w:right w:w="15" w:type="dxa"/>
          </w:tblCellMar>
        </w:tblPrEx>
        <w:trPr>
          <w:trHeight w:val="330" w:hRule="atLeast"/>
        </w:trPr>
        <w:tc>
          <w:tcPr>
            <w:tcW w:w="2127"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b/>
                <w:bCs/>
                <w:color w:val="auto"/>
                <w:kern w:val="0"/>
                <w:sz w:val="18"/>
                <w:szCs w:val="18"/>
              </w:rPr>
              <w:t>行业名称</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b/>
                <w:bCs/>
                <w:color w:val="auto"/>
                <w:kern w:val="0"/>
                <w:sz w:val="18"/>
                <w:szCs w:val="18"/>
              </w:rPr>
              <w:t>指标名称</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b/>
                <w:bCs/>
                <w:color w:val="auto"/>
                <w:kern w:val="0"/>
                <w:sz w:val="18"/>
                <w:szCs w:val="18"/>
              </w:rPr>
              <w:t>计量</w:t>
            </w:r>
          </w:p>
          <w:p>
            <w:pPr>
              <w:widowControl/>
              <w:spacing w:line="340" w:lineRule="exact"/>
              <w:jc w:val="center"/>
              <w:rPr>
                <w:rFonts w:ascii="Helvetica" w:hAnsi="Helvetica" w:cs="Helvetica"/>
                <w:color w:val="auto"/>
                <w:kern w:val="0"/>
                <w:sz w:val="18"/>
                <w:szCs w:val="18"/>
              </w:rPr>
            </w:pPr>
            <w:r>
              <w:rPr>
                <w:rFonts w:ascii="Helvetica" w:hAnsi="Helvetica" w:cs="Helvetica"/>
                <w:b/>
                <w:bCs/>
                <w:color w:val="auto"/>
                <w:kern w:val="0"/>
                <w:sz w:val="18"/>
                <w:szCs w:val="18"/>
              </w:rPr>
              <w:t>单位</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b/>
                <w:bCs/>
                <w:color w:val="auto"/>
                <w:kern w:val="0"/>
                <w:sz w:val="18"/>
                <w:szCs w:val="18"/>
              </w:rPr>
              <w:t>大型</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b/>
                <w:bCs/>
                <w:color w:val="auto"/>
                <w:kern w:val="0"/>
                <w:sz w:val="18"/>
                <w:szCs w:val="18"/>
              </w:rPr>
              <w:t>中型</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b/>
                <w:bCs/>
                <w:color w:val="auto"/>
                <w:kern w:val="0"/>
                <w:sz w:val="18"/>
                <w:szCs w:val="18"/>
              </w:rPr>
              <w:t>小型</w:t>
            </w:r>
          </w:p>
        </w:tc>
        <w:tc>
          <w:tcPr>
            <w:tcW w:w="100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b/>
                <w:bCs/>
                <w:color w:val="auto"/>
                <w:kern w:val="0"/>
                <w:sz w:val="18"/>
                <w:szCs w:val="18"/>
              </w:rPr>
              <w:t>微型</w:t>
            </w:r>
          </w:p>
        </w:tc>
      </w:tr>
      <w:tr>
        <w:tblPrEx>
          <w:shd w:val="clear" w:color="auto" w:fill="FFFFFF"/>
          <w:tblCellMar>
            <w:top w:w="15" w:type="dxa"/>
            <w:left w:w="15" w:type="dxa"/>
            <w:bottom w:w="15" w:type="dxa"/>
            <w:right w:w="15" w:type="dxa"/>
          </w:tblCellMar>
        </w:tblPrEx>
        <w:trPr>
          <w:trHeight w:val="330" w:hRule="atLeast"/>
        </w:trPr>
        <w:tc>
          <w:tcPr>
            <w:tcW w:w="2127"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农、林、牧、渔业</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营业收入(Y)</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Y≥20000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500≤Y＜20000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50≤Y＜500</w:t>
            </w:r>
          </w:p>
        </w:tc>
        <w:tc>
          <w:tcPr>
            <w:tcW w:w="100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Y＜50</w:t>
            </w:r>
          </w:p>
        </w:tc>
      </w:tr>
      <w:tr>
        <w:tblPrEx>
          <w:shd w:val="clear" w:color="auto" w:fill="FFFFFF"/>
          <w:tblCellMar>
            <w:top w:w="15" w:type="dxa"/>
            <w:left w:w="15" w:type="dxa"/>
            <w:bottom w:w="15" w:type="dxa"/>
            <w:right w:w="15" w:type="dxa"/>
          </w:tblCellMar>
        </w:tblPrEx>
        <w:trPr>
          <w:trHeight w:val="330" w:hRule="atLeast"/>
        </w:trPr>
        <w:tc>
          <w:tcPr>
            <w:tcW w:w="2127" w:type="dxa"/>
            <w:vMerge w:val="restart"/>
            <w:tcBorders>
              <w:top w:val="single" w:color="auto" w:sz="6" w:space="0"/>
              <w:left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工业 *</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从业人员(X)</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人</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X≥1000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300≤X＜1000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20≤X＜300</w:t>
            </w:r>
          </w:p>
        </w:tc>
        <w:tc>
          <w:tcPr>
            <w:tcW w:w="100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X＜20</w:t>
            </w:r>
          </w:p>
        </w:tc>
      </w:tr>
      <w:tr>
        <w:tblPrEx>
          <w:shd w:val="clear" w:color="auto" w:fill="FFFFFF"/>
          <w:tblCellMar>
            <w:top w:w="15" w:type="dxa"/>
            <w:left w:w="15" w:type="dxa"/>
            <w:bottom w:w="15" w:type="dxa"/>
            <w:right w:w="15" w:type="dxa"/>
          </w:tblCellMar>
        </w:tblPrEx>
        <w:trPr>
          <w:trHeight w:val="330" w:hRule="atLeast"/>
        </w:trPr>
        <w:tc>
          <w:tcPr>
            <w:tcW w:w="2127" w:type="dxa"/>
            <w:vMerge w:val="continue"/>
            <w:tcBorders>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营业收入(Y)</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Y≥40000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2000≤Y＜40000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300≤Y＜2000</w:t>
            </w:r>
          </w:p>
        </w:tc>
        <w:tc>
          <w:tcPr>
            <w:tcW w:w="100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Y＜300</w:t>
            </w:r>
          </w:p>
        </w:tc>
      </w:tr>
      <w:tr>
        <w:tblPrEx>
          <w:shd w:val="clear" w:color="auto" w:fill="FFFFFF"/>
          <w:tblCellMar>
            <w:top w:w="15" w:type="dxa"/>
            <w:left w:w="15" w:type="dxa"/>
            <w:bottom w:w="15" w:type="dxa"/>
            <w:right w:w="15" w:type="dxa"/>
          </w:tblCellMar>
        </w:tblPrEx>
        <w:trPr>
          <w:trHeight w:val="330" w:hRule="atLeast"/>
        </w:trPr>
        <w:tc>
          <w:tcPr>
            <w:tcW w:w="2127" w:type="dxa"/>
            <w:vMerge w:val="restart"/>
            <w:tcBorders>
              <w:top w:val="single" w:color="auto" w:sz="6" w:space="0"/>
              <w:left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建筑业</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营业收入(Y)</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Y≥80000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6000≤Y＜80000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300≤Y＜6000</w:t>
            </w:r>
          </w:p>
        </w:tc>
        <w:tc>
          <w:tcPr>
            <w:tcW w:w="100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Y＜300</w:t>
            </w:r>
          </w:p>
        </w:tc>
      </w:tr>
      <w:tr>
        <w:tblPrEx>
          <w:shd w:val="clear" w:color="auto" w:fill="FFFFFF"/>
          <w:tblCellMar>
            <w:top w:w="15" w:type="dxa"/>
            <w:left w:w="15" w:type="dxa"/>
            <w:bottom w:w="15" w:type="dxa"/>
            <w:right w:w="15" w:type="dxa"/>
          </w:tblCellMar>
        </w:tblPrEx>
        <w:trPr>
          <w:trHeight w:val="330" w:hRule="atLeast"/>
        </w:trPr>
        <w:tc>
          <w:tcPr>
            <w:tcW w:w="2127" w:type="dxa"/>
            <w:vMerge w:val="continue"/>
            <w:tcBorders>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资产总额(Z)</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Z≥80000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5000≤Z＜80000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300≤Z＜5000</w:t>
            </w:r>
          </w:p>
        </w:tc>
        <w:tc>
          <w:tcPr>
            <w:tcW w:w="100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Z＜300</w:t>
            </w:r>
          </w:p>
        </w:tc>
      </w:tr>
      <w:tr>
        <w:tblPrEx>
          <w:shd w:val="clear" w:color="auto" w:fill="FFFFFF"/>
          <w:tblCellMar>
            <w:top w:w="15" w:type="dxa"/>
            <w:left w:w="15" w:type="dxa"/>
            <w:bottom w:w="15" w:type="dxa"/>
            <w:right w:w="15" w:type="dxa"/>
          </w:tblCellMar>
        </w:tblPrEx>
        <w:trPr>
          <w:trHeight w:val="330" w:hRule="atLeast"/>
        </w:trPr>
        <w:tc>
          <w:tcPr>
            <w:tcW w:w="2127" w:type="dxa"/>
            <w:vMerge w:val="restart"/>
            <w:tcBorders>
              <w:top w:val="single" w:color="auto" w:sz="6" w:space="0"/>
              <w:left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批发业</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从业人员(X)</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人</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X≥200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20≤X＜200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5≤X＜20</w:t>
            </w:r>
          </w:p>
        </w:tc>
        <w:tc>
          <w:tcPr>
            <w:tcW w:w="100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X＜5</w:t>
            </w:r>
          </w:p>
        </w:tc>
      </w:tr>
      <w:tr>
        <w:tblPrEx>
          <w:shd w:val="clear" w:color="auto" w:fill="FFFFFF"/>
          <w:tblCellMar>
            <w:top w:w="15" w:type="dxa"/>
            <w:left w:w="15" w:type="dxa"/>
            <w:bottom w:w="15" w:type="dxa"/>
            <w:right w:w="15" w:type="dxa"/>
          </w:tblCellMar>
        </w:tblPrEx>
        <w:trPr>
          <w:trHeight w:val="330" w:hRule="atLeast"/>
        </w:trPr>
        <w:tc>
          <w:tcPr>
            <w:tcW w:w="2127" w:type="dxa"/>
            <w:vMerge w:val="continue"/>
            <w:tcBorders>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营业收入(Y)</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Y≥40000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5000≤Y＜40000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1000≤Y＜5000</w:t>
            </w:r>
          </w:p>
        </w:tc>
        <w:tc>
          <w:tcPr>
            <w:tcW w:w="100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Y＜1000</w:t>
            </w:r>
          </w:p>
        </w:tc>
      </w:tr>
      <w:tr>
        <w:tblPrEx>
          <w:shd w:val="clear" w:color="auto" w:fill="FFFFFF"/>
          <w:tblCellMar>
            <w:top w:w="15" w:type="dxa"/>
            <w:left w:w="15" w:type="dxa"/>
            <w:bottom w:w="15" w:type="dxa"/>
            <w:right w:w="15" w:type="dxa"/>
          </w:tblCellMar>
        </w:tblPrEx>
        <w:trPr>
          <w:trHeight w:val="330" w:hRule="atLeast"/>
        </w:trPr>
        <w:tc>
          <w:tcPr>
            <w:tcW w:w="2127" w:type="dxa"/>
            <w:vMerge w:val="restart"/>
            <w:tcBorders>
              <w:top w:val="single" w:color="auto" w:sz="6" w:space="0"/>
              <w:left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零售业</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从业人员(X)</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人</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X≥300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50≤X＜300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10≤X＜50</w:t>
            </w:r>
          </w:p>
        </w:tc>
        <w:tc>
          <w:tcPr>
            <w:tcW w:w="100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X＜10</w:t>
            </w:r>
          </w:p>
        </w:tc>
      </w:tr>
      <w:tr>
        <w:tblPrEx>
          <w:shd w:val="clear" w:color="auto" w:fill="FFFFFF"/>
          <w:tblCellMar>
            <w:top w:w="15" w:type="dxa"/>
            <w:left w:w="15" w:type="dxa"/>
            <w:bottom w:w="15" w:type="dxa"/>
            <w:right w:w="15" w:type="dxa"/>
          </w:tblCellMar>
        </w:tblPrEx>
        <w:trPr>
          <w:trHeight w:val="330" w:hRule="atLeast"/>
        </w:trPr>
        <w:tc>
          <w:tcPr>
            <w:tcW w:w="2127" w:type="dxa"/>
            <w:vMerge w:val="continue"/>
            <w:tcBorders>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营业收入(Y)</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Y≥20000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500≤Y＜20000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100≤Y＜500</w:t>
            </w:r>
          </w:p>
        </w:tc>
        <w:tc>
          <w:tcPr>
            <w:tcW w:w="100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Y＜100</w:t>
            </w:r>
          </w:p>
        </w:tc>
      </w:tr>
      <w:tr>
        <w:tblPrEx>
          <w:shd w:val="clear" w:color="auto" w:fill="FFFFFF"/>
          <w:tblCellMar>
            <w:top w:w="15" w:type="dxa"/>
            <w:left w:w="15" w:type="dxa"/>
            <w:bottom w:w="15" w:type="dxa"/>
            <w:right w:w="15" w:type="dxa"/>
          </w:tblCellMar>
        </w:tblPrEx>
        <w:trPr>
          <w:trHeight w:val="330" w:hRule="atLeast"/>
        </w:trPr>
        <w:tc>
          <w:tcPr>
            <w:tcW w:w="2127" w:type="dxa"/>
            <w:vMerge w:val="restart"/>
            <w:tcBorders>
              <w:top w:val="single" w:color="auto" w:sz="6" w:space="0"/>
              <w:left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交通运输业 *</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从业人员(X)</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人</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X≥1000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300≤X＜1000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20≤X＜300</w:t>
            </w:r>
          </w:p>
        </w:tc>
        <w:tc>
          <w:tcPr>
            <w:tcW w:w="100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X＜20</w:t>
            </w:r>
          </w:p>
        </w:tc>
      </w:tr>
      <w:tr>
        <w:tblPrEx>
          <w:shd w:val="clear" w:color="auto" w:fill="FFFFFF"/>
          <w:tblCellMar>
            <w:top w:w="15" w:type="dxa"/>
            <w:left w:w="15" w:type="dxa"/>
            <w:bottom w:w="15" w:type="dxa"/>
            <w:right w:w="15" w:type="dxa"/>
          </w:tblCellMar>
        </w:tblPrEx>
        <w:trPr>
          <w:trHeight w:val="330" w:hRule="atLeast"/>
        </w:trPr>
        <w:tc>
          <w:tcPr>
            <w:tcW w:w="2127" w:type="dxa"/>
            <w:vMerge w:val="continue"/>
            <w:tcBorders>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营业收入(Y)</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Y≥30000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3000≤Y＜30000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200≤Y＜3000</w:t>
            </w:r>
          </w:p>
        </w:tc>
        <w:tc>
          <w:tcPr>
            <w:tcW w:w="100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Y＜200</w:t>
            </w:r>
          </w:p>
        </w:tc>
      </w:tr>
      <w:tr>
        <w:tblPrEx>
          <w:shd w:val="clear" w:color="auto" w:fill="FFFFFF"/>
          <w:tblCellMar>
            <w:top w:w="15" w:type="dxa"/>
            <w:left w:w="15" w:type="dxa"/>
            <w:bottom w:w="15" w:type="dxa"/>
            <w:right w:w="15" w:type="dxa"/>
          </w:tblCellMar>
        </w:tblPrEx>
        <w:trPr>
          <w:trHeight w:val="330" w:hRule="atLeast"/>
        </w:trPr>
        <w:tc>
          <w:tcPr>
            <w:tcW w:w="2127" w:type="dxa"/>
            <w:vMerge w:val="restart"/>
            <w:tcBorders>
              <w:top w:val="single" w:color="auto" w:sz="6" w:space="0"/>
              <w:left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仓储业*</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从业人员(X)</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人</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X≥200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100≤X＜200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20≤X＜100</w:t>
            </w:r>
          </w:p>
        </w:tc>
        <w:tc>
          <w:tcPr>
            <w:tcW w:w="100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X＜20</w:t>
            </w:r>
          </w:p>
        </w:tc>
      </w:tr>
      <w:tr>
        <w:tblPrEx>
          <w:shd w:val="clear" w:color="auto" w:fill="FFFFFF"/>
          <w:tblCellMar>
            <w:top w:w="15" w:type="dxa"/>
            <w:left w:w="15" w:type="dxa"/>
            <w:bottom w:w="15" w:type="dxa"/>
            <w:right w:w="15" w:type="dxa"/>
          </w:tblCellMar>
        </w:tblPrEx>
        <w:trPr>
          <w:trHeight w:val="330" w:hRule="atLeast"/>
        </w:trPr>
        <w:tc>
          <w:tcPr>
            <w:tcW w:w="2127" w:type="dxa"/>
            <w:vMerge w:val="continue"/>
            <w:tcBorders>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营业收入(Y)</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Y≥30000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1000≤Y＜30000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100≤Y＜1000</w:t>
            </w:r>
          </w:p>
        </w:tc>
        <w:tc>
          <w:tcPr>
            <w:tcW w:w="100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Y＜100</w:t>
            </w:r>
          </w:p>
        </w:tc>
      </w:tr>
      <w:tr>
        <w:tblPrEx>
          <w:shd w:val="clear" w:color="auto" w:fill="FFFFFF"/>
          <w:tblCellMar>
            <w:top w:w="15" w:type="dxa"/>
            <w:left w:w="15" w:type="dxa"/>
            <w:bottom w:w="15" w:type="dxa"/>
            <w:right w:w="15" w:type="dxa"/>
          </w:tblCellMar>
        </w:tblPrEx>
        <w:trPr>
          <w:trHeight w:val="330" w:hRule="atLeast"/>
        </w:trPr>
        <w:tc>
          <w:tcPr>
            <w:tcW w:w="2127" w:type="dxa"/>
            <w:vMerge w:val="restart"/>
            <w:tcBorders>
              <w:top w:val="single" w:color="auto" w:sz="6" w:space="0"/>
              <w:left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邮政业</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从业人员(X)</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人</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X≥1000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300≤X＜1000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20≤X＜300</w:t>
            </w:r>
          </w:p>
        </w:tc>
        <w:tc>
          <w:tcPr>
            <w:tcW w:w="100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X＜20</w:t>
            </w:r>
          </w:p>
        </w:tc>
      </w:tr>
      <w:tr>
        <w:tblPrEx>
          <w:shd w:val="clear" w:color="auto" w:fill="FFFFFF"/>
          <w:tblCellMar>
            <w:top w:w="15" w:type="dxa"/>
            <w:left w:w="15" w:type="dxa"/>
            <w:bottom w:w="15" w:type="dxa"/>
            <w:right w:w="15" w:type="dxa"/>
          </w:tblCellMar>
        </w:tblPrEx>
        <w:trPr>
          <w:trHeight w:val="330" w:hRule="atLeast"/>
        </w:trPr>
        <w:tc>
          <w:tcPr>
            <w:tcW w:w="2127" w:type="dxa"/>
            <w:vMerge w:val="continue"/>
            <w:tcBorders>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营业收入(Y)</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Y≥30000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2000≤Y＜30000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100≤Y＜2000</w:t>
            </w:r>
          </w:p>
        </w:tc>
        <w:tc>
          <w:tcPr>
            <w:tcW w:w="100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Y＜100</w:t>
            </w:r>
          </w:p>
        </w:tc>
      </w:tr>
      <w:tr>
        <w:tblPrEx>
          <w:shd w:val="clear" w:color="auto" w:fill="FFFFFF"/>
          <w:tblCellMar>
            <w:top w:w="15" w:type="dxa"/>
            <w:left w:w="15" w:type="dxa"/>
            <w:bottom w:w="15" w:type="dxa"/>
            <w:right w:w="15" w:type="dxa"/>
          </w:tblCellMar>
        </w:tblPrEx>
        <w:trPr>
          <w:trHeight w:val="330" w:hRule="atLeast"/>
        </w:trPr>
        <w:tc>
          <w:tcPr>
            <w:tcW w:w="2127" w:type="dxa"/>
            <w:vMerge w:val="restart"/>
            <w:tcBorders>
              <w:top w:val="single" w:color="auto" w:sz="6" w:space="0"/>
              <w:left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住宿业</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从业人员(X)</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人</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X≥300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100≤X＜300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10≤X＜100</w:t>
            </w:r>
          </w:p>
        </w:tc>
        <w:tc>
          <w:tcPr>
            <w:tcW w:w="100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X＜10</w:t>
            </w:r>
          </w:p>
        </w:tc>
      </w:tr>
      <w:tr>
        <w:tblPrEx>
          <w:shd w:val="clear" w:color="auto" w:fill="FFFFFF"/>
          <w:tblCellMar>
            <w:top w:w="15" w:type="dxa"/>
            <w:left w:w="15" w:type="dxa"/>
            <w:bottom w:w="15" w:type="dxa"/>
            <w:right w:w="15" w:type="dxa"/>
          </w:tblCellMar>
        </w:tblPrEx>
        <w:trPr>
          <w:trHeight w:val="330" w:hRule="atLeast"/>
        </w:trPr>
        <w:tc>
          <w:tcPr>
            <w:tcW w:w="2127" w:type="dxa"/>
            <w:vMerge w:val="continue"/>
            <w:tcBorders>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营业收入(Y)</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Y≥10000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2000≤Y＜10000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100≤Y＜2000</w:t>
            </w:r>
          </w:p>
        </w:tc>
        <w:tc>
          <w:tcPr>
            <w:tcW w:w="100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Y＜100</w:t>
            </w:r>
          </w:p>
        </w:tc>
      </w:tr>
      <w:tr>
        <w:tblPrEx>
          <w:shd w:val="clear" w:color="auto" w:fill="FFFFFF"/>
          <w:tblCellMar>
            <w:top w:w="15" w:type="dxa"/>
            <w:left w:w="15" w:type="dxa"/>
            <w:bottom w:w="15" w:type="dxa"/>
            <w:right w:w="15" w:type="dxa"/>
          </w:tblCellMar>
        </w:tblPrEx>
        <w:trPr>
          <w:trHeight w:val="330" w:hRule="atLeast"/>
        </w:trPr>
        <w:tc>
          <w:tcPr>
            <w:tcW w:w="2127" w:type="dxa"/>
            <w:vMerge w:val="restart"/>
            <w:tcBorders>
              <w:top w:val="single" w:color="auto" w:sz="6" w:space="0"/>
              <w:left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餐饮业</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从业人员(X)</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人</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X≥300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100≤X＜300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10≤X＜100</w:t>
            </w:r>
          </w:p>
        </w:tc>
        <w:tc>
          <w:tcPr>
            <w:tcW w:w="100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X＜10</w:t>
            </w:r>
          </w:p>
        </w:tc>
      </w:tr>
      <w:tr>
        <w:tblPrEx>
          <w:shd w:val="clear" w:color="auto" w:fill="FFFFFF"/>
          <w:tblCellMar>
            <w:top w:w="15" w:type="dxa"/>
            <w:left w:w="15" w:type="dxa"/>
            <w:bottom w:w="15" w:type="dxa"/>
            <w:right w:w="15" w:type="dxa"/>
          </w:tblCellMar>
        </w:tblPrEx>
        <w:trPr>
          <w:trHeight w:val="330" w:hRule="atLeast"/>
        </w:trPr>
        <w:tc>
          <w:tcPr>
            <w:tcW w:w="2127" w:type="dxa"/>
            <w:vMerge w:val="continue"/>
            <w:tcBorders>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营业收入(Y)</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Y≥10000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2000≤Y＜10000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100≤Y＜2000</w:t>
            </w:r>
          </w:p>
        </w:tc>
        <w:tc>
          <w:tcPr>
            <w:tcW w:w="100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Y＜100</w:t>
            </w:r>
          </w:p>
        </w:tc>
      </w:tr>
      <w:tr>
        <w:tblPrEx>
          <w:shd w:val="clear" w:color="auto" w:fill="FFFFFF"/>
          <w:tblCellMar>
            <w:top w:w="15" w:type="dxa"/>
            <w:left w:w="15" w:type="dxa"/>
            <w:bottom w:w="15" w:type="dxa"/>
            <w:right w:w="15" w:type="dxa"/>
          </w:tblCellMar>
        </w:tblPrEx>
        <w:trPr>
          <w:trHeight w:val="330" w:hRule="atLeast"/>
        </w:trPr>
        <w:tc>
          <w:tcPr>
            <w:tcW w:w="2127" w:type="dxa"/>
            <w:vMerge w:val="restart"/>
            <w:tcBorders>
              <w:top w:val="single" w:color="auto" w:sz="6" w:space="0"/>
              <w:left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信息传输业 *</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从业人员(X)</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人</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X≥2000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100≤X＜2000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10≤X＜100</w:t>
            </w:r>
          </w:p>
        </w:tc>
        <w:tc>
          <w:tcPr>
            <w:tcW w:w="100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X＜10</w:t>
            </w:r>
          </w:p>
        </w:tc>
      </w:tr>
      <w:tr>
        <w:tblPrEx>
          <w:shd w:val="clear" w:color="auto" w:fill="FFFFFF"/>
          <w:tblCellMar>
            <w:top w:w="15" w:type="dxa"/>
            <w:left w:w="15" w:type="dxa"/>
            <w:bottom w:w="15" w:type="dxa"/>
            <w:right w:w="15" w:type="dxa"/>
          </w:tblCellMar>
        </w:tblPrEx>
        <w:trPr>
          <w:trHeight w:val="330" w:hRule="atLeast"/>
        </w:trPr>
        <w:tc>
          <w:tcPr>
            <w:tcW w:w="2127" w:type="dxa"/>
            <w:vMerge w:val="continue"/>
            <w:tcBorders>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营业收入(Y)</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Y≥100000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1000≤Y＜100000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100≤Y＜1000</w:t>
            </w:r>
          </w:p>
        </w:tc>
        <w:tc>
          <w:tcPr>
            <w:tcW w:w="100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Y＜100</w:t>
            </w:r>
          </w:p>
        </w:tc>
      </w:tr>
      <w:tr>
        <w:tblPrEx>
          <w:shd w:val="clear" w:color="auto" w:fill="FFFFFF"/>
          <w:tblCellMar>
            <w:top w:w="15" w:type="dxa"/>
            <w:left w:w="15" w:type="dxa"/>
            <w:bottom w:w="15" w:type="dxa"/>
            <w:right w:w="15" w:type="dxa"/>
          </w:tblCellMar>
        </w:tblPrEx>
        <w:trPr>
          <w:trHeight w:val="330" w:hRule="atLeast"/>
        </w:trPr>
        <w:tc>
          <w:tcPr>
            <w:tcW w:w="2127" w:type="dxa"/>
            <w:vMerge w:val="restart"/>
            <w:tcBorders>
              <w:top w:val="single" w:color="auto" w:sz="6" w:space="0"/>
              <w:left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软件和信息技术服务业</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从业人员(X)</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人</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X≥300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100≤X＜300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10≤X＜100</w:t>
            </w:r>
          </w:p>
        </w:tc>
        <w:tc>
          <w:tcPr>
            <w:tcW w:w="100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X＜10</w:t>
            </w:r>
          </w:p>
        </w:tc>
      </w:tr>
      <w:tr>
        <w:tblPrEx>
          <w:shd w:val="clear" w:color="auto" w:fill="FFFFFF"/>
          <w:tblCellMar>
            <w:top w:w="15" w:type="dxa"/>
            <w:left w:w="15" w:type="dxa"/>
            <w:bottom w:w="15" w:type="dxa"/>
            <w:right w:w="15" w:type="dxa"/>
          </w:tblCellMar>
        </w:tblPrEx>
        <w:trPr>
          <w:trHeight w:val="330" w:hRule="atLeast"/>
        </w:trPr>
        <w:tc>
          <w:tcPr>
            <w:tcW w:w="2127" w:type="dxa"/>
            <w:vMerge w:val="continue"/>
            <w:tcBorders>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营业收入(Y)</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Y≥10000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1000≤Y＜10000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50≤Y＜1000</w:t>
            </w:r>
          </w:p>
        </w:tc>
        <w:tc>
          <w:tcPr>
            <w:tcW w:w="100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Y＜50</w:t>
            </w:r>
          </w:p>
        </w:tc>
      </w:tr>
      <w:tr>
        <w:tblPrEx>
          <w:shd w:val="clear" w:color="auto" w:fill="FFFFFF"/>
          <w:tblCellMar>
            <w:top w:w="15" w:type="dxa"/>
            <w:left w:w="15" w:type="dxa"/>
            <w:bottom w:w="15" w:type="dxa"/>
            <w:right w:w="15" w:type="dxa"/>
          </w:tblCellMar>
        </w:tblPrEx>
        <w:trPr>
          <w:trHeight w:val="330" w:hRule="atLeast"/>
        </w:trPr>
        <w:tc>
          <w:tcPr>
            <w:tcW w:w="2127" w:type="dxa"/>
            <w:vMerge w:val="restart"/>
            <w:tcBorders>
              <w:top w:val="single" w:color="auto" w:sz="6" w:space="0"/>
              <w:left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房地产开发经营</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营业收入(Y)</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Y≥200000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1000≤Y＜200000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100≤Y＜1000</w:t>
            </w:r>
          </w:p>
        </w:tc>
        <w:tc>
          <w:tcPr>
            <w:tcW w:w="100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Y＜100</w:t>
            </w:r>
          </w:p>
        </w:tc>
      </w:tr>
      <w:tr>
        <w:tblPrEx>
          <w:shd w:val="clear" w:color="auto" w:fill="FFFFFF"/>
          <w:tblCellMar>
            <w:top w:w="15" w:type="dxa"/>
            <w:left w:w="15" w:type="dxa"/>
            <w:bottom w:w="15" w:type="dxa"/>
            <w:right w:w="15" w:type="dxa"/>
          </w:tblCellMar>
        </w:tblPrEx>
        <w:trPr>
          <w:trHeight w:val="330" w:hRule="atLeast"/>
        </w:trPr>
        <w:tc>
          <w:tcPr>
            <w:tcW w:w="2127" w:type="dxa"/>
            <w:vMerge w:val="continue"/>
            <w:tcBorders>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资产总额(Z)</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Z≥10000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5000≤Z＜10000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2000≤Z＜5000</w:t>
            </w:r>
          </w:p>
        </w:tc>
        <w:tc>
          <w:tcPr>
            <w:tcW w:w="100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Z＜2000</w:t>
            </w:r>
          </w:p>
        </w:tc>
      </w:tr>
      <w:tr>
        <w:tblPrEx>
          <w:shd w:val="clear" w:color="auto" w:fill="FFFFFF"/>
          <w:tblCellMar>
            <w:top w:w="15" w:type="dxa"/>
            <w:left w:w="15" w:type="dxa"/>
            <w:bottom w:w="15" w:type="dxa"/>
            <w:right w:w="15" w:type="dxa"/>
          </w:tblCellMar>
        </w:tblPrEx>
        <w:trPr>
          <w:trHeight w:val="330" w:hRule="atLeast"/>
        </w:trPr>
        <w:tc>
          <w:tcPr>
            <w:tcW w:w="2127" w:type="dxa"/>
            <w:vMerge w:val="restart"/>
            <w:tcBorders>
              <w:top w:val="single" w:color="auto" w:sz="6" w:space="0"/>
              <w:left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物业管理</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从业人员(X)</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人</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X≥1000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300≤X＜1000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100≤X＜300</w:t>
            </w:r>
          </w:p>
        </w:tc>
        <w:tc>
          <w:tcPr>
            <w:tcW w:w="100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X＜100</w:t>
            </w:r>
          </w:p>
        </w:tc>
      </w:tr>
      <w:tr>
        <w:tblPrEx>
          <w:tblCellMar>
            <w:top w:w="15" w:type="dxa"/>
            <w:left w:w="15" w:type="dxa"/>
            <w:bottom w:w="15" w:type="dxa"/>
            <w:right w:w="15" w:type="dxa"/>
          </w:tblCellMar>
        </w:tblPrEx>
        <w:trPr>
          <w:trHeight w:val="330" w:hRule="atLeast"/>
        </w:trPr>
        <w:tc>
          <w:tcPr>
            <w:tcW w:w="2127" w:type="dxa"/>
            <w:vMerge w:val="continue"/>
            <w:tcBorders>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营业收入(Y)</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Y≥5000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1000≤Y＜5000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500≤Y＜1000</w:t>
            </w:r>
          </w:p>
        </w:tc>
        <w:tc>
          <w:tcPr>
            <w:tcW w:w="100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Y＜500</w:t>
            </w:r>
          </w:p>
        </w:tc>
      </w:tr>
      <w:tr>
        <w:tblPrEx>
          <w:tblCellMar>
            <w:top w:w="15" w:type="dxa"/>
            <w:left w:w="15" w:type="dxa"/>
            <w:bottom w:w="15" w:type="dxa"/>
            <w:right w:w="15" w:type="dxa"/>
          </w:tblCellMar>
        </w:tblPrEx>
        <w:trPr>
          <w:trHeight w:val="330" w:hRule="atLeast"/>
        </w:trPr>
        <w:tc>
          <w:tcPr>
            <w:tcW w:w="2127" w:type="dxa"/>
            <w:vMerge w:val="restart"/>
            <w:tcBorders>
              <w:top w:val="single" w:color="auto" w:sz="6" w:space="0"/>
              <w:left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租赁和商务服务业</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从业人员(X)</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人</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X≥300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100≤X＜300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10≤X＜100</w:t>
            </w:r>
          </w:p>
        </w:tc>
        <w:tc>
          <w:tcPr>
            <w:tcW w:w="100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X＜10</w:t>
            </w:r>
          </w:p>
        </w:tc>
      </w:tr>
      <w:tr>
        <w:tblPrEx>
          <w:shd w:val="clear" w:color="auto" w:fill="FFFFFF"/>
          <w:tblCellMar>
            <w:top w:w="15" w:type="dxa"/>
            <w:left w:w="15" w:type="dxa"/>
            <w:bottom w:w="15" w:type="dxa"/>
            <w:right w:w="15" w:type="dxa"/>
          </w:tblCellMar>
        </w:tblPrEx>
        <w:trPr>
          <w:trHeight w:val="330" w:hRule="atLeast"/>
        </w:trPr>
        <w:tc>
          <w:tcPr>
            <w:tcW w:w="2127" w:type="dxa"/>
            <w:vMerge w:val="continue"/>
            <w:tcBorders>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资产总额(Z)</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Z≥120000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8000≤Z＜120000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100≤Z＜8000</w:t>
            </w:r>
          </w:p>
        </w:tc>
        <w:tc>
          <w:tcPr>
            <w:tcW w:w="100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Z＜100</w:t>
            </w:r>
          </w:p>
        </w:tc>
      </w:tr>
      <w:tr>
        <w:tblPrEx>
          <w:shd w:val="clear" w:color="auto" w:fill="FFFFFF"/>
          <w:tblCellMar>
            <w:top w:w="15" w:type="dxa"/>
            <w:left w:w="15" w:type="dxa"/>
            <w:bottom w:w="15" w:type="dxa"/>
            <w:right w:w="15" w:type="dxa"/>
          </w:tblCellMar>
        </w:tblPrEx>
        <w:trPr>
          <w:trHeight w:val="330" w:hRule="atLeast"/>
        </w:trPr>
        <w:tc>
          <w:tcPr>
            <w:tcW w:w="2127"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其他未列明行业 *</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从业人员(X)</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人</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X≥300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100≤X＜300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10≤X＜100</w:t>
            </w:r>
          </w:p>
        </w:tc>
        <w:tc>
          <w:tcPr>
            <w:tcW w:w="100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X＜10</w:t>
            </w:r>
          </w:p>
        </w:tc>
      </w:tr>
    </w:tbl>
    <w:p>
      <w:pPr>
        <w:widowControl/>
        <w:shd w:val="clear" w:color="auto" w:fill="FFFFFF"/>
        <w:spacing w:line="360" w:lineRule="atLeast"/>
        <w:ind w:firstLine="480"/>
        <w:jc w:val="left"/>
        <w:rPr>
          <w:rFonts w:ascii="Helvetica" w:hAnsi="Helvetica" w:cs="Helvetica"/>
          <w:color w:val="auto"/>
          <w:kern w:val="0"/>
          <w:szCs w:val="21"/>
        </w:rPr>
      </w:pPr>
    </w:p>
    <w:p>
      <w:pPr>
        <w:widowControl/>
        <w:jc w:val="left"/>
        <w:rPr>
          <w:rFonts w:ascii="Helvetica" w:hAnsi="Helvetica" w:cs="Helvetica"/>
          <w:color w:val="auto"/>
          <w:kern w:val="0"/>
          <w:szCs w:val="21"/>
        </w:rPr>
      </w:pPr>
      <w:r>
        <w:rPr>
          <w:rFonts w:ascii="Helvetica" w:hAnsi="Helvetica" w:cs="Helvetica"/>
          <w:color w:val="auto"/>
          <w:kern w:val="0"/>
          <w:szCs w:val="21"/>
        </w:rPr>
        <w:br w:type="page"/>
      </w:r>
    </w:p>
    <w:p>
      <w:pPr>
        <w:widowControl/>
        <w:shd w:val="clear" w:color="auto" w:fill="FFFFFF"/>
        <w:spacing w:line="360" w:lineRule="atLeast"/>
        <w:jc w:val="left"/>
        <w:rPr>
          <w:rFonts w:ascii="Helvetica" w:hAnsi="Helvetica" w:cs="Helvetica"/>
          <w:color w:val="auto"/>
          <w:kern w:val="0"/>
          <w:sz w:val="18"/>
          <w:szCs w:val="18"/>
        </w:rPr>
      </w:pPr>
      <w:r>
        <w:rPr>
          <w:rFonts w:ascii="Helvetica" w:hAnsi="Helvetica" w:cs="Helvetica"/>
          <w:color w:val="auto"/>
          <w:kern w:val="0"/>
          <w:sz w:val="18"/>
          <w:szCs w:val="18"/>
        </w:rPr>
        <w:t>说明：</w:t>
      </w:r>
    </w:p>
    <w:p>
      <w:pPr>
        <w:widowControl/>
        <w:shd w:val="clear" w:color="auto" w:fill="FFFFFF"/>
        <w:spacing w:line="360" w:lineRule="atLeast"/>
        <w:ind w:firstLine="480"/>
        <w:jc w:val="left"/>
        <w:rPr>
          <w:rFonts w:ascii="Helvetica" w:hAnsi="Helvetica" w:cs="Helvetica"/>
          <w:color w:val="auto"/>
          <w:kern w:val="0"/>
          <w:sz w:val="18"/>
          <w:szCs w:val="18"/>
        </w:rPr>
      </w:pPr>
      <w:r>
        <w:rPr>
          <w:rFonts w:ascii="Helvetica" w:hAnsi="Helvetica" w:cs="Helvetica"/>
          <w:color w:val="auto"/>
          <w:kern w:val="0"/>
          <w:sz w:val="18"/>
          <w:szCs w:val="18"/>
        </w:rPr>
        <w:t>1.大型、中型和小型企业须同时满足所列指标的下限，否则下划一档；微型企业只须满足所列指标中的一项即可。</w:t>
      </w:r>
    </w:p>
    <w:p>
      <w:pPr>
        <w:widowControl/>
        <w:shd w:val="clear" w:color="auto" w:fill="FFFFFF"/>
        <w:spacing w:line="360" w:lineRule="atLeast"/>
        <w:ind w:firstLine="480"/>
        <w:jc w:val="left"/>
        <w:rPr>
          <w:rFonts w:ascii="Helvetica" w:hAnsi="Helvetica" w:cs="Helvetica"/>
          <w:color w:val="auto"/>
          <w:kern w:val="0"/>
          <w:sz w:val="18"/>
          <w:szCs w:val="18"/>
        </w:rPr>
      </w:pPr>
      <w:r>
        <w:rPr>
          <w:rFonts w:ascii="Helvetica" w:hAnsi="Helvetica" w:cs="Helvetica"/>
          <w:color w:val="auto"/>
          <w:kern w:val="0"/>
          <w:sz w:val="18"/>
          <w:szCs w:val="18"/>
        </w:rPr>
        <w:t>2.附表中各行业的范围以《国民经济行业分类》（GB/T4754-2017）为准。带*的项为行业组合类别，其中，工业包括采矿业，制造业，电力、热力、燃气及水生产和供应业；交通运输业包括道路运输业，水上运输业，航空运输业，管道运输业，</w:t>
      </w:r>
      <w:r>
        <w:rPr>
          <w:color w:val="auto"/>
        </w:rPr>
        <w:fldChar w:fldCharType="begin"/>
      </w:r>
      <w:r>
        <w:rPr>
          <w:color w:val="auto"/>
        </w:rPr>
        <w:instrText xml:space="preserve"> HYPERLINK "https://baike.baidu.com/item/%E5%A4%9A%E5%BC%8F%E8%81%94%E8%BF%90/3342240?fromModule=lemma_inlink" \t "_blank" </w:instrText>
      </w:r>
      <w:r>
        <w:rPr>
          <w:color w:val="auto"/>
        </w:rPr>
        <w:fldChar w:fldCharType="separate"/>
      </w:r>
      <w:r>
        <w:rPr>
          <w:rFonts w:ascii="Helvetica" w:hAnsi="Helvetica" w:cs="Helvetica"/>
          <w:color w:val="auto"/>
          <w:kern w:val="0"/>
          <w:sz w:val="18"/>
          <w:szCs w:val="18"/>
          <w:u w:val="single"/>
        </w:rPr>
        <w:t>多式联运</w:t>
      </w:r>
      <w:r>
        <w:rPr>
          <w:rFonts w:ascii="Helvetica" w:hAnsi="Helvetica" w:cs="Helvetica"/>
          <w:color w:val="auto"/>
          <w:kern w:val="0"/>
          <w:sz w:val="18"/>
          <w:szCs w:val="18"/>
          <w:u w:val="single"/>
        </w:rPr>
        <w:fldChar w:fldCharType="end"/>
      </w:r>
      <w:r>
        <w:rPr>
          <w:rFonts w:ascii="Helvetica" w:hAnsi="Helvetica" w:cs="Helvetica"/>
          <w:color w:val="auto"/>
          <w:kern w:val="0"/>
          <w:sz w:val="18"/>
          <w:szCs w:val="18"/>
        </w:rPr>
        <w:t>和运输代理业、</w:t>
      </w:r>
      <w:r>
        <w:rPr>
          <w:color w:val="auto"/>
        </w:rPr>
        <w:fldChar w:fldCharType="begin"/>
      </w:r>
      <w:r>
        <w:rPr>
          <w:color w:val="auto"/>
        </w:rPr>
        <w:instrText xml:space="preserve"> HYPERLINK "https://baike.baidu.com/item/%E8%A3%85%E5%8D%B8%E6%90%AC%E8%BF%90/6511400?fromModule=lemma_inlink" \t "_blank" </w:instrText>
      </w:r>
      <w:r>
        <w:rPr>
          <w:color w:val="auto"/>
        </w:rPr>
        <w:fldChar w:fldCharType="separate"/>
      </w:r>
      <w:r>
        <w:rPr>
          <w:rFonts w:ascii="Helvetica" w:hAnsi="Helvetica" w:cs="Helvetica"/>
          <w:color w:val="auto"/>
          <w:kern w:val="0"/>
          <w:sz w:val="18"/>
          <w:szCs w:val="18"/>
          <w:u w:val="single"/>
        </w:rPr>
        <w:t>装卸搬运</w:t>
      </w:r>
      <w:r>
        <w:rPr>
          <w:rFonts w:ascii="Helvetica" w:hAnsi="Helvetica" w:cs="Helvetica"/>
          <w:color w:val="auto"/>
          <w:kern w:val="0"/>
          <w:sz w:val="18"/>
          <w:szCs w:val="18"/>
          <w:u w:val="single"/>
        </w:rPr>
        <w:fldChar w:fldCharType="end"/>
      </w:r>
      <w:r>
        <w:rPr>
          <w:rFonts w:ascii="Helvetica" w:hAnsi="Helvetica" w:cs="Helvetica"/>
          <w:color w:val="auto"/>
          <w:kern w:val="0"/>
          <w:sz w:val="18"/>
          <w:szCs w:val="18"/>
        </w:rPr>
        <w:t>，不包括铁路运输业；</w:t>
      </w:r>
      <w:r>
        <w:rPr>
          <w:color w:val="auto"/>
        </w:rPr>
        <w:fldChar w:fldCharType="begin"/>
      </w:r>
      <w:r>
        <w:rPr>
          <w:color w:val="auto"/>
        </w:rPr>
        <w:instrText xml:space="preserve"> HYPERLINK "https://baike.baidu.com/item/%E4%BB%93%E5%82%A8%E4%B8%9A/3487863?fromModule=lemma_inlink" \t "_blank" </w:instrText>
      </w:r>
      <w:r>
        <w:rPr>
          <w:color w:val="auto"/>
        </w:rPr>
        <w:fldChar w:fldCharType="separate"/>
      </w:r>
      <w:r>
        <w:rPr>
          <w:rFonts w:ascii="Helvetica" w:hAnsi="Helvetica" w:cs="Helvetica"/>
          <w:color w:val="auto"/>
          <w:kern w:val="0"/>
          <w:sz w:val="18"/>
          <w:szCs w:val="18"/>
          <w:u w:val="single"/>
        </w:rPr>
        <w:t>仓储业</w:t>
      </w:r>
      <w:r>
        <w:rPr>
          <w:rFonts w:ascii="Helvetica" w:hAnsi="Helvetica" w:cs="Helvetica"/>
          <w:color w:val="auto"/>
          <w:kern w:val="0"/>
          <w:sz w:val="18"/>
          <w:szCs w:val="18"/>
          <w:u w:val="single"/>
        </w:rPr>
        <w:fldChar w:fldCharType="end"/>
      </w:r>
      <w:r>
        <w:rPr>
          <w:rFonts w:ascii="Helvetica" w:hAnsi="Helvetica" w:cs="Helvetica"/>
          <w:color w:val="auto"/>
          <w:kern w:val="0"/>
          <w:sz w:val="18"/>
          <w:szCs w:val="18"/>
        </w:rPr>
        <w:t>包括通用仓储，低温仓储，危险品仓储，谷物、棉花等农产品仓储，中药材仓储和其他仓储业;</w:t>
      </w:r>
      <w:r>
        <w:rPr>
          <w:color w:val="auto"/>
        </w:rPr>
        <w:fldChar w:fldCharType="begin"/>
      </w:r>
      <w:r>
        <w:rPr>
          <w:color w:val="auto"/>
        </w:rPr>
        <w:instrText xml:space="preserve"> HYPERLINK "https://baike.baidu.com/item/%E4%BF%A1%E6%81%AF%E4%BC%A0%E8%BE%93%E4%B8%9A/61331990?fromModule=lemma_inlink" \t "_blank" </w:instrText>
      </w:r>
      <w:r>
        <w:rPr>
          <w:color w:val="auto"/>
        </w:rPr>
        <w:fldChar w:fldCharType="separate"/>
      </w:r>
      <w:r>
        <w:rPr>
          <w:rFonts w:ascii="Helvetica" w:hAnsi="Helvetica" w:cs="Helvetica"/>
          <w:color w:val="auto"/>
          <w:kern w:val="0"/>
          <w:sz w:val="18"/>
          <w:szCs w:val="18"/>
          <w:u w:val="single"/>
        </w:rPr>
        <w:t>信息传输业</w:t>
      </w:r>
      <w:r>
        <w:rPr>
          <w:rFonts w:ascii="Helvetica" w:hAnsi="Helvetica" w:cs="Helvetica"/>
          <w:color w:val="auto"/>
          <w:kern w:val="0"/>
          <w:sz w:val="18"/>
          <w:szCs w:val="18"/>
          <w:u w:val="single"/>
        </w:rPr>
        <w:fldChar w:fldCharType="end"/>
      </w:r>
      <w:r>
        <w:rPr>
          <w:rFonts w:ascii="Helvetica" w:hAnsi="Helvetica" w:cs="Helvetica"/>
          <w:color w:val="auto"/>
          <w:kern w:val="0"/>
          <w:sz w:val="18"/>
          <w:szCs w:val="18"/>
        </w:rPr>
        <w:t>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pPr>
        <w:widowControl/>
        <w:shd w:val="clear" w:color="auto" w:fill="FFFFFF"/>
        <w:spacing w:line="360" w:lineRule="atLeast"/>
        <w:ind w:firstLine="480"/>
        <w:jc w:val="left"/>
        <w:rPr>
          <w:rFonts w:ascii="Helvetica" w:hAnsi="Helvetica" w:cs="Helvetica"/>
          <w:color w:val="auto"/>
          <w:kern w:val="0"/>
          <w:sz w:val="18"/>
          <w:szCs w:val="18"/>
        </w:rPr>
      </w:pPr>
      <w:r>
        <w:rPr>
          <w:rFonts w:ascii="Helvetica" w:hAnsi="Helvetica" w:cs="Helvetica"/>
          <w:color w:val="auto"/>
          <w:kern w:val="0"/>
          <w:sz w:val="18"/>
          <w:szCs w:val="18"/>
        </w:rPr>
        <w:t>3.企业划分指标以现行</w:t>
      </w:r>
      <w:r>
        <w:rPr>
          <w:color w:val="auto"/>
        </w:rPr>
        <w:fldChar w:fldCharType="begin"/>
      </w:r>
      <w:r>
        <w:rPr>
          <w:color w:val="auto"/>
        </w:rPr>
        <w:instrText xml:space="preserve"> HYPERLINK "https://baike.baidu.com/item/%E7%BB%9F%E8%AE%A1%E5%88%B6%E5%BA%A6/917165?fromModule=lemma_inlink" \t "_blank" </w:instrText>
      </w:r>
      <w:r>
        <w:rPr>
          <w:color w:val="auto"/>
        </w:rPr>
        <w:fldChar w:fldCharType="separate"/>
      </w:r>
      <w:r>
        <w:rPr>
          <w:rFonts w:ascii="Helvetica" w:hAnsi="Helvetica" w:cs="Helvetica"/>
          <w:color w:val="auto"/>
          <w:kern w:val="0"/>
          <w:sz w:val="18"/>
          <w:szCs w:val="18"/>
          <w:u w:val="single"/>
        </w:rPr>
        <w:t>统计制度</w:t>
      </w:r>
      <w:r>
        <w:rPr>
          <w:rFonts w:ascii="Helvetica" w:hAnsi="Helvetica" w:cs="Helvetica"/>
          <w:color w:val="auto"/>
          <w:kern w:val="0"/>
          <w:sz w:val="18"/>
          <w:szCs w:val="18"/>
          <w:u w:val="single"/>
        </w:rPr>
        <w:fldChar w:fldCharType="end"/>
      </w:r>
      <w:r>
        <w:rPr>
          <w:rFonts w:ascii="Helvetica" w:hAnsi="Helvetica" w:cs="Helvetica"/>
          <w:color w:val="auto"/>
          <w:kern w:val="0"/>
          <w:sz w:val="18"/>
          <w:szCs w:val="18"/>
        </w:rPr>
        <w:t>为准。（1）从业人员，是指期末从业人员数，没有期末从业人员数的，采用全年平均人员数代替。（2）</w:t>
      </w:r>
      <w:r>
        <w:rPr>
          <w:color w:val="auto"/>
        </w:rPr>
        <w:fldChar w:fldCharType="begin"/>
      </w:r>
      <w:r>
        <w:rPr>
          <w:color w:val="auto"/>
        </w:rPr>
        <w:instrText xml:space="preserve"> HYPERLINK "https://baike.baidu.com/item/%E8%90%A5%E4%B8%9A%E6%94%B6%E5%85%A5/5099832?fromModule=lemma_inlink" \t "_blank" </w:instrText>
      </w:r>
      <w:r>
        <w:rPr>
          <w:color w:val="auto"/>
        </w:rPr>
        <w:fldChar w:fldCharType="separate"/>
      </w:r>
      <w:r>
        <w:rPr>
          <w:rFonts w:ascii="Helvetica" w:hAnsi="Helvetica" w:cs="Helvetica"/>
          <w:color w:val="auto"/>
          <w:kern w:val="0"/>
          <w:sz w:val="18"/>
          <w:szCs w:val="18"/>
          <w:u w:val="single"/>
        </w:rPr>
        <w:t>营业收入</w:t>
      </w:r>
      <w:r>
        <w:rPr>
          <w:rFonts w:ascii="Helvetica" w:hAnsi="Helvetica" w:cs="Helvetica"/>
          <w:color w:val="auto"/>
          <w:kern w:val="0"/>
          <w:sz w:val="18"/>
          <w:szCs w:val="18"/>
          <w:u w:val="single"/>
        </w:rPr>
        <w:fldChar w:fldCharType="end"/>
      </w:r>
      <w:r>
        <w:rPr>
          <w:rFonts w:ascii="Helvetica" w:hAnsi="Helvetica" w:cs="Helvetica"/>
          <w:color w:val="auto"/>
          <w:kern w:val="0"/>
          <w:sz w:val="18"/>
          <w:szCs w:val="18"/>
        </w:rPr>
        <w:t>，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w:t>
      </w:r>
      <w:r>
        <w:rPr>
          <w:color w:val="auto"/>
        </w:rPr>
        <w:fldChar w:fldCharType="begin"/>
      </w:r>
      <w:r>
        <w:rPr>
          <w:color w:val="auto"/>
        </w:rPr>
        <w:instrText xml:space="preserve"> HYPERLINK "https://baike.baidu.com/item/%E8%B5%84%E4%BA%A7%E6%80%BB%E9%A2%9D/716517?fromModule=lemma_inlink" \t "_blank" </w:instrText>
      </w:r>
      <w:r>
        <w:rPr>
          <w:color w:val="auto"/>
        </w:rPr>
        <w:fldChar w:fldCharType="separate"/>
      </w:r>
      <w:r>
        <w:rPr>
          <w:rFonts w:ascii="Helvetica" w:hAnsi="Helvetica" w:cs="Helvetica"/>
          <w:color w:val="auto"/>
          <w:kern w:val="0"/>
          <w:sz w:val="18"/>
          <w:szCs w:val="18"/>
          <w:u w:val="single"/>
        </w:rPr>
        <w:t>资产总额</w:t>
      </w:r>
      <w:r>
        <w:rPr>
          <w:rFonts w:ascii="Helvetica" w:hAnsi="Helvetica" w:cs="Helvetica"/>
          <w:color w:val="auto"/>
          <w:kern w:val="0"/>
          <w:sz w:val="18"/>
          <w:szCs w:val="18"/>
          <w:u w:val="single"/>
        </w:rPr>
        <w:fldChar w:fldCharType="end"/>
      </w:r>
      <w:r>
        <w:rPr>
          <w:rFonts w:ascii="Helvetica" w:hAnsi="Helvetica" w:cs="Helvetica"/>
          <w:color w:val="auto"/>
          <w:kern w:val="0"/>
          <w:sz w:val="18"/>
          <w:szCs w:val="18"/>
        </w:rPr>
        <w:t>，采用资产总计代替。</w:t>
      </w:r>
    </w:p>
    <w:p>
      <w:pPr>
        <w:widowControl/>
        <w:jc w:val="left"/>
        <w:rPr>
          <w:rFonts w:hint="eastAsia" w:hAnsi="宋体"/>
          <w:bCs/>
          <w:color w:val="auto"/>
          <w:sz w:val="18"/>
          <w:szCs w:val="18"/>
        </w:rPr>
      </w:pPr>
      <w:r>
        <w:rPr>
          <w:rFonts w:hAnsi="宋体"/>
          <w:bCs/>
          <w:color w:val="auto"/>
          <w:sz w:val="18"/>
          <w:szCs w:val="18"/>
        </w:rPr>
        <w:br w:type="page"/>
      </w:r>
    </w:p>
    <w:p>
      <w:pPr>
        <w:spacing w:line="320" w:lineRule="exact"/>
        <w:jc w:val="left"/>
        <w:rPr>
          <w:rFonts w:hint="eastAsia" w:hAnsi="宋体"/>
          <w:bCs/>
          <w:color w:val="auto"/>
          <w:sz w:val="18"/>
          <w:szCs w:val="18"/>
        </w:rPr>
      </w:pPr>
    </w:p>
    <w:p>
      <w:pPr>
        <w:pStyle w:val="20"/>
        <w:spacing w:line="440" w:lineRule="exact"/>
        <w:jc w:val="center"/>
        <w:rPr>
          <w:rFonts w:hint="eastAsia" w:ascii="仿宋" w:hAnsi="仿宋" w:eastAsia="仿宋"/>
          <w:b/>
          <w:color w:val="auto"/>
          <w:kern w:val="0"/>
          <w:sz w:val="32"/>
          <w:szCs w:val="32"/>
        </w:rPr>
      </w:pPr>
      <w:r>
        <w:rPr>
          <w:rFonts w:hint="eastAsia" w:ascii="仿宋" w:hAnsi="仿宋" w:eastAsia="仿宋"/>
          <w:b/>
          <w:color w:val="auto"/>
          <w:kern w:val="0"/>
          <w:sz w:val="32"/>
          <w:szCs w:val="32"/>
        </w:rPr>
        <w:t>残疾人福利性单位声明函</w:t>
      </w:r>
      <w:r>
        <w:rPr>
          <w:rFonts w:hint="eastAsia" w:ascii="仿宋" w:hAnsi="仿宋" w:eastAsia="仿宋"/>
          <w:color w:val="auto"/>
          <w:sz w:val="24"/>
        </w:rPr>
        <w:t>(格式</w:t>
      </w:r>
      <w:r>
        <w:rPr>
          <w:rFonts w:ascii="仿宋" w:hAnsi="仿宋" w:eastAsia="仿宋"/>
          <w:color w:val="auto"/>
          <w:sz w:val="24"/>
        </w:rPr>
        <w:t>)</w:t>
      </w:r>
    </w:p>
    <w:p>
      <w:pPr>
        <w:rPr>
          <w:color w:val="auto"/>
        </w:rPr>
      </w:pPr>
    </w:p>
    <w:p>
      <w:pPr>
        <w:spacing w:line="660" w:lineRule="exact"/>
        <w:ind w:firstLine="420" w:firstLineChars="200"/>
        <w:rPr>
          <w:rFonts w:hint="eastAsia" w:ascii="宋体" w:hAnsi="宋体" w:cs="Courier New"/>
          <w:color w:val="auto"/>
          <w:kern w:val="0"/>
          <w:szCs w:val="21"/>
        </w:rPr>
      </w:pPr>
      <w:r>
        <w:rPr>
          <w:rFonts w:hint="eastAsia" w:ascii="宋体" w:hAnsi="宋体" w:cs="Courier New"/>
          <w:color w:val="auto"/>
          <w:kern w:val="0"/>
          <w:szCs w:val="21"/>
        </w:rPr>
        <w:t>本单位郑重声明，根据</w:t>
      </w:r>
      <w:bookmarkStart w:id="141" w:name="_Hlk82091361"/>
      <w:r>
        <w:rPr>
          <w:rFonts w:hint="eastAsia" w:ascii="宋体" w:hAnsi="宋体" w:cs="Courier New"/>
          <w:color w:val="auto"/>
          <w:kern w:val="0"/>
          <w:szCs w:val="21"/>
        </w:rPr>
        <w:t>《</w:t>
      </w:r>
      <w:r>
        <w:rPr>
          <w:color w:val="auto"/>
        </w:rPr>
        <w:fldChar w:fldCharType="begin"/>
      </w:r>
      <w:r>
        <w:rPr>
          <w:color w:val="auto"/>
        </w:rPr>
        <w:instrText xml:space="preserve"> HYPERLINK "http://www.mof.gov.cn/gp/xxgkml/gks/201709/t20170901_2689542.htm" </w:instrText>
      </w:r>
      <w:r>
        <w:rPr>
          <w:color w:val="auto"/>
        </w:rPr>
        <w:fldChar w:fldCharType="separate"/>
      </w:r>
      <w:r>
        <w:rPr>
          <w:rFonts w:hint="eastAsia" w:ascii="宋体" w:hAnsi="Courier New" w:cs="Courier New"/>
          <w:color w:val="auto"/>
          <w:kern w:val="0"/>
          <w:szCs w:val="21"/>
        </w:rPr>
        <w:t>财政部 民政部 中国残疾人联合会关于促进残疾人就业政府采购政策的通知》（财库〔2017〕141号）</w:t>
      </w:r>
      <w:r>
        <w:rPr>
          <w:rFonts w:hint="eastAsia" w:ascii="宋体" w:hAnsi="Courier New" w:cs="Courier New"/>
          <w:color w:val="auto"/>
          <w:kern w:val="0"/>
          <w:szCs w:val="21"/>
        </w:rPr>
        <w:fldChar w:fldCharType="end"/>
      </w:r>
      <w:bookmarkEnd w:id="141"/>
      <w:r>
        <w:rPr>
          <w:rFonts w:hint="eastAsia" w:ascii="宋体" w:hAnsi="宋体" w:cs="Courier New"/>
          <w:color w:val="auto"/>
          <w:kern w:val="0"/>
          <w:szCs w:val="21"/>
        </w:rPr>
        <w:t>的规定，本单位为符合条件的残疾人福利性单位，且本单位参加（</w:t>
      </w:r>
      <w:r>
        <w:rPr>
          <w:rFonts w:hint="eastAsia" w:ascii="宋体" w:hAnsi="宋体" w:cs="Courier New"/>
          <w:color w:val="auto"/>
          <w:kern w:val="0"/>
          <w:szCs w:val="21"/>
          <w:u w:val="single"/>
        </w:rPr>
        <w:t>单位名称</w:t>
      </w:r>
      <w:r>
        <w:rPr>
          <w:rFonts w:hint="eastAsia" w:ascii="宋体" w:hAnsi="宋体" w:cs="Courier New"/>
          <w:color w:val="auto"/>
          <w:kern w:val="0"/>
          <w:szCs w:val="21"/>
        </w:rPr>
        <w:t>）的（</w:t>
      </w:r>
      <w:r>
        <w:rPr>
          <w:rFonts w:hint="eastAsia" w:ascii="宋体" w:hAnsi="宋体" w:cs="Courier New"/>
          <w:color w:val="auto"/>
          <w:kern w:val="0"/>
          <w:szCs w:val="21"/>
          <w:u w:val="single"/>
        </w:rPr>
        <w:t>项目名称</w:t>
      </w:r>
      <w:r>
        <w:rPr>
          <w:rFonts w:hint="eastAsia" w:ascii="宋体" w:hAnsi="宋体" w:cs="Courier New"/>
          <w:color w:val="auto"/>
          <w:kern w:val="0"/>
          <w:szCs w:val="21"/>
        </w:rPr>
        <w:t>）采购活动提供本单位制造的货物，或者提供其他残疾人福利性单位（</w:t>
      </w:r>
      <w:r>
        <w:rPr>
          <w:rFonts w:hint="eastAsia" w:ascii="宋体" w:hAnsi="宋体" w:cs="Courier New"/>
          <w:color w:val="auto"/>
          <w:kern w:val="0"/>
          <w:szCs w:val="21"/>
          <w:u w:val="single"/>
        </w:rPr>
        <w:t>请填写具体单位名称</w:t>
      </w:r>
      <w:r>
        <w:rPr>
          <w:rFonts w:hint="eastAsia" w:ascii="宋体" w:hAnsi="宋体" w:cs="Courier New"/>
          <w:color w:val="auto"/>
          <w:kern w:val="0"/>
          <w:szCs w:val="21"/>
        </w:rPr>
        <w:t>）制造的货物（不包括使用非残疾人福利性单位注册商标的货物）。</w:t>
      </w:r>
    </w:p>
    <w:p>
      <w:pPr>
        <w:spacing w:line="660" w:lineRule="exact"/>
        <w:ind w:firstLine="420" w:firstLineChars="200"/>
        <w:rPr>
          <w:rFonts w:hint="eastAsia" w:ascii="宋体" w:hAnsi="宋体" w:cs="Courier New"/>
          <w:color w:val="auto"/>
          <w:kern w:val="0"/>
          <w:szCs w:val="21"/>
        </w:rPr>
      </w:pPr>
      <w:r>
        <w:rPr>
          <w:rFonts w:hint="eastAsia" w:ascii="宋体" w:hAnsi="宋体" w:cs="Courier New"/>
          <w:color w:val="auto"/>
          <w:kern w:val="0"/>
          <w:szCs w:val="21"/>
        </w:rPr>
        <w:t>本单位对上述声明的真实性负责。如有虚假，将依法承担相应责任。</w:t>
      </w:r>
    </w:p>
    <w:p>
      <w:pPr>
        <w:spacing w:line="400" w:lineRule="exact"/>
        <w:rPr>
          <w:color w:val="auto"/>
          <w:szCs w:val="21"/>
        </w:rPr>
      </w:pPr>
    </w:p>
    <w:p>
      <w:pPr>
        <w:spacing w:line="400" w:lineRule="exact"/>
        <w:rPr>
          <w:color w:val="auto"/>
          <w:szCs w:val="21"/>
        </w:rPr>
      </w:pPr>
    </w:p>
    <w:p>
      <w:pPr>
        <w:spacing w:line="400" w:lineRule="exact"/>
        <w:rPr>
          <w:color w:val="auto"/>
          <w:szCs w:val="21"/>
        </w:rPr>
      </w:pPr>
    </w:p>
    <w:p>
      <w:pPr>
        <w:spacing w:line="440" w:lineRule="exact"/>
        <w:ind w:firstLine="5250" w:firstLineChars="2500"/>
        <w:rPr>
          <w:rFonts w:hint="eastAsia" w:ascii="宋体" w:hAnsi="宋体" w:cs="Courier New"/>
          <w:color w:val="auto"/>
          <w:kern w:val="0"/>
          <w:szCs w:val="21"/>
        </w:rPr>
      </w:pPr>
      <w:r>
        <w:rPr>
          <w:rFonts w:hint="eastAsia" w:ascii="宋体" w:hAnsi="宋体" w:cs="Courier New"/>
          <w:color w:val="auto"/>
          <w:kern w:val="0"/>
          <w:szCs w:val="21"/>
        </w:rPr>
        <w:t>单位名称（盖章）：</w:t>
      </w:r>
      <w:r>
        <w:rPr>
          <w:rFonts w:hint="eastAsia" w:ascii="宋体" w:hAnsi="宋体" w:cs="Courier New"/>
          <w:color w:val="auto"/>
          <w:szCs w:val="21"/>
          <w:u w:val="single"/>
        </w:rPr>
        <w:t xml:space="preserve"> </w:t>
      </w:r>
      <w:r>
        <w:rPr>
          <w:rFonts w:ascii="宋体" w:hAnsi="宋体" w:cs="Courier New"/>
          <w:color w:val="auto"/>
          <w:szCs w:val="21"/>
          <w:u w:val="single"/>
        </w:rPr>
        <w:t xml:space="preserve">             </w:t>
      </w:r>
    </w:p>
    <w:p>
      <w:pPr>
        <w:spacing w:line="440" w:lineRule="exact"/>
        <w:ind w:firstLine="5250" w:firstLineChars="2500"/>
        <w:rPr>
          <w:rFonts w:hint="eastAsia" w:ascii="宋体" w:hAnsi="宋体" w:cs="Courier New"/>
          <w:color w:val="auto"/>
          <w:szCs w:val="21"/>
          <w:u w:val="single"/>
        </w:rPr>
      </w:pPr>
      <w:r>
        <w:rPr>
          <w:rFonts w:hint="eastAsia" w:ascii="宋体" w:hAnsi="宋体" w:cs="Courier New"/>
          <w:color w:val="auto"/>
          <w:kern w:val="0"/>
          <w:szCs w:val="21"/>
        </w:rPr>
        <w:t>日  期：</w:t>
      </w:r>
      <w:r>
        <w:rPr>
          <w:rFonts w:hint="eastAsia" w:ascii="宋体" w:hAnsi="宋体" w:cs="Courier New"/>
          <w:color w:val="auto"/>
          <w:szCs w:val="21"/>
          <w:u w:val="single"/>
        </w:rPr>
        <w:t xml:space="preserve"> </w:t>
      </w:r>
      <w:r>
        <w:rPr>
          <w:rFonts w:ascii="宋体" w:hAnsi="宋体" w:cs="Courier New"/>
          <w:color w:val="auto"/>
          <w:szCs w:val="21"/>
          <w:u w:val="single"/>
        </w:rPr>
        <w:t xml:space="preserve">                       </w:t>
      </w:r>
    </w:p>
    <w:bookmarkEnd w:id="135"/>
    <w:p>
      <w:pPr>
        <w:widowControl/>
        <w:jc w:val="left"/>
        <w:rPr>
          <w:rFonts w:ascii="宋体" w:hAnsi="Courier New" w:cs="Courier New"/>
          <w:color w:val="auto"/>
          <w:sz w:val="18"/>
          <w:szCs w:val="18"/>
        </w:rPr>
      </w:pPr>
      <w:r>
        <w:rPr>
          <w:rFonts w:ascii="宋体" w:hAnsi="Courier New" w:cs="Courier New"/>
          <w:color w:val="auto"/>
          <w:sz w:val="18"/>
          <w:szCs w:val="18"/>
        </w:rPr>
        <w:br w:type="page"/>
      </w:r>
    </w:p>
    <w:p>
      <w:pPr>
        <w:jc w:val="left"/>
        <w:rPr>
          <w:rFonts w:hint="eastAsia" w:ascii="宋体" w:hAnsi="宋体"/>
          <w:b/>
          <w:bCs/>
          <w:color w:val="auto"/>
          <w:sz w:val="36"/>
          <w:szCs w:val="36"/>
        </w:rPr>
      </w:pPr>
      <w:r>
        <w:rPr>
          <w:rFonts w:hint="eastAsia" w:ascii="宋体" w:hAnsi="宋体"/>
          <w:b/>
          <w:bCs/>
          <w:color w:val="auto"/>
          <w:sz w:val="36"/>
          <w:szCs w:val="36"/>
        </w:rPr>
        <w:t>三、报价文件</w:t>
      </w:r>
    </w:p>
    <w:p>
      <w:pPr>
        <w:jc w:val="center"/>
        <w:rPr>
          <w:rFonts w:hint="eastAsia" w:ascii="仿宋" w:hAnsi="仿宋" w:eastAsia="仿宋"/>
          <w:b/>
          <w:bCs/>
          <w:color w:val="auto"/>
          <w:sz w:val="30"/>
          <w:szCs w:val="30"/>
        </w:rPr>
      </w:pPr>
      <w:r>
        <w:rPr>
          <w:rFonts w:hint="eastAsia" w:ascii="仿宋" w:hAnsi="仿宋" w:eastAsia="仿宋"/>
          <w:b/>
          <w:bCs/>
          <w:color w:val="auto"/>
          <w:sz w:val="32"/>
          <w:szCs w:val="32"/>
        </w:rPr>
        <w:t>报价明细表</w:t>
      </w:r>
      <w:r>
        <w:rPr>
          <w:rFonts w:hint="eastAsia" w:ascii="仿宋" w:hAnsi="仿宋" w:eastAsia="仿宋"/>
          <w:color w:val="auto"/>
          <w:sz w:val="24"/>
        </w:rPr>
        <w:t>(格式</w:t>
      </w:r>
      <w:r>
        <w:rPr>
          <w:rFonts w:ascii="仿宋" w:hAnsi="仿宋" w:eastAsia="仿宋"/>
          <w:color w:val="auto"/>
          <w:sz w:val="24"/>
        </w:rPr>
        <w:t>)</w:t>
      </w:r>
    </w:p>
    <w:p>
      <w:pPr>
        <w:rPr>
          <w:color w:val="auto"/>
        </w:rPr>
      </w:pPr>
    </w:p>
    <w:p>
      <w:pPr>
        <w:spacing w:line="400" w:lineRule="exact"/>
        <w:rPr>
          <w:rFonts w:hint="eastAsia" w:ascii="宋体" w:hAnsi="宋体"/>
          <w:color w:val="auto"/>
          <w:szCs w:val="21"/>
          <w:u w:val="single"/>
        </w:rPr>
      </w:pPr>
      <w:r>
        <w:rPr>
          <w:rFonts w:hint="eastAsia" w:ascii="宋体" w:hAnsi="宋体"/>
          <w:color w:val="auto"/>
          <w:szCs w:val="21"/>
        </w:rPr>
        <w:t>项目编号：</w:t>
      </w:r>
      <w:r>
        <w:rPr>
          <w:rFonts w:hint="eastAsia" w:ascii="宋体" w:hAnsi="宋体"/>
          <w:color w:val="auto"/>
          <w:szCs w:val="21"/>
          <w:u w:val="single"/>
        </w:rPr>
        <w:t xml:space="preserve">            </w:t>
      </w:r>
      <w:r>
        <w:rPr>
          <w:rFonts w:ascii="宋体" w:hAnsi="宋体"/>
          <w:color w:val="auto"/>
          <w:szCs w:val="21"/>
          <w:u w:val="single"/>
        </w:rPr>
        <w:t xml:space="preserve">          </w:t>
      </w:r>
      <w:r>
        <w:rPr>
          <w:rFonts w:hint="eastAsia" w:ascii="宋体" w:hAnsi="宋体"/>
          <w:color w:val="auto"/>
          <w:szCs w:val="21"/>
          <w:u w:val="single"/>
        </w:rPr>
        <w:t xml:space="preserve">     </w:t>
      </w:r>
    </w:p>
    <w:p>
      <w:pPr>
        <w:spacing w:line="400" w:lineRule="exact"/>
        <w:rPr>
          <w:rFonts w:hint="eastAsia" w:ascii="宋体" w:hAnsi="宋体"/>
          <w:color w:val="auto"/>
          <w:szCs w:val="21"/>
          <w:u w:val="single"/>
        </w:rPr>
      </w:pPr>
      <w:r>
        <w:rPr>
          <w:rFonts w:hint="eastAsia" w:ascii="宋体" w:hAnsi="宋体"/>
          <w:color w:val="auto"/>
          <w:szCs w:val="21"/>
        </w:rPr>
        <w:t>项目名称：</w:t>
      </w:r>
      <w:r>
        <w:rPr>
          <w:rFonts w:hint="eastAsia" w:ascii="宋体" w:hAnsi="宋体"/>
          <w:color w:val="auto"/>
          <w:szCs w:val="21"/>
          <w:u w:val="single"/>
        </w:rPr>
        <w:t xml:space="preserve">              </w:t>
      </w:r>
      <w:r>
        <w:rPr>
          <w:rFonts w:ascii="宋体" w:hAnsi="宋体"/>
          <w:color w:val="auto"/>
          <w:szCs w:val="21"/>
          <w:u w:val="single"/>
        </w:rPr>
        <w:t xml:space="preserve">           </w:t>
      </w:r>
      <w:r>
        <w:rPr>
          <w:rFonts w:hint="eastAsia" w:ascii="宋体" w:hAnsi="宋体"/>
          <w:color w:val="auto"/>
          <w:szCs w:val="21"/>
          <w:u w:val="single"/>
        </w:rPr>
        <w:t xml:space="preserve">  </w:t>
      </w:r>
      <w:r>
        <w:rPr>
          <w:rFonts w:ascii="宋体" w:hAnsi="宋体"/>
          <w:color w:val="auto"/>
          <w:szCs w:val="21"/>
        </w:rPr>
        <w:t xml:space="preserve">                                             单位：元</w:t>
      </w:r>
    </w:p>
    <w:tbl>
      <w:tblPr>
        <w:tblStyle w:val="34"/>
        <w:tblW w:w="95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145"/>
        <w:gridCol w:w="699"/>
        <w:gridCol w:w="710"/>
        <w:gridCol w:w="709"/>
        <w:gridCol w:w="1702"/>
        <w:gridCol w:w="1702"/>
        <w:gridCol w:w="852"/>
        <w:gridCol w:w="1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7" w:hRule="atLeast"/>
          <w:jc w:val="center"/>
        </w:trPr>
        <w:tc>
          <w:tcPr>
            <w:tcW w:w="704" w:type="dxa"/>
            <w:tcBorders>
              <w:bottom w:val="single" w:color="auto" w:sz="4" w:space="0"/>
            </w:tcBorders>
            <w:vAlign w:val="center"/>
          </w:tcPr>
          <w:p>
            <w:pPr>
              <w:spacing w:line="300" w:lineRule="exact"/>
              <w:jc w:val="center"/>
              <w:rPr>
                <w:rFonts w:hint="eastAsia" w:ascii="宋体" w:hAnsi="宋体" w:cs="Courier New"/>
                <w:color w:val="auto"/>
                <w:szCs w:val="21"/>
              </w:rPr>
            </w:pPr>
            <w:bookmarkStart w:id="142" w:name="_Hlk97823529"/>
            <w:r>
              <w:rPr>
                <w:rFonts w:hint="eastAsia" w:ascii="宋体" w:hAnsi="宋体" w:cs="Courier New"/>
                <w:color w:val="auto"/>
                <w:szCs w:val="21"/>
              </w:rPr>
              <w:t>序号</w:t>
            </w:r>
          </w:p>
        </w:tc>
        <w:tc>
          <w:tcPr>
            <w:tcW w:w="1145" w:type="dxa"/>
            <w:tcBorders>
              <w:bottom w:val="single" w:color="auto" w:sz="4" w:space="0"/>
            </w:tcBorders>
            <w:vAlign w:val="center"/>
          </w:tcPr>
          <w:p>
            <w:pPr>
              <w:tabs>
                <w:tab w:val="left" w:pos="180"/>
                <w:tab w:val="left" w:pos="1620"/>
              </w:tabs>
              <w:spacing w:line="300" w:lineRule="exact"/>
              <w:jc w:val="center"/>
              <w:rPr>
                <w:rFonts w:hint="eastAsia" w:ascii="宋体" w:hAnsi="宋体"/>
                <w:color w:val="auto"/>
                <w:szCs w:val="21"/>
              </w:rPr>
            </w:pPr>
            <w:r>
              <w:rPr>
                <w:rFonts w:hint="eastAsia" w:ascii="宋体" w:hAnsi="宋体"/>
                <w:color w:val="auto"/>
                <w:szCs w:val="21"/>
              </w:rPr>
              <w:t>货物名称</w:t>
            </w:r>
          </w:p>
        </w:tc>
        <w:tc>
          <w:tcPr>
            <w:tcW w:w="698" w:type="dxa"/>
            <w:tcBorders>
              <w:bottom w:val="single" w:color="auto" w:sz="4" w:space="0"/>
            </w:tcBorders>
            <w:vAlign w:val="center"/>
          </w:tcPr>
          <w:p>
            <w:pPr>
              <w:tabs>
                <w:tab w:val="left" w:pos="180"/>
                <w:tab w:val="left" w:pos="1620"/>
              </w:tabs>
              <w:spacing w:line="300" w:lineRule="exact"/>
              <w:jc w:val="center"/>
              <w:rPr>
                <w:rFonts w:hint="eastAsia" w:ascii="宋体" w:hAnsi="宋体"/>
                <w:color w:val="auto"/>
                <w:szCs w:val="21"/>
              </w:rPr>
            </w:pPr>
            <w:r>
              <w:rPr>
                <w:rFonts w:hint="eastAsia" w:ascii="宋体" w:hAnsi="宋体"/>
                <w:color w:val="auto"/>
                <w:szCs w:val="21"/>
              </w:rPr>
              <w:t>品牌</w:t>
            </w:r>
          </w:p>
        </w:tc>
        <w:tc>
          <w:tcPr>
            <w:tcW w:w="709" w:type="dxa"/>
            <w:tcBorders>
              <w:bottom w:val="single" w:color="auto" w:sz="4" w:space="0"/>
            </w:tcBorders>
            <w:vAlign w:val="center"/>
          </w:tcPr>
          <w:p>
            <w:pPr>
              <w:tabs>
                <w:tab w:val="left" w:pos="180"/>
                <w:tab w:val="left" w:pos="1620"/>
              </w:tabs>
              <w:spacing w:line="300" w:lineRule="exact"/>
              <w:jc w:val="center"/>
              <w:rPr>
                <w:rFonts w:hint="eastAsia" w:ascii="宋体" w:hAnsi="宋体"/>
                <w:color w:val="auto"/>
                <w:szCs w:val="21"/>
              </w:rPr>
            </w:pPr>
            <w:r>
              <w:rPr>
                <w:rFonts w:hint="eastAsia" w:ascii="宋体" w:hAnsi="宋体"/>
                <w:color w:val="auto"/>
                <w:szCs w:val="21"/>
              </w:rPr>
              <w:t>型号</w:t>
            </w:r>
          </w:p>
        </w:tc>
        <w:tc>
          <w:tcPr>
            <w:tcW w:w="708" w:type="dxa"/>
            <w:tcBorders>
              <w:bottom w:val="single" w:color="auto" w:sz="4" w:space="0"/>
            </w:tcBorders>
            <w:vAlign w:val="center"/>
          </w:tcPr>
          <w:p>
            <w:pPr>
              <w:tabs>
                <w:tab w:val="left" w:pos="180"/>
                <w:tab w:val="left" w:pos="1620"/>
              </w:tabs>
              <w:spacing w:line="300" w:lineRule="exact"/>
              <w:jc w:val="center"/>
              <w:rPr>
                <w:rFonts w:hint="eastAsia" w:ascii="宋体" w:hAnsi="宋体"/>
                <w:color w:val="auto"/>
                <w:szCs w:val="21"/>
              </w:rPr>
            </w:pPr>
            <w:r>
              <w:rPr>
                <w:rFonts w:hint="eastAsia" w:ascii="宋体" w:hAnsi="宋体"/>
                <w:color w:val="auto"/>
                <w:szCs w:val="21"/>
              </w:rPr>
              <w:t>产地</w:t>
            </w:r>
          </w:p>
        </w:tc>
        <w:tc>
          <w:tcPr>
            <w:tcW w:w="1701" w:type="dxa"/>
            <w:tcBorders>
              <w:bottom w:val="single" w:color="auto" w:sz="4" w:space="0"/>
            </w:tcBorders>
            <w:vAlign w:val="center"/>
          </w:tcPr>
          <w:p>
            <w:pPr>
              <w:tabs>
                <w:tab w:val="left" w:pos="180"/>
                <w:tab w:val="left" w:pos="1620"/>
              </w:tabs>
              <w:spacing w:line="300" w:lineRule="exact"/>
              <w:jc w:val="center"/>
              <w:rPr>
                <w:rFonts w:hint="eastAsia" w:ascii="宋体" w:hAnsi="宋体"/>
                <w:color w:val="auto"/>
                <w:szCs w:val="21"/>
              </w:rPr>
            </w:pPr>
            <w:r>
              <w:rPr>
                <w:rFonts w:hint="eastAsia" w:ascii="宋体" w:hAnsi="宋体"/>
                <w:color w:val="auto"/>
                <w:szCs w:val="21"/>
              </w:rPr>
              <w:t>技术参数及性能（规格）</w:t>
            </w:r>
          </w:p>
        </w:tc>
        <w:tc>
          <w:tcPr>
            <w:tcW w:w="1701" w:type="dxa"/>
            <w:tcBorders>
              <w:bottom w:val="single" w:color="auto" w:sz="4" w:space="0"/>
            </w:tcBorders>
            <w:vAlign w:val="center"/>
          </w:tcPr>
          <w:p>
            <w:pPr>
              <w:tabs>
                <w:tab w:val="left" w:pos="180"/>
                <w:tab w:val="left" w:pos="1620"/>
              </w:tabs>
              <w:spacing w:line="300" w:lineRule="exact"/>
              <w:jc w:val="center"/>
              <w:rPr>
                <w:rFonts w:hint="eastAsia" w:ascii="宋体" w:hAnsi="宋体"/>
                <w:color w:val="auto"/>
                <w:szCs w:val="21"/>
              </w:rPr>
            </w:pPr>
            <w:r>
              <w:rPr>
                <w:rFonts w:hint="eastAsia" w:ascii="宋体" w:hAnsi="宋体"/>
                <w:color w:val="auto"/>
                <w:szCs w:val="21"/>
              </w:rPr>
              <w:t>数量、单位</w:t>
            </w:r>
            <w:r>
              <w:rPr>
                <w:rFonts w:hint="eastAsia" w:hAnsi="宋体"/>
                <w:color w:val="auto"/>
              </w:rPr>
              <w:t>①</w:t>
            </w:r>
          </w:p>
        </w:tc>
        <w:tc>
          <w:tcPr>
            <w:tcW w:w="851" w:type="dxa"/>
            <w:tcBorders>
              <w:bottom w:val="single" w:color="auto" w:sz="4" w:space="0"/>
            </w:tcBorders>
            <w:vAlign w:val="center"/>
          </w:tcPr>
          <w:p>
            <w:pPr>
              <w:tabs>
                <w:tab w:val="left" w:pos="180"/>
                <w:tab w:val="left" w:pos="1620"/>
              </w:tabs>
              <w:spacing w:line="300" w:lineRule="exact"/>
              <w:jc w:val="center"/>
              <w:rPr>
                <w:rFonts w:hint="eastAsia" w:ascii="宋体" w:hAnsi="宋体"/>
                <w:color w:val="auto"/>
                <w:szCs w:val="21"/>
              </w:rPr>
            </w:pPr>
            <w:r>
              <w:rPr>
                <w:rFonts w:hint="eastAsia" w:ascii="宋体" w:hAnsi="宋体"/>
                <w:color w:val="auto"/>
                <w:szCs w:val="21"/>
              </w:rPr>
              <w:t>单价</w:t>
            </w:r>
            <w:r>
              <w:rPr>
                <w:rFonts w:hint="eastAsia" w:hAnsi="宋体"/>
                <w:color w:val="auto"/>
              </w:rPr>
              <w:t>②</w:t>
            </w:r>
          </w:p>
        </w:tc>
        <w:tc>
          <w:tcPr>
            <w:tcW w:w="1340" w:type="dxa"/>
            <w:tcBorders>
              <w:bottom w:val="single" w:color="auto" w:sz="4" w:space="0"/>
            </w:tcBorders>
            <w:vAlign w:val="center"/>
          </w:tcPr>
          <w:p>
            <w:pPr>
              <w:spacing w:line="300" w:lineRule="exact"/>
              <w:jc w:val="center"/>
              <w:rPr>
                <w:rFonts w:hint="eastAsia" w:ascii="宋体" w:hAnsi="宋体" w:cs="Courier New"/>
                <w:color w:val="auto"/>
                <w:szCs w:val="21"/>
              </w:rPr>
            </w:pPr>
            <w:r>
              <w:rPr>
                <w:rFonts w:hint="eastAsia" w:ascii="宋体" w:hAnsi="宋体" w:cs="Courier New"/>
                <w:color w:val="auto"/>
                <w:szCs w:val="21"/>
              </w:rPr>
              <w:t>单项合价</w:t>
            </w:r>
          </w:p>
          <w:p>
            <w:pPr>
              <w:spacing w:line="300" w:lineRule="exact"/>
              <w:jc w:val="center"/>
              <w:rPr>
                <w:rFonts w:hint="eastAsia" w:ascii="宋体" w:hAnsi="宋体" w:cs="Courier New"/>
                <w:color w:val="auto"/>
                <w:szCs w:val="21"/>
              </w:rPr>
            </w:pPr>
            <w:r>
              <w:rPr>
                <w:rFonts w:hint="eastAsia" w:ascii="宋体" w:hAnsi="宋体" w:cs="Courier New"/>
                <w:color w:val="auto"/>
                <w:szCs w:val="21"/>
              </w:rPr>
              <w:t>③</w:t>
            </w:r>
            <w:r>
              <w:rPr>
                <w:rFonts w:ascii="宋体" w:hAnsi="宋体" w:cs="Courier New"/>
                <w:color w:val="auto"/>
                <w:szCs w:val="21"/>
              </w:rPr>
              <w:t>=</w:t>
            </w:r>
            <w:r>
              <w:rPr>
                <w:rFonts w:hint="eastAsia" w:ascii="宋体" w:hAnsi="宋体" w:cs="Courier New"/>
                <w:color w:val="auto"/>
                <w:szCs w:val="21"/>
              </w:rPr>
              <w:t>①×②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704" w:type="dxa"/>
            <w:vAlign w:val="center"/>
          </w:tcPr>
          <w:p>
            <w:pPr>
              <w:spacing w:line="440" w:lineRule="exact"/>
              <w:ind w:right="-34" w:rightChars="-16"/>
              <w:jc w:val="center"/>
              <w:rPr>
                <w:rFonts w:hint="eastAsia" w:ascii="宋体" w:hAnsi="宋体"/>
                <w:color w:val="auto"/>
                <w:sz w:val="24"/>
              </w:rPr>
            </w:pPr>
            <w:r>
              <w:rPr>
                <w:rFonts w:hint="eastAsia" w:ascii="宋体" w:hAnsi="宋体"/>
                <w:color w:val="auto"/>
                <w:sz w:val="24"/>
              </w:rPr>
              <w:t>1</w:t>
            </w:r>
          </w:p>
        </w:tc>
        <w:tc>
          <w:tcPr>
            <w:tcW w:w="1145" w:type="dxa"/>
            <w:vAlign w:val="center"/>
          </w:tcPr>
          <w:p>
            <w:pPr>
              <w:spacing w:line="440" w:lineRule="exact"/>
              <w:ind w:firstLine="33" w:firstLineChars="16"/>
              <w:jc w:val="center"/>
              <w:rPr>
                <w:rFonts w:hint="eastAsia" w:ascii="宋体" w:hAnsi="宋体"/>
                <w:color w:val="auto"/>
              </w:rPr>
            </w:pPr>
          </w:p>
        </w:tc>
        <w:tc>
          <w:tcPr>
            <w:tcW w:w="698" w:type="dxa"/>
            <w:vAlign w:val="center"/>
          </w:tcPr>
          <w:p>
            <w:pPr>
              <w:spacing w:line="440" w:lineRule="exact"/>
              <w:ind w:firstLine="35" w:firstLineChars="17"/>
              <w:jc w:val="center"/>
              <w:rPr>
                <w:rFonts w:hint="eastAsia" w:ascii="宋体" w:hAnsi="宋体"/>
                <w:color w:val="auto"/>
              </w:rPr>
            </w:pPr>
          </w:p>
        </w:tc>
        <w:tc>
          <w:tcPr>
            <w:tcW w:w="709" w:type="dxa"/>
            <w:vAlign w:val="center"/>
          </w:tcPr>
          <w:p>
            <w:pPr>
              <w:spacing w:line="440" w:lineRule="exact"/>
              <w:jc w:val="center"/>
              <w:rPr>
                <w:rFonts w:hint="eastAsia" w:ascii="宋体" w:hAnsi="宋体"/>
                <w:color w:val="auto"/>
              </w:rPr>
            </w:pPr>
          </w:p>
        </w:tc>
        <w:tc>
          <w:tcPr>
            <w:tcW w:w="708" w:type="dxa"/>
            <w:vAlign w:val="center"/>
          </w:tcPr>
          <w:p>
            <w:pPr>
              <w:spacing w:line="440" w:lineRule="exact"/>
              <w:ind w:firstLine="23" w:firstLineChars="11"/>
              <w:jc w:val="center"/>
              <w:rPr>
                <w:rFonts w:hint="eastAsia" w:ascii="宋体" w:hAnsi="宋体"/>
                <w:color w:val="auto"/>
              </w:rPr>
            </w:pPr>
          </w:p>
        </w:tc>
        <w:tc>
          <w:tcPr>
            <w:tcW w:w="1701" w:type="dxa"/>
            <w:vAlign w:val="center"/>
          </w:tcPr>
          <w:p>
            <w:pPr>
              <w:spacing w:line="440" w:lineRule="exact"/>
              <w:ind w:firstLine="23" w:firstLineChars="11"/>
              <w:jc w:val="center"/>
              <w:rPr>
                <w:rFonts w:hint="eastAsia" w:ascii="宋体" w:hAnsi="宋体"/>
                <w:color w:val="auto"/>
              </w:rPr>
            </w:pPr>
          </w:p>
        </w:tc>
        <w:tc>
          <w:tcPr>
            <w:tcW w:w="1701" w:type="dxa"/>
            <w:vAlign w:val="center"/>
          </w:tcPr>
          <w:p>
            <w:pPr>
              <w:spacing w:line="440" w:lineRule="exact"/>
              <w:jc w:val="center"/>
              <w:rPr>
                <w:rFonts w:hint="eastAsia" w:ascii="宋体" w:hAnsi="宋体"/>
                <w:color w:val="auto"/>
              </w:rPr>
            </w:pPr>
          </w:p>
        </w:tc>
        <w:tc>
          <w:tcPr>
            <w:tcW w:w="851" w:type="dxa"/>
            <w:vAlign w:val="center"/>
          </w:tcPr>
          <w:p>
            <w:pPr>
              <w:spacing w:line="440" w:lineRule="exact"/>
              <w:jc w:val="center"/>
              <w:rPr>
                <w:rFonts w:hint="eastAsia" w:ascii="宋体" w:hAnsi="宋体"/>
                <w:color w:val="auto"/>
              </w:rPr>
            </w:pPr>
          </w:p>
        </w:tc>
        <w:tc>
          <w:tcPr>
            <w:tcW w:w="1340" w:type="dxa"/>
            <w:vAlign w:val="center"/>
          </w:tcPr>
          <w:p>
            <w:pPr>
              <w:spacing w:line="440" w:lineRule="exact"/>
              <w:jc w:val="center"/>
              <w:rPr>
                <w:rFonts w:hint="eastAsia" w:ascii="宋体" w:hAnsi="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704" w:type="dxa"/>
            <w:vAlign w:val="center"/>
          </w:tcPr>
          <w:p>
            <w:pPr>
              <w:spacing w:line="440" w:lineRule="exact"/>
              <w:jc w:val="center"/>
              <w:rPr>
                <w:rFonts w:hint="eastAsia" w:ascii="宋体" w:hAnsi="宋体"/>
                <w:color w:val="auto"/>
                <w:sz w:val="24"/>
              </w:rPr>
            </w:pPr>
            <w:r>
              <w:rPr>
                <w:rFonts w:hint="eastAsia" w:ascii="宋体" w:hAnsi="宋体"/>
                <w:color w:val="auto"/>
                <w:sz w:val="24"/>
              </w:rPr>
              <w:t>2</w:t>
            </w:r>
          </w:p>
        </w:tc>
        <w:tc>
          <w:tcPr>
            <w:tcW w:w="1145" w:type="dxa"/>
            <w:vAlign w:val="center"/>
          </w:tcPr>
          <w:p>
            <w:pPr>
              <w:spacing w:line="440" w:lineRule="exact"/>
              <w:ind w:firstLine="33" w:firstLineChars="16"/>
              <w:jc w:val="center"/>
              <w:rPr>
                <w:rFonts w:hint="eastAsia" w:ascii="宋体" w:hAnsi="宋体"/>
                <w:color w:val="auto"/>
              </w:rPr>
            </w:pPr>
          </w:p>
        </w:tc>
        <w:tc>
          <w:tcPr>
            <w:tcW w:w="698" w:type="dxa"/>
            <w:vAlign w:val="center"/>
          </w:tcPr>
          <w:p>
            <w:pPr>
              <w:spacing w:line="440" w:lineRule="exact"/>
              <w:ind w:firstLine="35" w:firstLineChars="17"/>
              <w:jc w:val="center"/>
              <w:rPr>
                <w:rFonts w:hint="eastAsia" w:ascii="宋体" w:hAnsi="宋体"/>
                <w:color w:val="auto"/>
              </w:rPr>
            </w:pPr>
          </w:p>
        </w:tc>
        <w:tc>
          <w:tcPr>
            <w:tcW w:w="709" w:type="dxa"/>
            <w:vAlign w:val="center"/>
          </w:tcPr>
          <w:p>
            <w:pPr>
              <w:spacing w:line="440" w:lineRule="exact"/>
              <w:jc w:val="center"/>
              <w:rPr>
                <w:rFonts w:hint="eastAsia" w:ascii="宋体" w:hAnsi="宋体"/>
                <w:color w:val="auto"/>
              </w:rPr>
            </w:pPr>
          </w:p>
        </w:tc>
        <w:tc>
          <w:tcPr>
            <w:tcW w:w="708" w:type="dxa"/>
            <w:vAlign w:val="center"/>
          </w:tcPr>
          <w:p>
            <w:pPr>
              <w:spacing w:line="440" w:lineRule="exact"/>
              <w:ind w:firstLine="23" w:firstLineChars="11"/>
              <w:jc w:val="center"/>
              <w:rPr>
                <w:rFonts w:hint="eastAsia" w:ascii="宋体" w:hAnsi="宋体"/>
                <w:color w:val="auto"/>
              </w:rPr>
            </w:pPr>
          </w:p>
        </w:tc>
        <w:tc>
          <w:tcPr>
            <w:tcW w:w="1701" w:type="dxa"/>
            <w:vAlign w:val="center"/>
          </w:tcPr>
          <w:p>
            <w:pPr>
              <w:spacing w:line="440" w:lineRule="exact"/>
              <w:ind w:firstLine="23" w:firstLineChars="11"/>
              <w:jc w:val="center"/>
              <w:rPr>
                <w:rFonts w:hint="eastAsia" w:ascii="宋体" w:hAnsi="宋体"/>
                <w:color w:val="auto"/>
              </w:rPr>
            </w:pPr>
          </w:p>
        </w:tc>
        <w:tc>
          <w:tcPr>
            <w:tcW w:w="1701" w:type="dxa"/>
            <w:vAlign w:val="center"/>
          </w:tcPr>
          <w:p>
            <w:pPr>
              <w:spacing w:line="440" w:lineRule="exact"/>
              <w:jc w:val="center"/>
              <w:rPr>
                <w:rFonts w:hint="eastAsia" w:ascii="宋体" w:hAnsi="宋体"/>
                <w:color w:val="auto"/>
              </w:rPr>
            </w:pPr>
          </w:p>
        </w:tc>
        <w:tc>
          <w:tcPr>
            <w:tcW w:w="851" w:type="dxa"/>
            <w:vAlign w:val="center"/>
          </w:tcPr>
          <w:p>
            <w:pPr>
              <w:spacing w:line="440" w:lineRule="exact"/>
              <w:jc w:val="center"/>
              <w:rPr>
                <w:rFonts w:hint="eastAsia" w:ascii="宋体" w:hAnsi="宋体"/>
                <w:color w:val="auto"/>
              </w:rPr>
            </w:pPr>
          </w:p>
        </w:tc>
        <w:tc>
          <w:tcPr>
            <w:tcW w:w="1340" w:type="dxa"/>
            <w:vAlign w:val="center"/>
          </w:tcPr>
          <w:p>
            <w:pPr>
              <w:spacing w:line="440" w:lineRule="exact"/>
              <w:jc w:val="center"/>
              <w:rPr>
                <w:rFonts w:hint="eastAsia" w:ascii="宋体" w:hAnsi="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704" w:type="dxa"/>
            <w:vAlign w:val="center"/>
          </w:tcPr>
          <w:p>
            <w:pPr>
              <w:spacing w:line="440" w:lineRule="exact"/>
              <w:jc w:val="center"/>
              <w:rPr>
                <w:rFonts w:hint="eastAsia" w:ascii="宋体" w:hAnsi="宋体"/>
                <w:color w:val="auto"/>
                <w:sz w:val="24"/>
              </w:rPr>
            </w:pPr>
            <w:r>
              <w:rPr>
                <w:rFonts w:hint="eastAsia" w:ascii="宋体" w:hAnsi="宋体"/>
                <w:color w:val="auto"/>
                <w:sz w:val="24"/>
              </w:rPr>
              <w:t>3</w:t>
            </w:r>
          </w:p>
        </w:tc>
        <w:tc>
          <w:tcPr>
            <w:tcW w:w="1145" w:type="dxa"/>
            <w:vAlign w:val="center"/>
          </w:tcPr>
          <w:p>
            <w:pPr>
              <w:spacing w:line="440" w:lineRule="exact"/>
              <w:ind w:firstLine="33" w:firstLineChars="16"/>
              <w:jc w:val="center"/>
              <w:rPr>
                <w:rFonts w:hint="eastAsia" w:ascii="宋体" w:hAnsi="宋体"/>
                <w:color w:val="auto"/>
              </w:rPr>
            </w:pPr>
          </w:p>
        </w:tc>
        <w:tc>
          <w:tcPr>
            <w:tcW w:w="698" w:type="dxa"/>
            <w:vAlign w:val="center"/>
          </w:tcPr>
          <w:p>
            <w:pPr>
              <w:spacing w:line="440" w:lineRule="exact"/>
              <w:ind w:firstLine="35" w:firstLineChars="17"/>
              <w:jc w:val="center"/>
              <w:rPr>
                <w:rFonts w:hint="eastAsia" w:ascii="宋体" w:hAnsi="宋体"/>
                <w:color w:val="auto"/>
              </w:rPr>
            </w:pPr>
          </w:p>
        </w:tc>
        <w:tc>
          <w:tcPr>
            <w:tcW w:w="709" w:type="dxa"/>
            <w:vAlign w:val="center"/>
          </w:tcPr>
          <w:p>
            <w:pPr>
              <w:spacing w:line="440" w:lineRule="exact"/>
              <w:jc w:val="center"/>
              <w:rPr>
                <w:rFonts w:hint="eastAsia" w:ascii="宋体" w:hAnsi="宋体"/>
                <w:color w:val="auto"/>
              </w:rPr>
            </w:pPr>
          </w:p>
        </w:tc>
        <w:tc>
          <w:tcPr>
            <w:tcW w:w="708" w:type="dxa"/>
            <w:vAlign w:val="center"/>
          </w:tcPr>
          <w:p>
            <w:pPr>
              <w:spacing w:line="440" w:lineRule="exact"/>
              <w:ind w:firstLine="23" w:firstLineChars="11"/>
              <w:jc w:val="center"/>
              <w:rPr>
                <w:rFonts w:hint="eastAsia" w:ascii="宋体" w:hAnsi="宋体"/>
                <w:color w:val="auto"/>
              </w:rPr>
            </w:pPr>
          </w:p>
        </w:tc>
        <w:tc>
          <w:tcPr>
            <w:tcW w:w="1701" w:type="dxa"/>
            <w:vAlign w:val="center"/>
          </w:tcPr>
          <w:p>
            <w:pPr>
              <w:spacing w:line="440" w:lineRule="exact"/>
              <w:ind w:firstLine="23" w:firstLineChars="11"/>
              <w:jc w:val="center"/>
              <w:rPr>
                <w:rFonts w:hint="eastAsia" w:ascii="宋体" w:hAnsi="宋体"/>
                <w:color w:val="auto"/>
              </w:rPr>
            </w:pPr>
          </w:p>
        </w:tc>
        <w:tc>
          <w:tcPr>
            <w:tcW w:w="1701" w:type="dxa"/>
            <w:vAlign w:val="center"/>
          </w:tcPr>
          <w:p>
            <w:pPr>
              <w:spacing w:line="440" w:lineRule="exact"/>
              <w:jc w:val="center"/>
              <w:rPr>
                <w:rFonts w:hint="eastAsia" w:ascii="宋体" w:hAnsi="宋体"/>
                <w:color w:val="auto"/>
              </w:rPr>
            </w:pPr>
          </w:p>
        </w:tc>
        <w:tc>
          <w:tcPr>
            <w:tcW w:w="851" w:type="dxa"/>
            <w:vAlign w:val="center"/>
          </w:tcPr>
          <w:p>
            <w:pPr>
              <w:spacing w:line="440" w:lineRule="exact"/>
              <w:jc w:val="center"/>
              <w:rPr>
                <w:rFonts w:hint="eastAsia" w:ascii="宋体" w:hAnsi="宋体"/>
                <w:color w:val="auto"/>
              </w:rPr>
            </w:pPr>
          </w:p>
        </w:tc>
        <w:tc>
          <w:tcPr>
            <w:tcW w:w="1340" w:type="dxa"/>
            <w:vAlign w:val="center"/>
          </w:tcPr>
          <w:p>
            <w:pPr>
              <w:spacing w:line="440" w:lineRule="exact"/>
              <w:jc w:val="center"/>
              <w:rPr>
                <w:rFonts w:hint="eastAsia" w:ascii="宋体" w:hAnsi="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704" w:type="dxa"/>
            <w:vAlign w:val="center"/>
          </w:tcPr>
          <w:p>
            <w:pPr>
              <w:spacing w:line="440" w:lineRule="exact"/>
              <w:jc w:val="center"/>
              <w:rPr>
                <w:rFonts w:hint="eastAsia" w:ascii="宋体" w:hAnsi="宋体"/>
                <w:color w:val="auto"/>
                <w:sz w:val="24"/>
              </w:rPr>
            </w:pPr>
            <w:r>
              <w:rPr>
                <w:rFonts w:ascii="宋体" w:hAnsi="宋体"/>
                <w:color w:val="auto"/>
                <w:sz w:val="24"/>
              </w:rPr>
              <w:t>…</w:t>
            </w:r>
          </w:p>
        </w:tc>
        <w:tc>
          <w:tcPr>
            <w:tcW w:w="1145" w:type="dxa"/>
            <w:vAlign w:val="center"/>
          </w:tcPr>
          <w:p>
            <w:pPr>
              <w:spacing w:line="440" w:lineRule="exact"/>
              <w:ind w:firstLine="33" w:firstLineChars="16"/>
              <w:jc w:val="center"/>
              <w:rPr>
                <w:rFonts w:hint="eastAsia" w:ascii="宋体" w:hAnsi="宋体"/>
                <w:color w:val="auto"/>
              </w:rPr>
            </w:pPr>
          </w:p>
        </w:tc>
        <w:tc>
          <w:tcPr>
            <w:tcW w:w="698" w:type="dxa"/>
            <w:vAlign w:val="center"/>
          </w:tcPr>
          <w:p>
            <w:pPr>
              <w:spacing w:line="440" w:lineRule="exact"/>
              <w:ind w:firstLine="35" w:firstLineChars="17"/>
              <w:jc w:val="center"/>
              <w:rPr>
                <w:rFonts w:hint="eastAsia" w:ascii="宋体" w:hAnsi="宋体"/>
                <w:color w:val="auto"/>
              </w:rPr>
            </w:pPr>
          </w:p>
        </w:tc>
        <w:tc>
          <w:tcPr>
            <w:tcW w:w="709" w:type="dxa"/>
            <w:vAlign w:val="center"/>
          </w:tcPr>
          <w:p>
            <w:pPr>
              <w:spacing w:line="440" w:lineRule="exact"/>
              <w:jc w:val="center"/>
              <w:rPr>
                <w:rFonts w:hint="eastAsia" w:ascii="宋体" w:hAnsi="宋体"/>
                <w:color w:val="auto"/>
              </w:rPr>
            </w:pPr>
          </w:p>
        </w:tc>
        <w:tc>
          <w:tcPr>
            <w:tcW w:w="708" w:type="dxa"/>
            <w:vAlign w:val="center"/>
          </w:tcPr>
          <w:p>
            <w:pPr>
              <w:spacing w:line="440" w:lineRule="exact"/>
              <w:ind w:firstLine="23" w:firstLineChars="11"/>
              <w:jc w:val="center"/>
              <w:rPr>
                <w:rFonts w:hint="eastAsia" w:ascii="宋体" w:hAnsi="宋体"/>
                <w:color w:val="auto"/>
              </w:rPr>
            </w:pPr>
          </w:p>
        </w:tc>
        <w:tc>
          <w:tcPr>
            <w:tcW w:w="1701" w:type="dxa"/>
            <w:vAlign w:val="center"/>
          </w:tcPr>
          <w:p>
            <w:pPr>
              <w:spacing w:line="440" w:lineRule="exact"/>
              <w:ind w:firstLine="23" w:firstLineChars="11"/>
              <w:jc w:val="center"/>
              <w:rPr>
                <w:rFonts w:hint="eastAsia" w:ascii="宋体" w:hAnsi="宋体"/>
                <w:color w:val="auto"/>
              </w:rPr>
            </w:pPr>
          </w:p>
        </w:tc>
        <w:tc>
          <w:tcPr>
            <w:tcW w:w="1701" w:type="dxa"/>
            <w:vAlign w:val="center"/>
          </w:tcPr>
          <w:p>
            <w:pPr>
              <w:spacing w:line="440" w:lineRule="exact"/>
              <w:jc w:val="center"/>
              <w:rPr>
                <w:rFonts w:hint="eastAsia" w:ascii="宋体" w:hAnsi="宋体"/>
                <w:color w:val="auto"/>
              </w:rPr>
            </w:pPr>
          </w:p>
        </w:tc>
        <w:tc>
          <w:tcPr>
            <w:tcW w:w="851" w:type="dxa"/>
            <w:vAlign w:val="center"/>
          </w:tcPr>
          <w:p>
            <w:pPr>
              <w:spacing w:line="440" w:lineRule="exact"/>
              <w:jc w:val="center"/>
              <w:rPr>
                <w:rFonts w:hint="eastAsia" w:ascii="宋体" w:hAnsi="宋体"/>
                <w:color w:val="auto"/>
              </w:rPr>
            </w:pPr>
          </w:p>
        </w:tc>
        <w:tc>
          <w:tcPr>
            <w:tcW w:w="1340" w:type="dxa"/>
            <w:vAlign w:val="center"/>
          </w:tcPr>
          <w:p>
            <w:pPr>
              <w:spacing w:line="440" w:lineRule="exact"/>
              <w:jc w:val="center"/>
              <w:rPr>
                <w:rFonts w:hint="eastAsia" w:ascii="宋体" w:hAnsi="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9564" w:type="dxa"/>
            <w:gridSpan w:val="9"/>
            <w:vAlign w:val="center"/>
          </w:tcPr>
          <w:p>
            <w:pPr>
              <w:spacing w:line="440" w:lineRule="exact"/>
              <w:ind w:firstLine="27" w:firstLineChars="14"/>
              <w:rPr>
                <w:rFonts w:hint="eastAsia" w:ascii="宋体" w:hAnsi="宋体" w:cs="Courier New"/>
                <w:color w:val="auto"/>
                <w:spacing w:val="-6"/>
                <w:szCs w:val="21"/>
              </w:rPr>
            </w:pPr>
            <w:r>
              <w:rPr>
                <w:rFonts w:hint="eastAsia" w:ascii="宋体" w:hAnsi="宋体" w:cs="Courier New"/>
                <w:color w:val="auto"/>
                <w:spacing w:val="-6"/>
                <w:szCs w:val="21"/>
              </w:rPr>
              <w:t>总报价（人民币大写）：</w:t>
            </w:r>
            <w:r>
              <w:rPr>
                <w:rFonts w:hint="eastAsia" w:ascii="宋体" w:hAnsi="宋体" w:cs="Courier New"/>
                <w:color w:val="auto"/>
                <w:spacing w:val="-6"/>
                <w:szCs w:val="21"/>
                <w:u w:val="single"/>
              </w:rPr>
              <w:t xml:space="preserve">                                       </w:t>
            </w:r>
            <w:r>
              <w:rPr>
                <w:rFonts w:hint="eastAsia" w:ascii="宋体" w:hAnsi="宋体" w:cs="Courier New"/>
                <w:color w:val="auto"/>
                <w:spacing w:val="-6"/>
                <w:szCs w:val="21"/>
              </w:rPr>
              <w:t>（￥</w:t>
            </w:r>
            <w:r>
              <w:rPr>
                <w:rFonts w:hint="eastAsia" w:ascii="宋体" w:hAnsi="宋体" w:cs="Courier New"/>
                <w:color w:val="auto"/>
                <w:spacing w:val="-6"/>
                <w:szCs w:val="21"/>
                <w:u w:val="single"/>
              </w:rPr>
              <w:t xml:space="preserve">                       元</w:t>
            </w:r>
            <w:r>
              <w:rPr>
                <w:rFonts w:hint="eastAsia" w:ascii="宋体" w:hAnsi="宋体" w:cs="Courier New"/>
                <w:color w:val="auto"/>
                <w:spacing w:val="-6"/>
                <w:szCs w:val="21"/>
              </w:rPr>
              <w:t>）</w:t>
            </w:r>
          </w:p>
        </w:tc>
      </w:tr>
      <w:bookmarkEnd w:id="142"/>
    </w:tbl>
    <w:p>
      <w:pPr>
        <w:spacing w:line="440" w:lineRule="exact"/>
        <w:rPr>
          <w:rFonts w:hint="eastAsia" w:ascii="宋体" w:hAnsi="宋体"/>
          <w:color w:val="auto"/>
          <w:szCs w:val="21"/>
        </w:rPr>
      </w:pPr>
      <w:r>
        <w:rPr>
          <w:rFonts w:hint="eastAsia" w:ascii="宋体" w:hAnsi="宋体"/>
          <w:color w:val="auto"/>
          <w:szCs w:val="21"/>
        </w:rPr>
        <w:t>注：1.所有价格均用人民币表示，单位为元，精确到个数位。</w:t>
      </w:r>
    </w:p>
    <w:p>
      <w:pPr>
        <w:spacing w:line="440" w:lineRule="exact"/>
        <w:rPr>
          <w:rFonts w:hint="eastAsia" w:ascii="宋体" w:hAnsi="宋体"/>
          <w:color w:val="auto"/>
          <w:szCs w:val="21"/>
        </w:rPr>
      </w:pPr>
      <w:r>
        <w:rPr>
          <w:rFonts w:hint="eastAsia" w:ascii="宋体" w:hAnsi="宋体"/>
          <w:color w:val="auto"/>
          <w:szCs w:val="21"/>
        </w:rPr>
        <w:t xml:space="preserve">    </w:t>
      </w:r>
      <w:r>
        <w:rPr>
          <w:rFonts w:hint="eastAsia" w:ascii="宋体" w:hAnsi="宋体"/>
          <w:bCs/>
          <w:color w:val="auto"/>
          <w:szCs w:val="21"/>
        </w:rPr>
        <w:t>2.总报价应包含货物、货物标准附件、备品备件、专用工具、设备安装辅材、包装、运输、保险等各种费用以及安装、调试、税金、售后服务、技术培训费、更新升级其所有成本费用。</w:t>
      </w:r>
    </w:p>
    <w:p>
      <w:pPr>
        <w:rPr>
          <w:color w:val="auto"/>
        </w:rPr>
      </w:pPr>
    </w:p>
    <w:p>
      <w:pPr>
        <w:rPr>
          <w:color w:val="auto"/>
        </w:rPr>
      </w:pPr>
    </w:p>
    <w:p>
      <w:pPr>
        <w:pStyle w:val="20"/>
        <w:spacing w:line="440" w:lineRule="exact"/>
        <w:ind w:firstLine="3675" w:firstLineChars="1750"/>
        <w:rPr>
          <w:rFonts w:hint="eastAsia" w:hAnsi="宋体"/>
          <w:color w:val="auto"/>
          <w:u w:val="single"/>
        </w:rPr>
      </w:pPr>
      <w:r>
        <w:rPr>
          <w:rFonts w:hint="eastAsia" w:hAnsi="宋体"/>
          <w:color w:val="auto"/>
        </w:rPr>
        <w:t>法定代表人或授权代表（签名）：</w:t>
      </w:r>
      <w:r>
        <w:rPr>
          <w:rFonts w:hint="eastAsia" w:hAnsi="宋体"/>
          <w:color w:val="auto"/>
          <w:u w:val="single"/>
        </w:rPr>
        <w:t xml:space="preserve">      </w:t>
      </w:r>
      <w:r>
        <w:rPr>
          <w:rFonts w:hAnsi="宋体"/>
          <w:color w:val="auto"/>
          <w:u w:val="single"/>
        </w:rPr>
        <w:t xml:space="preserve">        </w:t>
      </w:r>
      <w:r>
        <w:rPr>
          <w:rFonts w:hint="eastAsia" w:hAnsi="宋体"/>
          <w:color w:val="auto"/>
          <w:u w:val="single"/>
        </w:rPr>
        <w:t xml:space="preserve">     </w:t>
      </w:r>
      <w:r>
        <w:rPr>
          <w:rFonts w:hAnsi="宋体"/>
          <w:color w:val="auto"/>
          <w:u w:val="single"/>
        </w:rPr>
        <w:t xml:space="preserve">     </w:t>
      </w:r>
    </w:p>
    <w:p>
      <w:pPr>
        <w:pStyle w:val="20"/>
        <w:spacing w:line="440" w:lineRule="exact"/>
        <w:ind w:firstLine="3675" w:firstLineChars="1750"/>
        <w:rPr>
          <w:rFonts w:hint="eastAsia" w:hAnsi="宋体"/>
          <w:color w:val="auto"/>
          <w:u w:val="single"/>
        </w:rPr>
      </w:pPr>
      <w:r>
        <w:rPr>
          <w:rFonts w:hint="eastAsia" w:hAnsi="宋体"/>
          <w:color w:val="auto"/>
        </w:rPr>
        <w:t>供应商（盖章）：</w:t>
      </w:r>
      <w:r>
        <w:rPr>
          <w:rFonts w:hint="eastAsia" w:hAnsi="宋体"/>
          <w:color w:val="auto"/>
          <w:u w:val="single"/>
        </w:rPr>
        <w:t xml:space="preserve">    </w:t>
      </w:r>
      <w:r>
        <w:rPr>
          <w:rFonts w:hAnsi="宋体"/>
          <w:color w:val="auto"/>
          <w:u w:val="single"/>
        </w:rPr>
        <w:t xml:space="preserve">    </w:t>
      </w:r>
      <w:r>
        <w:rPr>
          <w:rFonts w:hint="eastAsia" w:hAnsi="宋体"/>
          <w:color w:val="auto"/>
          <w:u w:val="single"/>
        </w:rPr>
        <w:t xml:space="preserve">       </w:t>
      </w:r>
      <w:r>
        <w:rPr>
          <w:rFonts w:hAnsi="宋体"/>
          <w:color w:val="auto"/>
          <w:u w:val="single"/>
        </w:rPr>
        <w:t xml:space="preserve">    </w:t>
      </w:r>
      <w:r>
        <w:rPr>
          <w:rFonts w:hint="eastAsia" w:hAnsi="宋体"/>
          <w:color w:val="auto"/>
          <w:u w:val="single"/>
        </w:rPr>
        <w:t xml:space="preserve">                   </w:t>
      </w:r>
    </w:p>
    <w:p>
      <w:pPr>
        <w:spacing w:line="440" w:lineRule="exact"/>
        <w:ind w:firstLine="3675" w:firstLineChars="1750"/>
        <w:rPr>
          <w:rFonts w:hint="eastAsia" w:ascii="宋体" w:hAnsi="宋体"/>
          <w:color w:val="auto"/>
          <w:szCs w:val="21"/>
        </w:rPr>
      </w:pPr>
      <w:r>
        <w:rPr>
          <w:rFonts w:hint="eastAsia" w:hAnsi="宋体"/>
          <w:color w:val="auto"/>
        </w:rPr>
        <w:t>日期：</w:t>
      </w:r>
      <w:r>
        <w:rPr>
          <w:rFonts w:hint="eastAsia" w:hAnsi="宋体"/>
          <w:color w:val="auto"/>
          <w:u w:val="single"/>
        </w:rPr>
        <w:t xml:space="preserve">    </w:t>
      </w:r>
      <w:r>
        <w:rPr>
          <w:rFonts w:hAnsi="宋体"/>
          <w:color w:val="auto"/>
          <w:u w:val="single"/>
        </w:rPr>
        <w:t xml:space="preserve">  </w:t>
      </w:r>
      <w:r>
        <w:rPr>
          <w:rFonts w:hint="eastAsia" w:hAnsi="宋体"/>
          <w:color w:val="auto"/>
          <w:u w:val="single"/>
        </w:rPr>
        <w:t xml:space="preserve">     </w:t>
      </w:r>
      <w:r>
        <w:rPr>
          <w:rFonts w:hint="eastAsia" w:hAnsi="宋体"/>
          <w:color w:val="auto"/>
        </w:rPr>
        <w:t>年</w:t>
      </w:r>
      <w:r>
        <w:rPr>
          <w:rFonts w:hint="eastAsia" w:hAnsi="宋体"/>
          <w:color w:val="auto"/>
          <w:u w:val="single"/>
        </w:rPr>
        <w:t xml:space="preserve">  </w:t>
      </w:r>
      <w:r>
        <w:rPr>
          <w:rFonts w:hAnsi="宋体"/>
          <w:color w:val="auto"/>
          <w:u w:val="single"/>
        </w:rPr>
        <w:t xml:space="preserve"> </w:t>
      </w:r>
      <w:r>
        <w:rPr>
          <w:rFonts w:hint="eastAsia" w:hAnsi="宋体"/>
          <w:color w:val="auto"/>
          <w:u w:val="single"/>
        </w:rPr>
        <w:t xml:space="preserve">   </w:t>
      </w:r>
      <w:r>
        <w:rPr>
          <w:rFonts w:hint="eastAsia" w:hAnsi="宋体"/>
          <w:color w:val="auto"/>
        </w:rPr>
        <w:t>月</w:t>
      </w:r>
      <w:r>
        <w:rPr>
          <w:rFonts w:hint="eastAsia" w:hAnsi="宋体"/>
          <w:color w:val="auto"/>
          <w:u w:val="single"/>
        </w:rPr>
        <w:t xml:space="preserve">   </w:t>
      </w:r>
      <w:r>
        <w:rPr>
          <w:rFonts w:hAnsi="宋体"/>
          <w:color w:val="auto"/>
          <w:u w:val="single"/>
        </w:rPr>
        <w:t xml:space="preserve"> </w:t>
      </w:r>
      <w:r>
        <w:rPr>
          <w:rFonts w:hint="eastAsia" w:hAnsi="宋体"/>
          <w:color w:val="auto"/>
          <w:u w:val="single"/>
        </w:rPr>
        <w:t xml:space="preserve">  </w:t>
      </w:r>
      <w:r>
        <w:rPr>
          <w:rFonts w:hint="eastAsia" w:hAnsi="宋体"/>
          <w:color w:val="auto"/>
        </w:rPr>
        <w:t>日</w:t>
      </w:r>
    </w:p>
    <w:sectPr>
      <w:headerReference r:id="rId5" w:type="default"/>
      <w:footerReference r:id="rId6" w:type="default"/>
      <w:pgSz w:w="11906" w:h="16838"/>
      <w:pgMar w:top="936" w:right="991" w:bottom="1135" w:left="993"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方正小标宋_GBK">
    <w:panose1 w:val="03000509000000000000"/>
    <w:charset w:val="86"/>
    <w:family w:val="script"/>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方正小标宋简体">
    <w:panose1 w:val="02010601030101010101"/>
    <w:charset w:val="86"/>
    <w:family w:val="auto"/>
    <w:pitch w:val="default"/>
    <w:sig w:usb0="00000001" w:usb1="080E0000" w:usb2="00000000" w:usb3="00000000" w:csb0="00040000" w:csb1="00000000"/>
  </w:font>
  <w:font w:name="Helvetica">
    <w:altName w:val="Arial"/>
    <w:panose1 w:val="020B0604020202020204"/>
    <w:charset w:val="00"/>
    <w:family w:val="swiss"/>
    <w:pitch w:val="default"/>
    <w:sig w:usb0="00000000" w:usb1="00000000" w:usb2="00000009" w:usb3="00000000" w:csb0="000001FF" w:csb1="00000000"/>
  </w:font>
  <w:font w:name="华文中宋">
    <w:panose1 w:val="02010600040101010101"/>
    <w:charset w:val="86"/>
    <w:family w:val="auto"/>
    <w:pitch w:val="default"/>
    <w:sig w:usb0="00000287" w:usb1="080F0000" w:usb2="00000000" w:usb3="00000000" w:csb0="0004009F" w:csb1="DFD70000"/>
  </w:font>
  <w:font w:name="汉仪书宋二S">
    <w:altName w:val="宋体"/>
    <w:panose1 w:val="00000000000000000000"/>
    <w:charset w:val="00"/>
    <w:family w:val="auto"/>
    <w:pitch w:val="default"/>
    <w:sig w:usb0="00000000" w:usb1="00000000" w:usb2="00000000" w:usb3="00000000" w:csb0="00000000" w:csb1="00000000"/>
  </w:font>
  <w:font w:name="华文楷体">
    <w:panose1 w:val="02010600040101010101"/>
    <w:charset w:val="86"/>
    <w:family w:val="auto"/>
    <w:pitch w:val="default"/>
    <w:sig w:usb0="00000287" w:usb1="080F0000" w:usb2="00000000" w:usb3="00000000" w:csb0="0004009F" w:csb1="DFD70000"/>
  </w:font>
  <w:font w:name="Adobe 仿宋 Std R">
    <w:altName w:val="仿宋"/>
    <w:panose1 w:val="02020400000000000000"/>
    <w:charset w:val="86"/>
    <w:family w:val="roman"/>
    <w:pitch w:val="default"/>
    <w:sig w:usb0="00000000" w:usb1="00000000" w:usb2="00000016" w:usb3="00000000" w:csb0="0006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p>
  <w:p>
    <w:pPr>
      <w:pStyle w:val="2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1</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OqXm5zwAAAAUBAAAPAAAAAAAAAAEAIAAAACIAAABkcnMvZG93bnJldi54&#10;bWxQSwECFAAUAAAACACHTuJAf1mLBgMCAAAEBAAADgAAAAAAAAABACAAAAAeAQAAZHJzL2Uyb0Rv&#10;Yy54bWxQSwUGAAAAAAYABgBZAQAAkwU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1</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02564419"/>
      <w:docPartObj>
        <w:docPartGallery w:val="autotext"/>
      </w:docPartObj>
    </w:sdtPr>
    <w:sdtContent>
      <w:p>
        <w:pPr>
          <w:pStyle w:val="24"/>
          <w:jc w:val="center"/>
        </w:pPr>
        <w:r>
          <w:fldChar w:fldCharType="begin"/>
        </w:r>
        <w:r>
          <w:instrText xml:space="preserve">PAGE   \* MERGEFORMAT</w:instrText>
        </w:r>
        <w:r>
          <w:fldChar w:fldCharType="separate"/>
        </w:r>
        <w:r>
          <w:t>2</w:t>
        </w:r>
        <w:r>
          <w:fldChar w:fldCharType="end"/>
        </w:r>
      </w:p>
    </w:sdtContent>
  </w:sdt>
  <w:p>
    <w:pPr>
      <w:pStyle w:val="2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both"/>
    </w:pPr>
    <w:r>
      <w:rPr>
        <w:rFonts w:hint="eastAsia"/>
      </w:rPr>
      <w:t xml:space="preserve">钦州市政府采购中心          </w:t>
    </w:r>
    <w:r>
      <w:rPr>
        <w:rFonts w:hint="eastAsia"/>
        <w:lang w:eastAsia="zh-CN"/>
      </w:rPr>
      <w:t>浦北县2024年支持义务教育薄弱环节与能力提升教学设备</w:t>
    </w:r>
    <w:r>
      <w:rPr>
        <w:rFonts w:hint="eastAsia"/>
      </w:rPr>
      <w:t>(</w:t>
    </w:r>
    <w:r>
      <w:rPr>
        <w:rFonts w:hint="eastAsia"/>
        <w:lang w:eastAsia="zh-CN"/>
      </w:rPr>
      <w:t>QZZC2024-J1-220427-QZSZ</w:t>
    </w:r>
    <w:r>
      <w:rPr>
        <w:rFonts w:hint="eastAsia"/>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DDECD3BC"/>
    <w:multiLevelType w:val="singleLevel"/>
    <w:tmpl w:val="DDECD3BC"/>
    <w:lvl w:ilvl="0" w:tentative="0">
      <w:start w:val="6"/>
      <w:numFmt w:val="decimal"/>
      <w:suff w:val="space"/>
      <w:lvlText w:val="%1."/>
      <w:lvlJc w:val="left"/>
    </w:lvl>
  </w:abstractNum>
  <w:abstractNum w:abstractNumId="2">
    <w:nsid w:val="DE759F4B"/>
    <w:multiLevelType w:val="singleLevel"/>
    <w:tmpl w:val="DE759F4B"/>
    <w:lvl w:ilvl="0" w:tentative="0">
      <w:start w:val="2"/>
      <w:numFmt w:val="decimal"/>
      <w:suff w:val="space"/>
      <w:lvlText w:val="%1."/>
      <w:lvlJc w:val="left"/>
    </w:lvl>
  </w:abstractNum>
  <w:abstractNum w:abstractNumId="3">
    <w:nsid w:val="DEABE1DB"/>
    <w:multiLevelType w:val="singleLevel"/>
    <w:tmpl w:val="DEABE1DB"/>
    <w:lvl w:ilvl="0" w:tentative="0">
      <w:start w:val="23"/>
      <w:numFmt w:val="decimal"/>
      <w:suff w:val="space"/>
      <w:lvlText w:val="%1."/>
      <w:lvlJc w:val="left"/>
    </w:lvl>
  </w:abstractNum>
  <w:abstractNum w:abstractNumId="4">
    <w:nsid w:val="00000007"/>
    <w:multiLevelType w:val="multilevel"/>
    <w:tmpl w:val="00000007"/>
    <w:lvl w:ilvl="0" w:tentative="0">
      <w:start w:val="1"/>
      <w:numFmt w:val="chineseCountingThousand"/>
      <w:pStyle w:val="18"/>
      <w:suff w:val="nothing"/>
      <w:lvlText w:val="第%1章"/>
      <w:lvlJc w:val="left"/>
      <w:pPr>
        <w:ind w:left="0" w:firstLine="0"/>
      </w:pPr>
      <w:rPr>
        <w:rFonts w:hint="eastAsia" w:ascii="仿宋_GB2312" w:eastAsia="仿宋_GB2312"/>
        <w:sz w:val="44"/>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pStyle w:val="6"/>
      <w:suff w:val="nothing"/>
      <w:lvlText w:val=""/>
      <w:lvlJc w:val="left"/>
      <w:pPr>
        <w:ind w:left="0" w:firstLine="0"/>
      </w:pPr>
      <w:rPr>
        <w:rFonts w:hint="eastAsia"/>
      </w:rPr>
    </w:lvl>
    <w:lvl w:ilvl="5" w:tentative="0">
      <w:start w:val="1"/>
      <w:numFmt w:val="none"/>
      <w:pStyle w:val="8"/>
      <w:suff w:val="nothing"/>
      <w:lvlText w:val=""/>
      <w:lvlJc w:val="left"/>
      <w:pPr>
        <w:ind w:left="0" w:firstLine="0"/>
      </w:pPr>
      <w:rPr>
        <w:rFonts w:hint="eastAsia"/>
      </w:rPr>
    </w:lvl>
    <w:lvl w:ilvl="6" w:tentative="0">
      <w:start w:val="1"/>
      <w:numFmt w:val="none"/>
      <w:pStyle w:val="9"/>
      <w:suff w:val="nothing"/>
      <w:lvlText w:val=""/>
      <w:lvlJc w:val="left"/>
      <w:pPr>
        <w:ind w:left="0" w:firstLine="0"/>
      </w:pPr>
      <w:rPr>
        <w:rFonts w:hint="eastAsia"/>
      </w:rPr>
    </w:lvl>
    <w:lvl w:ilvl="7" w:tentative="0">
      <w:start w:val="1"/>
      <w:numFmt w:val="none"/>
      <w:pStyle w:val="10"/>
      <w:suff w:val="nothing"/>
      <w:lvlText w:val=""/>
      <w:lvlJc w:val="left"/>
      <w:pPr>
        <w:ind w:left="0" w:firstLine="0"/>
      </w:pPr>
      <w:rPr>
        <w:rFonts w:hint="eastAsia"/>
      </w:rPr>
    </w:lvl>
    <w:lvl w:ilvl="8" w:tentative="0">
      <w:start w:val="1"/>
      <w:numFmt w:val="none"/>
      <w:pStyle w:val="11"/>
      <w:suff w:val="nothing"/>
      <w:lvlText w:val=""/>
      <w:lvlJc w:val="left"/>
      <w:pPr>
        <w:ind w:left="0" w:firstLine="0"/>
      </w:pPr>
      <w:rPr>
        <w:rFonts w:hint="eastAsia"/>
      </w:rPr>
    </w:lvl>
  </w:abstractNum>
  <w:abstractNum w:abstractNumId="5">
    <w:nsid w:val="22E198CE"/>
    <w:multiLevelType w:val="singleLevel"/>
    <w:tmpl w:val="22E198CE"/>
    <w:lvl w:ilvl="0" w:tentative="0">
      <w:start w:val="1"/>
      <w:numFmt w:val="decimal"/>
      <w:suff w:val="nothing"/>
      <w:lvlText w:val="%1、"/>
      <w:lvlJc w:val="left"/>
      <w:rPr>
        <w:rFonts w:hint="default"/>
        <w:color w:val="FF0000"/>
      </w:rPr>
    </w:lvl>
  </w:abstractNum>
  <w:abstractNum w:abstractNumId="6">
    <w:nsid w:val="23604E68"/>
    <w:multiLevelType w:val="singleLevel"/>
    <w:tmpl w:val="23604E68"/>
    <w:lvl w:ilvl="0" w:tentative="0">
      <w:start w:val="5"/>
      <w:numFmt w:val="decimal"/>
      <w:lvlText w:val="%1."/>
      <w:lvlJc w:val="left"/>
      <w:pPr>
        <w:tabs>
          <w:tab w:val="left" w:pos="312"/>
        </w:tabs>
      </w:pPr>
    </w:lvl>
  </w:abstractNum>
  <w:abstractNum w:abstractNumId="7">
    <w:nsid w:val="76D17989"/>
    <w:multiLevelType w:val="singleLevel"/>
    <w:tmpl w:val="76D17989"/>
    <w:lvl w:ilvl="0" w:tentative="0">
      <w:start w:val="1"/>
      <w:numFmt w:val="chineseCounting"/>
      <w:suff w:val="nothing"/>
      <w:lvlText w:val="%1、"/>
      <w:lvlJc w:val="left"/>
      <w:rPr>
        <w:rFonts w:hint="eastAsia"/>
      </w:rPr>
    </w:lvl>
  </w:abstractNum>
  <w:abstractNum w:abstractNumId="8">
    <w:nsid w:val="7A0F6431"/>
    <w:multiLevelType w:val="singleLevel"/>
    <w:tmpl w:val="7A0F6431"/>
    <w:lvl w:ilvl="0" w:tentative="0">
      <w:start w:val="1"/>
      <w:numFmt w:val="decimal"/>
      <w:suff w:val="space"/>
      <w:lvlText w:val="%1."/>
      <w:lvlJc w:val="left"/>
    </w:lvl>
  </w:abstractNum>
  <w:num w:numId="1">
    <w:abstractNumId w:val="4"/>
  </w:num>
  <w:num w:numId="2">
    <w:abstractNumId w:val="7"/>
  </w:num>
  <w:num w:numId="3">
    <w:abstractNumId w:val="6"/>
  </w:num>
  <w:num w:numId="4">
    <w:abstractNumId w:val="5"/>
  </w:num>
  <w:num w:numId="5">
    <w:abstractNumId w:val="8"/>
  </w:num>
  <w:num w:numId="6">
    <w:abstractNumId w:val="2"/>
  </w:num>
  <w:num w:numId="7">
    <w:abstractNumId w:val="1"/>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doNotShadeFormData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gzNDNhMDYxZDRlNDM0MjMzM2NmYWYwMDk2OWE0MTQifQ=="/>
    <w:docVar w:name="KSO_WPS_MARK_KEY" w:val="7057ebe1-96e8-4cba-ac25-25b8547a0fbb"/>
  </w:docVars>
  <w:rsids>
    <w:rsidRoot w:val="00172A27"/>
    <w:rsid w:val="0000046D"/>
    <w:rsid w:val="000009A4"/>
    <w:rsid w:val="0000182C"/>
    <w:rsid w:val="00001C30"/>
    <w:rsid w:val="00001F66"/>
    <w:rsid w:val="000027DB"/>
    <w:rsid w:val="0000296D"/>
    <w:rsid w:val="00002E66"/>
    <w:rsid w:val="0000330D"/>
    <w:rsid w:val="00003781"/>
    <w:rsid w:val="00003F3C"/>
    <w:rsid w:val="0000486E"/>
    <w:rsid w:val="00004CB0"/>
    <w:rsid w:val="00004CDE"/>
    <w:rsid w:val="00005328"/>
    <w:rsid w:val="000059D3"/>
    <w:rsid w:val="000066F9"/>
    <w:rsid w:val="00007E2F"/>
    <w:rsid w:val="00007E51"/>
    <w:rsid w:val="000104B5"/>
    <w:rsid w:val="00010774"/>
    <w:rsid w:val="00010E05"/>
    <w:rsid w:val="00012061"/>
    <w:rsid w:val="000123EC"/>
    <w:rsid w:val="00013AC8"/>
    <w:rsid w:val="00013C7F"/>
    <w:rsid w:val="00014132"/>
    <w:rsid w:val="00014488"/>
    <w:rsid w:val="00016829"/>
    <w:rsid w:val="00017A2B"/>
    <w:rsid w:val="00020517"/>
    <w:rsid w:val="000207E1"/>
    <w:rsid w:val="00020DBA"/>
    <w:rsid w:val="00021054"/>
    <w:rsid w:val="000216CC"/>
    <w:rsid w:val="00022909"/>
    <w:rsid w:val="00022CE2"/>
    <w:rsid w:val="000234DD"/>
    <w:rsid w:val="000248E5"/>
    <w:rsid w:val="0002594F"/>
    <w:rsid w:val="00025985"/>
    <w:rsid w:val="00025AC0"/>
    <w:rsid w:val="00026612"/>
    <w:rsid w:val="000272D2"/>
    <w:rsid w:val="0002754E"/>
    <w:rsid w:val="00027BD3"/>
    <w:rsid w:val="00032229"/>
    <w:rsid w:val="00032A59"/>
    <w:rsid w:val="00032B1F"/>
    <w:rsid w:val="00032F50"/>
    <w:rsid w:val="00033214"/>
    <w:rsid w:val="00033587"/>
    <w:rsid w:val="000344F4"/>
    <w:rsid w:val="0003479C"/>
    <w:rsid w:val="00034B7D"/>
    <w:rsid w:val="00035002"/>
    <w:rsid w:val="0003509E"/>
    <w:rsid w:val="000369F6"/>
    <w:rsid w:val="00036EC4"/>
    <w:rsid w:val="00037318"/>
    <w:rsid w:val="00037EEA"/>
    <w:rsid w:val="000400F8"/>
    <w:rsid w:val="0004027B"/>
    <w:rsid w:val="00040DCA"/>
    <w:rsid w:val="000417D5"/>
    <w:rsid w:val="000419B7"/>
    <w:rsid w:val="00041EAA"/>
    <w:rsid w:val="00041FD1"/>
    <w:rsid w:val="00042B33"/>
    <w:rsid w:val="00042DEF"/>
    <w:rsid w:val="00044162"/>
    <w:rsid w:val="00044176"/>
    <w:rsid w:val="00044278"/>
    <w:rsid w:val="000444AF"/>
    <w:rsid w:val="000448E0"/>
    <w:rsid w:val="00045285"/>
    <w:rsid w:val="0004535A"/>
    <w:rsid w:val="00045D3B"/>
    <w:rsid w:val="00050908"/>
    <w:rsid w:val="00050B4D"/>
    <w:rsid w:val="000521BA"/>
    <w:rsid w:val="00053067"/>
    <w:rsid w:val="000530C2"/>
    <w:rsid w:val="00053FFD"/>
    <w:rsid w:val="00054058"/>
    <w:rsid w:val="000548EF"/>
    <w:rsid w:val="00054D61"/>
    <w:rsid w:val="00054F2A"/>
    <w:rsid w:val="0005526A"/>
    <w:rsid w:val="00055319"/>
    <w:rsid w:val="00055AA6"/>
    <w:rsid w:val="0005758A"/>
    <w:rsid w:val="000576C1"/>
    <w:rsid w:val="00060064"/>
    <w:rsid w:val="000601EC"/>
    <w:rsid w:val="0006170C"/>
    <w:rsid w:val="00061972"/>
    <w:rsid w:val="00061AC4"/>
    <w:rsid w:val="00063151"/>
    <w:rsid w:val="00063CE9"/>
    <w:rsid w:val="00064127"/>
    <w:rsid w:val="0006432D"/>
    <w:rsid w:val="00064B46"/>
    <w:rsid w:val="00064E81"/>
    <w:rsid w:val="000656B5"/>
    <w:rsid w:val="0006633A"/>
    <w:rsid w:val="0006699C"/>
    <w:rsid w:val="000670F3"/>
    <w:rsid w:val="000675EC"/>
    <w:rsid w:val="00067C97"/>
    <w:rsid w:val="000709DB"/>
    <w:rsid w:val="000714E8"/>
    <w:rsid w:val="00071DBC"/>
    <w:rsid w:val="000725F2"/>
    <w:rsid w:val="00072665"/>
    <w:rsid w:val="0007297B"/>
    <w:rsid w:val="00072ABB"/>
    <w:rsid w:val="0007345C"/>
    <w:rsid w:val="00074159"/>
    <w:rsid w:val="000749B7"/>
    <w:rsid w:val="000753D2"/>
    <w:rsid w:val="00075494"/>
    <w:rsid w:val="0007550C"/>
    <w:rsid w:val="00075C45"/>
    <w:rsid w:val="00076CDB"/>
    <w:rsid w:val="0007737B"/>
    <w:rsid w:val="00077E54"/>
    <w:rsid w:val="000813F4"/>
    <w:rsid w:val="000817C6"/>
    <w:rsid w:val="00081921"/>
    <w:rsid w:val="00081A1B"/>
    <w:rsid w:val="00082859"/>
    <w:rsid w:val="00082980"/>
    <w:rsid w:val="00083D28"/>
    <w:rsid w:val="00083D58"/>
    <w:rsid w:val="00083EC9"/>
    <w:rsid w:val="00084EA9"/>
    <w:rsid w:val="00084EC7"/>
    <w:rsid w:val="00085936"/>
    <w:rsid w:val="00085C49"/>
    <w:rsid w:val="00085EEB"/>
    <w:rsid w:val="000867B0"/>
    <w:rsid w:val="00086A01"/>
    <w:rsid w:val="00086B70"/>
    <w:rsid w:val="00087668"/>
    <w:rsid w:val="000904A2"/>
    <w:rsid w:val="00090AF0"/>
    <w:rsid w:val="000910C5"/>
    <w:rsid w:val="000923C1"/>
    <w:rsid w:val="00092839"/>
    <w:rsid w:val="00093BC2"/>
    <w:rsid w:val="00093C1A"/>
    <w:rsid w:val="00093E79"/>
    <w:rsid w:val="00094441"/>
    <w:rsid w:val="00094BC6"/>
    <w:rsid w:val="00094C47"/>
    <w:rsid w:val="000953A5"/>
    <w:rsid w:val="000963F4"/>
    <w:rsid w:val="00096670"/>
    <w:rsid w:val="00096B4A"/>
    <w:rsid w:val="00096DE8"/>
    <w:rsid w:val="000A0911"/>
    <w:rsid w:val="000A139A"/>
    <w:rsid w:val="000A2431"/>
    <w:rsid w:val="000A2A30"/>
    <w:rsid w:val="000A358F"/>
    <w:rsid w:val="000A38A0"/>
    <w:rsid w:val="000A3C64"/>
    <w:rsid w:val="000A4362"/>
    <w:rsid w:val="000A61B8"/>
    <w:rsid w:val="000A62BD"/>
    <w:rsid w:val="000A6603"/>
    <w:rsid w:val="000A679A"/>
    <w:rsid w:val="000A6972"/>
    <w:rsid w:val="000A6A7F"/>
    <w:rsid w:val="000A6F98"/>
    <w:rsid w:val="000A74E0"/>
    <w:rsid w:val="000A74F6"/>
    <w:rsid w:val="000A7B98"/>
    <w:rsid w:val="000B1427"/>
    <w:rsid w:val="000B1905"/>
    <w:rsid w:val="000B1CCA"/>
    <w:rsid w:val="000B200B"/>
    <w:rsid w:val="000B2684"/>
    <w:rsid w:val="000B2963"/>
    <w:rsid w:val="000B2AB7"/>
    <w:rsid w:val="000B2F6F"/>
    <w:rsid w:val="000B3976"/>
    <w:rsid w:val="000B3C2D"/>
    <w:rsid w:val="000B46A8"/>
    <w:rsid w:val="000B470D"/>
    <w:rsid w:val="000B4E66"/>
    <w:rsid w:val="000B5395"/>
    <w:rsid w:val="000B62CB"/>
    <w:rsid w:val="000B6350"/>
    <w:rsid w:val="000B678F"/>
    <w:rsid w:val="000B6FEF"/>
    <w:rsid w:val="000B7F9A"/>
    <w:rsid w:val="000C0328"/>
    <w:rsid w:val="000C03D4"/>
    <w:rsid w:val="000C0864"/>
    <w:rsid w:val="000C0B96"/>
    <w:rsid w:val="000C0D86"/>
    <w:rsid w:val="000C1621"/>
    <w:rsid w:val="000C1CD7"/>
    <w:rsid w:val="000C2778"/>
    <w:rsid w:val="000C32AE"/>
    <w:rsid w:val="000C3380"/>
    <w:rsid w:val="000C4807"/>
    <w:rsid w:val="000C4C6A"/>
    <w:rsid w:val="000C52AC"/>
    <w:rsid w:val="000C5751"/>
    <w:rsid w:val="000C57F9"/>
    <w:rsid w:val="000C598C"/>
    <w:rsid w:val="000C618E"/>
    <w:rsid w:val="000C6342"/>
    <w:rsid w:val="000C6CE1"/>
    <w:rsid w:val="000C720B"/>
    <w:rsid w:val="000C7B9D"/>
    <w:rsid w:val="000D02E9"/>
    <w:rsid w:val="000D059D"/>
    <w:rsid w:val="000D1274"/>
    <w:rsid w:val="000D1597"/>
    <w:rsid w:val="000D16A7"/>
    <w:rsid w:val="000D1C6A"/>
    <w:rsid w:val="000D1F8D"/>
    <w:rsid w:val="000D22BD"/>
    <w:rsid w:val="000D26E7"/>
    <w:rsid w:val="000D42CA"/>
    <w:rsid w:val="000D53F2"/>
    <w:rsid w:val="000D55C4"/>
    <w:rsid w:val="000D5748"/>
    <w:rsid w:val="000D5C5C"/>
    <w:rsid w:val="000D5C8A"/>
    <w:rsid w:val="000D6A24"/>
    <w:rsid w:val="000D6C9D"/>
    <w:rsid w:val="000D78E6"/>
    <w:rsid w:val="000E0487"/>
    <w:rsid w:val="000E285B"/>
    <w:rsid w:val="000E545D"/>
    <w:rsid w:val="000E660E"/>
    <w:rsid w:val="000E6EBD"/>
    <w:rsid w:val="000F0150"/>
    <w:rsid w:val="000F03FE"/>
    <w:rsid w:val="000F152C"/>
    <w:rsid w:val="000F17C9"/>
    <w:rsid w:val="000F3668"/>
    <w:rsid w:val="000F383E"/>
    <w:rsid w:val="000F38CF"/>
    <w:rsid w:val="000F3F16"/>
    <w:rsid w:val="000F449F"/>
    <w:rsid w:val="000F48C9"/>
    <w:rsid w:val="000F6024"/>
    <w:rsid w:val="00100A2B"/>
    <w:rsid w:val="00100B14"/>
    <w:rsid w:val="0010174C"/>
    <w:rsid w:val="0010201F"/>
    <w:rsid w:val="0010254F"/>
    <w:rsid w:val="00102B73"/>
    <w:rsid w:val="00102C51"/>
    <w:rsid w:val="00103216"/>
    <w:rsid w:val="0010330D"/>
    <w:rsid w:val="001039BF"/>
    <w:rsid w:val="00103CB4"/>
    <w:rsid w:val="00103D6B"/>
    <w:rsid w:val="00107F42"/>
    <w:rsid w:val="00110401"/>
    <w:rsid w:val="00110E22"/>
    <w:rsid w:val="001110F1"/>
    <w:rsid w:val="0011195C"/>
    <w:rsid w:val="00112E30"/>
    <w:rsid w:val="001138CB"/>
    <w:rsid w:val="00114453"/>
    <w:rsid w:val="00114D32"/>
    <w:rsid w:val="00115CAC"/>
    <w:rsid w:val="00116718"/>
    <w:rsid w:val="00116FC8"/>
    <w:rsid w:val="00117835"/>
    <w:rsid w:val="00120042"/>
    <w:rsid w:val="0012024C"/>
    <w:rsid w:val="00120493"/>
    <w:rsid w:val="00120DFA"/>
    <w:rsid w:val="001218FE"/>
    <w:rsid w:val="00121CC1"/>
    <w:rsid w:val="001221BE"/>
    <w:rsid w:val="00122219"/>
    <w:rsid w:val="00122477"/>
    <w:rsid w:val="00122899"/>
    <w:rsid w:val="00123679"/>
    <w:rsid w:val="001236BF"/>
    <w:rsid w:val="001236EB"/>
    <w:rsid w:val="00123ACC"/>
    <w:rsid w:val="00124792"/>
    <w:rsid w:val="00124CF0"/>
    <w:rsid w:val="00125726"/>
    <w:rsid w:val="001258B7"/>
    <w:rsid w:val="001267FF"/>
    <w:rsid w:val="00127F9D"/>
    <w:rsid w:val="0013084E"/>
    <w:rsid w:val="00130DB2"/>
    <w:rsid w:val="001315D8"/>
    <w:rsid w:val="00132B8C"/>
    <w:rsid w:val="0013360D"/>
    <w:rsid w:val="00133E41"/>
    <w:rsid w:val="00133E7C"/>
    <w:rsid w:val="00134D7F"/>
    <w:rsid w:val="00134F65"/>
    <w:rsid w:val="0013526C"/>
    <w:rsid w:val="001356B6"/>
    <w:rsid w:val="001365F4"/>
    <w:rsid w:val="0013661A"/>
    <w:rsid w:val="00136E07"/>
    <w:rsid w:val="001372D1"/>
    <w:rsid w:val="001374A2"/>
    <w:rsid w:val="00137EAE"/>
    <w:rsid w:val="00140295"/>
    <w:rsid w:val="00141121"/>
    <w:rsid w:val="001429D7"/>
    <w:rsid w:val="00143437"/>
    <w:rsid w:val="00143891"/>
    <w:rsid w:val="00143DE4"/>
    <w:rsid w:val="001447EF"/>
    <w:rsid w:val="00144800"/>
    <w:rsid w:val="00145073"/>
    <w:rsid w:val="0014515E"/>
    <w:rsid w:val="0014559E"/>
    <w:rsid w:val="00145749"/>
    <w:rsid w:val="00145EF0"/>
    <w:rsid w:val="001462D6"/>
    <w:rsid w:val="001464A7"/>
    <w:rsid w:val="00146F35"/>
    <w:rsid w:val="00147344"/>
    <w:rsid w:val="001476CB"/>
    <w:rsid w:val="001477F2"/>
    <w:rsid w:val="0015059D"/>
    <w:rsid w:val="00150778"/>
    <w:rsid w:val="00151322"/>
    <w:rsid w:val="00152C66"/>
    <w:rsid w:val="00153A5A"/>
    <w:rsid w:val="00153EDA"/>
    <w:rsid w:val="001547CA"/>
    <w:rsid w:val="00154C02"/>
    <w:rsid w:val="00154C69"/>
    <w:rsid w:val="0015529D"/>
    <w:rsid w:val="00156328"/>
    <w:rsid w:val="00157085"/>
    <w:rsid w:val="001573B4"/>
    <w:rsid w:val="001601A2"/>
    <w:rsid w:val="00160295"/>
    <w:rsid w:val="001607B6"/>
    <w:rsid w:val="00162969"/>
    <w:rsid w:val="00162E86"/>
    <w:rsid w:val="0016388F"/>
    <w:rsid w:val="00163D73"/>
    <w:rsid w:val="00163D88"/>
    <w:rsid w:val="00164096"/>
    <w:rsid w:val="0016529E"/>
    <w:rsid w:val="0016575C"/>
    <w:rsid w:val="00165B1C"/>
    <w:rsid w:val="00165BF8"/>
    <w:rsid w:val="00166036"/>
    <w:rsid w:val="001662BD"/>
    <w:rsid w:val="0016649A"/>
    <w:rsid w:val="00166560"/>
    <w:rsid w:val="001675A5"/>
    <w:rsid w:val="00170111"/>
    <w:rsid w:val="00170697"/>
    <w:rsid w:val="00171392"/>
    <w:rsid w:val="00171C1A"/>
    <w:rsid w:val="00171C72"/>
    <w:rsid w:val="00172708"/>
    <w:rsid w:val="001727B0"/>
    <w:rsid w:val="001729BA"/>
    <w:rsid w:val="00172A27"/>
    <w:rsid w:val="00173260"/>
    <w:rsid w:val="00173C43"/>
    <w:rsid w:val="00174BEA"/>
    <w:rsid w:val="001751E2"/>
    <w:rsid w:val="0017537B"/>
    <w:rsid w:val="001759CF"/>
    <w:rsid w:val="00175B5D"/>
    <w:rsid w:val="00176986"/>
    <w:rsid w:val="00176B7D"/>
    <w:rsid w:val="00177302"/>
    <w:rsid w:val="00177FB1"/>
    <w:rsid w:val="001809EC"/>
    <w:rsid w:val="00180D02"/>
    <w:rsid w:val="00181809"/>
    <w:rsid w:val="00182FF5"/>
    <w:rsid w:val="0018316B"/>
    <w:rsid w:val="001837AA"/>
    <w:rsid w:val="00183BC0"/>
    <w:rsid w:val="0018456A"/>
    <w:rsid w:val="00184681"/>
    <w:rsid w:val="001847DB"/>
    <w:rsid w:val="00184AE6"/>
    <w:rsid w:val="00185C46"/>
    <w:rsid w:val="00185D1E"/>
    <w:rsid w:val="00185D2D"/>
    <w:rsid w:val="00185EF5"/>
    <w:rsid w:val="00185F81"/>
    <w:rsid w:val="0018652D"/>
    <w:rsid w:val="00186AA0"/>
    <w:rsid w:val="00186C19"/>
    <w:rsid w:val="00187707"/>
    <w:rsid w:val="00187828"/>
    <w:rsid w:val="00187EAA"/>
    <w:rsid w:val="00190B5F"/>
    <w:rsid w:val="001912D2"/>
    <w:rsid w:val="00191575"/>
    <w:rsid w:val="00191FD8"/>
    <w:rsid w:val="0019224F"/>
    <w:rsid w:val="001923BA"/>
    <w:rsid w:val="00192DA5"/>
    <w:rsid w:val="0019338C"/>
    <w:rsid w:val="00194C01"/>
    <w:rsid w:val="001965CD"/>
    <w:rsid w:val="00196AD9"/>
    <w:rsid w:val="00197377"/>
    <w:rsid w:val="0019768C"/>
    <w:rsid w:val="00197F91"/>
    <w:rsid w:val="001A0381"/>
    <w:rsid w:val="001A04B7"/>
    <w:rsid w:val="001A10F0"/>
    <w:rsid w:val="001A24D5"/>
    <w:rsid w:val="001A2637"/>
    <w:rsid w:val="001A270B"/>
    <w:rsid w:val="001A2CE9"/>
    <w:rsid w:val="001A37A7"/>
    <w:rsid w:val="001A397E"/>
    <w:rsid w:val="001A3D56"/>
    <w:rsid w:val="001A4A03"/>
    <w:rsid w:val="001A51A4"/>
    <w:rsid w:val="001A52EC"/>
    <w:rsid w:val="001A592E"/>
    <w:rsid w:val="001A5B3D"/>
    <w:rsid w:val="001A608D"/>
    <w:rsid w:val="001A64AB"/>
    <w:rsid w:val="001A69D0"/>
    <w:rsid w:val="001A6CA2"/>
    <w:rsid w:val="001A79FC"/>
    <w:rsid w:val="001B08D0"/>
    <w:rsid w:val="001B0FFF"/>
    <w:rsid w:val="001B1422"/>
    <w:rsid w:val="001B1780"/>
    <w:rsid w:val="001B21BF"/>
    <w:rsid w:val="001B2789"/>
    <w:rsid w:val="001B3396"/>
    <w:rsid w:val="001B45AC"/>
    <w:rsid w:val="001B4641"/>
    <w:rsid w:val="001B49B9"/>
    <w:rsid w:val="001B53CE"/>
    <w:rsid w:val="001B5555"/>
    <w:rsid w:val="001B55FC"/>
    <w:rsid w:val="001B5A4E"/>
    <w:rsid w:val="001B5FB8"/>
    <w:rsid w:val="001B621A"/>
    <w:rsid w:val="001B639B"/>
    <w:rsid w:val="001B66C9"/>
    <w:rsid w:val="001B7226"/>
    <w:rsid w:val="001B79CA"/>
    <w:rsid w:val="001C006C"/>
    <w:rsid w:val="001C046C"/>
    <w:rsid w:val="001C0792"/>
    <w:rsid w:val="001C1068"/>
    <w:rsid w:val="001C111E"/>
    <w:rsid w:val="001C1954"/>
    <w:rsid w:val="001C1CB6"/>
    <w:rsid w:val="001C2637"/>
    <w:rsid w:val="001C2856"/>
    <w:rsid w:val="001C3032"/>
    <w:rsid w:val="001C36F2"/>
    <w:rsid w:val="001C37B8"/>
    <w:rsid w:val="001C3997"/>
    <w:rsid w:val="001C4006"/>
    <w:rsid w:val="001C4264"/>
    <w:rsid w:val="001C5049"/>
    <w:rsid w:val="001C5A88"/>
    <w:rsid w:val="001C5F33"/>
    <w:rsid w:val="001D131F"/>
    <w:rsid w:val="001D145B"/>
    <w:rsid w:val="001D2BC7"/>
    <w:rsid w:val="001D3347"/>
    <w:rsid w:val="001D342C"/>
    <w:rsid w:val="001D3D7A"/>
    <w:rsid w:val="001D3FE6"/>
    <w:rsid w:val="001D426E"/>
    <w:rsid w:val="001D47A2"/>
    <w:rsid w:val="001D4CB2"/>
    <w:rsid w:val="001D542E"/>
    <w:rsid w:val="001D5AB1"/>
    <w:rsid w:val="001D6C9C"/>
    <w:rsid w:val="001D7C0A"/>
    <w:rsid w:val="001E135A"/>
    <w:rsid w:val="001E1B96"/>
    <w:rsid w:val="001E3151"/>
    <w:rsid w:val="001E33E7"/>
    <w:rsid w:val="001E361F"/>
    <w:rsid w:val="001E389A"/>
    <w:rsid w:val="001E3A70"/>
    <w:rsid w:val="001E4160"/>
    <w:rsid w:val="001E4638"/>
    <w:rsid w:val="001E4649"/>
    <w:rsid w:val="001E4806"/>
    <w:rsid w:val="001E4F61"/>
    <w:rsid w:val="001E5228"/>
    <w:rsid w:val="001E556F"/>
    <w:rsid w:val="001E56BE"/>
    <w:rsid w:val="001E5D7F"/>
    <w:rsid w:val="001E606C"/>
    <w:rsid w:val="001E6E0F"/>
    <w:rsid w:val="001E7383"/>
    <w:rsid w:val="001E7A45"/>
    <w:rsid w:val="001F0090"/>
    <w:rsid w:val="001F01FC"/>
    <w:rsid w:val="001F09B2"/>
    <w:rsid w:val="001F145B"/>
    <w:rsid w:val="001F1B44"/>
    <w:rsid w:val="001F220E"/>
    <w:rsid w:val="001F299F"/>
    <w:rsid w:val="001F3380"/>
    <w:rsid w:val="001F409D"/>
    <w:rsid w:val="001F4B03"/>
    <w:rsid w:val="001F53DC"/>
    <w:rsid w:val="001F612B"/>
    <w:rsid w:val="001F69C1"/>
    <w:rsid w:val="001F78C9"/>
    <w:rsid w:val="00200210"/>
    <w:rsid w:val="002005D7"/>
    <w:rsid w:val="00200673"/>
    <w:rsid w:val="00200C07"/>
    <w:rsid w:val="00201D62"/>
    <w:rsid w:val="00201FA0"/>
    <w:rsid w:val="002030D5"/>
    <w:rsid w:val="00203236"/>
    <w:rsid w:val="00203374"/>
    <w:rsid w:val="002047A7"/>
    <w:rsid w:val="00204832"/>
    <w:rsid w:val="00205192"/>
    <w:rsid w:val="002069C4"/>
    <w:rsid w:val="00207574"/>
    <w:rsid w:val="00207788"/>
    <w:rsid w:val="0020781A"/>
    <w:rsid w:val="00207BB0"/>
    <w:rsid w:val="002100EE"/>
    <w:rsid w:val="00210236"/>
    <w:rsid w:val="00210822"/>
    <w:rsid w:val="00210837"/>
    <w:rsid w:val="00210B9B"/>
    <w:rsid w:val="002119E2"/>
    <w:rsid w:val="00213134"/>
    <w:rsid w:val="00214AE1"/>
    <w:rsid w:val="00215B9B"/>
    <w:rsid w:val="00215DE3"/>
    <w:rsid w:val="0021617D"/>
    <w:rsid w:val="00216288"/>
    <w:rsid w:val="002168F3"/>
    <w:rsid w:val="00216ACD"/>
    <w:rsid w:val="00217785"/>
    <w:rsid w:val="00217AA5"/>
    <w:rsid w:val="00217F65"/>
    <w:rsid w:val="00220B21"/>
    <w:rsid w:val="00220BFA"/>
    <w:rsid w:val="00220CA4"/>
    <w:rsid w:val="00220EEC"/>
    <w:rsid w:val="00221ADA"/>
    <w:rsid w:val="00221C35"/>
    <w:rsid w:val="00221E2F"/>
    <w:rsid w:val="0022371D"/>
    <w:rsid w:val="00223AA0"/>
    <w:rsid w:val="00223AE2"/>
    <w:rsid w:val="00223DA7"/>
    <w:rsid w:val="002255D4"/>
    <w:rsid w:val="00225CAB"/>
    <w:rsid w:val="002262D7"/>
    <w:rsid w:val="002263C7"/>
    <w:rsid w:val="0022681A"/>
    <w:rsid w:val="00226A6D"/>
    <w:rsid w:val="00226C7E"/>
    <w:rsid w:val="00226F54"/>
    <w:rsid w:val="002277D4"/>
    <w:rsid w:val="00227BF2"/>
    <w:rsid w:val="00230B9C"/>
    <w:rsid w:val="0023120C"/>
    <w:rsid w:val="002313E0"/>
    <w:rsid w:val="002314F8"/>
    <w:rsid w:val="00231C0C"/>
    <w:rsid w:val="002323C0"/>
    <w:rsid w:val="00232AAB"/>
    <w:rsid w:val="00232BF8"/>
    <w:rsid w:val="0023312F"/>
    <w:rsid w:val="00233272"/>
    <w:rsid w:val="002332E7"/>
    <w:rsid w:val="00234D73"/>
    <w:rsid w:val="00235F11"/>
    <w:rsid w:val="00236110"/>
    <w:rsid w:val="00236A1E"/>
    <w:rsid w:val="0023765F"/>
    <w:rsid w:val="002406B7"/>
    <w:rsid w:val="00240858"/>
    <w:rsid w:val="00240C76"/>
    <w:rsid w:val="002420BD"/>
    <w:rsid w:val="002428DE"/>
    <w:rsid w:val="00244795"/>
    <w:rsid w:val="00244A39"/>
    <w:rsid w:val="00244F4D"/>
    <w:rsid w:val="00245603"/>
    <w:rsid w:val="00245C72"/>
    <w:rsid w:val="002460FA"/>
    <w:rsid w:val="00246576"/>
    <w:rsid w:val="002472D1"/>
    <w:rsid w:val="00247F10"/>
    <w:rsid w:val="00247FE9"/>
    <w:rsid w:val="00250231"/>
    <w:rsid w:val="00250620"/>
    <w:rsid w:val="00250DF3"/>
    <w:rsid w:val="002518C7"/>
    <w:rsid w:val="00251E58"/>
    <w:rsid w:val="00253905"/>
    <w:rsid w:val="00253B1F"/>
    <w:rsid w:val="00254615"/>
    <w:rsid w:val="00254CE6"/>
    <w:rsid w:val="00254EAD"/>
    <w:rsid w:val="002554CD"/>
    <w:rsid w:val="00255AD8"/>
    <w:rsid w:val="00256102"/>
    <w:rsid w:val="00256160"/>
    <w:rsid w:val="002562BF"/>
    <w:rsid w:val="002569C6"/>
    <w:rsid w:val="00256BBA"/>
    <w:rsid w:val="00257F6D"/>
    <w:rsid w:val="00260023"/>
    <w:rsid w:val="0026021A"/>
    <w:rsid w:val="00260547"/>
    <w:rsid w:val="00260C1C"/>
    <w:rsid w:val="002617CC"/>
    <w:rsid w:val="0026186B"/>
    <w:rsid w:val="00261A0E"/>
    <w:rsid w:val="002625CB"/>
    <w:rsid w:val="00263A90"/>
    <w:rsid w:val="00263D22"/>
    <w:rsid w:val="00264009"/>
    <w:rsid w:val="00264B45"/>
    <w:rsid w:val="002652AD"/>
    <w:rsid w:val="00266004"/>
    <w:rsid w:val="00267D9A"/>
    <w:rsid w:val="00270584"/>
    <w:rsid w:val="00270EA2"/>
    <w:rsid w:val="00271121"/>
    <w:rsid w:val="00272DFC"/>
    <w:rsid w:val="00275BF2"/>
    <w:rsid w:val="00275E57"/>
    <w:rsid w:val="0027616F"/>
    <w:rsid w:val="00276544"/>
    <w:rsid w:val="00276976"/>
    <w:rsid w:val="00280525"/>
    <w:rsid w:val="00280656"/>
    <w:rsid w:val="00280870"/>
    <w:rsid w:val="002833C1"/>
    <w:rsid w:val="00284030"/>
    <w:rsid w:val="002846C4"/>
    <w:rsid w:val="00284927"/>
    <w:rsid w:val="00284BF6"/>
    <w:rsid w:val="00284C89"/>
    <w:rsid w:val="0028576F"/>
    <w:rsid w:val="00286140"/>
    <w:rsid w:val="00286B67"/>
    <w:rsid w:val="00287246"/>
    <w:rsid w:val="002906BB"/>
    <w:rsid w:val="002908FC"/>
    <w:rsid w:val="00290940"/>
    <w:rsid w:val="00290BC0"/>
    <w:rsid w:val="00290E68"/>
    <w:rsid w:val="002910C9"/>
    <w:rsid w:val="00291DAD"/>
    <w:rsid w:val="00293BF8"/>
    <w:rsid w:val="00293EC9"/>
    <w:rsid w:val="00294080"/>
    <w:rsid w:val="00294418"/>
    <w:rsid w:val="00294552"/>
    <w:rsid w:val="00295227"/>
    <w:rsid w:val="00295F39"/>
    <w:rsid w:val="00295F45"/>
    <w:rsid w:val="00296775"/>
    <w:rsid w:val="00297942"/>
    <w:rsid w:val="002A0ED2"/>
    <w:rsid w:val="002A11BA"/>
    <w:rsid w:val="002A135C"/>
    <w:rsid w:val="002A267D"/>
    <w:rsid w:val="002A270F"/>
    <w:rsid w:val="002A2B15"/>
    <w:rsid w:val="002A2B1E"/>
    <w:rsid w:val="002A323D"/>
    <w:rsid w:val="002A40F2"/>
    <w:rsid w:val="002A5325"/>
    <w:rsid w:val="002A724F"/>
    <w:rsid w:val="002B05B1"/>
    <w:rsid w:val="002B0936"/>
    <w:rsid w:val="002B0C56"/>
    <w:rsid w:val="002B128E"/>
    <w:rsid w:val="002B1B6D"/>
    <w:rsid w:val="002B213F"/>
    <w:rsid w:val="002B278C"/>
    <w:rsid w:val="002B2D48"/>
    <w:rsid w:val="002B4C67"/>
    <w:rsid w:val="002B4F5A"/>
    <w:rsid w:val="002B5256"/>
    <w:rsid w:val="002B56E3"/>
    <w:rsid w:val="002B604A"/>
    <w:rsid w:val="002B63A2"/>
    <w:rsid w:val="002B6DF3"/>
    <w:rsid w:val="002B7809"/>
    <w:rsid w:val="002C04C6"/>
    <w:rsid w:val="002C0FD0"/>
    <w:rsid w:val="002C2AE1"/>
    <w:rsid w:val="002C35C5"/>
    <w:rsid w:val="002C37C7"/>
    <w:rsid w:val="002C3950"/>
    <w:rsid w:val="002C3E69"/>
    <w:rsid w:val="002C4303"/>
    <w:rsid w:val="002C4472"/>
    <w:rsid w:val="002C4C8F"/>
    <w:rsid w:val="002C5B91"/>
    <w:rsid w:val="002C6C98"/>
    <w:rsid w:val="002D00D0"/>
    <w:rsid w:val="002D00D7"/>
    <w:rsid w:val="002D04B3"/>
    <w:rsid w:val="002D0A76"/>
    <w:rsid w:val="002D0F4F"/>
    <w:rsid w:val="002D12D5"/>
    <w:rsid w:val="002D19C8"/>
    <w:rsid w:val="002D25AB"/>
    <w:rsid w:val="002D3C69"/>
    <w:rsid w:val="002D4074"/>
    <w:rsid w:val="002D4855"/>
    <w:rsid w:val="002D4F1C"/>
    <w:rsid w:val="002D5561"/>
    <w:rsid w:val="002D5749"/>
    <w:rsid w:val="002D681C"/>
    <w:rsid w:val="002D750B"/>
    <w:rsid w:val="002D7B35"/>
    <w:rsid w:val="002D7B63"/>
    <w:rsid w:val="002E0070"/>
    <w:rsid w:val="002E08D4"/>
    <w:rsid w:val="002E0964"/>
    <w:rsid w:val="002E0DD0"/>
    <w:rsid w:val="002E0E77"/>
    <w:rsid w:val="002E1625"/>
    <w:rsid w:val="002E30CD"/>
    <w:rsid w:val="002E319C"/>
    <w:rsid w:val="002E334E"/>
    <w:rsid w:val="002E3AE8"/>
    <w:rsid w:val="002E3FFE"/>
    <w:rsid w:val="002E53D0"/>
    <w:rsid w:val="002E5625"/>
    <w:rsid w:val="002E5931"/>
    <w:rsid w:val="002E6A86"/>
    <w:rsid w:val="002E6E46"/>
    <w:rsid w:val="002E7D58"/>
    <w:rsid w:val="002E7E40"/>
    <w:rsid w:val="002F00FE"/>
    <w:rsid w:val="002F0468"/>
    <w:rsid w:val="002F0609"/>
    <w:rsid w:val="002F1457"/>
    <w:rsid w:val="002F1614"/>
    <w:rsid w:val="002F17EB"/>
    <w:rsid w:val="002F1947"/>
    <w:rsid w:val="002F1B84"/>
    <w:rsid w:val="002F1D85"/>
    <w:rsid w:val="002F284C"/>
    <w:rsid w:val="002F2B81"/>
    <w:rsid w:val="002F3352"/>
    <w:rsid w:val="002F461E"/>
    <w:rsid w:val="002F4DAB"/>
    <w:rsid w:val="002F5103"/>
    <w:rsid w:val="002F5779"/>
    <w:rsid w:val="002F5C3F"/>
    <w:rsid w:val="002F5C8F"/>
    <w:rsid w:val="002F6AC6"/>
    <w:rsid w:val="002F703B"/>
    <w:rsid w:val="00301558"/>
    <w:rsid w:val="003023C6"/>
    <w:rsid w:val="00302A77"/>
    <w:rsid w:val="00302CF7"/>
    <w:rsid w:val="00302D27"/>
    <w:rsid w:val="00302E1C"/>
    <w:rsid w:val="00303D3C"/>
    <w:rsid w:val="0030429A"/>
    <w:rsid w:val="003052AB"/>
    <w:rsid w:val="00305F0B"/>
    <w:rsid w:val="003060C4"/>
    <w:rsid w:val="0030668D"/>
    <w:rsid w:val="003069D9"/>
    <w:rsid w:val="003073F5"/>
    <w:rsid w:val="00307B9C"/>
    <w:rsid w:val="00307BA1"/>
    <w:rsid w:val="003100DF"/>
    <w:rsid w:val="00310C8A"/>
    <w:rsid w:val="00311B0A"/>
    <w:rsid w:val="003137D4"/>
    <w:rsid w:val="00314227"/>
    <w:rsid w:val="00314DBA"/>
    <w:rsid w:val="00314EFA"/>
    <w:rsid w:val="00315AB3"/>
    <w:rsid w:val="003164A3"/>
    <w:rsid w:val="00317A63"/>
    <w:rsid w:val="00317BA9"/>
    <w:rsid w:val="003200AE"/>
    <w:rsid w:val="0032034B"/>
    <w:rsid w:val="00320BF6"/>
    <w:rsid w:val="00320EFA"/>
    <w:rsid w:val="00321E23"/>
    <w:rsid w:val="0032215C"/>
    <w:rsid w:val="00322259"/>
    <w:rsid w:val="003255F1"/>
    <w:rsid w:val="00325789"/>
    <w:rsid w:val="00325A5A"/>
    <w:rsid w:val="00325A89"/>
    <w:rsid w:val="00325FE2"/>
    <w:rsid w:val="00326A2E"/>
    <w:rsid w:val="003272E3"/>
    <w:rsid w:val="0032780E"/>
    <w:rsid w:val="00327CF0"/>
    <w:rsid w:val="00330325"/>
    <w:rsid w:val="00331922"/>
    <w:rsid w:val="00331AFB"/>
    <w:rsid w:val="0033215F"/>
    <w:rsid w:val="0033295D"/>
    <w:rsid w:val="00332B79"/>
    <w:rsid w:val="00333CAB"/>
    <w:rsid w:val="00333D3B"/>
    <w:rsid w:val="00334C5E"/>
    <w:rsid w:val="00334F81"/>
    <w:rsid w:val="00335E06"/>
    <w:rsid w:val="00336AC2"/>
    <w:rsid w:val="00336FD3"/>
    <w:rsid w:val="00337B76"/>
    <w:rsid w:val="00337BB7"/>
    <w:rsid w:val="00341DE7"/>
    <w:rsid w:val="00341FEE"/>
    <w:rsid w:val="003430E1"/>
    <w:rsid w:val="0034324B"/>
    <w:rsid w:val="00345199"/>
    <w:rsid w:val="003451FE"/>
    <w:rsid w:val="003462BA"/>
    <w:rsid w:val="00346B52"/>
    <w:rsid w:val="00346C19"/>
    <w:rsid w:val="00346E53"/>
    <w:rsid w:val="003471EA"/>
    <w:rsid w:val="0034781A"/>
    <w:rsid w:val="00350096"/>
    <w:rsid w:val="003503CD"/>
    <w:rsid w:val="00350421"/>
    <w:rsid w:val="0035042D"/>
    <w:rsid w:val="00350759"/>
    <w:rsid w:val="0035088B"/>
    <w:rsid w:val="00350FBD"/>
    <w:rsid w:val="003510DF"/>
    <w:rsid w:val="003511E3"/>
    <w:rsid w:val="0035181E"/>
    <w:rsid w:val="0035252E"/>
    <w:rsid w:val="00353BBF"/>
    <w:rsid w:val="00353C02"/>
    <w:rsid w:val="00353F48"/>
    <w:rsid w:val="0035422F"/>
    <w:rsid w:val="00354301"/>
    <w:rsid w:val="003544A3"/>
    <w:rsid w:val="00354AC8"/>
    <w:rsid w:val="00355454"/>
    <w:rsid w:val="0035571F"/>
    <w:rsid w:val="003560A3"/>
    <w:rsid w:val="00356A1A"/>
    <w:rsid w:val="0035700D"/>
    <w:rsid w:val="00357768"/>
    <w:rsid w:val="003579C1"/>
    <w:rsid w:val="00357A6C"/>
    <w:rsid w:val="00357B7A"/>
    <w:rsid w:val="00360B24"/>
    <w:rsid w:val="00360B88"/>
    <w:rsid w:val="00361409"/>
    <w:rsid w:val="00361478"/>
    <w:rsid w:val="00362098"/>
    <w:rsid w:val="003621B0"/>
    <w:rsid w:val="00363105"/>
    <w:rsid w:val="00363317"/>
    <w:rsid w:val="00363BEF"/>
    <w:rsid w:val="00365288"/>
    <w:rsid w:val="00366C33"/>
    <w:rsid w:val="0036705C"/>
    <w:rsid w:val="003673C9"/>
    <w:rsid w:val="003737B0"/>
    <w:rsid w:val="003743F8"/>
    <w:rsid w:val="00374B13"/>
    <w:rsid w:val="00374BBC"/>
    <w:rsid w:val="00374FC1"/>
    <w:rsid w:val="003756A2"/>
    <w:rsid w:val="00375C87"/>
    <w:rsid w:val="00375DC1"/>
    <w:rsid w:val="00375E94"/>
    <w:rsid w:val="00376DED"/>
    <w:rsid w:val="003774A0"/>
    <w:rsid w:val="0037767D"/>
    <w:rsid w:val="003810DB"/>
    <w:rsid w:val="00381624"/>
    <w:rsid w:val="003816C1"/>
    <w:rsid w:val="00381985"/>
    <w:rsid w:val="00382571"/>
    <w:rsid w:val="0038489B"/>
    <w:rsid w:val="003849B0"/>
    <w:rsid w:val="003857D9"/>
    <w:rsid w:val="003862DF"/>
    <w:rsid w:val="003863BE"/>
    <w:rsid w:val="00386566"/>
    <w:rsid w:val="00387330"/>
    <w:rsid w:val="003876FF"/>
    <w:rsid w:val="00393401"/>
    <w:rsid w:val="003955B2"/>
    <w:rsid w:val="00395890"/>
    <w:rsid w:val="003959A5"/>
    <w:rsid w:val="00395F26"/>
    <w:rsid w:val="00395FAA"/>
    <w:rsid w:val="00397827"/>
    <w:rsid w:val="00397BEE"/>
    <w:rsid w:val="003A063A"/>
    <w:rsid w:val="003A0B73"/>
    <w:rsid w:val="003A104E"/>
    <w:rsid w:val="003A13C4"/>
    <w:rsid w:val="003A14AF"/>
    <w:rsid w:val="003A2DD9"/>
    <w:rsid w:val="003A32F3"/>
    <w:rsid w:val="003A3817"/>
    <w:rsid w:val="003A384F"/>
    <w:rsid w:val="003A3985"/>
    <w:rsid w:val="003A50D9"/>
    <w:rsid w:val="003A543D"/>
    <w:rsid w:val="003A62CE"/>
    <w:rsid w:val="003A6FA5"/>
    <w:rsid w:val="003A7CFF"/>
    <w:rsid w:val="003B01F4"/>
    <w:rsid w:val="003B16AA"/>
    <w:rsid w:val="003B188F"/>
    <w:rsid w:val="003B1BEC"/>
    <w:rsid w:val="003B2BA8"/>
    <w:rsid w:val="003B3AF7"/>
    <w:rsid w:val="003B4180"/>
    <w:rsid w:val="003B4356"/>
    <w:rsid w:val="003B481F"/>
    <w:rsid w:val="003B536B"/>
    <w:rsid w:val="003B5DFF"/>
    <w:rsid w:val="003B6043"/>
    <w:rsid w:val="003B7850"/>
    <w:rsid w:val="003B7A06"/>
    <w:rsid w:val="003B7BF7"/>
    <w:rsid w:val="003C15D0"/>
    <w:rsid w:val="003C2435"/>
    <w:rsid w:val="003C2CE0"/>
    <w:rsid w:val="003C2F76"/>
    <w:rsid w:val="003C4C71"/>
    <w:rsid w:val="003C4DC7"/>
    <w:rsid w:val="003C5558"/>
    <w:rsid w:val="003C738A"/>
    <w:rsid w:val="003D06B5"/>
    <w:rsid w:val="003D1898"/>
    <w:rsid w:val="003D1F0B"/>
    <w:rsid w:val="003D22D7"/>
    <w:rsid w:val="003D25F7"/>
    <w:rsid w:val="003D3096"/>
    <w:rsid w:val="003D3994"/>
    <w:rsid w:val="003D3D95"/>
    <w:rsid w:val="003D3EC0"/>
    <w:rsid w:val="003D519A"/>
    <w:rsid w:val="003D7120"/>
    <w:rsid w:val="003D73AB"/>
    <w:rsid w:val="003E00AC"/>
    <w:rsid w:val="003E095B"/>
    <w:rsid w:val="003E1840"/>
    <w:rsid w:val="003E2F30"/>
    <w:rsid w:val="003E30A3"/>
    <w:rsid w:val="003E39C3"/>
    <w:rsid w:val="003E3D24"/>
    <w:rsid w:val="003E414B"/>
    <w:rsid w:val="003E427F"/>
    <w:rsid w:val="003E431F"/>
    <w:rsid w:val="003E439D"/>
    <w:rsid w:val="003E5810"/>
    <w:rsid w:val="003E5A25"/>
    <w:rsid w:val="003E5D32"/>
    <w:rsid w:val="003E691B"/>
    <w:rsid w:val="003E6E97"/>
    <w:rsid w:val="003E7765"/>
    <w:rsid w:val="003E778E"/>
    <w:rsid w:val="003E78F0"/>
    <w:rsid w:val="003E79D7"/>
    <w:rsid w:val="003E7F3F"/>
    <w:rsid w:val="003F0FAD"/>
    <w:rsid w:val="003F0FC1"/>
    <w:rsid w:val="003F1894"/>
    <w:rsid w:val="003F1C77"/>
    <w:rsid w:val="003F3898"/>
    <w:rsid w:val="003F3A1B"/>
    <w:rsid w:val="003F3D0B"/>
    <w:rsid w:val="003F3E3F"/>
    <w:rsid w:val="003F42B8"/>
    <w:rsid w:val="003F4E50"/>
    <w:rsid w:val="003F4EDF"/>
    <w:rsid w:val="003F564A"/>
    <w:rsid w:val="003F572D"/>
    <w:rsid w:val="003F5D0D"/>
    <w:rsid w:val="003F6A41"/>
    <w:rsid w:val="003F6B54"/>
    <w:rsid w:val="003F6CAD"/>
    <w:rsid w:val="003F7235"/>
    <w:rsid w:val="004003FD"/>
    <w:rsid w:val="00402898"/>
    <w:rsid w:val="00402A13"/>
    <w:rsid w:val="0040368D"/>
    <w:rsid w:val="00403A8C"/>
    <w:rsid w:val="004049EE"/>
    <w:rsid w:val="00404D01"/>
    <w:rsid w:val="00404D50"/>
    <w:rsid w:val="00404ECC"/>
    <w:rsid w:val="00404F56"/>
    <w:rsid w:val="004051A6"/>
    <w:rsid w:val="0040652E"/>
    <w:rsid w:val="004071FD"/>
    <w:rsid w:val="0040738B"/>
    <w:rsid w:val="0041009D"/>
    <w:rsid w:val="004112F1"/>
    <w:rsid w:val="00411E8B"/>
    <w:rsid w:val="004122FB"/>
    <w:rsid w:val="00412D87"/>
    <w:rsid w:val="00412F73"/>
    <w:rsid w:val="00413F7A"/>
    <w:rsid w:val="004147E2"/>
    <w:rsid w:val="00415BD1"/>
    <w:rsid w:val="00416802"/>
    <w:rsid w:val="00416812"/>
    <w:rsid w:val="00416BBD"/>
    <w:rsid w:val="00416D0A"/>
    <w:rsid w:val="00417112"/>
    <w:rsid w:val="00420556"/>
    <w:rsid w:val="00420B78"/>
    <w:rsid w:val="00420E3D"/>
    <w:rsid w:val="0042141A"/>
    <w:rsid w:val="00421725"/>
    <w:rsid w:val="00421E05"/>
    <w:rsid w:val="00422223"/>
    <w:rsid w:val="00422AB4"/>
    <w:rsid w:val="00422E58"/>
    <w:rsid w:val="0042311F"/>
    <w:rsid w:val="004234EC"/>
    <w:rsid w:val="004235E3"/>
    <w:rsid w:val="00423606"/>
    <w:rsid w:val="00424647"/>
    <w:rsid w:val="00424703"/>
    <w:rsid w:val="00424934"/>
    <w:rsid w:val="00425C37"/>
    <w:rsid w:val="0042603F"/>
    <w:rsid w:val="004274AD"/>
    <w:rsid w:val="00427703"/>
    <w:rsid w:val="00430C76"/>
    <w:rsid w:val="00430F20"/>
    <w:rsid w:val="00431CF2"/>
    <w:rsid w:val="00431D90"/>
    <w:rsid w:val="00431E46"/>
    <w:rsid w:val="00432002"/>
    <w:rsid w:val="004329FE"/>
    <w:rsid w:val="00432A04"/>
    <w:rsid w:val="004332C6"/>
    <w:rsid w:val="0043402A"/>
    <w:rsid w:val="00434769"/>
    <w:rsid w:val="0043518D"/>
    <w:rsid w:val="004351DE"/>
    <w:rsid w:val="00435C11"/>
    <w:rsid w:val="00436611"/>
    <w:rsid w:val="00437A2F"/>
    <w:rsid w:val="00437D58"/>
    <w:rsid w:val="00440164"/>
    <w:rsid w:val="004405EC"/>
    <w:rsid w:val="00440E18"/>
    <w:rsid w:val="004426B7"/>
    <w:rsid w:val="00442C6D"/>
    <w:rsid w:val="00443834"/>
    <w:rsid w:val="00444140"/>
    <w:rsid w:val="00444217"/>
    <w:rsid w:val="00444ACC"/>
    <w:rsid w:val="00444B3E"/>
    <w:rsid w:val="00445234"/>
    <w:rsid w:val="00446DAE"/>
    <w:rsid w:val="00446E47"/>
    <w:rsid w:val="004476FB"/>
    <w:rsid w:val="00447854"/>
    <w:rsid w:val="00447B58"/>
    <w:rsid w:val="00450013"/>
    <w:rsid w:val="00450709"/>
    <w:rsid w:val="004508C5"/>
    <w:rsid w:val="00450A8E"/>
    <w:rsid w:val="00450C55"/>
    <w:rsid w:val="004514E0"/>
    <w:rsid w:val="004516ED"/>
    <w:rsid w:val="004531AD"/>
    <w:rsid w:val="004532BB"/>
    <w:rsid w:val="004534D6"/>
    <w:rsid w:val="00453696"/>
    <w:rsid w:val="0045377E"/>
    <w:rsid w:val="00453DA8"/>
    <w:rsid w:val="004540DE"/>
    <w:rsid w:val="00454359"/>
    <w:rsid w:val="00454638"/>
    <w:rsid w:val="00454961"/>
    <w:rsid w:val="00455031"/>
    <w:rsid w:val="004551EE"/>
    <w:rsid w:val="00455682"/>
    <w:rsid w:val="00455922"/>
    <w:rsid w:val="00456610"/>
    <w:rsid w:val="00456BE9"/>
    <w:rsid w:val="00460061"/>
    <w:rsid w:val="004603B8"/>
    <w:rsid w:val="004607E7"/>
    <w:rsid w:val="004610FB"/>
    <w:rsid w:val="00461667"/>
    <w:rsid w:val="00461CAB"/>
    <w:rsid w:val="00463040"/>
    <w:rsid w:val="00463317"/>
    <w:rsid w:val="00463CCF"/>
    <w:rsid w:val="00463E66"/>
    <w:rsid w:val="0046562A"/>
    <w:rsid w:val="00465DDA"/>
    <w:rsid w:val="00465E8B"/>
    <w:rsid w:val="0046640E"/>
    <w:rsid w:val="00467256"/>
    <w:rsid w:val="00467674"/>
    <w:rsid w:val="00467A24"/>
    <w:rsid w:val="00470652"/>
    <w:rsid w:val="0047201A"/>
    <w:rsid w:val="004729B4"/>
    <w:rsid w:val="0047422F"/>
    <w:rsid w:val="004742C1"/>
    <w:rsid w:val="00477289"/>
    <w:rsid w:val="00477456"/>
    <w:rsid w:val="00477793"/>
    <w:rsid w:val="00477A00"/>
    <w:rsid w:val="00477F75"/>
    <w:rsid w:val="00480059"/>
    <w:rsid w:val="00480DC1"/>
    <w:rsid w:val="00480DE2"/>
    <w:rsid w:val="00481480"/>
    <w:rsid w:val="00481D6F"/>
    <w:rsid w:val="00482162"/>
    <w:rsid w:val="0048291E"/>
    <w:rsid w:val="00482A59"/>
    <w:rsid w:val="00483666"/>
    <w:rsid w:val="004843A9"/>
    <w:rsid w:val="0048472A"/>
    <w:rsid w:val="00484B49"/>
    <w:rsid w:val="00484D59"/>
    <w:rsid w:val="00485526"/>
    <w:rsid w:val="00485F07"/>
    <w:rsid w:val="00486100"/>
    <w:rsid w:val="0048646C"/>
    <w:rsid w:val="00486503"/>
    <w:rsid w:val="004866D8"/>
    <w:rsid w:val="00486987"/>
    <w:rsid w:val="00487537"/>
    <w:rsid w:val="00487B57"/>
    <w:rsid w:val="00491CDE"/>
    <w:rsid w:val="0049200E"/>
    <w:rsid w:val="00492566"/>
    <w:rsid w:val="00492C10"/>
    <w:rsid w:val="00492E53"/>
    <w:rsid w:val="004933FA"/>
    <w:rsid w:val="004935EE"/>
    <w:rsid w:val="00493F1E"/>
    <w:rsid w:val="00493F29"/>
    <w:rsid w:val="00493F3D"/>
    <w:rsid w:val="00494354"/>
    <w:rsid w:val="00494E82"/>
    <w:rsid w:val="00495886"/>
    <w:rsid w:val="0049662F"/>
    <w:rsid w:val="00496E76"/>
    <w:rsid w:val="00497018"/>
    <w:rsid w:val="00497A39"/>
    <w:rsid w:val="00497B27"/>
    <w:rsid w:val="00497F5B"/>
    <w:rsid w:val="004A0666"/>
    <w:rsid w:val="004A19F6"/>
    <w:rsid w:val="004A1CF8"/>
    <w:rsid w:val="004A1F56"/>
    <w:rsid w:val="004A259D"/>
    <w:rsid w:val="004A2E1F"/>
    <w:rsid w:val="004A3892"/>
    <w:rsid w:val="004A487F"/>
    <w:rsid w:val="004A4B9D"/>
    <w:rsid w:val="004A4CA4"/>
    <w:rsid w:val="004A6F45"/>
    <w:rsid w:val="004A78CA"/>
    <w:rsid w:val="004B02A4"/>
    <w:rsid w:val="004B0356"/>
    <w:rsid w:val="004B0916"/>
    <w:rsid w:val="004B1C66"/>
    <w:rsid w:val="004B1FAC"/>
    <w:rsid w:val="004B2291"/>
    <w:rsid w:val="004B2624"/>
    <w:rsid w:val="004B2A6A"/>
    <w:rsid w:val="004B2E7D"/>
    <w:rsid w:val="004B317D"/>
    <w:rsid w:val="004B4463"/>
    <w:rsid w:val="004B4B08"/>
    <w:rsid w:val="004B53FF"/>
    <w:rsid w:val="004B55ED"/>
    <w:rsid w:val="004B6418"/>
    <w:rsid w:val="004B666A"/>
    <w:rsid w:val="004B6989"/>
    <w:rsid w:val="004B6AD2"/>
    <w:rsid w:val="004B763D"/>
    <w:rsid w:val="004B76D4"/>
    <w:rsid w:val="004C0192"/>
    <w:rsid w:val="004C04BD"/>
    <w:rsid w:val="004C0E2B"/>
    <w:rsid w:val="004C1270"/>
    <w:rsid w:val="004C1B57"/>
    <w:rsid w:val="004C1E9C"/>
    <w:rsid w:val="004C36A9"/>
    <w:rsid w:val="004C497E"/>
    <w:rsid w:val="004C4AD3"/>
    <w:rsid w:val="004C53C4"/>
    <w:rsid w:val="004C5844"/>
    <w:rsid w:val="004C6408"/>
    <w:rsid w:val="004C6AD2"/>
    <w:rsid w:val="004C6F26"/>
    <w:rsid w:val="004C7513"/>
    <w:rsid w:val="004C782F"/>
    <w:rsid w:val="004C7F15"/>
    <w:rsid w:val="004D00C0"/>
    <w:rsid w:val="004D0448"/>
    <w:rsid w:val="004D0BA0"/>
    <w:rsid w:val="004D0BD0"/>
    <w:rsid w:val="004D1D79"/>
    <w:rsid w:val="004D34C3"/>
    <w:rsid w:val="004D45C4"/>
    <w:rsid w:val="004D487B"/>
    <w:rsid w:val="004D4D09"/>
    <w:rsid w:val="004D5792"/>
    <w:rsid w:val="004D6A43"/>
    <w:rsid w:val="004D7C59"/>
    <w:rsid w:val="004E02E5"/>
    <w:rsid w:val="004E15D4"/>
    <w:rsid w:val="004E16F7"/>
    <w:rsid w:val="004E2127"/>
    <w:rsid w:val="004E296C"/>
    <w:rsid w:val="004E2AE2"/>
    <w:rsid w:val="004E3A28"/>
    <w:rsid w:val="004E3C34"/>
    <w:rsid w:val="004E3C87"/>
    <w:rsid w:val="004E3CE1"/>
    <w:rsid w:val="004E41E2"/>
    <w:rsid w:val="004E55B7"/>
    <w:rsid w:val="004E56D9"/>
    <w:rsid w:val="004E5DCB"/>
    <w:rsid w:val="004E637C"/>
    <w:rsid w:val="004E662F"/>
    <w:rsid w:val="004E725F"/>
    <w:rsid w:val="004E790B"/>
    <w:rsid w:val="004E7D1F"/>
    <w:rsid w:val="004F0307"/>
    <w:rsid w:val="004F0C75"/>
    <w:rsid w:val="004F142E"/>
    <w:rsid w:val="004F1517"/>
    <w:rsid w:val="004F1523"/>
    <w:rsid w:val="004F2892"/>
    <w:rsid w:val="004F29DC"/>
    <w:rsid w:val="004F2DD5"/>
    <w:rsid w:val="004F38D3"/>
    <w:rsid w:val="004F3ECB"/>
    <w:rsid w:val="004F45A5"/>
    <w:rsid w:val="004F49AE"/>
    <w:rsid w:val="004F4D44"/>
    <w:rsid w:val="004F60F0"/>
    <w:rsid w:val="004F6534"/>
    <w:rsid w:val="004F6FCA"/>
    <w:rsid w:val="004F7292"/>
    <w:rsid w:val="004F7453"/>
    <w:rsid w:val="005005A1"/>
    <w:rsid w:val="00500B8C"/>
    <w:rsid w:val="0050150A"/>
    <w:rsid w:val="005016FD"/>
    <w:rsid w:val="005017CC"/>
    <w:rsid w:val="005027F1"/>
    <w:rsid w:val="00502B48"/>
    <w:rsid w:val="00502EEA"/>
    <w:rsid w:val="00503DD2"/>
    <w:rsid w:val="005048DA"/>
    <w:rsid w:val="00504C15"/>
    <w:rsid w:val="00504CCB"/>
    <w:rsid w:val="00505537"/>
    <w:rsid w:val="00506754"/>
    <w:rsid w:val="00506C1E"/>
    <w:rsid w:val="00506CCD"/>
    <w:rsid w:val="0050717B"/>
    <w:rsid w:val="00507647"/>
    <w:rsid w:val="0051007E"/>
    <w:rsid w:val="00510BB6"/>
    <w:rsid w:val="00511D79"/>
    <w:rsid w:val="0051305D"/>
    <w:rsid w:val="0051432D"/>
    <w:rsid w:val="005154AD"/>
    <w:rsid w:val="00515628"/>
    <w:rsid w:val="00515BE6"/>
    <w:rsid w:val="005160F6"/>
    <w:rsid w:val="005173B6"/>
    <w:rsid w:val="00520280"/>
    <w:rsid w:val="00520497"/>
    <w:rsid w:val="00520520"/>
    <w:rsid w:val="00520CEA"/>
    <w:rsid w:val="005213D0"/>
    <w:rsid w:val="00521423"/>
    <w:rsid w:val="005229B8"/>
    <w:rsid w:val="00523135"/>
    <w:rsid w:val="0052318E"/>
    <w:rsid w:val="00523C54"/>
    <w:rsid w:val="00523E78"/>
    <w:rsid w:val="00524020"/>
    <w:rsid w:val="0052466B"/>
    <w:rsid w:val="005248DE"/>
    <w:rsid w:val="00525D3A"/>
    <w:rsid w:val="005261D6"/>
    <w:rsid w:val="005262E7"/>
    <w:rsid w:val="00526A26"/>
    <w:rsid w:val="0053207B"/>
    <w:rsid w:val="00532381"/>
    <w:rsid w:val="005323FA"/>
    <w:rsid w:val="0053380D"/>
    <w:rsid w:val="00533837"/>
    <w:rsid w:val="00534688"/>
    <w:rsid w:val="00534A8F"/>
    <w:rsid w:val="00535A75"/>
    <w:rsid w:val="0053617F"/>
    <w:rsid w:val="005362E8"/>
    <w:rsid w:val="0053654A"/>
    <w:rsid w:val="00536689"/>
    <w:rsid w:val="00536855"/>
    <w:rsid w:val="00536872"/>
    <w:rsid w:val="00536D50"/>
    <w:rsid w:val="00536D89"/>
    <w:rsid w:val="00536F4A"/>
    <w:rsid w:val="00537C9C"/>
    <w:rsid w:val="0054163B"/>
    <w:rsid w:val="00542B31"/>
    <w:rsid w:val="00545239"/>
    <w:rsid w:val="005454E5"/>
    <w:rsid w:val="00546B8A"/>
    <w:rsid w:val="00546D05"/>
    <w:rsid w:val="00547244"/>
    <w:rsid w:val="00547933"/>
    <w:rsid w:val="005508AD"/>
    <w:rsid w:val="0055098D"/>
    <w:rsid w:val="00550B24"/>
    <w:rsid w:val="00550FD2"/>
    <w:rsid w:val="005513B4"/>
    <w:rsid w:val="00552031"/>
    <w:rsid w:val="005528E7"/>
    <w:rsid w:val="00553018"/>
    <w:rsid w:val="0055382B"/>
    <w:rsid w:val="0055412E"/>
    <w:rsid w:val="0055419D"/>
    <w:rsid w:val="0055583F"/>
    <w:rsid w:val="005573C1"/>
    <w:rsid w:val="00557817"/>
    <w:rsid w:val="00557A6F"/>
    <w:rsid w:val="00557ED9"/>
    <w:rsid w:val="005601C1"/>
    <w:rsid w:val="005603EF"/>
    <w:rsid w:val="00560A56"/>
    <w:rsid w:val="00560B40"/>
    <w:rsid w:val="00560CD8"/>
    <w:rsid w:val="005611CE"/>
    <w:rsid w:val="005612EC"/>
    <w:rsid w:val="00561575"/>
    <w:rsid w:val="005627B1"/>
    <w:rsid w:val="005631C0"/>
    <w:rsid w:val="00563B8A"/>
    <w:rsid w:val="0056408D"/>
    <w:rsid w:val="005651D0"/>
    <w:rsid w:val="00565220"/>
    <w:rsid w:val="00565370"/>
    <w:rsid w:val="00565470"/>
    <w:rsid w:val="005658E3"/>
    <w:rsid w:val="00565B06"/>
    <w:rsid w:val="00566941"/>
    <w:rsid w:val="00566DB4"/>
    <w:rsid w:val="005670F9"/>
    <w:rsid w:val="005672F2"/>
    <w:rsid w:val="005678DE"/>
    <w:rsid w:val="0056793E"/>
    <w:rsid w:val="00567C83"/>
    <w:rsid w:val="005700B8"/>
    <w:rsid w:val="0057024B"/>
    <w:rsid w:val="00570292"/>
    <w:rsid w:val="0057092B"/>
    <w:rsid w:val="0057110F"/>
    <w:rsid w:val="00571B2A"/>
    <w:rsid w:val="00572145"/>
    <w:rsid w:val="00572CE9"/>
    <w:rsid w:val="00573A2D"/>
    <w:rsid w:val="005749DA"/>
    <w:rsid w:val="005760B0"/>
    <w:rsid w:val="0057769E"/>
    <w:rsid w:val="00580435"/>
    <w:rsid w:val="005805B7"/>
    <w:rsid w:val="00580751"/>
    <w:rsid w:val="005812C5"/>
    <w:rsid w:val="00581990"/>
    <w:rsid w:val="0058223C"/>
    <w:rsid w:val="0058260F"/>
    <w:rsid w:val="00583EF1"/>
    <w:rsid w:val="005865CB"/>
    <w:rsid w:val="00586784"/>
    <w:rsid w:val="00586C4A"/>
    <w:rsid w:val="005871CB"/>
    <w:rsid w:val="00587424"/>
    <w:rsid w:val="005878DB"/>
    <w:rsid w:val="0058797B"/>
    <w:rsid w:val="00587E29"/>
    <w:rsid w:val="005927A5"/>
    <w:rsid w:val="00593039"/>
    <w:rsid w:val="005936F6"/>
    <w:rsid w:val="00593785"/>
    <w:rsid w:val="005938A2"/>
    <w:rsid w:val="005940FD"/>
    <w:rsid w:val="00595AA4"/>
    <w:rsid w:val="00595B4C"/>
    <w:rsid w:val="0059666A"/>
    <w:rsid w:val="00596851"/>
    <w:rsid w:val="0059713E"/>
    <w:rsid w:val="00597444"/>
    <w:rsid w:val="005A00B5"/>
    <w:rsid w:val="005A08EF"/>
    <w:rsid w:val="005A0AC7"/>
    <w:rsid w:val="005A0E6F"/>
    <w:rsid w:val="005A1051"/>
    <w:rsid w:val="005A16C7"/>
    <w:rsid w:val="005A299D"/>
    <w:rsid w:val="005A328B"/>
    <w:rsid w:val="005A3AC4"/>
    <w:rsid w:val="005A4B7F"/>
    <w:rsid w:val="005A5AC3"/>
    <w:rsid w:val="005A5B4C"/>
    <w:rsid w:val="005A5BE3"/>
    <w:rsid w:val="005A691E"/>
    <w:rsid w:val="005A6A43"/>
    <w:rsid w:val="005A6F87"/>
    <w:rsid w:val="005A70AD"/>
    <w:rsid w:val="005A797A"/>
    <w:rsid w:val="005B08E4"/>
    <w:rsid w:val="005B0BD6"/>
    <w:rsid w:val="005B13FA"/>
    <w:rsid w:val="005B197A"/>
    <w:rsid w:val="005B201E"/>
    <w:rsid w:val="005B23DC"/>
    <w:rsid w:val="005B321C"/>
    <w:rsid w:val="005B37F7"/>
    <w:rsid w:val="005B3D2A"/>
    <w:rsid w:val="005B45A3"/>
    <w:rsid w:val="005B4D67"/>
    <w:rsid w:val="005B535B"/>
    <w:rsid w:val="005B59CB"/>
    <w:rsid w:val="005B5DAB"/>
    <w:rsid w:val="005B6435"/>
    <w:rsid w:val="005B775D"/>
    <w:rsid w:val="005B790D"/>
    <w:rsid w:val="005C0C8C"/>
    <w:rsid w:val="005C1213"/>
    <w:rsid w:val="005C1661"/>
    <w:rsid w:val="005C17AA"/>
    <w:rsid w:val="005C27A6"/>
    <w:rsid w:val="005C3507"/>
    <w:rsid w:val="005C373C"/>
    <w:rsid w:val="005C3DFA"/>
    <w:rsid w:val="005C4574"/>
    <w:rsid w:val="005C45D7"/>
    <w:rsid w:val="005C4AFE"/>
    <w:rsid w:val="005C5F92"/>
    <w:rsid w:val="005C684D"/>
    <w:rsid w:val="005C6997"/>
    <w:rsid w:val="005C7210"/>
    <w:rsid w:val="005C784C"/>
    <w:rsid w:val="005C786F"/>
    <w:rsid w:val="005C79C9"/>
    <w:rsid w:val="005C7AFE"/>
    <w:rsid w:val="005D02BA"/>
    <w:rsid w:val="005D04B6"/>
    <w:rsid w:val="005D0A54"/>
    <w:rsid w:val="005D0B56"/>
    <w:rsid w:val="005D0F20"/>
    <w:rsid w:val="005D10E6"/>
    <w:rsid w:val="005D1294"/>
    <w:rsid w:val="005D25F9"/>
    <w:rsid w:val="005D3885"/>
    <w:rsid w:val="005D3F38"/>
    <w:rsid w:val="005D500D"/>
    <w:rsid w:val="005D51FF"/>
    <w:rsid w:val="005D5CE7"/>
    <w:rsid w:val="005D6357"/>
    <w:rsid w:val="005D6D4B"/>
    <w:rsid w:val="005D70FE"/>
    <w:rsid w:val="005E0FBD"/>
    <w:rsid w:val="005E11B5"/>
    <w:rsid w:val="005E2AFF"/>
    <w:rsid w:val="005E3430"/>
    <w:rsid w:val="005E396E"/>
    <w:rsid w:val="005E477F"/>
    <w:rsid w:val="005E4D25"/>
    <w:rsid w:val="005E4DCC"/>
    <w:rsid w:val="005E5151"/>
    <w:rsid w:val="005E5214"/>
    <w:rsid w:val="005E5F08"/>
    <w:rsid w:val="005E658F"/>
    <w:rsid w:val="005E7885"/>
    <w:rsid w:val="005F0613"/>
    <w:rsid w:val="005F0850"/>
    <w:rsid w:val="005F0A72"/>
    <w:rsid w:val="005F0F9C"/>
    <w:rsid w:val="005F101C"/>
    <w:rsid w:val="005F12E1"/>
    <w:rsid w:val="005F184D"/>
    <w:rsid w:val="005F1F1F"/>
    <w:rsid w:val="005F1F64"/>
    <w:rsid w:val="005F29AA"/>
    <w:rsid w:val="005F2E3B"/>
    <w:rsid w:val="005F334D"/>
    <w:rsid w:val="005F38B1"/>
    <w:rsid w:val="005F3B90"/>
    <w:rsid w:val="005F3BC1"/>
    <w:rsid w:val="005F3D78"/>
    <w:rsid w:val="005F4276"/>
    <w:rsid w:val="005F4746"/>
    <w:rsid w:val="005F4791"/>
    <w:rsid w:val="005F4CCA"/>
    <w:rsid w:val="005F50F3"/>
    <w:rsid w:val="005F55C1"/>
    <w:rsid w:val="005F5C1E"/>
    <w:rsid w:val="005F5EAC"/>
    <w:rsid w:val="005F5FB6"/>
    <w:rsid w:val="005F6107"/>
    <w:rsid w:val="005F61AE"/>
    <w:rsid w:val="005F6F92"/>
    <w:rsid w:val="005F7C3B"/>
    <w:rsid w:val="005F7E8D"/>
    <w:rsid w:val="00600398"/>
    <w:rsid w:val="00600A90"/>
    <w:rsid w:val="00600DCD"/>
    <w:rsid w:val="0060129B"/>
    <w:rsid w:val="006017EB"/>
    <w:rsid w:val="006020AC"/>
    <w:rsid w:val="00602E24"/>
    <w:rsid w:val="00602E6A"/>
    <w:rsid w:val="006046C8"/>
    <w:rsid w:val="00604E35"/>
    <w:rsid w:val="0060528E"/>
    <w:rsid w:val="00605574"/>
    <w:rsid w:val="00606941"/>
    <w:rsid w:val="006072E7"/>
    <w:rsid w:val="00610901"/>
    <w:rsid w:val="0061131E"/>
    <w:rsid w:val="00611B2A"/>
    <w:rsid w:val="006122AE"/>
    <w:rsid w:val="006130AE"/>
    <w:rsid w:val="00613CB7"/>
    <w:rsid w:val="00613E1F"/>
    <w:rsid w:val="0061448D"/>
    <w:rsid w:val="00614C4F"/>
    <w:rsid w:val="00614DC7"/>
    <w:rsid w:val="00615AA2"/>
    <w:rsid w:val="00616395"/>
    <w:rsid w:val="0062044D"/>
    <w:rsid w:val="0062044E"/>
    <w:rsid w:val="00620606"/>
    <w:rsid w:val="00620639"/>
    <w:rsid w:val="00620EE7"/>
    <w:rsid w:val="00621018"/>
    <w:rsid w:val="0062169F"/>
    <w:rsid w:val="00621D10"/>
    <w:rsid w:val="006229C0"/>
    <w:rsid w:val="00622CB5"/>
    <w:rsid w:val="00623A30"/>
    <w:rsid w:val="0062476E"/>
    <w:rsid w:val="006248E6"/>
    <w:rsid w:val="00624EC6"/>
    <w:rsid w:val="0062534F"/>
    <w:rsid w:val="006270FF"/>
    <w:rsid w:val="006279E4"/>
    <w:rsid w:val="00627E13"/>
    <w:rsid w:val="00630222"/>
    <w:rsid w:val="00630459"/>
    <w:rsid w:val="00630F6F"/>
    <w:rsid w:val="00631505"/>
    <w:rsid w:val="00632245"/>
    <w:rsid w:val="0063225C"/>
    <w:rsid w:val="006323DD"/>
    <w:rsid w:val="006327BB"/>
    <w:rsid w:val="00632FD3"/>
    <w:rsid w:val="006335EF"/>
    <w:rsid w:val="006348C2"/>
    <w:rsid w:val="00634A4C"/>
    <w:rsid w:val="00634DE6"/>
    <w:rsid w:val="0063508F"/>
    <w:rsid w:val="006372BF"/>
    <w:rsid w:val="00637322"/>
    <w:rsid w:val="00637434"/>
    <w:rsid w:val="0063785D"/>
    <w:rsid w:val="0064055F"/>
    <w:rsid w:val="0064076F"/>
    <w:rsid w:val="00640CA8"/>
    <w:rsid w:val="006418E5"/>
    <w:rsid w:val="006421EA"/>
    <w:rsid w:val="00642772"/>
    <w:rsid w:val="00642ED3"/>
    <w:rsid w:val="006431C8"/>
    <w:rsid w:val="006439AE"/>
    <w:rsid w:val="006441C1"/>
    <w:rsid w:val="006446BC"/>
    <w:rsid w:val="0064578A"/>
    <w:rsid w:val="00645953"/>
    <w:rsid w:val="00646614"/>
    <w:rsid w:val="00646BC6"/>
    <w:rsid w:val="00646CCC"/>
    <w:rsid w:val="00646D03"/>
    <w:rsid w:val="00650445"/>
    <w:rsid w:val="00651109"/>
    <w:rsid w:val="006517A0"/>
    <w:rsid w:val="00651A1C"/>
    <w:rsid w:val="006536AF"/>
    <w:rsid w:val="00654230"/>
    <w:rsid w:val="00655371"/>
    <w:rsid w:val="00655DFD"/>
    <w:rsid w:val="006562D8"/>
    <w:rsid w:val="00656B2E"/>
    <w:rsid w:val="00656B88"/>
    <w:rsid w:val="00657332"/>
    <w:rsid w:val="00657C33"/>
    <w:rsid w:val="006605F9"/>
    <w:rsid w:val="00660999"/>
    <w:rsid w:val="00660BC7"/>
    <w:rsid w:val="00661E42"/>
    <w:rsid w:val="006620E0"/>
    <w:rsid w:val="006630BE"/>
    <w:rsid w:val="00664805"/>
    <w:rsid w:val="00664B10"/>
    <w:rsid w:val="00664E88"/>
    <w:rsid w:val="006650D3"/>
    <w:rsid w:val="006653B3"/>
    <w:rsid w:val="006654A9"/>
    <w:rsid w:val="006667E1"/>
    <w:rsid w:val="00670317"/>
    <w:rsid w:val="0067093E"/>
    <w:rsid w:val="006713AB"/>
    <w:rsid w:val="00671976"/>
    <w:rsid w:val="00672890"/>
    <w:rsid w:val="00672B19"/>
    <w:rsid w:val="00673B1C"/>
    <w:rsid w:val="00674A59"/>
    <w:rsid w:val="00674C74"/>
    <w:rsid w:val="00675260"/>
    <w:rsid w:val="00675350"/>
    <w:rsid w:val="0067650E"/>
    <w:rsid w:val="00676E14"/>
    <w:rsid w:val="00676F2E"/>
    <w:rsid w:val="00677896"/>
    <w:rsid w:val="00677AAE"/>
    <w:rsid w:val="00677ABE"/>
    <w:rsid w:val="00677DB8"/>
    <w:rsid w:val="00680FCC"/>
    <w:rsid w:val="006811FF"/>
    <w:rsid w:val="00681B16"/>
    <w:rsid w:val="00681BF8"/>
    <w:rsid w:val="00681E6F"/>
    <w:rsid w:val="00682287"/>
    <w:rsid w:val="006822B5"/>
    <w:rsid w:val="00683102"/>
    <w:rsid w:val="0068317C"/>
    <w:rsid w:val="006832D6"/>
    <w:rsid w:val="00683CE9"/>
    <w:rsid w:val="006841BF"/>
    <w:rsid w:val="006845A4"/>
    <w:rsid w:val="00684DB1"/>
    <w:rsid w:val="006872CF"/>
    <w:rsid w:val="00687FB6"/>
    <w:rsid w:val="006914EA"/>
    <w:rsid w:val="00691B91"/>
    <w:rsid w:val="006925DD"/>
    <w:rsid w:val="006928AC"/>
    <w:rsid w:val="00692BB2"/>
    <w:rsid w:val="00692BFF"/>
    <w:rsid w:val="00693091"/>
    <w:rsid w:val="0069401A"/>
    <w:rsid w:val="006948AC"/>
    <w:rsid w:val="00694D39"/>
    <w:rsid w:val="006953CA"/>
    <w:rsid w:val="006954EC"/>
    <w:rsid w:val="006959D6"/>
    <w:rsid w:val="00695EC8"/>
    <w:rsid w:val="00696909"/>
    <w:rsid w:val="00697114"/>
    <w:rsid w:val="00697BC6"/>
    <w:rsid w:val="006A1B84"/>
    <w:rsid w:val="006A1FEF"/>
    <w:rsid w:val="006A27C2"/>
    <w:rsid w:val="006A2EBD"/>
    <w:rsid w:val="006A3009"/>
    <w:rsid w:val="006A3E7B"/>
    <w:rsid w:val="006A4D9B"/>
    <w:rsid w:val="006A6950"/>
    <w:rsid w:val="006A7210"/>
    <w:rsid w:val="006A757D"/>
    <w:rsid w:val="006A7B32"/>
    <w:rsid w:val="006B002A"/>
    <w:rsid w:val="006B130C"/>
    <w:rsid w:val="006B15F2"/>
    <w:rsid w:val="006B28B5"/>
    <w:rsid w:val="006B32C8"/>
    <w:rsid w:val="006B3A46"/>
    <w:rsid w:val="006B5301"/>
    <w:rsid w:val="006B698B"/>
    <w:rsid w:val="006B7C2C"/>
    <w:rsid w:val="006C1A19"/>
    <w:rsid w:val="006C221E"/>
    <w:rsid w:val="006C376B"/>
    <w:rsid w:val="006C4319"/>
    <w:rsid w:val="006C440B"/>
    <w:rsid w:val="006C453C"/>
    <w:rsid w:val="006C45C7"/>
    <w:rsid w:val="006C4881"/>
    <w:rsid w:val="006C4BC0"/>
    <w:rsid w:val="006C50E7"/>
    <w:rsid w:val="006C5C73"/>
    <w:rsid w:val="006C5DC3"/>
    <w:rsid w:val="006C616B"/>
    <w:rsid w:val="006C63FB"/>
    <w:rsid w:val="006C6D72"/>
    <w:rsid w:val="006D0115"/>
    <w:rsid w:val="006D0279"/>
    <w:rsid w:val="006D03DF"/>
    <w:rsid w:val="006D1327"/>
    <w:rsid w:val="006D1F03"/>
    <w:rsid w:val="006D1F8F"/>
    <w:rsid w:val="006D2971"/>
    <w:rsid w:val="006D2E24"/>
    <w:rsid w:val="006D38EB"/>
    <w:rsid w:val="006D4A4A"/>
    <w:rsid w:val="006D4ADB"/>
    <w:rsid w:val="006D4D36"/>
    <w:rsid w:val="006D6E79"/>
    <w:rsid w:val="006E017B"/>
    <w:rsid w:val="006E06A9"/>
    <w:rsid w:val="006E0888"/>
    <w:rsid w:val="006E097F"/>
    <w:rsid w:val="006E0E4A"/>
    <w:rsid w:val="006E1778"/>
    <w:rsid w:val="006E17B0"/>
    <w:rsid w:val="006E1A8C"/>
    <w:rsid w:val="006E2595"/>
    <w:rsid w:val="006E2694"/>
    <w:rsid w:val="006E2A1F"/>
    <w:rsid w:val="006E2A78"/>
    <w:rsid w:val="006E5500"/>
    <w:rsid w:val="006E58AF"/>
    <w:rsid w:val="006E5D0E"/>
    <w:rsid w:val="006E6261"/>
    <w:rsid w:val="006E65F8"/>
    <w:rsid w:val="006E6A69"/>
    <w:rsid w:val="006E6AC7"/>
    <w:rsid w:val="006E6B4F"/>
    <w:rsid w:val="006E6DD4"/>
    <w:rsid w:val="006E73BA"/>
    <w:rsid w:val="006E7651"/>
    <w:rsid w:val="006E7C40"/>
    <w:rsid w:val="006E7F60"/>
    <w:rsid w:val="006F0181"/>
    <w:rsid w:val="006F03E3"/>
    <w:rsid w:val="006F0660"/>
    <w:rsid w:val="006F0A1F"/>
    <w:rsid w:val="006F0EA8"/>
    <w:rsid w:val="006F0F5F"/>
    <w:rsid w:val="006F150D"/>
    <w:rsid w:val="006F26F3"/>
    <w:rsid w:val="006F2CF3"/>
    <w:rsid w:val="006F3059"/>
    <w:rsid w:val="006F3A64"/>
    <w:rsid w:val="006F5987"/>
    <w:rsid w:val="006F5F1A"/>
    <w:rsid w:val="006F6C67"/>
    <w:rsid w:val="006F6EB9"/>
    <w:rsid w:val="006F7078"/>
    <w:rsid w:val="00700222"/>
    <w:rsid w:val="007002FB"/>
    <w:rsid w:val="0070040B"/>
    <w:rsid w:val="007008C7"/>
    <w:rsid w:val="007008D0"/>
    <w:rsid w:val="00701188"/>
    <w:rsid w:val="0070137E"/>
    <w:rsid w:val="0070287D"/>
    <w:rsid w:val="00702DB9"/>
    <w:rsid w:val="00702E2E"/>
    <w:rsid w:val="00703F39"/>
    <w:rsid w:val="0070554F"/>
    <w:rsid w:val="00705942"/>
    <w:rsid w:val="00705AB2"/>
    <w:rsid w:val="0070619A"/>
    <w:rsid w:val="0070678A"/>
    <w:rsid w:val="00707173"/>
    <w:rsid w:val="00707607"/>
    <w:rsid w:val="0071055F"/>
    <w:rsid w:val="0071095F"/>
    <w:rsid w:val="007118EB"/>
    <w:rsid w:val="00712C57"/>
    <w:rsid w:val="007136CC"/>
    <w:rsid w:val="00713902"/>
    <w:rsid w:val="00713B9A"/>
    <w:rsid w:val="00714281"/>
    <w:rsid w:val="00714BEF"/>
    <w:rsid w:val="007157C8"/>
    <w:rsid w:val="007161CE"/>
    <w:rsid w:val="00716B38"/>
    <w:rsid w:val="00717EE2"/>
    <w:rsid w:val="007206D3"/>
    <w:rsid w:val="00721BEF"/>
    <w:rsid w:val="00722055"/>
    <w:rsid w:val="007228F2"/>
    <w:rsid w:val="00722C23"/>
    <w:rsid w:val="007246ED"/>
    <w:rsid w:val="0072578A"/>
    <w:rsid w:val="00725A8D"/>
    <w:rsid w:val="00727851"/>
    <w:rsid w:val="00727B18"/>
    <w:rsid w:val="00727FA5"/>
    <w:rsid w:val="007314A9"/>
    <w:rsid w:val="007318E5"/>
    <w:rsid w:val="00731984"/>
    <w:rsid w:val="00733157"/>
    <w:rsid w:val="007333F4"/>
    <w:rsid w:val="00733EE3"/>
    <w:rsid w:val="00733F89"/>
    <w:rsid w:val="00734A03"/>
    <w:rsid w:val="007372F4"/>
    <w:rsid w:val="00737FDC"/>
    <w:rsid w:val="007400AC"/>
    <w:rsid w:val="007406F0"/>
    <w:rsid w:val="0074189A"/>
    <w:rsid w:val="00741BAA"/>
    <w:rsid w:val="00741E2A"/>
    <w:rsid w:val="007421DB"/>
    <w:rsid w:val="0074274E"/>
    <w:rsid w:val="00744BA5"/>
    <w:rsid w:val="0074528C"/>
    <w:rsid w:val="00745567"/>
    <w:rsid w:val="00745D02"/>
    <w:rsid w:val="00745D65"/>
    <w:rsid w:val="00745F54"/>
    <w:rsid w:val="007461D4"/>
    <w:rsid w:val="007463A4"/>
    <w:rsid w:val="00746C32"/>
    <w:rsid w:val="007473EE"/>
    <w:rsid w:val="00747802"/>
    <w:rsid w:val="00747E9F"/>
    <w:rsid w:val="00747F86"/>
    <w:rsid w:val="00750184"/>
    <w:rsid w:val="007520CE"/>
    <w:rsid w:val="00752414"/>
    <w:rsid w:val="00752573"/>
    <w:rsid w:val="00752A09"/>
    <w:rsid w:val="007548EC"/>
    <w:rsid w:val="00754B63"/>
    <w:rsid w:val="00756180"/>
    <w:rsid w:val="00756636"/>
    <w:rsid w:val="007566F3"/>
    <w:rsid w:val="00756BC6"/>
    <w:rsid w:val="00756F23"/>
    <w:rsid w:val="00757736"/>
    <w:rsid w:val="00757BB3"/>
    <w:rsid w:val="00760777"/>
    <w:rsid w:val="00762B3F"/>
    <w:rsid w:val="00762B7E"/>
    <w:rsid w:val="007637A9"/>
    <w:rsid w:val="00763B8B"/>
    <w:rsid w:val="0076417B"/>
    <w:rsid w:val="00764C92"/>
    <w:rsid w:val="007651DB"/>
    <w:rsid w:val="0076552A"/>
    <w:rsid w:val="007674EC"/>
    <w:rsid w:val="007675BE"/>
    <w:rsid w:val="0077012E"/>
    <w:rsid w:val="00770158"/>
    <w:rsid w:val="00770B56"/>
    <w:rsid w:val="00770EC4"/>
    <w:rsid w:val="007710A5"/>
    <w:rsid w:val="007717BF"/>
    <w:rsid w:val="0077225D"/>
    <w:rsid w:val="00772E28"/>
    <w:rsid w:val="007734C9"/>
    <w:rsid w:val="00773560"/>
    <w:rsid w:val="007736D0"/>
    <w:rsid w:val="007737B8"/>
    <w:rsid w:val="0077463A"/>
    <w:rsid w:val="007747D1"/>
    <w:rsid w:val="00776341"/>
    <w:rsid w:val="007767C3"/>
    <w:rsid w:val="00776BC9"/>
    <w:rsid w:val="00777325"/>
    <w:rsid w:val="0077786E"/>
    <w:rsid w:val="00777E53"/>
    <w:rsid w:val="007801E4"/>
    <w:rsid w:val="00780A67"/>
    <w:rsid w:val="00780A9A"/>
    <w:rsid w:val="00780AC7"/>
    <w:rsid w:val="00781105"/>
    <w:rsid w:val="007816AC"/>
    <w:rsid w:val="007817D3"/>
    <w:rsid w:val="0078183C"/>
    <w:rsid w:val="00781D05"/>
    <w:rsid w:val="007823ED"/>
    <w:rsid w:val="007838C6"/>
    <w:rsid w:val="007839AA"/>
    <w:rsid w:val="00783C5E"/>
    <w:rsid w:val="00784784"/>
    <w:rsid w:val="0078491B"/>
    <w:rsid w:val="00784D14"/>
    <w:rsid w:val="00784F1D"/>
    <w:rsid w:val="0078588F"/>
    <w:rsid w:val="00787636"/>
    <w:rsid w:val="00787B5A"/>
    <w:rsid w:val="007906B4"/>
    <w:rsid w:val="007916AA"/>
    <w:rsid w:val="007919DB"/>
    <w:rsid w:val="00791A91"/>
    <w:rsid w:val="007929EE"/>
    <w:rsid w:val="00792B92"/>
    <w:rsid w:val="00792E68"/>
    <w:rsid w:val="007930CD"/>
    <w:rsid w:val="00793F64"/>
    <w:rsid w:val="0079532A"/>
    <w:rsid w:val="00795D00"/>
    <w:rsid w:val="0079678C"/>
    <w:rsid w:val="00796F83"/>
    <w:rsid w:val="007972C6"/>
    <w:rsid w:val="00797CE7"/>
    <w:rsid w:val="007A0950"/>
    <w:rsid w:val="007A2176"/>
    <w:rsid w:val="007A2429"/>
    <w:rsid w:val="007A27C4"/>
    <w:rsid w:val="007A34D9"/>
    <w:rsid w:val="007A3771"/>
    <w:rsid w:val="007A39B7"/>
    <w:rsid w:val="007A3A5D"/>
    <w:rsid w:val="007A41EC"/>
    <w:rsid w:val="007A5446"/>
    <w:rsid w:val="007A5863"/>
    <w:rsid w:val="007A5F29"/>
    <w:rsid w:val="007A6883"/>
    <w:rsid w:val="007A6D85"/>
    <w:rsid w:val="007A6E92"/>
    <w:rsid w:val="007A7F00"/>
    <w:rsid w:val="007B06CC"/>
    <w:rsid w:val="007B1015"/>
    <w:rsid w:val="007B1A5C"/>
    <w:rsid w:val="007B3AB0"/>
    <w:rsid w:val="007B4168"/>
    <w:rsid w:val="007B433E"/>
    <w:rsid w:val="007B4AB9"/>
    <w:rsid w:val="007B5BF6"/>
    <w:rsid w:val="007B5C2D"/>
    <w:rsid w:val="007B7058"/>
    <w:rsid w:val="007B74E0"/>
    <w:rsid w:val="007B77EC"/>
    <w:rsid w:val="007B785D"/>
    <w:rsid w:val="007B7B20"/>
    <w:rsid w:val="007C164A"/>
    <w:rsid w:val="007C236F"/>
    <w:rsid w:val="007C2738"/>
    <w:rsid w:val="007C2746"/>
    <w:rsid w:val="007C2BCF"/>
    <w:rsid w:val="007C3645"/>
    <w:rsid w:val="007C429E"/>
    <w:rsid w:val="007C445E"/>
    <w:rsid w:val="007C4B10"/>
    <w:rsid w:val="007C56A9"/>
    <w:rsid w:val="007C5785"/>
    <w:rsid w:val="007C627E"/>
    <w:rsid w:val="007C6C74"/>
    <w:rsid w:val="007C76C8"/>
    <w:rsid w:val="007D03D2"/>
    <w:rsid w:val="007D0A66"/>
    <w:rsid w:val="007D27D9"/>
    <w:rsid w:val="007D2842"/>
    <w:rsid w:val="007D3061"/>
    <w:rsid w:val="007D376D"/>
    <w:rsid w:val="007D3BA1"/>
    <w:rsid w:val="007D401F"/>
    <w:rsid w:val="007D4F2C"/>
    <w:rsid w:val="007D5151"/>
    <w:rsid w:val="007D7383"/>
    <w:rsid w:val="007D7E2A"/>
    <w:rsid w:val="007E1113"/>
    <w:rsid w:val="007E155F"/>
    <w:rsid w:val="007E1BDD"/>
    <w:rsid w:val="007E20BA"/>
    <w:rsid w:val="007E28AC"/>
    <w:rsid w:val="007E2928"/>
    <w:rsid w:val="007E2C07"/>
    <w:rsid w:val="007E3350"/>
    <w:rsid w:val="007E3ABE"/>
    <w:rsid w:val="007E455D"/>
    <w:rsid w:val="007E467A"/>
    <w:rsid w:val="007E51A5"/>
    <w:rsid w:val="007E5E3C"/>
    <w:rsid w:val="007E65BE"/>
    <w:rsid w:val="007E69AB"/>
    <w:rsid w:val="007E6BB3"/>
    <w:rsid w:val="007F042F"/>
    <w:rsid w:val="007F081A"/>
    <w:rsid w:val="007F0A0A"/>
    <w:rsid w:val="007F1727"/>
    <w:rsid w:val="007F1B48"/>
    <w:rsid w:val="007F1D70"/>
    <w:rsid w:val="007F1E8C"/>
    <w:rsid w:val="007F2464"/>
    <w:rsid w:val="007F248C"/>
    <w:rsid w:val="007F3C2C"/>
    <w:rsid w:val="007F441B"/>
    <w:rsid w:val="007F5555"/>
    <w:rsid w:val="007F5AD1"/>
    <w:rsid w:val="007F5EF6"/>
    <w:rsid w:val="007F6A57"/>
    <w:rsid w:val="007F6BBF"/>
    <w:rsid w:val="007F6EAA"/>
    <w:rsid w:val="007F782D"/>
    <w:rsid w:val="00800136"/>
    <w:rsid w:val="00800575"/>
    <w:rsid w:val="00801CCA"/>
    <w:rsid w:val="00802783"/>
    <w:rsid w:val="0080290B"/>
    <w:rsid w:val="0080417F"/>
    <w:rsid w:val="008043A1"/>
    <w:rsid w:val="008045E4"/>
    <w:rsid w:val="008051C9"/>
    <w:rsid w:val="00806D25"/>
    <w:rsid w:val="008110DA"/>
    <w:rsid w:val="0081135B"/>
    <w:rsid w:val="00812EDE"/>
    <w:rsid w:val="0081304C"/>
    <w:rsid w:val="00813373"/>
    <w:rsid w:val="0081353E"/>
    <w:rsid w:val="00814CE6"/>
    <w:rsid w:val="00814F17"/>
    <w:rsid w:val="0081696A"/>
    <w:rsid w:val="00816EBB"/>
    <w:rsid w:val="008170CE"/>
    <w:rsid w:val="00817642"/>
    <w:rsid w:val="00821C08"/>
    <w:rsid w:val="00821D78"/>
    <w:rsid w:val="0082313D"/>
    <w:rsid w:val="00823153"/>
    <w:rsid w:val="008235A6"/>
    <w:rsid w:val="00823718"/>
    <w:rsid w:val="008240B3"/>
    <w:rsid w:val="00824186"/>
    <w:rsid w:val="008248CE"/>
    <w:rsid w:val="00826265"/>
    <w:rsid w:val="00826288"/>
    <w:rsid w:val="00826980"/>
    <w:rsid w:val="008277D5"/>
    <w:rsid w:val="008303D2"/>
    <w:rsid w:val="008313D1"/>
    <w:rsid w:val="008325BF"/>
    <w:rsid w:val="00832658"/>
    <w:rsid w:val="00832E14"/>
    <w:rsid w:val="00833150"/>
    <w:rsid w:val="00834231"/>
    <w:rsid w:val="008344B3"/>
    <w:rsid w:val="00834CEE"/>
    <w:rsid w:val="00834EA0"/>
    <w:rsid w:val="00835CAA"/>
    <w:rsid w:val="00836163"/>
    <w:rsid w:val="008368B9"/>
    <w:rsid w:val="008368E9"/>
    <w:rsid w:val="00837134"/>
    <w:rsid w:val="0083735B"/>
    <w:rsid w:val="0083787C"/>
    <w:rsid w:val="008378CA"/>
    <w:rsid w:val="00840131"/>
    <w:rsid w:val="008403BF"/>
    <w:rsid w:val="00840A7D"/>
    <w:rsid w:val="00841D48"/>
    <w:rsid w:val="00842CE2"/>
    <w:rsid w:val="0084355E"/>
    <w:rsid w:val="008439AB"/>
    <w:rsid w:val="00844042"/>
    <w:rsid w:val="008447D4"/>
    <w:rsid w:val="008464F6"/>
    <w:rsid w:val="00846FC6"/>
    <w:rsid w:val="0084736E"/>
    <w:rsid w:val="00847BDD"/>
    <w:rsid w:val="0085093E"/>
    <w:rsid w:val="00851BBA"/>
    <w:rsid w:val="0085254F"/>
    <w:rsid w:val="00852DE2"/>
    <w:rsid w:val="008540D0"/>
    <w:rsid w:val="00854918"/>
    <w:rsid w:val="008553AA"/>
    <w:rsid w:val="00855BAE"/>
    <w:rsid w:val="00856DFA"/>
    <w:rsid w:val="00857B23"/>
    <w:rsid w:val="0086027E"/>
    <w:rsid w:val="008603B7"/>
    <w:rsid w:val="00861681"/>
    <w:rsid w:val="00861B04"/>
    <w:rsid w:val="00863552"/>
    <w:rsid w:val="00863A44"/>
    <w:rsid w:val="00864042"/>
    <w:rsid w:val="00864B06"/>
    <w:rsid w:val="00865BC3"/>
    <w:rsid w:val="0086628D"/>
    <w:rsid w:val="008662A7"/>
    <w:rsid w:val="0086762E"/>
    <w:rsid w:val="00867691"/>
    <w:rsid w:val="00867E3B"/>
    <w:rsid w:val="00870161"/>
    <w:rsid w:val="00870708"/>
    <w:rsid w:val="00870782"/>
    <w:rsid w:val="008707B8"/>
    <w:rsid w:val="00871C82"/>
    <w:rsid w:val="008723AE"/>
    <w:rsid w:val="008726D6"/>
    <w:rsid w:val="008732ED"/>
    <w:rsid w:val="008733D7"/>
    <w:rsid w:val="008737F3"/>
    <w:rsid w:val="00873938"/>
    <w:rsid w:val="00873A79"/>
    <w:rsid w:val="00874D4F"/>
    <w:rsid w:val="00874DFA"/>
    <w:rsid w:val="008755B8"/>
    <w:rsid w:val="00875AAC"/>
    <w:rsid w:val="00875D0E"/>
    <w:rsid w:val="00875EFD"/>
    <w:rsid w:val="00876641"/>
    <w:rsid w:val="008771EE"/>
    <w:rsid w:val="0087737B"/>
    <w:rsid w:val="00877D5F"/>
    <w:rsid w:val="00880E16"/>
    <w:rsid w:val="00880F2B"/>
    <w:rsid w:val="00881330"/>
    <w:rsid w:val="008817D2"/>
    <w:rsid w:val="00881C8C"/>
    <w:rsid w:val="00882464"/>
    <w:rsid w:val="00882833"/>
    <w:rsid w:val="00882FC1"/>
    <w:rsid w:val="00883CEE"/>
    <w:rsid w:val="00883D25"/>
    <w:rsid w:val="00884A53"/>
    <w:rsid w:val="0088507D"/>
    <w:rsid w:val="008853ED"/>
    <w:rsid w:val="0088545D"/>
    <w:rsid w:val="00885EAC"/>
    <w:rsid w:val="00885F21"/>
    <w:rsid w:val="008860D2"/>
    <w:rsid w:val="0088628D"/>
    <w:rsid w:val="008863A2"/>
    <w:rsid w:val="00887DF6"/>
    <w:rsid w:val="00890810"/>
    <w:rsid w:val="00890C62"/>
    <w:rsid w:val="00891E31"/>
    <w:rsid w:val="00892ADB"/>
    <w:rsid w:val="008933B8"/>
    <w:rsid w:val="0089360E"/>
    <w:rsid w:val="00893671"/>
    <w:rsid w:val="00893ACE"/>
    <w:rsid w:val="00893D30"/>
    <w:rsid w:val="00894B07"/>
    <w:rsid w:val="00894D05"/>
    <w:rsid w:val="00894EE4"/>
    <w:rsid w:val="0089507F"/>
    <w:rsid w:val="00896C03"/>
    <w:rsid w:val="00896EFD"/>
    <w:rsid w:val="008974FE"/>
    <w:rsid w:val="00897F5D"/>
    <w:rsid w:val="008A01B8"/>
    <w:rsid w:val="008A0F38"/>
    <w:rsid w:val="008A1BF8"/>
    <w:rsid w:val="008A1E13"/>
    <w:rsid w:val="008A353B"/>
    <w:rsid w:val="008A54E7"/>
    <w:rsid w:val="008A5BDF"/>
    <w:rsid w:val="008A6A26"/>
    <w:rsid w:val="008A6BAF"/>
    <w:rsid w:val="008A6F28"/>
    <w:rsid w:val="008A7640"/>
    <w:rsid w:val="008A79A1"/>
    <w:rsid w:val="008B08A8"/>
    <w:rsid w:val="008B0934"/>
    <w:rsid w:val="008B09E4"/>
    <w:rsid w:val="008B0B15"/>
    <w:rsid w:val="008B10CB"/>
    <w:rsid w:val="008B17E9"/>
    <w:rsid w:val="008B1BA0"/>
    <w:rsid w:val="008B1E15"/>
    <w:rsid w:val="008B1E21"/>
    <w:rsid w:val="008B1FA5"/>
    <w:rsid w:val="008B2BA3"/>
    <w:rsid w:val="008B3133"/>
    <w:rsid w:val="008B33AC"/>
    <w:rsid w:val="008B3900"/>
    <w:rsid w:val="008B3CB6"/>
    <w:rsid w:val="008B4B66"/>
    <w:rsid w:val="008B562D"/>
    <w:rsid w:val="008B643D"/>
    <w:rsid w:val="008B69BE"/>
    <w:rsid w:val="008B6CA7"/>
    <w:rsid w:val="008B7868"/>
    <w:rsid w:val="008B7DFC"/>
    <w:rsid w:val="008C021D"/>
    <w:rsid w:val="008C0654"/>
    <w:rsid w:val="008C0853"/>
    <w:rsid w:val="008C3975"/>
    <w:rsid w:val="008C47BA"/>
    <w:rsid w:val="008C5185"/>
    <w:rsid w:val="008C55EB"/>
    <w:rsid w:val="008C67E5"/>
    <w:rsid w:val="008C6C0B"/>
    <w:rsid w:val="008C73C3"/>
    <w:rsid w:val="008C766F"/>
    <w:rsid w:val="008D0819"/>
    <w:rsid w:val="008D0859"/>
    <w:rsid w:val="008D14CF"/>
    <w:rsid w:val="008D2081"/>
    <w:rsid w:val="008D297A"/>
    <w:rsid w:val="008D2B08"/>
    <w:rsid w:val="008D35B1"/>
    <w:rsid w:val="008D4205"/>
    <w:rsid w:val="008D49C9"/>
    <w:rsid w:val="008D6020"/>
    <w:rsid w:val="008D63E9"/>
    <w:rsid w:val="008D6BBC"/>
    <w:rsid w:val="008D7455"/>
    <w:rsid w:val="008D74D0"/>
    <w:rsid w:val="008D74EB"/>
    <w:rsid w:val="008D7BCB"/>
    <w:rsid w:val="008E0C42"/>
    <w:rsid w:val="008E1494"/>
    <w:rsid w:val="008E15EA"/>
    <w:rsid w:val="008E1B5A"/>
    <w:rsid w:val="008E2F74"/>
    <w:rsid w:val="008E3532"/>
    <w:rsid w:val="008E3E3E"/>
    <w:rsid w:val="008E4681"/>
    <w:rsid w:val="008E5216"/>
    <w:rsid w:val="008E68A7"/>
    <w:rsid w:val="008E728C"/>
    <w:rsid w:val="008E7327"/>
    <w:rsid w:val="008E78BF"/>
    <w:rsid w:val="008F03CC"/>
    <w:rsid w:val="008F087E"/>
    <w:rsid w:val="008F189D"/>
    <w:rsid w:val="008F1B54"/>
    <w:rsid w:val="008F255D"/>
    <w:rsid w:val="008F2853"/>
    <w:rsid w:val="008F2EDB"/>
    <w:rsid w:val="008F3209"/>
    <w:rsid w:val="008F3A03"/>
    <w:rsid w:val="008F3FDD"/>
    <w:rsid w:val="008F702F"/>
    <w:rsid w:val="008F70E1"/>
    <w:rsid w:val="008F735D"/>
    <w:rsid w:val="008F78C0"/>
    <w:rsid w:val="009012A5"/>
    <w:rsid w:val="00901A8A"/>
    <w:rsid w:val="0090208D"/>
    <w:rsid w:val="009024C4"/>
    <w:rsid w:val="009029DE"/>
    <w:rsid w:val="0090316E"/>
    <w:rsid w:val="009032CC"/>
    <w:rsid w:val="0090353B"/>
    <w:rsid w:val="009040EB"/>
    <w:rsid w:val="009045E3"/>
    <w:rsid w:val="00905267"/>
    <w:rsid w:val="0090627F"/>
    <w:rsid w:val="0090766A"/>
    <w:rsid w:val="00907B64"/>
    <w:rsid w:val="009101A1"/>
    <w:rsid w:val="0091055F"/>
    <w:rsid w:val="009115D6"/>
    <w:rsid w:val="00912AAC"/>
    <w:rsid w:val="00913442"/>
    <w:rsid w:val="00913CB2"/>
    <w:rsid w:val="00913E0F"/>
    <w:rsid w:val="00915D22"/>
    <w:rsid w:val="00915ECE"/>
    <w:rsid w:val="0091610D"/>
    <w:rsid w:val="009163AD"/>
    <w:rsid w:val="009166B8"/>
    <w:rsid w:val="00916B30"/>
    <w:rsid w:val="00916EFB"/>
    <w:rsid w:val="009201EE"/>
    <w:rsid w:val="009209BD"/>
    <w:rsid w:val="009212C2"/>
    <w:rsid w:val="00921361"/>
    <w:rsid w:val="0092191C"/>
    <w:rsid w:val="00922464"/>
    <w:rsid w:val="00922D98"/>
    <w:rsid w:val="00923600"/>
    <w:rsid w:val="0092394D"/>
    <w:rsid w:val="00923AB8"/>
    <w:rsid w:val="00923AC1"/>
    <w:rsid w:val="00923BAC"/>
    <w:rsid w:val="00923E46"/>
    <w:rsid w:val="00923E7D"/>
    <w:rsid w:val="00925FA1"/>
    <w:rsid w:val="00926019"/>
    <w:rsid w:val="00926A42"/>
    <w:rsid w:val="0092700E"/>
    <w:rsid w:val="009276B1"/>
    <w:rsid w:val="009301AE"/>
    <w:rsid w:val="0093039C"/>
    <w:rsid w:val="00930F58"/>
    <w:rsid w:val="00932182"/>
    <w:rsid w:val="00932A54"/>
    <w:rsid w:val="00932C21"/>
    <w:rsid w:val="00933057"/>
    <w:rsid w:val="009333DA"/>
    <w:rsid w:val="0093379B"/>
    <w:rsid w:val="00933B5D"/>
    <w:rsid w:val="00933BE8"/>
    <w:rsid w:val="00933C65"/>
    <w:rsid w:val="00933CA9"/>
    <w:rsid w:val="00934CDB"/>
    <w:rsid w:val="00935728"/>
    <w:rsid w:val="00936B38"/>
    <w:rsid w:val="00936B7E"/>
    <w:rsid w:val="00937046"/>
    <w:rsid w:val="009370FF"/>
    <w:rsid w:val="009375FD"/>
    <w:rsid w:val="00937911"/>
    <w:rsid w:val="00941CE3"/>
    <w:rsid w:val="00942B91"/>
    <w:rsid w:val="00943A37"/>
    <w:rsid w:val="00944258"/>
    <w:rsid w:val="00944518"/>
    <w:rsid w:val="00944F09"/>
    <w:rsid w:val="0094537C"/>
    <w:rsid w:val="00945899"/>
    <w:rsid w:val="009460D9"/>
    <w:rsid w:val="00946B3E"/>
    <w:rsid w:val="00946D21"/>
    <w:rsid w:val="009474A0"/>
    <w:rsid w:val="00947B58"/>
    <w:rsid w:val="00947ECA"/>
    <w:rsid w:val="00950865"/>
    <w:rsid w:val="00950C35"/>
    <w:rsid w:val="00951444"/>
    <w:rsid w:val="00951816"/>
    <w:rsid w:val="0095273E"/>
    <w:rsid w:val="00952C40"/>
    <w:rsid w:val="00953589"/>
    <w:rsid w:val="009535F6"/>
    <w:rsid w:val="00953A15"/>
    <w:rsid w:val="00954DB3"/>
    <w:rsid w:val="00955755"/>
    <w:rsid w:val="00956091"/>
    <w:rsid w:val="009564B0"/>
    <w:rsid w:val="00957D5A"/>
    <w:rsid w:val="0096023A"/>
    <w:rsid w:val="009602F2"/>
    <w:rsid w:val="0096059E"/>
    <w:rsid w:val="00960F4B"/>
    <w:rsid w:val="0096139B"/>
    <w:rsid w:val="00961AFF"/>
    <w:rsid w:val="009634B8"/>
    <w:rsid w:val="0096394B"/>
    <w:rsid w:val="00963ED8"/>
    <w:rsid w:val="009640D3"/>
    <w:rsid w:val="00964D5A"/>
    <w:rsid w:val="00965C2C"/>
    <w:rsid w:val="00966078"/>
    <w:rsid w:val="00966CA6"/>
    <w:rsid w:val="00970C34"/>
    <w:rsid w:val="0097102C"/>
    <w:rsid w:val="00972702"/>
    <w:rsid w:val="0097275B"/>
    <w:rsid w:val="0097285E"/>
    <w:rsid w:val="00972ED7"/>
    <w:rsid w:val="00973519"/>
    <w:rsid w:val="00973A11"/>
    <w:rsid w:val="0097578C"/>
    <w:rsid w:val="0097581D"/>
    <w:rsid w:val="00975B95"/>
    <w:rsid w:val="00976CE7"/>
    <w:rsid w:val="00976F30"/>
    <w:rsid w:val="00976F92"/>
    <w:rsid w:val="00977563"/>
    <w:rsid w:val="00977A76"/>
    <w:rsid w:val="00980019"/>
    <w:rsid w:val="009804CB"/>
    <w:rsid w:val="009806F1"/>
    <w:rsid w:val="009811F7"/>
    <w:rsid w:val="0098199C"/>
    <w:rsid w:val="00982F14"/>
    <w:rsid w:val="00983CFE"/>
    <w:rsid w:val="009842DC"/>
    <w:rsid w:val="0098438F"/>
    <w:rsid w:val="00984EEA"/>
    <w:rsid w:val="00984FC0"/>
    <w:rsid w:val="0098554F"/>
    <w:rsid w:val="009855AE"/>
    <w:rsid w:val="00985667"/>
    <w:rsid w:val="00986287"/>
    <w:rsid w:val="009875FA"/>
    <w:rsid w:val="0098764F"/>
    <w:rsid w:val="0098784D"/>
    <w:rsid w:val="009878CD"/>
    <w:rsid w:val="00987C93"/>
    <w:rsid w:val="00987EA5"/>
    <w:rsid w:val="0099023B"/>
    <w:rsid w:val="009909C3"/>
    <w:rsid w:val="00991216"/>
    <w:rsid w:val="00991349"/>
    <w:rsid w:val="00991354"/>
    <w:rsid w:val="009913D2"/>
    <w:rsid w:val="00991A65"/>
    <w:rsid w:val="00992415"/>
    <w:rsid w:val="009924AE"/>
    <w:rsid w:val="009934BD"/>
    <w:rsid w:val="009935C1"/>
    <w:rsid w:val="00993943"/>
    <w:rsid w:val="00993F01"/>
    <w:rsid w:val="00994035"/>
    <w:rsid w:val="0099441A"/>
    <w:rsid w:val="0099476D"/>
    <w:rsid w:val="009960CC"/>
    <w:rsid w:val="00996724"/>
    <w:rsid w:val="00996779"/>
    <w:rsid w:val="009A0607"/>
    <w:rsid w:val="009A357E"/>
    <w:rsid w:val="009A368D"/>
    <w:rsid w:val="009A3D96"/>
    <w:rsid w:val="009A3E02"/>
    <w:rsid w:val="009A4829"/>
    <w:rsid w:val="009A4ACF"/>
    <w:rsid w:val="009A621B"/>
    <w:rsid w:val="009A6ECD"/>
    <w:rsid w:val="009A6EFC"/>
    <w:rsid w:val="009A7E33"/>
    <w:rsid w:val="009B0780"/>
    <w:rsid w:val="009B11D0"/>
    <w:rsid w:val="009B13CF"/>
    <w:rsid w:val="009B16B7"/>
    <w:rsid w:val="009B21D3"/>
    <w:rsid w:val="009B2D7F"/>
    <w:rsid w:val="009B2E9F"/>
    <w:rsid w:val="009B2EB9"/>
    <w:rsid w:val="009B414C"/>
    <w:rsid w:val="009B41C6"/>
    <w:rsid w:val="009B498F"/>
    <w:rsid w:val="009B51AF"/>
    <w:rsid w:val="009B53E1"/>
    <w:rsid w:val="009B5586"/>
    <w:rsid w:val="009B5934"/>
    <w:rsid w:val="009B5EB5"/>
    <w:rsid w:val="009B6EEB"/>
    <w:rsid w:val="009B7205"/>
    <w:rsid w:val="009B72F3"/>
    <w:rsid w:val="009B737A"/>
    <w:rsid w:val="009B7639"/>
    <w:rsid w:val="009B77EE"/>
    <w:rsid w:val="009B7F81"/>
    <w:rsid w:val="009C0449"/>
    <w:rsid w:val="009C04C6"/>
    <w:rsid w:val="009C0C34"/>
    <w:rsid w:val="009C0E53"/>
    <w:rsid w:val="009C13F5"/>
    <w:rsid w:val="009C14DE"/>
    <w:rsid w:val="009C20F0"/>
    <w:rsid w:val="009C336E"/>
    <w:rsid w:val="009C3B4C"/>
    <w:rsid w:val="009C4C7E"/>
    <w:rsid w:val="009C5240"/>
    <w:rsid w:val="009C566F"/>
    <w:rsid w:val="009C56FC"/>
    <w:rsid w:val="009C5ABE"/>
    <w:rsid w:val="009C6600"/>
    <w:rsid w:val="009C690C"/>
    <w:rsid w:val="009C70A3"/>
    <w:rsid w:val="009C72E1"/>
    <w:rsid w:val="009C7776"/>
    <w:rsid w:val="009C7BEF"/>
    <w:rsid w:val="009D02B7"/>
    <w:rsid w:val="009D2726"/>
    <w:rsid w:val="009D2834"/>
    <w:rsid w:val="009D4FAE"/>
    <w:rsid w:val="009D7292"/>
    <w:rsid w:val="009E0B58"/>
    <w:rsid w:val="009E147D"/>
    <w:rsid w:val="009E17C0"/>
    <w:rsid w:val="009E1BC1"/>
    <w:rsid w:val="009E1BF4"/>
    <w:rsid w:val="009E1F8D"/>
    <w:rsid w:val="009E2020"/>
    <w:rsid w:val="009E21C8"/>
    <w:rsid w:val="009E27AA"/>
    <w:rsid w:val="009E2A3E"/>
    <w:rsid w:val="009E4219"/>
    <w:rsid w:val="009E431F"/>
    <w:rsid w:val="009E47C1"/>
    <w:rsid w:val="009E4F4F"/>
    <w:rsid w:val="009E501C"/>
    <w:rsid w:val="009E521F"/>
    <w:rsid w:val="009E56E2"/>
    <w:rsid w:val="009E5CBF"/>
    <w:rsid w:val="009E621E"/>
    <w:rsid w:val="009E6BBC"/>
    <w:rsid w:val="009F0826"/>
    <w:rsid w:val="009F15A7"/>
    <w:rsid w:val="009F1638"/>
    <w:rsid w:val="009F19E1"/>
    <w:rsid w:val="009F200C"/>
    <w:rsid w:val="009F210D"/>
    <w:rsid w:val="009F287D"/>
    <w:rsid w:val="009F3454"/>
    <w:rsid w:val="009F371A"/>
    <w:rsid w:val="009F3BBB"/>
    <w:rsid w:val="009F44FF"/>
    <w:rsid w:val="009F50E1"/>
    <w:rsid w:val="009F57EC"/>
    <w:rsid w:val="009F68AA"/>
    <w:rsid w:val="009F695B"/>
    <w:rsid w:val="009F6F83"/>
    <w:rsid w:val="00A0011F"/>
    <w:rsid w:val="00A00A2A"/>
    <w:rsid w:val="00A02D8B"/>
    <w:rsid w:val="00A02DDE"/>
    <w:rsid w:val="00A0317A"/>
    <w:rsid w:val="00A035A2"/>
    <w:rsid w:val="00A0362D"/>
    <w:rsid w:val="00A037BD"/>
    <w:rsid w:val="00A0384A"/>
    <w:rsid w:val="00A03C44"/>
    <w:rsid w:val="00A041E4"/>
    <w:rsid w:val="00A045F2"/>
    <w:rsid w:val="00A06BDD"/>
    <w:rsid w:val="00A07308"/>
    <w:rsid w:val="00A07345"/>
    <w:rsid w:val="00A07D1C"/>
    <w:rsid w:val="00A07F05"/>
    <w:rsid w:val="00A112F0"/>
    <w:rsid w:val="00A11DD5"/>
    <w:rsid w:val="00A1544B"/>
    <w:rsid w:val="00A1659E"/>
    <w:rsid w:val="00A16FAC"/>
    <w:rsid w:val="00A178A9"/>
    <w:rsid w:val="00A17D48"/>
    <w:rsid w:val="00A20927"/>
    <w:rsid w:val="00A21479"/>
    <w:rsid w:val="00A21640"/>
    <w:rsid w:val="00A21747"/>
    <w:rsid w:val="00A2188E"/>
    <w:rsid w:val="00A224F8"/>
    <w:rsid w:val="00A22832"/>
    <w:rsid w:val="00A22AB4"/>
    <w:rsid w:val="00A23FB0"/>
    <w:rsid w:val="00A241BD"/>
    <w:rsid w:val="00A251F4"/>
    <w:rsid w:val="00A26358"/>
    <w:rsid w:val="00A26652"/>
    <w:rsid w:val="00A26AC9"/>
    <w:rsid w:val="00A277E4"/>
    <w:rsid w:val="00A27A5F"/>
    <w:rsid w:val="00A30167"/>
    <w:rsid w:val="00A301C7"/>
    <w:rsid w:val="00A30AB2"/>
    <w:rsid w:val="00A316DF"/>
    <w:rsid w:val="00A323E5"/>
    <w:rsid w:val="00A32B87"/>
    <w:rsid w:val="00A3441A"/>
    <w:rsid w:val="00A34B0C"/>
    <w:rsid w:val="00A34E8B"/>
    <w:rsid w:val="00A35996"/>
    <w:rsid w:val="00A35E78"/>
    <w:rsid w:val="00A363C8"/>
    <w:rsid w:val="00A37422"/>
    <w:rsid w:val="00A37478"/>
    <w:rsid w:val="00A37922"/>
    <w:rsid w:val="00A4023F"/>
    <w:rsid w:val="00A4043C"/>
    <w:rsid w:val="00A40D54"/>
    <w:rsid w:val="00A41276"/>
    <w:rsid w:val="00A4136F"/>
    <w:rsid w:val="00A41873"/>
    <w:rsid w:val="00A41B6D"/>
    <w:rsid w:val="00A41E6E"/>
    <w:rsid w:val="00A41F5A"/>
    <w:rsid w:val="00A421B9"/>
    <w:rsid w:val="00A42493"/>
    <w:rsid w:val="00A43592"/>
    <w:rsid w:val="00A43D18"/>
    <w:rsid w:val="00A43F1F"/>
    <w:rsid w:val="00A44262"/>
    <w:rsid w:val="00A44CBD"/>
    <w:rsid w:val="00A5139A"/>
    <w:rsid w:val="00A52F63"/>
    <w:rsid w:val="00A5436E"/>
    <w:rsid w:val="00A54D38"/>
    <w:rsid w:val="00A550AE"/>
    <w:rsid w:val="00A559C9"/>
    <w:rsid w:val="00A564D4"/>
    <w:rsid w:val="00A56BA0"/>
    <w:rsid w:val="00A57F14"/>
    <w:rsid w:val="00A600ED"/>
    <w:rsid w:val="00A6080C"/>
    <w:rsid w:val="00A61E0B"/>
    <w:rsid w:val="00A6224B"/>
    <w:rsid w:val="00A623BD"/>
    <w:rsid w:val="00A62A82"/>
    <w:rsid w:val="00A6368B"/>
    <w:rsid w:val="00A63B46"/>
    <w:rsid w:val="00A64D8F"/>
    <w:rsid w:val="00A65040"/>
    <w:rsid w:val="00A651BE"/>
    <w:rsid w:val="00A66666"/>
    <w:rsid w:val="00A677E0"/>
    <w:rsid w:val="00A67840"/>
    <w:rsid w:val="00A67966"/>
    <w:rsid w:val="00A70383"/>
    <w:rsid w:val="00A70393"/>
    <w:rsid w:val="00A719AE"/>
    <w:rsid w:val="00A734B1"/>
    <w:rsid w:val="00A74588"/>
    <w:rsid w:val="00A75216"/>
    <w:rsid w:val="00A75999"/>
    <w:rsid w:val="00A75A90"/>
    <w:rsid w:val="00A767C9"/>
    <w:rsid w:val="00A7699E"/>
    <w:rsid w:val="00A769AD"/>
    <w:rsid w:val="00A76DAA"/>
    <w:rsid w:val="00A76F0D"/>
    <w:rsid w:val="00A80636"/>
    <w:rsid w:val="00A80866"/>
    <w:rsid w:val="00A8105D"/>
    <w:rsid w:val="00A811E4"/>
    <w:rsid w:val="00A824FE"/>
    <w:rsid w:val="00A82727"/>
    <w:rsid w:val="00A850D2"/>
    <w:rsid w:val="00A856A7"/>
    <w:rsid w:val="00A85E75"/>
    <w:rsid w:val="00A86002"/>
    <w:rsid w:val="00A86104"/>
    <w:rsid w:val="00A86836"/>
    <w:rsid w:val="00A8687B"/>
    <w:rsid w:val="00A87773"/>
    <w:rsid w:val="00A877E2"/>
    <w:rsid w:val="00A87C20"/>
    <w:rsid w:val="00A90992"/>
    <w:rsid w:val="00A90C4D"/>
    <w:rsid w:val="00A918BA"/>
    <w:rsid w:val="00A92ACF"/>
    <w:rsid w:val="00A92CE3"/>
    <w:rsid w:val="00A93317"/>
    <w:rsid w:val="00A93F88"/>
    <w:rsid w:val="00A94055"/>
    <w:rsid w:val="00A94056"/>
    <w:rsid w:val="00A94231"/>
    <w:rsid w:val="00A94B5C"/>
    <w:rsid w:val="00A9529C"/>
    <w:rsid w:val="00A9558D"/>
    <w:rsid w:val="00A9577C"/>
    <w:rsid w:val="00A95D47"/>
    <w:rsid w:val="00A964CC"/>
    <w:rsid w:val="00A964D0"/>
    <w:rsid w:val="00A9697D"/>
    <w:rsid w:val="00A97928"/>
    <w:rsid w:val="00A97D17"/>
    <w:rsid w:val="00AA038F"/>
    <w:rsid w:val="00AA04CA"/>
    <w:rsid w:val="00AA0EB9"/>
    <w:rsid w:val="00AA13A3"/>
    <w:rsid w:val="00AA18FB"/>
    <w:rsid w:val="00AA1FD0"/>
    <w:rsid w:val="00AA2110"/>
    <w:rsid w:val="00AA2C69"/>
    <w:rsid w:val="00AA32CE"/>
    <w:rsid w:val="00AA3660"/>
    <w:rsid w:val="00AA382B"/>
    <w:rsid w:val="00AA4549"/>
    <w:rsid w:val="00AA4601"/>
    <w:rsid w:val="00AA4DAB"/>
    <w:rsid w:val="00AA4E66"/>
    <w:rsid w:val="00AA4FFC"/>
    <w:rsid w:val="00AA51D2"/>
    <w:rsid w:val="00AA63EB"/>
    <w:rsid w:val="00AA648F"/>
    <w:rsid w:val="00AA6F19"/>
    <w:rsid w:val="00AA7073"/>
    <w:rsid w:val="00AB0120"/>
    <w:rsid w:val="00AB02DB"/>
    <w:rsid w:val="00AB0B13"/>
    <w:rsid w:val="00AB0C37"/>
    <w:rsid w:val="00AB0E61"/>
    <w:rsid w:val="00AB106D"/>
    <w:rsid w:val="00AB1D9F"/>
    <w:rsid w:val="00AB26E6"/>
    <w:rsid w:val="00AB4868"/>
    <w:rsid w:val="00AB499B"/>
    <w:rsid w:val="00AB4E90"/>
    <w:rsid w:val="00AB4FF3"/>
    <w:rsid w:val="00AB51E5"/>
    <w:rsid w:val="00AB53FB"/>
    <w:rsid w:val="00AB541F"/>
    <w:rsid w:val="00AB5906"/>
    <w:rsid w:val="00AB5DC4"/>
    <w:rsid w:val="00AB6092"/>
    <w:rsid w:val="00AB636C"/>
    <w:rsid w:val="00AB6716"/>
    <w:rsid w:val="00AB6937"/>
    <w:rsid w:val="00AB69AA"/>
    <w:rsid w:val="00AB6ADF"/>
    <w:rsid w:val="00AB6ED5"/>
    <w:rsid w:val="00AB6F6D"/>
    <w:rsid w:val="00AB769C"/>
    <w:rsid w:val="00AC052D"/>
    <w:rsid w:val="00AC0B88"/>
    <w:rsid w:val="00AC0E21"/>
    <w:rsid w:val="00AC2F81"/>
    <w:rsid w:val="00AC3332"/>
    <w:rsid w:val="00AC35F0"/>
    <w:rsid w:val="00AC3ADF"/>
    <w:rsid w:val="00AC3EF5"/>
    <w:rsid w:val="00AC48F4"/>
    <w:rsid w:val="00AC5317"/>
    <w:rsid w:val="00AC5EF6"/>
    <w:rsid w:val="00AC6587"/>
    <w:rsid w:val="00AC6E1C"/>
    <w:rsid w:val="00AC7E2C"/>
    <w:rsid w:val="00AD0218"/>
    <w:rsid w:val="00AD07F8"/>
    <w:rsid w:val="00AD0E73"/>
    <w:rsid w:val="00AD0F7B"/>
    <w:rsid w:val="00AD18A8"/>
    <w:rsid w:val="00AD1F9D"/>
    <w:rsid w:val="00AD29DB"/>
    <w:rsid w:val="00AD36A2"/>
    <w:rsid w:val="00AD3A1E"/>
    <w:rsid w:val="00AD3CEC"/>
    <w:rsid w:val="00AD44EF"/>
    <w:rsid w:val="00AD45C8"/>
    <w:rsid w:val="00AD4F49"/>
    <w:rsid w:val="00AD5E9A"/>
    <w:rsid w:val="00AD66DB"/>
    <w:rsid w:val="00AD6AA9"/>
    <w:rsid w:val="00AE0B1E"/>
    <w:rsid w:val="00AE233C"/>
    <w:rsid w:val="00AE2434"/>
    <w:rsid w:val="00AE26DB"/>
    <w:rsid w:val="00AE51FE"/>
    <w:rsid w:val="00AE5313"/>
    <w:rsid w:val="00AE5364"/>
    <w:rsid w:val="00AE6A54"/>
    <w:rsid w:val="00AE720B"/>
    <w:rsid w:val="00AE786D"/>
    <w:rsid w:val="00AE7F27"/>
    <w:rsid w:val="00AF0C7C"/>
    <w:rsid w:val="00AF2C27"/>
    <w:rsid w:val="00AF353E"/>
    <w:rsid w:val="00AF3D70"/>
    <w:rsid w:val="00AF439D"/>
    <w:rsid w:val="00AF442F"/>
    <w:rsid w:val="00AF44B7"/>
    <w:rsid w:val="00AF4926"/>
    <w:rsid w:val="00AF52C6"/>
    <w:rsid w:val="00AF5A60"/>
    <w:rsid w:val="00AF73EA"/>
    <w:rsid w:val="00B00CD6"/>
    <w:rsid w:val="00B00FD2"/>
    <w:rsid w:val="00B0227F"/>
    <w:rsid w:val="00B0344F"/>
    <w:rsid w:val="00B0354B"/>
    <w:rsid w:val="00B059A7"/>
    <w:rsid w:val="00B05BCF"/>
    <w:rsid w:val="00B061BF"/>
    <w:rsid w:val="00B06780"/>
    <w:rsid w:val="00B067C4"/>
    <w:rsid w:val="00B06DC0"/>
    <w:rsid w:val="00B073F1"/>
    <w:rsid w:val="00B07B9A"/>
    <w:rsid w:val="00B07DEC"/>
    <w:rsid w:val="00B07FEE"/>
    <w:rsid w:val="00B102FC"/>
    <w:rsid w:val="00B10A34"/>
    <w:rsid w:val="00B110F4"/>
    <w:rsid w:val="00B121E6"/>
    <w:rsid w:val="00B125D5"/>
    <w:rsid w:val="00B127D2"/>
    <w:rsid w:val="00B131C6"/>
    <w:rsid w:val="00B13282"/>
    <w:rsid w:val="00B13596"/>
    <w:rsid w:val="00B156D1"/>
    <w:rsid w:val="00B16429"/>
    <w:rsid w:val="00B16808"/>
    <w:rsid w:val="00B169A4"/>
    <w:rsid w:val="00B16D9A"/>
    <w:rsid w:val="00B20176"/>
    <w:rsid w:val="00B2055C"/>
    <w:rsid w:val="00B207D8"/>
    <w:rsid w:val="00B20C48"/>
    <w:rsid w:val="00B20D3C"/>
    <w:rsid w:val="00B21940"/>
    <w:rsid w:val="00B21C7D"/>
    <w:rsid w:val="00B22A72"/>
    <w:rsid w:val="00B22AC4"/>
    <w:rsid w:val="00B23174"/>
    <w:rsid w:val="00B24083"/>
    <w:rsid w:val="00B240A5"/>
    <w:rsid w:val="00B24F20"/>
    <w:rsid w:val="00B25DD6"/>
    <w:rsid w:val="00B26209"/>
    <w:rsid w:val="00B27215"/>
    <w:rsid w:val="00B27EA2"/>
    <w:rsid w:val="00B315DB"/>
    <w:rsid w:val="00B319A4"/>
    <w:rsid w:val="00B3204F"/>
    <w:rsid w:val="00B32984"/>
    <w:rsid w:val="00B337CA"/>
    <w:rsid w:val="00B33E86"/>
    <w:rsid w:val="00B3428E"/>
    <w:rsid w:val="00B34686"/>
    <w:rsid w:val="00B349AC"/>
    <w:rsid w:val="00B36577"/>
    <w:rsid w:val="00B36ED3"/>
    <w:rsid w:val="00B372A1"/>
    <w:rsid w:val="00B400DB"/>
    <w:rsid w:val="00B42F2E"/>
    <w:rsid w:val="00B43466"/>
    <w:rsid w:val="00B449D1"/>
    <w:rsid w:val="00B44C4F"/>
    <w:rsid w:val="00B45276"/>
    <w:rsid w:val="00B4541F"/>
    <w:rsid w:val="00B45583"/>
    <w:rsid w:val="00B45B7A"/>
    <w:rsid w:val="00B46195"/>
    <w:rsid w:val="00B46836"/>
    <w:rsid w:val="00B46B6A"/>
    <w:rsid w:val="00B46D80"/>
    <w:rsid w:val="00B47314"/>
    <w:rsid w:val="00B47CDE"/>
    <w:rsid w:val="00B51292"/>
    <w:rsid w:val="00B521DD"/>
    <w:rsid w:val="00B53257"/>
    <w:rsid w:val="00B53617"/>
    <w:rsid w:val="00B53B68"/>
    <w:rsid w:val="00B53D02"/>
    <w:rsid w:val="00B5450A"/>
    <w:rsid w:val="00B54600"/>
    <w:rsid w:val="00B56587"/>
    <w:rsid w:val="00B56594"/>
    <w:rsid w:val="00B56A88"/>
    <w:rsid w:val="00B5708C"/>
    <w:rsid w:val="00B57E4B"/>
    <w:rsid w:val="00B57E5E"/>
    <w:rsid w:val="00B6023B"/>
    <w:rsid w:val="00B60579"/>
    <w:rsid w:val="00B60FCB"/>
    <w:rsid w:val="00B61D17"/>
    <w:rsid w:val="00B63EE9"/>
    <w:rsid w:val="00B64E8F"/>
    <w:rsid w:val="00B6559F"/>
    <w:rsid w:val="00B6597A"/>
    <w:rsid w:val="00B65E65"/>
    <w:rsid w:val="00B66056"/>
    <w:rsid w:val="00B66127"/>
    <w:rsid w:val="00B6617F"/>
    <w:rsid w:val="00B667EB"/>
    <w:rsid w:val="00B66B42"/>
    <w:rsid w:val="00B67071"/>
    <w:rsid w:val="00B6719C"/>
    <w:rsid w:val="00B67E4B"/>
    <w:rsid w:val="00B70A84"/>
    <w:rsid w:val="00B71787"/>
    <w:rsid w:val="00B71B1C"/>
    <w:rsid w:val="00B71C39"/>
    <w:rsid w:val="00B721F6"/>
    <w:rsid w:val="00B731BB"/>
    <w:rsid w:val="00B734ED"/>
    <w:rsid w:val="00B73712"/>
    <w:rsid w:val="00B73A9E"/>
    <w:rsid w:val="00B74418"/>
    <w:rsid w:val="00B75816"/>
    <w:rsid w:val="00B759C0"/>
    <w:rsid w:val="00B775BA"/>
    <w:rsid w:val="00B80651"/>
    <w:rsid w:val="00B82842"/>
    <w:rsid w:val="00B84155"/>
    <w:rsid w:val="00B84431"/>
    <w:rsid w:val="00B853F9"/>
    <w:rsid w:val="00B85425"/>
    <w:rsid w:val="00B85762"/>
    <w:rsid w:val="00B85D59"/>
    <w:rsid w:val="00B863E2"/>
    <w:rsid w:val="00B86B25"/>
    <w:rsid w:val="00B86F02"/>
    <w:rsid w:val="00B87693"/>
    <w:rsid w:val="00B87DB4"/>
    <w:rsid w:val="00B904E4"/>
    <w:rsid w:val="00B905FC"/>
    <w:rsid w:val="00B90FE8"/>
    <w:rsid w:val="00B9204F"/>
    <w:rsid w:val="00B929CE"/>
    <w:rsid w:val="00B92FCF"/>
    <w:rsid w:val="00B93380"/>
    <w:rsid w:val="00B9444D"/>
    <w:rsid w:val="00B945FE"/>
    <w:rsid w:val="00B954F6"/>
    <w:rsid w:val="00B95A48"/>
    <w:rsid w:val="00B970A4"/>
    <w:rsid w:val="00B97855"/>
    <w:rsid w:val="00BA03DC"/>
    <w:rsid w:val="00BA061F"/>
    <w:rsid w:val="00BA079A"/>
    <w:rsid w:val="00BA277F"/>
    <w:rsid w:val="00BA2D7D"/>
    <w:rsid w:val="00BA3C8B"/>
    <w:rsid w:val="00BA4155"/>
    <w:rsid w:val="00BA4378"/>
    <w:rsid w:val="00BA5587"/>
    <w:rsid w:val="00BA6434"/>
    <w:rsid w:val="00BA66EA"/>
    <w:rsid w:val="00BA7346"/>
    <w:rsid w:val="00BA755A"/>
    <w:rsid w:val="00BA7BCA"/>
    <w:rsid w:val="00BA7D14"/>
    <w:rsid w:val="00BA7FD6"/>
    <w:rsid w:val="00BB0428"/>
    <w:rsid w:val="00BB05E7"/>
    <w:rsid w:val="00BB0621"/>
    <w:rsid w:val="00BB0DE4"/>
    <w:rsid w:val="00BB1E00"/>
    <w:rsid w:val="00BB1E03"/>
    <w:rsid w:val="00BB2E14"/>
    <w:rsid w:val="00BB2E88"/>
    <w:rsid w:val="00BB2FE2"/>
    <w:rsid w:val="00BB30CF"/>
    <w:rsid w:val="00BB4421"/>
    <w:rsid w:val="00BB4887"/>
    <w:rsid w:val="00BB55ED"/>
    <w:rsid w:val="00BC11E2"/>
    <w:rsid w:val="00BC1DCC"/>
    <w:rsid w:val="00BC26C0"/>
    <w:rsid w:val="00BC2FDB"/>
    <w:rsid w:val="00BC3215"/>
    <w:rsid w:val="00BC42AF"/>
    <w:rsid w:val="00BC4471"/>
    <w:rsid w:val="00BC4A30"/>
    <w:rsid w:val="00BC4A90"/>
    <w:rsid w:val="00BC5334"/>
    <w:rsid w:val="00BC5610"/>
    <w:rsid w:val="00BC6026"/>
    <w:rsid w:val="00BC6061"/>
    <w:rsid w:val="00BC6A12"/>
    <w:rsid w:val="00BC6C11"/>
    <w:rsid w:val="00BC7A84"/>
    <w:rsid w:val="00BC7F3D"/>
    <w:rsid w:val="00BD0F58"/>
    <w:rsid w:val="00BD13D8"/>
    <w:rsid w:val="00BD1CE5"/>
    <w:rsid w:val="00BD2860"/>
    <w:rsid w:val="00BD2AB3"/>
    <w:rsid w:val="00BD327A"/>
    <w:rsid w:val="00BD349B"/>
    <w:rsid w:val="00BD398B"/>
    <w:rsid w:val="00BD3A56"/>
    <w:rsid w:val="00BD5A3D"/>
    <w:rsid w:val="00BD61A8"/>
    <w:rsid w:val="00BD6459"/>
    <w:rsid w:val="00BD6714"/>
    <w:rsid w:val="00BD6A05"/>
    <w:rsid w:val="00BD6DF0"/>
    <w:rsid w:val="00BD745F"/>
    <w:rsid w:val="00BE1064"/>
    <w:rsid w:val="00BE14F4"/>
    <w:rsid w:val="00BE1820"/>
    <w:rsid w:val="00BE1D76"/>
    <w:rsid w:val="00BE1D92"/>
    <w:rsid w:val="00BE287F"/>
    <w:rsid w:val="00BE2C6C"/>
    <w:rsid w:val="00BE34DB"/>
    <w:rsid w:val="00BE3CD6"/>
    <w:rsid w:val="00BE3D65"/>
    <w:rsid w:val="00BE5BC1"/>
    <w:rsid w:val="00BE62F1"/>
    <w:rsid w:val="00BE63A7"/>
    <w:rsid w:val="00BE6828"/>
    <w:rsid w:val="00BE68FA"/>
    <w:rsid w:val="00BE77EC"/>
    <w:rsid w:val="00BF03F1"/>
    <w:rsid w:val="00BF053B"/>
    <w:rsid w:val="00BF199C"/>
    <w:rsid w:val="00BF1BF2"/>
    <w:rsid w:val="00BF1D61"/>
    <w:rsid w:val="00BF218A"/>
    <w:rsid w:val="00BF2D94"/>
    <w:rsid w:val="00BF3303"/>
    <w:rsid w:val="00BF3D6F"/>
    <w:rsid w:val="00BF477A"/>
    <w:rsid w:val="00BF5FBB"/>
    <w:rsid w:val="00BF68E0"/>
    <w:rsid w:val="00BF7334"/>
    <w:rsid w:val="00C003AB"/>
    <w:rsid w:val="00C0083B"/>
    <w:rsid w:val="00C01354"/>
    <w:rsid w:val="00C013C5"/>
    <w:rsid w:val="00C02AFC"/>
    <w:rsid w:val="00C043FD"/>
    <w:rsid w:val="00C0478B"/>
    <w:rsid w:val="00C047D6"/>
    <w:rsid w:val="00C04836"/>
    <w:rsid w:val="00C0489F"/>
    <w:rsid w:val="00C0490D"/>
    <w:rsid w:val="00C05234"/>
    <w:rsid w:val="00C052D3"/>
    <w:rsid w:val="00C05AD0"/>
    <w:rsid w:val="00C06502"/>
    <w:rsid w:val="00C065DD"/>
    <w:rsid w:val="00C06A90"/>
    <w:rsid w:val="00C06B2A"/>
    <w:rsid w:val="00C07078"/>
    <w:rsid w:val="00C0767A"/>
    <w:rsid w:val="00C1042D"/>
    <w:rsid w:val="00C11019"/>
    <w:rsid w:val="00C1162A"/>
    <w:rsid w:val="00C11A89"/>
    <w:rsid w:val="00C1223E"/>
    <w:rsid w:val="00C135C4"/>
    <w:rsid w:val="00C13D55"/>
    <w:rsid w:val="00C15312"/>
    <w:rsid w:val="00C15836"/>
    <w:rsid w:val="00C15EF3"/>
    <w:rsid w:val="00C171A0"/>
    <w:rsid w:val="00C1789C"/>
    <w:rsid w:val="00C17E85"/>
    <w:rsid w:val="00C20A03"/>
    <w:rsid w:val="00C2199F"/>
    <w:rsid w:val="00C21AFE"/>
    <w:rsid w:val="00C222FA"/>
    <w:rsid w:val="00C2243A"/>
    <w:rsid w:val="00C22D7C"/>
    <w:rsid w:val="00C22E37"/>
    <w:rsid w:val="00C2370D"/>
    <w:rsid w:val="00C24249"/>
    <w:rsid w:val="00C2518F"/>
    <w:rsid w:val="00C2627F"/>
    <w:rsid w:val="00C26FDC"/>
    <w:rsid w:val="00C27B79"/>
    <w:rsid w:val="00C3079D"/>
    <w:rsid w:val="00C30DA7"/>
    <w:rsid w:val="00C310A9"/>
    <w:rsid w:val="00C31837"/>
    <w:rsid w:val="00C31A2D"/>
    <w:rsid w:val="00C320FB"/>
    <w:rsid w:val="00C32173"/>
    <w:rsid w:val="00C322EE"/>
    <w:rsid w:val="00C328BF"/>
    <w:rsid w:val="00C3378A"/>
    <w:rsid w:val="00C34F6E"/>
    <w:rsid w:val="00C34FEB"/>
    <w:rsid w:val="00C357FE"/>
    <w:rsid w:val="00C35E23"/>
    <w:rsid w:val="00C364E8"/>
    <w:rsid w:val="00C378AD"/>
    <w:rsid w:val="00C40861"/>
    <w:rsid w:val="00C4131C"/>
    <w:rsid w:val="00C421C7"/>
    <w:rsid w:val="00C42572"/>
    <w:rsid w:val="00C42630"/>
    <w:rsid w:val="00C426F8"/>
    <w:rsid w:val="00C4304E"/>
    <w:rsid w:val="00C4350F"/>
    <w:rsid w:val="00C43B95"/>
    <w:rsid w:val="00C43D50"/>
    <w:rsid w:val="00C43F65"/>
    <w:rsid w:val="00C469E4"/>
    <w:rsid w:val="00C46BE6"/>
    <w:rsid w:val="00C47D80"/>
    <w:rsid w:val="00C47EC1"/>
    <w:rsid w:val="00C50EBA"/>
    <w:rsid w:val="00C5116C"/>
    <w:rsid w:val="00C5301F"/>
    <w:rsid w:val="00C5349E"/>
    <w:rsid w:val="00C538F8"/>
    <w:rsid w:val="00C53E0C"/>
    <w:rsid w:val="00C53FC9"/>
    <w:rsid w:val="00C5498C"/>
    <w:rsid w:val="00C55058"/>
    <w:rsid w:val="00C55175"/>
    <w:rsid w:val="00C552A6"/>
    <w:rsid w:val="00C559BF"/>
    <w:rsid w:val="00C55BC4"/>
    <w:rsid w:val="00C5730F"/>
    <w:rsid w:val="00C60154"/>
    <w:rsid w:val="00C60A1A"/>
    <w:rsid w:val="00C613D2"/>
    <w:rsid w:val="00C617BA"/>
    <w:rsid w:val="00C62A9D"/>
    <w:rsid w:val="00C633F7"/>
    <w:rsid w:val="00C63707"/>
    <w:rsid w:val="00C63825"/>
    <w:rsid w:val="00C64525"/>
    <w:rsid w:val="00C64E9E"/>
    <w:rsid w:val="00C658FB"/>
    <w:rsid w:val="00C6643E"/>
    <w:rsid w:val="00C66E4B"/>
    <w:rsid w:val="00C67CF0"/>
    <w:rsid w:val="00C700F2"/>
    <w:rsid w:val="00C710F6"/>
    <w:rsid w:val="00C712D9"/>
    <w:rsid w:val="00C7156E"/>
    <w:rsid w:val="00C71DA3"/>
    <w:rsid w:val="00C72940"/>
    <w:rsid w:val="00C72B99"/>
    <w:rsid w:val="00C737C9"/>
    <w:rsid w:val="00C744B1"/>
    <w:rsid w:val="00C74E7A"/>
    <w:rsid w:val="00C7568D"/>
    <w:rsid w:val="00C75698"/>
    <w:rsid w:val="00C7651F"/>
    <w:rsid w:val="00C76659"/>
    <w:rsid w:val="00C76E2C"/>
    <w:rsid w:val="00C80780"/>
    <w:rsid w:val="00C80796"/>
    <w:rsid w:val="00C80907"/>
    <w:rsid w:val="00C81AF4"/>
    <w:rsid w:val="00C8201C"/>
    <w:rsid w:val="00C8246F"/>
    <w:rsid w:val="00C82E23"/>
    <w:rsid w:val="00C833AB"/>
    <w:rsid w:val="00C837F9"/>
    <w:rsid w:val="00C84170"/>
    <w:rsid w:val="00C85E21"/>
    <w:rsid w:val="00C86421"/>
    <w:rsid w:val="00C8708C"/>
    <w:rsid w:val="00C87547"/>
    <w:rsid w:val="00C9049F"/>
    <w:rsid w:val="00C905E1"/>
    <w:rsid w:val="00C93360"/>
    <w:rsid w:val="00C934A7"/>
    <w:rsid w:val="00C9600E"/>
    <w:rsid w:val="00C96730"/>
    <w:rsid w:val="00C967BD"/>
    <w:rsid w:val="00C9767C"/>
    <w:rsid w:val="00C97F01"/>
    <w:rsid w:val="00CA052C"/>
    <w:rsid w:val="00CA098E"/>
    <w:rsid w:val="00CA0A19"/>
    <w:rsid w:val="00CA0F7C"/>
    <w:rsid w:val="00CA2649"/>
    <w:rsid w:val="00CA278C"/>
    <w:rsid w:val="00CA2991"/>
    <w:rsid w:val="00CA4A2B"/>
    <w:rsid w:val="00CA4A3D"/>
    <w:rsid w:val="00CA5D42"/>
    <w:rsid w:val="00CA666A"/>
    <w:rsid w:val="00CA79E2"/>
    <w:rsid w:val="00CB03D3"/>
    <w:rsid w:val="00CB0504"/>
    <w:rsid w:val="00CB1515"/>
    <w:rsid w:val="00CB164B"/>
    <w:rsid w:val="00CB1F8E"/>
    <w:rsid w:val="00CB270E"/>
    <w:rsid w:val="00CB2FBE"/>
    <w:rsid w:val="00CB33F8"/>
    <w:rsid w:val="00CB462C"/>
    <w:rsid w:val="00CB484E"/>
    <w:rsid w:val="00CB5900"/>
    <w:rsid w:val="00CB6519"/>
    <w:rsid w:val="00CB67D0"/>
    <w:rsid w:val="00CB6878"/>
    <w:rsid w:val="00CC03BA"/>
    <w:rsid w:val="00CC1386"/>
    <w:rsid w:val="00CC172C"/>
    <w:rsid w:val="00CC3AF2"/>
    <w:rsid w:val="00CC404B"/>
    <w:rsid w:val="00CC410F"/>
    <w:rsid w:val="00CC495D"/>
    <w:rsid w:val="00CC553D"/>
    <w:rsid w:val="00CC5721"/>
    <w:rsid w:val="00CC6292"/>
    <w:rsid w:val="00CC72CB"/>
    <w:rsid w:val="00CC7564"/>
    <w:rsid w:val="00CC79EA"/>
    <w:rsid w:val="00CD06C6"/>
    <w:rsid w:val="00CD0947"/>
    <w:rsid w:val="00CD0B5F"/>
    <w:rsid w:val="00CD115F"/>
    <w:rsid w:val="00CD153C"/>
    <w:rsid w:val="00CD1705"/>
    <w:rsid w:val="00CD1A26"/>
    <w:rsid w:val="00CD2219"/>
    <w:rsid w:val="00CD2DFE"/>
    <w:rsid w:val="00CD48D4"/>
    <w:rsid w:val="00CD4E71"/>
    <w:rsid w:val="00CD6A2E"/>
    <w:rsid w:val="00CD6F4C"/>
    <w:rsid w:val="00CE031A"/>
    <w:rsid w:val="00CE05F5"/>
    <w:rsid w:val="00CE0A30"/>
    <w:rsid w:val="00CE1DFF"/>
    <w:rsid w:val="00CE1F7F"/>
    <w:rsid w:val="00CE32B1"/>
    <w:rsid w:val="00CE32F8"/>
    <w:rsid w:val="00CE3300"/>
    <w:rsid w:val="00CE390B"/>
    <w:rsid w:val="00CE4129"/>
    <w:rsid w:val="00CE4EA4"/>
    <w:rsid w:val="00CE50C4"/>
    <w:rsid w:val="00CE575F"/>
    <w:rsid w:val="00CE57DE"/>
    <w:rsid w:val="00CE647F"/>
    <w:rsid w:val="00CE66BB"/>
    <w:rsid w:val="00CE69DB"/>
    <w:rsid w:val="00CE6A2A"/>
    <w:rsid w:val="00CE6A53"/>
    <w:rsid w:val="00CE71EF"/>
    <w:rsid w:val="00CE73AD"/>
    <w:rsid w:val="00CE75F6"/>
    <w:rsid w:val="00CF038A"/>
    <w:rsid w:val="00CF065A"/>
    <w:rsid w:val="00CF127D"/>
    <w:rsid w:val="00CF23B9"/>
    <w:rsid w:val="00CF278D"/>
    <w:rsid w:val="00CF35E8"/>
    <w:rsid w:val="00CF3EC8"/>
    <w:rsid w:val="00CF4189"/>
    <w:rsid w:val="00CF4334"/>
    <w:rsid w:val="00CF4402"/>
    <w:rsid w:val="00CF4569"/>
    <w:rsid w:val="00CF4888"/>
    <w:rsid w:val="00CF4F70"/>
    <w:rsid w:val="00CF60EC"/>
    <w:rsid w:val="00CF7E56"/>
    <w:rsid w:val="00D00492"/>
    <w:rsid w:val="00D00AA3"/>
    <w:rsid w:val="00D01014"/>
    <w:rsid w:val="00D018A0"/>
    <w:rsid w:val="00D01B90"/>
    <w:rsid w:val="00D01D34"/>
    <w:rsid w:val="00D0245F"/>
    <w:rsid w:val="00D0253F"/>
    <w:rsid w:val="00D02699"/>
    <w:rsid w:val="00D030AD"/>
    <w:rsid w:val="00D03D7B"/>
    <w:rsid w:val="00D04157"/>
    <w:rsid w:val="00D0433D"/>
    <w:rsid w:val="00D0490A"/>
    <w:rsid w:val="00D05068"/>
    <w:rsid w:val="00D05B1B"/>
    <w:rsid w:val="00D068E3"/>
    <w:rsid w:val="00D0764C"/>
    <w:rsid w:val="00D07F60"/>
    <w:rsid w:val="00D1088D"/>
    <w:rsid w:val="00D1117C"/>
    <w:rsid w:val="00D11238"/>
    <w:rsid w:val="00D11D67"/>
    <w:rsid w:val="00D12D17"/>
    <w:rsid w:val="00D12D91"/>
    <w:rsid w:val="00D135A5"/>
    <w:rsid w:val="00D1388C"/>
    <w:rsid w:val="00D13E42"/>
    <w:rsid w:val="00D145D4"/>
    <w:rsid w:val="00D15EEA"/>
    <w:rsid w:val="00D20BA9"/>
    <w:rsid w:val="00D22011"/>
    <w:rsid w:val="00D224E7"/>
    <w:rsid w:val="00D22FB3"/>
    <w:rsid w:val="00D236C2"/>
    <w:rsid w:val="00D23814"/>
    <w:rsid w:val="00D251AB"/>
    <w:rsid w:val="00D25292"/>
    <w:rsid w:val="00D25507"/>
    <w:rsid w:val="00D256E5"/>
    <w:rsid w:val="00D25A2C"/>
    <w:rsid w:val="00D26E1C"/>
    <w:rsid w:val="00D274D2"/>
    <w:rsid w:val="00D2786B"/>
    <w:rsid w:val="00D27D85"/>
    <w:rsid w:val="00D30D41"/>
    <w:rsid w:val="00D3122B"/>
    <w:rsid w:val="00D31B75"/>
    <w:rsid w:val="00D3201B"/>
    <w:rsid w:val="00D33326"/>
    <w:rsid w:val="00D347E9"/>
    <w:rsid w:val="00D34D53"/>
    <w:rsid w:val="00D34F0D"/>
    <w:rsid w:val="00D3532B"/>
    <w:rsid w:val="00D36388"/>
    <w:rsid w:val="00D364BC"/>
    <w:rsid w:val="00D37712"/>
    <w:rsid w:val="00D37D94"/>
    <w:rsid w:val="00D401FA"/>
    <w:rsid w:val="00D407CC"/>
    <w:rsid w:val="00D41146"/>
    <w:rsid w:val="00D417DB"/>
    <w:rsid w:val="00D418F4"/>
    <w:rsid w:val="00D42794"/>
    <w:rsid w:val="00D42ADB"/>
    <w:rsid w:val="00D42CDC"/>
    <w:rsid w:val="00D44575"/>
    <w:rsid w:val="00D44D89"/>
    <w:rsid w:val="00D44DCE"/>
    <w:rsid w:val="00D453A1"/>
    <w:rsid w:val="00D46546"/>
    <w:rsid w:val="00D46A00"/>
    <w:rsid w:val="00D46D25"/>
    <w:rsid w:val="00D516D3"/>
    <w:rsid w:val="00D517B4"/>
    <w:rsid w:val="00D518D2"/>
    <w:rsid w:val="00D52AB6"/>
    <w:rsid w:val="00D52D4B"/>
    <w:rsid w:val="00D5360A"/>
    <w:rsid w:val="00D53D03"/>
    <w:rsid w:val="00D540AB"/>
    <w:rsid w:val="00D54A42"/>
    <w:rsid w:val="00D56598"/>
    <w:rsid w:val="00D56C08"/>
    <w:rsid w:val="00D5764E"/>
    <w:rsid w:val="00D577D1"/>
    <w:rsid w:val="00D57A67"/>
    <w:rsid w:val="00D61112"/>
    <w:rsid w:val="00D62347"/>
    <w:rsid w:val="00D64D10"/>
    <w:rsid w:val="00D65856"/>
    <w:rsid w:val="00D66903"/>
    <w:rsid w:val="00D67422"/>
    <w:rsid w:val="00D708E2"/>
    <w:rsid w:val="00D70A0F"/>
    <w:rsid w:val="00D719E8"/>
    <w:rsid w:val="00D71AFB"/>
    <w:rsid w:val="00D723DA"/>
    <w:rsid w:val="00D7255C"/>
    <w:rsid w:val="00D72856"/>
    <w:rsid w:val="00D72E86"/>
    <w:rsid w:val="00D74F8F"/>
    <w:rsid w:val="00D75373"/>
    <w:rsid w:val="00D764A3"/>
    <w:rsid w:val="00D76BB7"/>
    <w:rsid w:val="00D80F3A"/>
    <w:rsid w:val="00D82BCE"/>
    <w:rsid w:val="00D82DA2"/>
    <w:rsid w:val="00D82E48"/>
    <w:rsid w:val="00D83DCA"/>
    <w:rsid w:val="00D844AB"/>
    <w:rsid w:val="00D851BB"/>
    <w:rsid w:val="00D8521D"/>
    <w:rsid w:val="00D861C2"/>
    <w:rsid w:val="00D86267"/>
    <w:rsid w:val="00D86582"/>
    <w:rsid w:val="00D86B73"/>
    <w:rsid w:val="00D87574"/>
    <w:rsid w:val="00D87C5D"/>
    <w:rsid w:val="00D908C0"/>
    <w:rsid w:val="00D90DA0"/>
    <w:rsid w:val="00D935C4"/>
    <w:rsid w:val="00D93896"/>
    <w:rsid w:val="00D9579F"/>
    <w:rsid w:val="00D95979"/>
    <w:rsid w:val="00D95C97"/>
    <w:rsid w:val="00D96DE2"/>
    <w:rsid w:val="00D97057"/>
    <w:rsid w:val="00D97559"/>
    <w:rsid w:val="00DA0229"/>
    <w:rsid w:val="00DA0897"/>
    <w:rsid w:val="00DA0A99"/>
    <w:rsid w:val="00DA15D2"/>
    <w:rsid w:val="00DA27B9"/>
    <w:rsid w:val="00DA29D1"/>
    <w:rsid w:val="00DA30D8"/>
    <w:rsid w:val="00DA3C65"/>
    <w:rsid w:val="00DA3CE0"/>
    <w:rsid w:val="00DA4E66"/>
    <w:rsid w:val="00DA4FA3"/>
    <w:rsid w:val="00DA5092"/>
    <w:rsid w:val="00DA6975"/>
    <w:rsid w:val="00DA6AC1"/>
    <w:rsid w:val="00DA7243"/>
    <w:rsid w:val="00DA77FA"/>
    <w:rsid w:val="00DA7D1C"/>
    <w:rsid w:val="00DB127E"/>
    <w:rsid w:val="00DB1C28"/>
    <w:rsid w:val="00DB288F"/>
    <w:rsid w:val="00DB2AAD"/>
    <w:rsid w:val="00DB3094"/>
    <w:rsid w:val="00DB3431"/>
    <w:rsid w:val="00DB3972"/>
    <w:rsid w:val="00DB3F40"/>
    <w:rsid w:val="00DB5EE3"/>
    <w:rsid w:val="00DB603C"/>
    <w:rsid w:val="00DB61C7"/>
    <w:rsid w:val="00DB6EF7"/>
    <w:rsid w:val="00DB7503"/>
    <w:rsid w:val="00DB7B4A"/>
    <w:rsid w:val="00DC0A31"/>
    <w:rsid w:val="00DC10CC"/>
    <w:rsid w:val="00DC215E"/>
    <w:rsid w:val="00DC2824"/>
    <w:rsid w:val="00DC28A9"/>
    <w:rsid w:val="00DC2B34"/>
    <w:rsid w:val="00DC2B56"/>
    <w:rsid w:val="00DC33C3"/>
    <w:rsid w:val="00DC3532"/>
    <w:rsid w:val="00DC3963"/>
    <w:rsid w:val="00DC3CAC"/>
    <w:rsid w:val="00DC44A5"/>
    <w:rsid w:val="00DC4707"/>
    <w:rsid w:val="00DC51B4"/>
    <w:rsid w:val="00DC5976"/>
    <w:rsid w:val="00DC61C5"/>
    <w:rsid w:val="00DC667E"/>
    <w:rsid w:val="00DC69A0"/>
    <w:rsid w:val="00DC7DAF"/>
    <w:rsid w:val="00DD0713"/>
    <w:rsid w:val="00DD1090"/>
    <w:rsid w:val="00DD1520"/>
    <w:rsid w:val="00DD157A"/>
    <w:rsid w:val="00DD1903"/>
    <w:rsid w:val="00DD1A3B"/>
    <w:rsid w:val="00DD2065"/>
    <w:rsid w:val="00DD2BEC"/>
    <w:rsid w:val="00DD3051"/>
    <w:rsid w:val="00DD3A56"/>
    <w:rsid w:val="00DD456D"/>
    <w:rsid w:val="00DD46CA"/>
    <w:rsid w:val="00DD5130"/>
    <w:rsid w:val="00DD5605"/>
    <w:rsid w:val="00DD5716"/>
    <w:rsid w:val="00DD5FBC"/>
    <w:rsid w:val="00DD64AD"/>
    <w:rsid w:val="00DD6BDA"/>
    <w:rsid w:val="00DD707A"/>
    <w:rsid w:val="00DD776F"/>
    <w:rsid w:val="00DD7F79"/>
    <w:rsid w:val="00DE0573"/>
    <w:rsid w:val="00DE27E3"/>
    <w:rsid w:val="00DE2840"/>
    <w:rsid w:val="00DE2A9B"/>
    <w:rsid w:val="00DE348F"/>
    <w:rsid w:val="00DE3907"/>
    <w:rsid w:val="00DE3A0D"/>
    <w:rsid w:val="00DE4ACE"/>
    <w:rsid w:val="00DE5120"/>
    <w:rsid w:val="00DE521C"/>
    <w:rsid w:val="00DE643A"/>
    <w:rsid w:val="00DE6590"/>
    <w:rsid w:val="00DE7AC1"/>
    <w:rsid w:val="00DF033F"/>
    <w:rsid w:val="00DF05AF"/>
    <w:rsid w:val="00DF11F1"/>
    <w:rsid w:val="00DF1DBD"/>
    <w:rsid w:val="00DF2899"/>
    <w:rsid w:val="00DF3E05"/>
    <w:rsid w:val="00DF3FF1"/>
    <w:rsid w:val="00DF422F"/>
    <w:rsid w:val="00DF4557"/>
    <w:rsid w:val="00DF5A06"/>
    <w:rsid w:val="00DF60D3"/>
    <w:rsid w:val="00DF7320"/>
    <w:rsid w:val="00DF7897"/>
    <w:rsid w:val="00DF7F27"/>
    <w:rsid w:val="00E00686"/>
    <w:rsid w:val="00E02B92"/>
    <w:rsid w:val="00E03753"/>
    <w:rsid w:val="00E05A52"/>
    <w:rsid w:val="00E06F82"/>
    <w:rsid w:val="00E07987"/>
    <w:rsid w:val="00E07ECB"/>
    <w:rsid w:val="00E10446"/>
    <w:rsid w:val="00E10AAD"/>
    <w:rsid w:val="00E114F8"/>
    <w:rsid w:val="00E11D41"/>
    <w:rsid w:val="00E12DF9"/>
    <w:rsid w:val="00E13002"/>
    <w:rsid w:val="00E1364B"/>
    <w:rsid w:val="00E13966"/>
    <w:rsid w:val="00E14140"/>
    <w:rsid w:val="00E144A9"/>
    <w:rsid w:val="00E14D66"/>
    <w:rsid w:val="00E16313"/>
    <w:rsid w:val="00E1744E"/>
    <w:rsid w:val="00E17F9D"/>
    <w:rsid w:val="00E2049B"/>
    <w:rsid w:val="00E205A9"/>
    <w:rsid w:val="00E2071B"/>
    <w:rsid w:val="00E20754"/>
    <w:rsid w:val="00E21725"/>
    <w:rsid w:val="00E22196"/>
    <w:rsid w:val="00E229AE"/>
    <w:rsid w:val="00E235FA"/>
    <w:rsid w:val="00E23D60"/>
    <w:rsid w:val="00E24871"/>
    <w:rsid w:val="00E24F99"/>
    <w:rsid w:val="00E25502"/>
    <w:rsid w:val="00E25653"/>
    <w:rsid w:val="00E257C1"/>
    <w:rsid w:val="00E25C8E"/>
    <w:rsid w:val="00E26760"/>
    <w:rsid w:val="00E27381"/>
    <w:rsid w:val="00E30406"/>
    <w:rsid w:val="00E30438"/>
    <w:rsid w:val="00E30BF9"/>
    <w:rsid w:val="00E313AD"/>
    <w:rsid w:val="00E31BD8"/>
    <w:rsid w:val="00E3245D"/>
    <w:rsid w:val="00E3246B"/>
    <w:rsid w:val="00E325D8"/>
    <w:rsid w:val="00E328FF"/>
    <w:rsid w:val="00E331B7"/>
    <w:rsid w:val="00E3365B"/>
    <w:rsid w:val="00E336E4"/>
    <w:rsid w:val="00E3400D"/>
    <w:rsid w:val="00E34436"/>
    <w:rsid w:val="00E34996"/>
    <w:rsid w:val="00E34CEB"/>
    <w:rsid w:val="00E3538C"/>
    <w:rsid w:val="00E35810"/>
    <w:rsid w:val="00E35F86"/>
    <w:rsid w:val="00E3648E"/>
    <w:rsid w:val="00E36E30"/>
    <w:rsid w:val="00E37263"/>
    <w:rsid w:val="00E374F7"/>
    <w:rsid w:val="00E37608"/>
    <w:rsid w:val="00E37751"/>
    <w:rsid w:val="00E37BDB"/>
    <w:rsid w:val="00E4079E"/>
    <w:rsid w:val="00E40D7F"/>
    <w:rsid w:val="00E41ABD"/>
    <w:rsid w:val="00E41E65"/>
    <w:rsid w:val="00E421CC"/>
    <w:rsid w:val="00E425E6"/>
    <w:rsid w:val="00E429EF"/>
    <w:rsid w:val="00E430DF"/>
    <w:rsid w:val="00E434F9"/>
    <w:rsid w:val="00E43C39"/>
    <w:rsid w:val="00E43CA1"/>
    <w:rsid w:val="00E44793"/>
    <w:rsid w:val="00E44950"/>
    <w:rsid w:val="00E44AD3"/>
    <w:rsid w:val="00E45377"/>
    <w:rsid w:val="00E45DC9"/>
    <w:rsid w:val="00E45E05"/>
    <w:rsid w:val="00E46978"/>
    <w:rsid w:val="00E46C71"/>
    <w:rsid w:val="00E47C67"/>
    <w:rsid w:val="00E514C7"/>
    <w:rsid w:val="00E5156F"/>
    <w:rsid w:val="00E51BC2"/>
    <w:rsid w:val="00E51E96"/>
    <w:rsid w:val="00E52404"/>
    <w:rsid w:val="00E52F36"/>
    <w:rsid w:val="00E53F5C"/>
    <w:rsid w:val="00E544B6"/>
    <w:rsid w:val="00E545B0"/>
    <w:rsid w:val="00E54861"/>
    <w:rsid w:val="00E54AFA"/>
    <w:rsid w:val="00E5516A"/>
    <w:rsid w:val="00E55347"/>
    <w:rsid w:val="00E5556C"/>
    <w:rsid w:val="00E55890"/>
    <w:rsid w:val="00E55D8D"/>
    <w:rsid w:val="00E56A40"/>
    <w:rsid w:val="00E57667"/>
    <w:rsid w:val="00E600C0"/>
    <w:rsid w:val="00E603F8"/>
    <w:rsid w:val="00E60ED2"/>
    <w:rsid w:val="00E60FC4"/>
    <w:rsid w:val="00E615F5"/>
    <w:rsid w:val="00E62CD8"/>
    <w:rsid w:val="00E64E53"/>
    <w:rsid w:val="00E6715F"/>
    <w:rsid w:val="00E673FD"/>
    <w:rsid w:val="00E67C5E"/>
    <w:rsid w:val="00E70061"/>
    <w:rsid w:val="00E7096F"/>
    <w:rsid w:val="00E71682"/>
    <w:rsid w:val="00E720FC"/>
    <w:rsid w:val="00E72401"/>
    <w:rsid w:val="00E7271A"/>
    <w:rsid w:val="00E731A5"/>
    <w:rsid w:val="00E7376C"/>
    <w:rsid w:val="00E73CC2"/>
    <w:rsid w:val="00E748B6"/>
    <w:rsid w:val="00E74950"/>
    <w:rsid w:val="00E753B5"/>
    <w:rsid w:val="00E75F11"/>
    <w:rsid w:val="00E7700B"/>
    <w:rsid w:val="00E77C6E"/>
    <w:rsid w:val="00E809EB"/>
    <w:rsid w:val="00E80A86"/>
    <w:rsid w:val="00E8501C"/>
    <w:rsid w:val="00E851A5"/>
    <w:rsid w:val="00E851AA"/>
    <w:rsid w:val="00E8576B"/>
    <w:rsid w:val="00E85A30"/>
    <w:rsid w:val="00E85FBE"/>
    <w:rsid w:val="00E86CBC"/>
    <w:rsid w:val="00E86E48"/>
    <w:rsid w:val="00E870AB"/>
    <w:rsid w:val="00E87CD5"/>
    <w:rsid w:val="00E9082B"/>
    <w:rsid w:val="00E911CE"/>
    <w:rsid w:val="00E91664"/>
    <w:rsid w:val="00E91C0B"/>
    <w:rsid w:val="00E924C5"/>
    <w:rsid w:val="00E92D29"/>
    <w:rsid w:val="00E92D44"/>
    <w:rsid w:val="00E9394D"/>
    <w:rsid w:val="00E94337"/>
    <w:rsid w:val="00E94965"/>
    <w:rsid w:val="00E94A5A"/>
    <w:rsid w:val="00E96BBA"/>
    <w:rsid w:val="00E975EF"/>
    <w:rsid w:val="00E97801"/>
    <w:rsid w:val="00EA11FC"/>
    <w:rsid w:val="00EA1C42"/>
    <w:rsid w:val="00EA2324"/>
    <w:rsid w:val="00EA3529"/>
    <w:rsid w:val="00EA42DD"/>
    <w:rsid w:val="00EA49B8"/>
    <w:rsid w:val="00EA4A5A"/>
    <w:rsid w:val="00EA4F11"/>
    <w:rsid w:val="00EA5A37"/>
    <w:rsid w:val="00EA5F42"/>
    <w:rsid w:val="00EA61F1"/>
    <w:rsid w:val="00EA62A2"/>
    <w:rsid w:val="00EA655B"/>
    <w:rsid w:val="00EA68D6"/>
    <w:rsid w:val="00EA6C92"/>
    <w:rsid w:val="00EA7669"/>
    <w:rsid w:val="00EA7C44"/>
    <w:rsid w:val="00EB05EC"/>
    <w:rsid w:val="00EB0C1A"/>
    <w:rsid w:val="00EB15FB"/>
    <w:rsid w:val="00EB1E31"/>
    <w:rsid w:val="00EB1EA2"/>
    <w:rsid w:val="00EB21C2"/>
    <w:rsid w:val="00EB2466"/>
    <w:rsid w:val="00EB26ED"/>
    <w:rsid w:val="00EB279C"/>
    <w:rsid w:val="00EB320E"/>
    <w:rsid w:val="00EB4FFB"/>
    <w:rsid w:val="00EB598D"/>
    <w:rsid w:val="00EB6C1C"/>
    <w:rsid w:val="00EB7271"/>
    <w:rsid w:val="00EC0FD6"/>
    <w:rsid w:val="00EC190C"/>
    <w:rsid w:val="00EC27BB"/>
    <w:rsid w:val="00EC3C4B"/>
    <w:rsid w:val="00EC3CF5"/>
    <w:rsid w:val="00EC3E9E"/>
    <w:rsid w:val="00EC42C8"/>
    <w:rsid w:val="00EC5A7B"/>
    <w:rsid w:val="00EC5B60"/>
    <w:rsid w:val="00EC5EF1"/>
    <w:rsid w:val="00EC6072"/>
    <w:rsid w:val="00EC75EC"/>
    <w:rsid w:val="00EC798B"/>
    <w:rsid w:val="00ED183B"/>
    <w:rsid w:val="00ED2F0F"/>
    <w:rsid w:val="00ED30D0"/>
    <w:rsid w:val="00ED31A4"/>
    <w:rsid w:val="00ED3203"/>
    <w:rsid w:val="00ED337A"/>
    <w:rsid w:val="00ED367A"/>
    <w:rsid w:val="00ED36E8"/>
    <w:rsid w:val="00ED50C9"/>
    <w:rsid w:val="00ED603D"/>
    <w:rsid w:val="00ED6328"/>
    <w:rsid w:val="00ED6345"/>
    <w:rsid w:val="00ED672A"/>
    <w:rsid w:val="00ED6A9A"/>
    <w:rsid w:val="00ED6BF1"/>
    <w:rsid w:val="00ED6C96"/>
    <w:rsid w:val="00ED6FE7"/>
    <w:rsid w:val="00ED7570"/>
    <w:rsid w:val="00EE01BA"/>
    <w:rsid w:val="00EE0A61"/>
    <w:rsid w:val="00EE1534"/>
    <w:rsid w:val="00EE199A"/>
    <w:rsid w:val="00EE3AD2"/>
    <w:rsid w:val="00EE558E"/>
    <w:rsid w:val="00EE5937"/>
    <w:rsid w:val="00EE645F"/>
    <w:rsid w:val="00EE678E"/>
    <w:rsid w:val="00EE6918"/>
    <w:rsid w:val="00EF072D"/>
    <w:rsid w:val="00EF135F"/>
    <w:rsid w:val="00EF1B00"/>
    <w:rsid w:val="00EF375B"/>
    <w:rsid w:val="00EF38F2"/>
    <w:rsid w:val="00EF41B6"/>
    <w:rsid w:val="00EF4A7B"/>
    <w:rsid w:val="00EF71EE"/>
    <w:rsid w:val="00EF74B5"/>
    <w:rsid w:val="00EF7825"/>
    <w:rsid w:val="00F0044E"/>
    <w:rsid w:val="00F010E9"/>
    <w:rsid w:val="00F01974"/>
    <w:rsid w:val="00F0290D"/>
    <w:rsid w:val="00F02F72"/>
    <w:rsid w:val="00F0307B"/>
    <w:rsid w:val="00F03948"/>
    <w:rsid w:val="00F03C1D"/>
    <w:rsid w:val="00F03E5D"/>
    <w:rsid w:val="00F04615"/>
    <w:rsid w:val="00F04771"/>
    <w:rsid w:val="00F04F98"/>
    <w:rsid w:val="00F05675"/>
    <w:rsid w:val="00F056BB"/>
    <w:rsid w:val="00F05F14"/>
    <w:rsid w:val="00F06DFD"/>
    <w:rsid w:val="00F0752F"/>
    <w:rsid w:val="00F0765A"/>
    <w:rsid w:val="00F10236"/>
    <w:rsid w:val="00F104E3"/>
    <w:rsid w:val="00F125FA"/>
    <w:rsid w:val="00F1277D"/>
    <w:rsid w:val="00F135D5"/>
    <w:rsid w:val="00F13836"/>
    <w:rsid w:val="00F13863"/>
    <w:rsid w:val="00F14190"/>
    <w:rsid w:val="00F15C0E"/>
    <w:rsid w:val="00F16015"/>
    <w:rsid w:val="00F16281"/>
    <w:rsid w:val="00F16A50"/>
    <w:rsid w:val="00F16B55"/>
    <w:rsid w:val="00F17396"/>
    <w:rsid w:val="00F17C65"/>
    <w:rsid w:val="00F20046"/>
    <w:rsid w:val="00F21062"/>
    <w:rsid w:val="00F215A0"/>
    <w:rsid w:val="00F21E7C"/>
    <w:rsid w:val="00F22176"/>
    <w:rsid w:val="00F228D8"/>
    <w:rsid w:val="00F22F76"/>
    <w:rsid w:val="00F2317A"/>
    <w:rsid w:val="00F23C66"/>
    <w:rsid w:val="00F23D8D"/>
    <w:rsid w:val="00F242DC"/>
    <w:rsid w:val="00F24BD1"/>
    <w:rsid w:val="00F260C9"/>
    <w:rsid w:val="00F261EF"/>
    <w:rsid w:val="00F2635F"/>
    <w:rsid w:val="00F26FFB"/>
    <w:rsid w:val="00F27404"/>
    <w:rsid w:val="00F278C4"/>
    <w:rsid w:val="00F27DA3"/>
    <w:rsid w:val="00F27E8A"/>
    <w:rsid w:val="00F3085A"/>
    <w:rsid w:val="00F30905"/>
    <w:rsid w:val="00F314A2"/>
    <w:rsid w:val="00F323A5"/>
    <w:rsid w:val="00F32894"/>
    <w:rsid w:val="00F32A44"/>
    <w:rsid w:val="00F32D4D"/>
    <w:rsid w:val="00F32F58"/>
    <w:rsid w:val="00F333B8"/>
    <w:rsid w:val="00F33A07"/>
    <w:rsid w:val="00F33B22"/>
    <w:rsid w:val="00F33B6F"/>
    <w:rsid w:val="00F34415"/>
    <w:rsid w:val="00F3478A"/>
    <w:rsid w:val="00F353BC"/>
    <w:rsid w:val="00F35686"/>
    <w:rsid w:val="00F3614C"/>
    <w:rsid w:val="00F3738D"/>
    <w:rsid w:val="00F37786"/>
    <w:rsid w:val="00F377DB"/>
    <w:rsid w:val="00F37AA3"/>
    <w:rsid w:val="00F37E99"/>
    <w:rsid w:val="00F40CD4"/>
    <w:rsid w:val="00F41035"/>
    <w:rsid w:val="00F41688"/>
    <w:rsid w:val="00F4242E"/>
    <w:rsid w:val="00F424A3"/>
    <w:rsid w:val="00F42F6A"/>
    <w:rsid w:val="00F431B8"/>
    <w:rsid w:val="00F43CF7"/>
    <w:rsid w:val="00F44F27"/>
    <w:rsid w:val="00F45F1D"/>
    <w:rsid w:val="00F46401"/>
    <w:rsid w:val="00F471FD"/>
    <w:rsid w:val="00F4768E"/>
    <w:rsid w:val="00F50BCC"/>
    <w:rsid w:val="00F50C08"/>
    <w:rsid w:val="00F5159B"/>
    <w:rsid w:val="00F51E48"/>
    <w:rsid w:val="00F5293A"/>
    <w:rsid w:val="00F52AC0"/>
    <w:rsid w:val="00F52E2D"/>
    <w:rsid w:val="00F54084"/>
    <w:rsid w:val="00F549A1"/>
    <w:rsid w:val="00F5603F"/>
    <w:rsid w:val="00F5682E"/>
    <w:rsid w:val="00F57DA4"/>
    <w:rsid w:val="00F603F8"/>
    <w:rsid w:val="00F6062F"/>
    <w:rsid w:val="00F606A7"/>
    <w:rsid w:val="00F606C2"/>
    <w:rsid w:val="00F60715"/>
    <w:rsid w:val="00F60B09"/>
    <w:rsid w:val="00F61877"/>
    <w:rsid w:val="00F61ABE"/>
    <w:rsid w:val="00F61ACE"/>
    <w:rsid w:val="00F61D84"/>
    <w:rsid w:val="00F62810"/>
    <w:rsid w:val="00F64888"/>
    <w:rsid w:val="00F65260"/>
    <w:rsid w:val="00F6612D"/>
    <w:rsid w:val="00F662BB"/>
    <w:rsid w:val="00F66A9E"/>
    <w:rsid w:val="00F67239"/>
    <w:rsid w:val="00F70762"/>
    <w:rsid w:val="00F721CA"/>
    <w:rsid w:val="00F72655"/>
    <w:rsid w:val="00F72660"/>
    <w:rsid w:val="00F73B9F"/>
    <w:rsid w:val="00F740A0"/>
    <w:rsid w:val="00F74801"/>
    <w:rsid w:val="00F74AE7"/>
    <w:rsid w:val="00F74C5A"/>
    <w:rsid w:val="00F76B6A"/>
    <w:rsid w:val="00F76C17"/>
    <w:rsid w:val="00F80F83"/>
    <w:rsid w:val="00F81011"/>
    <w:rsid w:val="00F81B08"/>
    <w:rsid w:val="00F81BDE"/>
    <w:rsid w:val="00F8258B"/>
    <w:rsid w:val="00F82614"/>
    <w:rsid w:val="00F826C1"/>
    <w:rsid w:val="00F828EE"/>
    <w:rsid w:val="00F83970"/>
    <w:rsid w:val="00F84018"/>
    <w:rsid w:val="00F84B09"/>
    <w:rsid w:val="00F84B5A"/>
    <w:rsid w:val="00F84B93"/>
    <w:rsid w:val="00F84D11"/>
    <w:rsid w:val="00F855B5"/>
    <w:rsid w:val="00F858B5"/>
    <w:rsid w:val="00F85FF6"/>
    <w:rsid w:val="00F868C1"/>
    <w:rsid w:val="00F87A66"/>
    <w:rsid w:val="00F87CBF"/>
    <w:rsid w:val="00F90206"/>
    <w:rsid w:val="00F9230A"/>
    <w:rsid w:val="00F92626"/>
    <w:rsid w:val="00F9285A"/>
    <w:rsid w:val="00F92B52"/>
    <w:rsid w:val="00F93BBC"/>
    <w:rsid w:val="00F94F5F"/>
    <w:rsid w:val="00F958C2"/>
    <w:rsid w:val="00F95F56"/>
    <w:rsid w:val="00F96137"/>
    <w:rsid w:val="00F9644D"/>
    <w:rsid w:val="00F97296"/>
    <w:rsid w:val="00F979AC"/>
    <w:rsid w:val="00F97DF6"/>
    <w:rsid w:val="00FA0BA0"/>
    <w:rsid w:val="00FA19C1"/>
    <w:rsid w:val="00FA1ED1"/>
    <w:rsid w:val="00FA25EE"/>
    <w:rsid w:val="00FA3B86"/>
    <w:rsid w:val="00FA4969"/>
    <w:rsid w:val="00FA53D7"/>
    <w:rsid w:val="00FA58E1"/>
    <w:rsid w:val="00FA60BD"/>
    <w:rsid w:val="00FA6796"/>
    <w:rsid w:val="00FA7557"/>
    <w:rsid w:val="00FA7558"/>
    <w:rsid w:val="00FA774E"/>
    <w:rsid w:val="00FB12FB"/>
    <w:rsid w:val="00FB1E74"/>
    <w:rsid w:val="00FB2347"/>
    <w:rsid w:val="00FB2D85"/>
    <w:rsid w:val="00FB3108"/>
    <w:rsid w:val="00FB3587"/>
    <w:rsid w:val="00FB3B2E"/>
    <w:rsid w:val="00FB3D97"/>
    <w:rsid w:val="00FB3EE6"/>
    <w:rsid w:val="00FB440B"/>
    <w:rsid w:val="00FB4510"/>
    <w:rsid w:val="00FB4A92"/>
    <w:rsid w:val="00FB56AF"/>
    <w:rsid w:val="00FB5AA2"/>
    <w:rsid w:val="00FB63BC"/>
    <w:rsid w:val="00FB6514"/>
    <w:rsid w:val="00FB6614"/>
    <w:rsid w:val="00FC05C0"/>
    <w:rsid w:val="00FC085D"/>
    <w:rsid w:val="00FC1CE1"/>
    <w:rsid w:val="00FC29E0"/>
    <w:rsid w:val="00FC2B13"/>
    <w:rsid w:val="00FC315E"/>
    <w:rsid w:val="00FC3E96"/>
    <w:rsid w:val="00FC5728"/>
    <w:rsid w:val="00FC572D"/>
    <w:rsid w:val="00FC6714"/>
    <w:rsid w:val="00FC6E87"/>
    <w:rsid w:val="00FC7EBB"/>
    <w:rsid w:val="00FC7F08"/>
    <w:rsid w:val="00FD0FD1"/>
    <w:rsid w:val="00FD106D"/>
    <w:rsid w:val="00FD13AA"/>
    <w:rsid w:val="00FD1975"/>
    <w:rsid w:val="00FD1A3D"/>
    <w:rsid w:val="00FD2191"/>
    <w:rsid w:val="00FD2500"/>
    <w:rsid w:val="00FD266B"/>
    <w:rsid w:val="00FD2B28"/>
    <w:rsid w:val="00FD2D33"/>
    <w:rsid w:val="00FD3580"/>
    <w:rsid w:val="00FD4710"/>
    <w:rsid w:val="00FD5B50"/>
    <w:rsid w:val="00FD6195"/>
    <w:rsid w:val="00FD63FC"/>
    <w:rsid w:val="00FE0670"/>
    <w:rsid w:val="00FE2147"/>
    <w:rsid w:val="00FE219D"/>
    <w:rsid w:val="00FE2620"/>
    <w:rsid w:val="00FE3864"/>
    <w:rsid w:val="00FE3E75"/>
    <w:rsid w:val="00FE4B0E"/>
    <w:rsid w:val="00FE4D6E"/>
    <w:rsid w:val="00FE6349"/>
    <w:rsid w:val="00FE6BFA"/>
    <w:rsid w:val="00FE7282"/>
    <w:rsid w:val="00FE7304"/>
    <w:rsid w:val="00FE79B7"/>
    <w:rsid w:val="00FF0310"/>
    <w:rsid w:val="00FF11DA"/>
    <w:rsid w:val="00FF23DE"/>
    <w:rsid w:val="00FF2792"/>
    <w:rsid w:val="00FF59D0"/>
    <w:rsid w:val="00FF670F"/>
    <w:rsid w:val="00FF72F4"/>
    <w:rsid w:val="00FF7454"/>
    <w:rsid w:val="00FF7ED8"/>
    <w:rsid w:val="01A432EB"/>
    <w:rsid w:val="01FB5C4F"/>
    <w:rsid w:val="021D0F4A"/>
    <w:rsid w:val="0256548E"/>
    <w:rsid w:val="02890D36"/>
    <w:rsid w:val="029370C7"/>
    <w:rsid w:val="02C644B9"/>
    <w:rsid w:val="02FF41F8"/>
    <w:rsid w:val="0314419D"/>
    <w:rsid w:val="04E24159"/>
    <w:rsid w:val="04E81B1A"/>
    <w:rsid w:val="05097AD0"/>
    <w:rsid w:val="0524617D"/>
    <w:rsid w:val="05CC0E93"/>
    <w:rsid w:val="06443FD4"/>
    <w:rsid w:val="07277E4A"/>
    <w:rsid w:val="07541C13"/>
    <w:rsid w:val="07987FF3"/>
    <w:rsid w:val="08073E22"/>
    <w:rsid w:val="08822685"/>
    <w:rsid w:val="08C1152A"/>
    <w:rsid w:val="08FA104A"/>
    <w:rsid w:val="08FA57C7"/>
    <w:rsid w:val="09AA1547"/>
    <w:rsid w:val="0A765FB8"/>
    <w:rsid w:val="0A814349"/>
    <w:rsid w:val="0AF8308E"/>
    <w:rsid w:val="0C241D5F"/>
    <w:rsid w:val="0C483CB5"/>
    <w:rsid w:val="0C5F0057"/>
    <w:rsid w:val="0C906A3A"/>
    <w:rsid w:val="0D4A6D5B"/>
    <w:rsid w:val="0D8D654B"/>
    <w:rsid w:val="0DA914DF"/>
    <w:rsid w:val="0E263246"/>
    <w:rsid w:val="0E3015D7"/>
    <w:rsid w:val="0E6A02CB"/>
    <w:rsid w:val="101500B2"/>
    <w:rsid w:val="10507C42"/>
    <w:rsid w:val="105A7962"/>
    <w:rsid w:val="109C3C4F"/>
    <w:rsid w:val="115C57C9"/>
    <w:rsid w:val="11F62C07"/>
    <w:rsid w:val="1244192C"/>
    <w:rsid w:val="124F3295"/>
    <w:rsid w:val="13737B75"/>
    <w:rsid w:val="13B43E61"/>
    <w:rsid w:val="13D10DC9"/>
    <w:rsid w:val="147719A1"/>
    <w:rsid w:val="148C1946"/>
    <w:rsid w:val="14B8240A"/>
    <w:rsid w:val="14F74D3D"/>
    <w:rsid w:val="15082325"/>
    <w:rsid w:val="154C7218"/>
    <w:rsid w:val="159640CC"/>
    <w:rsid w:val="15E32EDF"/>
    <w:rsid w:val="17707100"/>
    <w:rsid w:val="17853822"/>
    <w:rsid w:val="17E06C0C"/>
    <w:rsid w:val="17EE4332"/>
    <w:rsid w:val="18947263"/>
    <w:rsid w:val="196C5A40"/>
    <w:rsid w:val="19C2556A"/>
    <w:rsid w:val="19C41B53"/>
    <w:rsid w:val="1A2608F3"/>
    <w:rsid w:val="1A336B23"/>
    <w:rsid w:val="1BC534F8"/>
    <w:rsid w:val="1BCD57AB"/>
    <w:rsid w:val="1C0E1A98"/>
    <w:rsid w:val="1C490289"/>
    <w:rsid w:val="1C6F4FB4"/>
    <w:rsid w:val="1CA6768D"/>
    <w:rsid w:val="1CDB5968"/>
    <w:rsid w:val="1D1F6145"/>
    <w:rsid w:val="1D54432D"/>
    <w:rsid w:val="1E2D620F"/>
    <w:rsid w:val="1E422931"/>
    <w:rsid w:val="1F40453C"/>
    <w:rsid w:val="1F5E4382"/>
    <w:rsid w:val="1FFB6236"/>
    <w:rsid w:val="20080EA1"/>
    <w:rsid w:val="20621846"/>
    <w:rsid w:val="208244E5"/>
    <w:rsid w:val="20B1352E"/>
    <w:rsid w:val="21BD09EA"/>
    <w:rsid w:val="21C734F7"/>
    <w:rsid w:val="21D2510C"/>
    <w:rsid w:val="22B60C01"/>
    <w:rsid w:val="231879A1"/>
    <w:rsid w:val="23723329"/>
    <w:rsid w:val="239A46F7"/>
    <w:rsid w:val="23A3664D"/>
    <w:rsid w:val="23E6703F"/>
    <w:rsid w:val="2411343C"/>
    <w:rsid w:val="249F6523"/>
    <w:rsid w:val="25B84A72"/>
    <w:rsid w:val="2603285F"/>
    <w:rsid w:val="26CA35AD"/>
    <w:rsid w:val="26DF605A"/>
    <w:rsid w:val="27EC118E"/>
    <w:rsid w:val="28B1694E"/>
    <w:rsid w:val="28BC0562"/>
    <w:rsid w:val="29747D10"/>
    <w:rsid w:val="2A2D713F"/>
    <w:rsid w:val="2A423861"/>
    <w:rsid w:val="2A63541A"/>
    <w:rsid w:val="2A8B47D9"/>
    <w:rsid w:val="2A8F5EDF"/>
    <w:rsid w:val="2AA84B6D"/>
    <w:rsid w:val="2ABF0192"/>
    <w:rsid w:val="2AFB6893"/>
    <w:rsid w:val="2B937D0B"/>
    <w:rsid w:val="2BFF482F"/>
    <w:rsid w:val="2C033842"/>
    <w:rsid w:val="2E1E06B9"/>
    <w:rsid w:val="2E307837"/>
    <w:rsid w:val="2EB61B31"/>
    <w:rsid w:val="2EF8259B"/>
    <w:rsid w:val="2F2954D5"/>
    <w:rsid w:val="2F522F30"/>
    <w:rsid w:val="2F9959A7"/>
    <w:rsid w:val="2FD90156"/>
    <w:rsid w:val="2FDE4A00"/>
    <w:rsid w:val="30A957E4"/>
    <w:rsid w:val="30C56DD2"/>
    <w:rsid w:val="3198766B"/>
    <w:rsid w:val="319D0DD6"/>
    <w:rsid w:val="31A15D7C"/>
    <w:rsid w:val="32DE1F01"/>
    <w:rsid w:val="331630E9"/>
    <w:rsid w:val="335F6FD7"/>
    <w:rsid w:val="33BD156F"/>
    <w:rsid w:val="34044311"/>
    <w:rsid w:val="341A5C01"/>
    <w:rsid w:val="34C131AF"/>
    <w:rsid w:val="34E87C04"/>
    <w:rsid w:val="35476355"/>
    <w:rsid w:val="354D2F7F"/>
    <w:rsid w:val="356928AF"/>
    <w:rsid w:val="35D579E0"/>
    <w:rsid w:val="36013D27"/>
    <w:rsid w:val="36025D97"/>
    <w:rsid w:val="36E47B9D"/>
    <w:rsid w:val="381E4168"/>
    <w:rsid w:val="38481119"/>
    <w:rsid w:val="38733E42"/>
    <w:rsid w:val="38C2712E"/>
    <w:rsid w:val="38E96FEE"/>
    <w:rsid w:val="39456083"/>
    <w:rsid w:val="39A62C24"/>
    <w:rsid w:val="39E1253F"/>
    <w:rsid w:val="3A29797A"/>
    <w:rsid w:val="3A3E409C"/>
    <w:rsid w:val="3A5B7D04"/>
    <w:rsid w:val="3B084B7F"/>
    <w:rsid w:val="3B1D351E"/>
    <w:rsid w:val="3B2575DE"/>
    <w:rsid w:val="3C682428"/>
    <w:rsid w:val="3C957840"/>
    <w:rsid w:val="3D2024D7"/>
    <w:rsid w:val="3D417B8C"/>
    <w:rsid w:val="3D4C5F1D"/>
    <w:rsid w:val="3E1A5671"/>
    <w:rsid w:val="3E667CEF"/>
    <w:rsid w:val="3ECC2853"/>
    <w:rsid w:val="3ED34AA0"/>
    <w:rsid w:val="3F2A54AE"/>
    <w:rsid w:val="3F6E789D"/>
    <w:rsid w:val="3FE04FF8"/>
    <w:rsid w:val="3FED2FEE"/>
    <w:rsid w:val="40B118C6"/>
    <w:rsid w:val="412874F2"/>
    <w:rsid w:val="42014C57"/>
    <w:rsid w:val="42161379"/>
    <w:rsid w:val="42821AAE"/>
    <w:rsid w:val="42AF6075"/>
    <w:rsid w:val="42B00D56"/>
    <w:rsid w:val="42CF43AB"/>
    <w:rsid w:val="42EE6E5E"/>
    <w:rsid w:val="42F21E4A"/>
    <w:rsid w:val="43204EC2"/>
    <w:rsid w:val="43C845C3"/>
    <w:rsid w:val="44472BCC"/>
    <w:rsid w:val="447A74B6"/>
    <w:rsid w:val="44D43B03"/>
    <w:rsid w:val="46737A24"/>
    <w:rsid w:val="46CA0433"/>
    <w:rsid w:val="47207A57"/>
    <w:rsid w:val="477535AD"/>
    <w:rsid w:val="48516FB5"/>
    <w:rsid w:val="4852443C"/>
    <w:rsid w:val="48B459D5"/>
    <w:rsid w:val="49497D40"/>
    <w:rsid w:val="4A25108D"/>
    <w:rsid w:val="4A9216E3"/>
    <w:rsid w:val="4AE820F1"/>
    <w:rsid w:val="4B5826B5"/>
    <w:rsid w:val="4B726780"/>
    <w:rsid w:val="4BCA04E6"/>
    <w:rsid w:val="4D056F74"/>
    <w:rsid w:val="4D6B76A5"/>
    <w:rsid w:val="4E634927"/>
    <w:rsid w:val="4EB04235"/>
    <w:rsid w:val="4F105D44"/>
    <w:rsid w:val="4F355850"/>
    <w:rsid w:val="4F5C4B3F"/>
    <w:rsid w:val="4F8B14B0"/>
    <w:rsid w:val="4FB671CF"/>
    <w:rsid w:val="4FFD7F4B"/>
    <w:rsid w:val="501F5F01"/>
    <w:rsid w:val="50AF7499"/>
    <w:rsid w:val="50BF05A8"/>
    <w:rsid w:val="517F4BC4"/>
    <w:rsid w:val="51A95A08"/>
    <w:rsid w:val="51BA3724"/>
    <w:rsid w:val="51E4236A"/>
    <w:rsid w:val="52077FA0"/>
    <w:rsid w:val="52F61E27"/>
    <w:rsid w:val="53845F65"/>
    <w:rsid w:val="545C6276"/>
    <w:rsid w:val="556C60B3"/>
    <w:rsid w:val="558F36ED"/>
    <w:rsid w:val="55C67B05"/>
    <w:rsid w:val="561A74D1"/>
    <w:rsid w:val="565A4F24"/>
    <w:rsid w:val="57283E0B"/>
    <w:rsid w:val="57443157"/>
    <w:rsid w:val="574A1DC1"/>
    <w:rsid w:val="57C00B06"/>
    <w:rsid w:val="58021570"/>
    <w:rsid w:val="580E5197"/>
    <w:rsid w:val="5831455A"/>
    <w:rsid w:val="5863030F"/>
    <w:rsid w:val="58657A28"/>
    <w:rsid w:val="5906339C"/>
    <w:rsid w:val="592616D2"/>
    <w:rsid w:val="59341B00"/>
    <w:rsid w:val="59DE0E81"/>
    <w:rsid w:val="59F55223"/>
    <w:rsid w:val="59FF35B4"/>
    <w:rsid w:val="5A0F3E20"/>
    <w:rsid w:val="5A6E746B"/>
    <w:rsid w:val="5AE470AA"/>
    <w:rsid w:val="5AE84EBA"/>
    <w:rsid w:val="5B301727"/>
    <w:rsid w:val="5B5A5DEF"/>
    <w:rsid w:val="5BC56904"/>
    <w:rsid w:val="5C0A6E8C"/>
    <w:rsid w:val="5CEC2D02"/>
    <w:rsid w:val="5D1D1754"/>
    <w:rsid w:val="5D2353DA"/>
    <w:rsid w:val="5F6D531F"/>
    <w:rsid w:val="5FAA00F7"/>
    <w:rsid w:val="5FAE2505"/>
    <w:rsid w:val="5FEC5CF0"/>
    <w:rsid w:val="5FFF7936"/>
    <w:rsid w:val="60056797"/>
    <w:rsid w:val="600E5D10"/>
    <w:rsid w:val="60C458D1"/>
    <w:rsid w:val="61094D40"/>
    <w:rsid w:val="614172DE"/>
    <w:rsid w:val="6160574F"/>
    <w:rsid w:val="62CF1DB0"/>
    <w:rsid w:val="62EC572A"/>
    <w:rsid w:val="64C211D3"/>
    <w:rsid w:val="64CE77AA"/>
    <w:rsid w:val="6511265D"/>
    <w:rsid w:val="651C4271"/>
    <w:rsid w:val="659D2AED"/>
    <w:rsid w:val="65A93AD5"/>
    <w:rsid w:val="662B3EC2"/>
    <w:rsid w:val="66A01F62"/>
    <w:rsid w:val="66B25BAB"/>
    <w:rsid w:val="6808013C"/>
    <w:rsid w:val="68490BA5"/>
    <w:rsid w:val="6872092B"/>
    <w:rsid w:val="68A320F0"/>
    <w:rsid w:val="68C10A03"/>
    <w:rsid w:val="691702F9"/>
    <w:rsid w:val="692E7F1E"/>
    <w:rsid w:val="69430A4C"/>
    <w:rsid w:val="6A242849"/>
    <w:rsid w:val="6AAC6858"/>
    <w:rsid w:val="6ADF78E5"/>
    <w:rsid w:val="6B0B3C2C"/>
    <w:rsid w:val="6B8D0D02"/>
    <w:rsid w:val="6C093AF5"/>
    <w:rsid w:val="6C7C2B89"/>
    <w:rsid w:val="6CB30AE5"/>
    <w:rsid w:val="6DFF7482"/>
    <w:rsid w:val="6E92338D"/>
    <w:rsid w:val="6EA50F15"/>
    <w:rsid w:val="6EC07079"/>
    <w:rsid w:val="6F1218C9"/>
    <w:rsid w:val="6F35142D"/>
    <w:rsid w:val="6F5B773E"/>
    <w:rsid w:val="6FE10C9C"/>
    <w:rsid w:val="70257F20"/>
    <w:rsid w:val="70375E28"/>
    <w:rsid w:val="70593DDE"/>
    <w:rsid w:val="70BA2611"/>
    <w:rsid w:val="71473A67"/>
    <w:rsid w:val="71BD1B86"/>
    <w:rsid w:val="71FA6D8D"/>
    <w:rsid w:val="72401A80"/>
    <w:rsid w:val="7298562B"/>
    <w:rsid w:val="73047240"/>
    <w:rsid w:val="74125278"/>
    <w:rsid w:val="745558E8"/>
    <w:rsid w:val="7474619D"/>
    <w:rsid w:val="74D43C38"/>
    <w:rsid w:val="7512151E"/>
    <w:rsid w:val="75435570"/>
    <w:rsid w:val="76452CDD"/>
    <w:rsid w:val="765E373E"/>
    <w:rsid w:val="766A7551"/>
    <w:rsid w:val="76912AA8"/>
    <w:rsid w:val="76936197"/>
    <w:rsid w:val="77ED3AF6"/>
    <w:rsid w:val="784A5B3F"/>
    <w:rsid w:val="79D131D0"/>
    <w:rsid w:val="7A2D6D03"/>
    <w:rsid w:val="7AF244C2"/>
    <w:rsid w:val="7B927A6E"/>
    <w:rsid w:val="7C8313D5"/>
    <w:rsid w:val="7CB1637A"/>
    <w:rsid w:val="7D0564AB"/>
    <w:rsid w:val="7D5052A6"/>
    <w:rsid w:val="7DE50961"/>
    <w:rsid w:val="7E697EBF"/>
    <w:rsid w:val="7E813419"/>
    <w:rsid w:val="7ED94FB7"/>
    <w:rsid w:val="7EED6802"/>
    <w:rsid w:val="7F0204F0"/>
    <w:rsid w:val="7F106C3A"/>
    <w:rsid w:val="7F9A6652"/>
    <w:rsid w:val="7FF12D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iPriority="9"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nhideWhenUsed="0" w:uiPriority="39" w:semiHidden="0" w:name="toc 2"/>
    <w:lsdException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5"/>
    <w:qFormat/>
    <w:uiPriority w:val="9"/>
    <w:pPr>
      <w:keepNext/>
      <w:keepLines/>
      <w:spacing w:before="340" w:after="330" w:line="578" w:lineRule="auto"/>
      <w:jc w:val="center"/>
      <w:outlineLvl w:val="0"/>
    </w:pPr>
    <w:rPr>
      <w:rFonts w:eastAsia="仿宋_GB2312"/>
      <w:b/>
      <w:bCs/>
      <w:kern w:val="44"/>
      <w:sz w:val="44"/>
      <w:szCs w:val="44"/>
    </w:rPr>
  </w:style>
  <w:style w:type="paragraph" w:styleId="4">
    <w:name w:val="heading 2"/>
    <w:basedOn w:val="1"/>
    <w:next w:val="1"/>
    <w:link w:val="80"/>
    <w:qFormat/>
    <w:uiPriority w:val="9"/>
    <w:pPr>
      <w:keepNext/>
      <w:keepLines/>
      <w:spacing w:before="260" w:after="260" w:line="400" w:lineRule="exact"/>
      <w:outlineLvl w:val="1"/>
    </w:pPr>
    <w:rPr>
      <w:rFonts w:ascii="Arial" w:hAnsi="Arial" w:eastAsia="黑体"/>
      <w:b/>
      <w:bCs/>
      <w:sz w:val="24"/>
      <w:szCs w:val="32"/>
    </w:rPr>
  </w:style>
  <w:style w:type="paragraph" w:styleId="5">
    <w:name w:val="heading 3"/>
    <w:basedOn w:val="1"/>
    <w:next w:val="1"/>
    <w:link w:val="56"/>
    <w:qFormat/>
    <w:uiPriority w:val="0"/>
    <w:pPr>
      <w:keepNext/>
      <w:keepLines/>
      <w:spacing w:before="260" w:after="260" w:line="416" w:lineRule="auto"/>
      <w:outlineLvl w:val="2"/>
    </w:pPr>
    <w:rPr>
      <w:b/>
      <w:bCs/>
      <w:sz w:val="32"/>
      <w:szCs w:val="32"/>
    </w:rPr>
  </w:style>
  <w:style w:type="paragraph" w:styleId="6">
    <w:name w:val="heading 5"/>
    <w:basedOn w:val="1"/>
    <w:next w:val="7"/>
    <w:link w:val="124"/>
    <w:qFormat/>
    <w:uiPriority w:val="0"/>
    <w:pPr>
      <w:keepNext/>
      <w:keepLines/>
      <w:numPr>
        <w:ilvl w:val="4"/>
        <w:numId w:val="1"/>
      </w:numPr>
      <w:spacing w:before="280" w:after="290" w:line="376" w:lineRule="auto"/>
      <w:outlineLvl w:val="4"/>
    </w:pPr>
    <w:rPr>
      <w:b/>
      <w:sz w:val="28"/>
    </w:rPr>
  </w:style>
  <w:style w:type="paragraph" w:styleId="8">
    <w:name w:val="heading 6"/>
    <w:basedOn w:val="1"/>
    <w:next w:val="7"/>
    <w:link w:val="125"/>
    <w:qFormat/>
    <w:uiPriority w:val="0"/>
    <w:pPr>
      <w:keepNext/>
      <w:keepLines/>
      <w:numPr>
        <w:ilvl w:val="5"/>
        <w:numId w:val="1"/>
      </w:numPr>
      <w:spacing w:before="240" w:after="64" w:line="320" w:lineRule="auto"/>
      <w:outlineLvl w:val="5"/>
    </w:pPr>
    <w:rPr>
      <w:rFonts w:ascii="Arial" w:hAnsi="Arial" w:eastAsia="黑体"/>
      <w:b/>
      <w:sz w:val="24"/>
    </w:rPr>
  </w:style>
  <w:style w:type="paragraph" w:styleId="9">
    <w:name w:val="heading 7"/>
    <w:basedOn w:val="1"/>
    <w:next w:val="7"/>
    <w:link w:val="126"/>
    <w:qFormat/>
    <w:uiPriority w:val="0"/>
    <w:pPr>
      <w:keepNext/>
      <w:keepLines/>
      <w:numPr>
        <w:ilvl w:val="6"/>
        <w:numId w:val="1"/>
      </w:numPr>
      <w:spacing w:before="240" w:after="64" w:line="320" w:lineRule="auto"/>
      <w:outlineLvl w:val="6"/>
    </w:pPr>
    <w:rPr>
      <w:b/>
      <w:sz w:val="24"/>
    </w:rPr>
  </w:style>
  <w:style w:type="paragraph" w:styleId="10">
    <w:name w:val="heading 8"/>
    <w:basedOn w:val="1"/>
    <w:next w:val="7"/>
    <w:link w:val="127"/>
    <w:qFormat/>
    <w:uiPriority w:val="0"/>
    <w:pPr>
      <w:keepNext/>
      <w:keepLines/>
      <w:numPr>
        <w:ilvl w:val="7"/>
        <w:numId w:val="1"/>
      </w:numPr>
      <w:spacing w:before="240" w:after="64" w:line="320" w:lineRule="auto"/>
      <w:outlineLvl w:val="7"/>
    </w:pPr>
    <w:rPr>
      <w:rFonts w:ascii="Arial" w:hAnsi="Arial" w:eastAsia="黑体"/>
      <w:sz w:val="24"/>
    </w:rPr>
  </w:style>
  <w:style w:type="paragraph" w:styleId="11">
    <w:name w:val="heading 9"/>
    <w:basedOn w:val="1"/>
    <w:next w:val="7"/>
    <w:link w:val="128"/>
    <w:qFormat/>
    <w:uiPriority w:val="0"/>
    <w:pPr>
      <w:keepNext/>
      <w:keepLines/>
      <w:numPr>
        <w:ilvl w:val="8"/>
        <w:numId w:val="1"/>
      </w:numPr>
      <w:spacing w:before="240" w:after="64" w:line="320" w:lineRule="auto"/>
      <w:outlineLvl w:val="8"/>
    </w:pPr>
    <w:rPr>
      <w:rFonts w:ascii="Arial" w:hAnsi="Arial" w:eastAsia="黑体"/>
    </w:rPr>
  </w:style>
  <w:style w:type="character" w:default="1" w:styleId="36">
    <w:name w:val="Default Paragraph Font"/>
    <w:semiHidden/>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31"/>
    <w:qFormat/>
    <w:uiPriority w:val="0"/>
    <w:pPr>
      <w:spacing w:line="380" w:lineRule="exact"/>
    </w:pPr>
    <w:rPr>
      <w:sz w:val="24"/>
    </w:rPr>
  </w:style>
  <w:style w:type="paragraph" w:styleId="7">
    <w:name w:val="Normal Indent"/>
    <w:basedOn w:val="1"/>
    <w:link w:val="54"/>
    <w:qFormat/>
    <w:uiPriority w:val="0"/>
    <w:pPr>
      <w:ind w:firstLine="420"/>
    </w:pPr>
    <w:rPr>
      <w:szCs w:val="20"/>
    </w:rPr>
  </w:style>
  <w:style w:type="paragraph" w:styleId="12">
    <w:name w:val="List Number"/>
    <w:basedOn w:val="1"/>
    <w:qFormat/>
    <w:uiPriority w:val="0"/>
    <w:pPr>
      <w:widowControl/>
      <w:tabs>
        <w:tab w:val="left" w:pos="454"/>
        <w:tab w:val="left" w:pos="720"/>
        <w:tab w:val="left" w:pos="840"/>
      </w:tabs>
      <w:spacing w:after="156" w:afterLines="50"/>
      <w:ind w:left="454" w:hanging="284"/>
      <w:jc w:val="left"/>
    </w:pPr>
    <w:rPr>
      <w:kern w:val="0"/>
      <w:sz w:val="24"/>
      <w:szCs w:val="20"/>
    </w:rPr>
  </w:style>
  <w:style w:type="paragraph" w:styleId="13">
    <w:name w:val="caption"/>
    <w:basedOn w:val="1"/>
    <w:next w:val="1"/>
    <w:qFormat/>
    <w:uiPriority w:val="0"/>
    <w:pPr>
      <w:spacing w:before="152" w:after="160"/>
    </w:pPr>
    <w:rPr>
      <w:rFonts w:ascii="Arial" w:hAnsi="Arial" w:eastAsia="黑体" w:cs="Arial"/>
      <w:sz w:val="20"/>
      <w:szCs w:val="20"/>
    </w:rPr>
  </w:style>
  <w:style w:type="paragraph" w:styleId="14">
    <w:name w:val="Document Map"/>
    <w:basedOn w:val="1"/>
    <w:link w:val="129"/>
    <w:qFormat/>
    <w:uiPriority w:val="0"/>
    <w:pPr>
      <w:shd w:val="clear" w:color="auto" w:fill="000080"/>
    </w:pPr>
  </w:style>
  <w:style w:type="paragraph" w:styleId="15">
    <w:name w:val="annotation text"/>
    <w:basedOn w:val="1"/>
    <w:link w:val="70"/>
    <w:qFormat/>
    <w:uiPriority w:val="0"/>
    <w:pPr>
      <w:jc w:val="left"/>
    </w:pPr>
  </w:style>
  <w:style w:type="paragraph" w:styleId="16">
    <w:name w:val="Body Text 3"/>
    <w:basedOn w:val="1"/>
    <w:link w:val="130"/>
    <w:qFormat/>
    <w:uiPriority w:val="0"/>
    <w:pPr>
      <w:spacing w:line="500" w:lineRule="exact"/>
    </w:pPr>
    <w:rPr>
      <w:b/>
      <w:bCs/>
      <w:sz w:val="24"/>
    </w:rPr>
  </w:style>
  <w:style w:type="paragraph" w:styleId="17">
    <w:name w:val="Body Text Indent"/>
    <w:basedOn w:val="1"/>
    <w:link w:val="63"/>
    <w:qFormat/>
    <w:uiPriority w:val="0"/>
    <w:pPr>
      <w:ind w:firstLine="830" w:firstLineChars="352"/>
    </w:pPr>
    <w:rPr>
      <w:rFonts w:ascii="仿宋_GB2312" w:eastAsia="仿宋_GB2312"/>
      <w:sz w:val="32"/>
      <w:szCs w:val="20"/>
    </w:rPr>
  </w:style>
  <w:style w:type="paragraph" w:styleId="18">
    <w:name w:val="List Number 3"/>
    <w:basedOn w:val="1"/>
    <w:qFormat/>
    <w:uiPriority w:val="0"/>
    <w:pPr>
      <w:numPr>
        <w:ilvl w:val="0"/>
        <w:numId w:val="1"/>
      </w:numPr>
    </w:pPr>
  </w:style>
  <w:style w:type="paragraph" w:styleId="19">
    <w:name w:val="List 2"/>
    <w:basedOn w:val="1"/>
    <w:qFormat/>
    <w:uiPriority w:val="0"/>
    <w:pPr>
      <w:ind w:left="100" w:leftChars="200" w:hanging="200" w:hangingChars="200"/>
    </w:pPr>
    <w:rPr>
      <w:sz w:val="28"/>
    </w:rPr>
  </w:style>
  <w:style w:type="paragraph" w:styleId="20">
    <w:name w:val="Plain Text"/>
    <w:basedOn w:val="1"/>
    <w:link w:val="50"/>
    <w:qFormat/>
    <w:uiPriority w:val="0"/>
    <w:rPr>
      <w:rFonts w:ascii="宋体" w:hAnsi="Courier New" w:cs="Courier New"/>
      <w:szCs w:val="21"/>
    </w:rPr>
  </w:style>
  <w:style w:type="paragraph" w:styleId="21">
    <w:name w:val="Date"/>
    <w:basedOn w:val="1"/>
    <w:next w:val="1"/>
    <w:link w:val="132"/>
    <w:qFormat/>
    <w:uiPriority w:val="0"/>
    <w:pPr>
      <w:ind w:left="100" w:leftChars="2500"/>
    </w:pPr>
    <w:rPr>
      <w:rFonts w:ascii="宋体" w:hAnsi="Courier New" w:cs="Courier New"/>
      <w:szCs w:val="21"/>
    </w:rPr>
  </w:style>
  <w:style w:type="paragraph" w:styleId="22">
    <w:name w:val="Body Text Indent 2"/>
    <w:basedOn w:val="1"/>
    <w:link w:val="133"/>
    <w:qFormat/>
    <w:uiPriority w:val="0"/>
    <w:pPr>
      <w:ind w:firstLine="630"/>
    </w:pPr>
    <w:rPr>
      <w:sz w:val="32"/>
      <w:szCs w:val="20"/>
    </w:rPr>
  </w:style>
  <w:style w:type="paragraph" w:styleId="23">
    <w:name w:val="Balloon Text"/>
    <w:basedOn w:val="1"/>
    <w:link w:val="69"/>
    <w:qFormat/>
    <w:uiPriority w:val="0"/>
    <w:rPr>
      <w:sz w:val="18"/>
      <w:szCs w:val="18"/>
      <w:lang w:val="zh-CN"/>
    </w:rPr>
  </w:style>
  <w:style w:type="paragraph" w:styleId="24">
    <w:name w:val="footer"/>
    <w:basedOn w:val="1"/>
    <w:link w:val="65"/>
    <w:qFormat/>
    <w:uiPriority w:val="99"/>
    <w:pPr>
      <w:tabs>
        <w:tab w:val="center" w:pos="4153"/>
        <w:tab w:val="right" w:pos="8306"/>
      </w:tabs>
      <w:snapToGrid w:val="0"/>
      <w:jc w:val="left"/>
    </w:pPr>
    <w:rPr>
      <w:sz w:val="18"/>
      <w:szCs w:val="18"/>
      <w:lang w:val="zh-CN"/>
    </w:rPr>
  </w:style>
  <w:style w:type="paragraph" w:styleId="25">
    <w:name w:val="header"/>
    <w:basedOn w:val="1"/>
    <w:link w:val="67"/>
    <w:qFormat/>
    <w:uiPriority w:val="99"/>
    <w:pPr>
      <w:pBdr>
        <w:bottom w:val="single" w:color="auto" w:sz="6" w:space="1"/>
      </w:pBdr>
      <w:tabs>
        <w:tab w:val="center" w:pos="4153"/>
        <w:tab w:val="right" w:pos="8306"/>
      </w:tabs>
      <w:snapToGrid w:val="0"/>
      <w:jc w:val="center"/>
    </w:pPr>
    <w:rPr>
      <w:sz w:val="18"/>
      <w:szCs w:val="18"/>
    </w:rPr>
  </w:style>
  <w:style w:type="paragraph" w:styleId="26">
    <w:name w:val="toc 1"/>
    <w:basedOn w:val="1"/>
    <w:next w:val="1"/>
    <w:qFormat/>
    <w:uiPriority w:val="39"/>
  </w:style>
  <w:style w:type="paragraph" w:styleId="27">
    <w:name w:val="Subtitle"/>
    <w:basedOn w:val="1"/>
    <w:next w:val="1"/>
    <w:link w:val="68"/>
    <w:qFormat/>
    <w:uiPriority w:val="0"/>
    <w:pPr>
      <w:spacing w:line="312" w:lineRule="auto"/>
      <w:ind w:left="200" w:leftChars="200"/>
      <w:jc w:val="left"/>
      <w:outlineLvl w:val="1"/>
    </w:pPr>
    <w:rPr>
      <w:rFonts w:ascii="Cambria" w:hAnsi="Cambria"/>
      <w:b/>
      <w:bCs/>
      <w:kern w:val="28"/>
      <w:sz w:val="28"/>
      <w:szCs w:val="32"/>
    </w:rPr>
  </w:style>
  <w:style w:type="paragraph" w:styleId="28">
    <w:name w:val="List"/>
    <w:basedOn w:val="1"/>
    <w:qFormat/>
    <w:uiPriority w:val="0"/>
    <w:pPr>
      <w:ind w:left="200" w:hanging="200" w:hangingChars="200"/>
    </w:pPr>
    <w:rPr>
      <w:sz w:val="28"/>
    </w:rPr>
  </w:style>
  <w:style w:type="paragraph" w:styleId="29">
    <w:name w:val="Body Text Indent 3"/>
    <w:basedOn w:val="1"/>
    <w:link w:val="134"/>
    <w:qFormat/>
    <w:uiPriority w:val="0"/>
    <w:pPr>
      <w:spacing w:after="120"/>
      <w:ind w:left="420" w:leftChars="200"/>
    </w:pPr>
    <w:rPr>
      <w:sz w:val="16"/>
      <w:szCs w:val="16"/>
    </w:rPr>
  </w:style>
  <w:style w:type="paragraph" w:styleId="30">
    <w:name w:val="Body Text 2"/>
    <w:basedOn w:val="1"/>
    <w:link w:val="135"/>
    <w:qFormat/>
    <w:uiPriority w:val="0"/>
    <w:pPr>
      <w:spacing w:after="120" w:line="480" w:lineRule="auto"/>
    </w:pPr>
  </w:style>
  <w:style w:type="paragraph" w:styleId="31">
    <w:name w:val="HTML Preformatted"/>
    <w:basedOn w:val="1"/>
    <w:link w:val="136"/>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2">
    <w:name w:val="Normal (Web)"/>
    <w:basedOn w:val="1"/>
    <w:qFormat/>
    <w:uiPriority w:val="0"/>
    <w:pPr>
      <w:widowControl/>
      <w:spacing w:before="100" w:beforeAutospacing="1" w:after="100" w:afterAutospacing="1"/>
      <w:jc w:val="left"/>
    </w:pPr>
    <w:rPr>
      <w:rFonts w:ascii="宋体" w:hAnsi="宋体"/>
      <w:kern w:val="0"/>
      <w:sz w:val="24"/>
    </w:rPr>
  </w:style>
  <w:style w:type="paragraph" w:styleId="33">
    <w:name w:val="annotation subject"/>
    <w:basedOn w:val="15"/>
    <w:next w:val="15"/>
    <w:link w:val="81"/>
    <w:qFormat/>
    <w:uiPriority w:val="0"/>
    <w:rPr>
      <w:b/>
      <w:bCs/>
    </w:rPr>
  </w:style>
  <w:style w:type="table" w:styleId="35">
    <w:name w:val="Table Grid"/>
    <w:basedOn w:val="3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Strong"/>
    <w:qFormat/>
    <w:uiPriority w:val="0"/>
    <w:rPr>
      <w:rFonts w:ascii="Times New Roman" w:hAnsi="Times New Roman" w:eastAsia="宋体" w:cs="Times New Roman"/>
      <w:b/>
      <w:bCs/>
    </w:rPr>
  </w:style>
  <w:style w:type="character" w:styleId="38">
    <w:name w:val="page number"/>
    <w:qFormat/>
    <w:uiPriority w:val="0"/>
    <w:rPr>
      <w:rFonts w:ascii="Times New Roman" w:hAnsi="Times New Roman" w:eastAsia="宋体" w:cs="Times New Roman"/>
    </w:rPr>
  </w:style>
  <w:style w:type="character" w:styleId="39">
    <w:name w:val="FollowedHyperlink"/>
    <w:basedOn w:val="36"/>
    <w:semiHidden/>
    <w:unhideWhenUsed/>
    <w:qFormat/>
    <w:uiPriority w:val="99"/>
    <w:rPr>
      <w:color w:val="954F72" w:themeColor="followedHyperlink"/>
      <w:u w:val="single"/>
      <w14:textFill>
        <w14:solidFill>
          <w14:schemeClr w14:val="folHlink"/>
        </w14:solidFill>
      </w14:textFill>
    </w:rPr>
  </w:style>
  <w:style w:type="character" w:styleId="40">
    <w:name w:val="Emphasis"/>
    <w:qFormat/>
    <w:uiPriority w:val="0"/>
    <w:rPr>
      <w:rFonts w:ascii="Times New Roman" w:hAnsi="Times New Roman" w:eastAsia="宋体" w:cs="Times New Roman"/>
      <w:color w:val="CC0033"/>
    </w:rPr>
  </w:style>
  <w:style w:type="character" w:styleId="41">
    <w:name w:val="Hyperlink"/>
    <w:qFormat/>
    <w:uiPriority w:val="99"/>
    <w:rPr>
      <w:rFonts w:ascii="Times New Roman" w:hAnsi="Times New Roman" w:eastAsia="宋体" w:cs="Times New Roman"/>
      <w:color w:val="0000FF"/>
      <w:u w:val="single"/>
    </w:rPr>
  </w:style>
  <w:style w:type="character" w:styleId="42">
    <w:name w:val="annotation reference"/>
    <w:qFormat/>
    <w:uiPriority w:val="0"/>
    <w:rPr>
      <w:rFonts w:ascii="Times New Roman" w:hAnsi="Times New Roman" w:eastAsia="宋体" w:cs="Times New Roman"/>
      <w:sz w:val="21"/>
      <w:szCs w:val="21"/>
    </w:rPr>
  </w:style>
  <w:style w:type="character" w:customStyle="1" w:styleId="43">
    <w:name w:val="font21"/>
    <w:basedOn w:val="36"/>
    <w:qFormat/>
    <w:uiPriority w:val="0"/>
    <w:rPr>
      <w:rFonts w:hint="eastAsia" w:ascii="宋体" w:hAnsi="宋体" w:eastAsia="宋体" w:cs="宋体"/>
      <w:color w:val="000000"/>
      <w:sz w:val="20"/>
      <w:szCs w:val="20"/>
    </w:rPr>
  </w:style>
  <w:style w:type="character" w:customStyle="1" w:styleId="44">
    <w:name w:val="st1"/>
    <w:qFormat/>
    <w:uiPriority w:val="0"/>
    <w:rPr>
      <w:rFonts w:ascii="Times New Roman" w:hAnsi="Times New Roman" w:eastAsia="宋体" w:cs="Times New Roman"/>
    </w:rPr>
  </w:style>
  <w:style w:type="character" w:customStyle="1" w:styleId="45">
    <w:name w:val="标题 1 字符"/>
    <w:link w:val="3"/>
    <w:qFormat/>
    <w:uiPriority w:val="9"/>
    <w:rPr>
      <w:rFonts w:ascii="Times New Roman" w:hAnsi="Times New Roman" w:eastAsia="仿宋_GB2312" w:cs="Times New Roman"/>
      <w:b/>
      <w:bCs/>
      <w:kern w:val="44"/>
      <w:sz w:val="44"/>
      <w:szCs w:val="44"/>
      <w:lang w:val="en-US" w:eastAsia="zh-CN" w:bidi="ar-SA"/>
    </w:rPr>
  </w:style>
  <w:style w:type="character" w:customStyle="1" w:styleId="46">
    <w:name w:val="ca-2"/>
    <w:qFormat/>
    <w:uiPriority w:val="0"/>
    <w:rPr>
      <w:rFonts w:ascii="Times New Roman" w:hAnsi="Times New Roman" w:eastAsia="宋体" w:cs="Times New Roman"/>
    </w:rPr>
  </w:style>
  <w:style w:type="character" w:customStyle="1" w:styleId="47">
    <w:name w:val="H1 Char"/>
    <w:qFormat/>
    <w:uiPriority w:val="0"/>
    <w:rPr>
      <w:rFonts w:ascii="Times New Roman" w:hAnsi="Times New Roman" w:eastAsia="仿宋_GB2312" w:cs="Times New Roman"/>
      <w:b/>
      <w:bCs/>
      <w:kern w:val="44"/>
      <w:sz w:val="44"/>
      <w:szCs w:val="44"/>
      <w:lang w:val="en-US" w:eastAsia="zh-CN" w:bidi="ar-SA"/>
    </w:rPr>
  </w:style>
  <w:style w:type="character" w:customStyle="1" w:styleId="48">
    <w:name w:val="1ji Char"/>
    <w:link w:val="49"/>
    <w:qFormat/>
    <w:uiPriority w:val="0"/>
    <w:rPr>
      <w:rFonts w:ascii="宋体" w:hAnsi="宋体" w:eastAsia="仿宋_GB2312" w:cs="Times New Roman"/>
      <w:b/>
      <w:bCs/>
      <w:kern w:val="44"/>
      <w:sz w:val="36"/>
      <w:szCs w:val="44"/>
      <w:lang w:val="en-US" w:eastAsia="zh-CN" w:bidi="ar-SA"/>
    </w:rPr>
  </w:style>
  <w:style w:type="paragraph" w:customStyle="1" w:styleId="49">
    <w:name w:val="1ji"/>
    <w:basedOn w:val="3"/>
    <w:link w:val="48"/>
    <w:qFormat/>
    <w:uiPriority w:val="0"/>
    <w:pPr>
      <w:keepLines w:val="0"/>
      <w:widowControl/>
      <w:spacing w:before="0" w:after="0" w:line="240" w:lineRule="auto"/>
    </w:pPr>
    <w:rPr>
      <w:rFonts w:ascii="宋体" w:hAnsi="宋体"/>
      <w:sz w:val="36"/>
    </w:rPr>
  </w:style>
  <w:style w:type="character" w:customStyle="1" w:styleId="50">
    <w:name w:val="纯文本 字符"/>
    <w:link w:val="20"/>
    <w:qFormat/>
    <w:uiPriority w:val="0"/>
    <w:rPr>
      <w:rFonts w:ascii="宋体" w:hAnsi="Courier New" w:eastAsia="宋体" w:cs="Courier New"/>
      <w:kern w:val="2"/>
      <w:sz w:val="21"/>
      <w:szCs w:val="21"/>
      <w:lang w:val="en-US" w:eastAsia="zh-CN" w:bidi="ar-SA"/>
    </w:rPr>
  </w:style>
  <w:style w:type="character" w:customStyle="1" w:styleId="51">
    <w:name w:val="font41"/>
    <w:basedOn w:val="36"/>
    <w:qFormat/>
    <w:uiPriority w:val="0"/>
    <w:rPr>
      <w:rFonts w:hint="default" w:ascii="Times New Roman" w:hAnsi="Times New Roman" w:eastAsia="宋体" w:cs="Times New Roman"/>
      <w:color w:val="000000"/>
      <w:sz w:val="20"/>
      <w:szCs w:val="20"/>
    </w:rPr>
  </w:style>
  <w:style w:type="character" w:customStyle="1" w:styleId="52">
    <w:name w:val="font31"/>
    <w:basedOn w:val="36"/>
    <w:qFormat/>
    <w:uiPriority w:val="0"/>
    <w:rPr>
      <w:rFonts w:hint="default" w:ascii="Times New Roman" w:hAnsi="Times New Roman" w:eastAsia="宋体" w:cs="Times New Roman"/>
      <w:color w:val="000000"/>
      <w:sz w:val="20"/>
      <w:szCs w:val="20"/>
    </w:rPr>
  </w:style>
  <w:style w:type="character" w:customStyle="1" w:styleId="53">
    <w:name w:val="apple-style-span"/>
    <w:qFormat/>
    <w:uiPriority w:val="0"/>
    <w:rPr>
      <w:rFonts w:ascii="Times New Roman" w:hAnsi="Times New Roman" w:eastAsia="宋体" w:cs="Times New Roman"/>
    </w:rPr>
  </w:style>
  <w:style w:type="character" w:customStyle="1" w:styleId="54">
    <w:name w:val="正文缩进 字符"/>
    <w:link w:val="7"/>
    <w:qFormat/>
    <w:uiPriority w:val="0"/>
    <w:rPr>
      <w:rFonts w:ascii="Times New Roman" w:hAnsi="Times New Roman" w:eastAsia="宋体" w:cs="Times New Roman"/>
      <w:kern w:val="2"/>
      <w:sz w:val="21"/>
      <w:lang w:val="en-US" w:eastAsia="zh-CN" w:bidi="ar-SA"/>
    </w:rPr>
  </w:style>
  <w:style w:type="character" w:customStyle="1" w:styleId="55">
    <w:name w:val="font51"/>
    <w:basedOn w:val="36"/>
    <w:qFormat/>
    <w:uiPriority w:val="0"/>
    <w:rPr>
      <w:rFonts w:hint="default" w:ascii="Times New Roman" w:hAnsi="Times New Roman" w:eastAsia="宋体" w:cs="Times New Roman"/>
      <w:color w:val="000000"/>
      <w:sz w:val="20"/>
      <w:szCs w:val="20"/>
    </w:rPr>
  </w:style>
  <w:style w:type="character" w:customStyle="1" w:styleId="56">
    <w:name w:val="标题 3 字符"/>
    <w:link w:val="5"/>
    <w:qFormat/>
    <w:uiPriority w:val="0"/>
    <w:rPr>
      <w:rFonts w:ascii="Times New Roman" w:hAnsi="Times New Roman" w:eastAsia="宋体" w:cs="Times New Roman"/>
      <w:b/>
      <w:bCs/>
      <w:kern w:val="2"/>
      <w:sz w:val="32"/>
      <w:szCs w:val="32"/>
      <w:lang w:val="en-US" w:eastAsia="zh-CN" w:bidi="ar-SA"/>
    </w:rPr>
  </w:style>
  <w:style w:type="character" w:customStyle="1" w:styleId="57">
    <w:name w:val="apple-converted-space"/>
    <w:qFormat/>
    <w:uiPriority w:val="0"/>
    <w:rPr>
      <w:rFonts w:ascii="Times New Roman" w:hAnsi="Times New Roman" w:eastAsia="宋体" w:cs="Times New Roman"/>
    </w:rPr>
  </w:style>
  <w:style w:type="character" w:customStyle="1" w:styleId="58">
    <w:name w:val="Header Char"/>
    <w:qFormat/>
    <w:uiPriority w:val="0"/>
    <w:rPr>
      <w:rFonts w:ascii="Calibri" w:hAnsi="Calibri" w:eastAsia="宋体" w:cs="Times New Roman"/>
      <w:kern w:val="2"/>
      <w:sz w:val="18"/>
      <w:szCs w:val="18"/>
      <w:lang w:val="en-US" w:eastAsia="zh-CN" w:bidi="ar-SA"/>
    </w:rPr>
  </w:style>
  <w:style w:type="character" w:customStyle="1" w:styleId="59">
    <w:name w:val="Footer Char"/>
    <w:qFormat/>
    <w:uiPriority w:val="0"/>
    <w:rPr>
      <w:rFonts w:ascii="Calibri" w:hAnsi="Calibri" w:eastAsia="宋体" w:cs="Times New Roman"/>
      <w:kern w:val="2"/>
      <w:sz w:val="18"/>
      <w:szCs w:val="18"/>
      <w:lang w:val="en-US" w:eastAsia="zh-CN" w:bidi="ar-SA"/>
    </w:rPr>
  </w:style>
  <w:style w:type="character" w:customStyle="1" w:styleId="60">
    <w:name w:val="Plain Text Char"/>
    <w:qFormat/>
    <w:uiPriority w:val="0"/>
    <w:rPr>
      <w:rFonts w:ascii="宋体" w:hAnsi="Courier New" w:eastAsia="宋体" w:cs="Times New Roman"/>
      <w:lang w:bidi="ar-SA"/>
    </w:rPr>
  </w:style>
  <w:style w:type="character" w:customStyle="1" w:styleId="61">
    <w:name w:val="普通文字 Char Char3"/>
    <w:qFormat/>
    <w:uiPriority w:val="0"/>
    <w:rPr>
      <w:rFonts w:ascii="宋体" w:hAnsi="Times New Roman" w:eastAsia="宋体" w:cs="Courier New"/>
      <w:kern w:val="2"/>
      <w:sz w:val="21"/>
      <w:szCs w:val="21"/>
      <w:lang w:val="en-US" w:eastAsia="zh-CN" w:bidi="ar-SA"/>
    </w:rPr>
  </w:style>
  <w:style w:type="character" w:customStyle="1" w:styleId="62">
    <w:name w:val="样式 正文 +"/>
    <w:qFormat/>
    <w:uiPriority w:val="0"/>
    <w:rPr>
      <w:rFonts w:ascii="Times New Roman" w:hAnsi="Times New Roman" w:eastAsia="宋体" w:cs="Times New Roman"/>
      <w:kern w:val="0"/>
      <w:sz w:val="28"/>
    </w:rPr>
  </w:style>
  <w:style w:type="character" w:customStyle="1" w:styleId="63">
    <w:name w:val="正文文本缩进 字符"/>
    <w:link w:val="17"/>
    <w:qFormat/>
    <w:uiPriority w:val="0"/>
    <w:rPr>
      <w:rFonts w:ascii="仿宋_GB2312" w:hAnsi="Times New Roman" w:eastAsia="仿宋_GB2312" w:cs="Times New Roman"/>
      <w:kern w:val="2"/>
      <w:sz w:val="32"/>
      <w:lang w:val="en-US" w:eastAsia="zh-CN" w:bidi="ar-SA"/>
    </w:rPr>
  </w:style>
  <w:style w:type="character" w:customStyle="1" w:styleId="64">
    <w:name w:val="普通文字 Char Char2"/>
    <w:qFormat/>
    <w:uiPriority w:val="0"/>
    <w:rPr>
      <w:rFonts w:ascii="宋体" w:hAnsi="Courier New" w:eastAsia="宋体" w:cs="Times New Roman"/>
      <w:kern w:val="2"/>
      <w:sz w:val="21"/>
      <w:lang w:val="en-US" w:eastAsia="zh-CN" w:bidi="ar-SA"/>
    </w:rPr>
  </w:style>
  <w:style w:type="character" w:customStyle="1" w:styleId="65">
    <w:name w:val="页脚 字符"/>
    <w:link w:val="24"/>
    <w:qFormat/>
    <w:uiPriority w:val="99"/>
    <w:rPr>
      <w:rFonts w:ascii="Times New Roman" w:hAnsi="Times New Roman" w:eastAsia="宋体" w:cs="Times New Roman"/>
      <w:kern w:val="2"/>
      <w:sz w:val="18"/>
      <w:szCs w:val="18"/>
    </w:rPr>
  </w:style>
  <w:style w:type="character" w:customStyle="1" w:styleId="66">
    <w:name w:val="样式 宋体 小四"/>
    <w:qFormat/>
    <w:uiPriority w:val="0"/>
    <w:rPr>
      <w:rFonts w:ascii="宋体" w:hAnsi="宋体" w:eastAsia="宋体" w:cs="Times New Roman"/>
      <w:sz w:val="24"/>
    </w:rPr>
  </w:style>
  <w:style w:type="character" w:customStyle="1" w:styleId="67">
    <w:name w:val="页眉 字符"/>
    <w:link w:val="25"/>
    <w:qFormat/>
    <w:uiPriority w:val="99"/>
    <w:rPr>
      <w:rFonts w:ascii="Times New Roman" w:hAnsi="Times New Roman" w:eastAsia="宋体" w:cs="Times New Roman"/>
      <w:kern w:val="2"/>
      <w:sz w:val="18"/>
      <w:szCs w:val="18"/>
      <w:lang w:val="en-US" w:eastAsia="zh-CN" w:bidi="ar-SA"/>
    </w:rPr>
  </w:style>
  <w:style w:type="character" w:customStyle="1" w:styleId="68">
    <w:name w:val="副标题 字符"/>
    <w:link w:val="27"/>
    <w:qFormat/>
    <w:uiPriority w:val="0"/>
    <w:rPr>
      <w:rFonts w:ascii="Cambria" w:hAnsi="Cambria" w:eastAsia="宋体" w:cs="Times New Roman"/>
      <w:b/>
      <w:bCs/>
      <w:kern w:val="28"/>
      <w:sz w:val="28"/>
      <w:szCs w:val="32"/>
      <w:lang w:val="en-US" w:eastAsia="zh-CN" w:bidi="ar-SA"/>
    </w:rPr>
  </w:style>
  <w:style w:type="character" w:customStyle="1" w:styleId="69">
    <w:name w:val="批注框文本 字符"/>
    <w:link w:val="23"/>
    <w:qFormat/>
    <w:uiPriority w:val="0"/>
    <w:rPr>
      <w:rFonts w:ascii="Times New Roman" w:hAnsi="Times New Roman" w:eastAsia="宋体" w:cs="Times New Roman"/>
      <w:kern w:val="2"/>
      <w:sz w:val="18"/>
      <w:szCs w:val="18"/>
    </w:rPr>
  </w:style>
  <w:style w:type="character" w:customStyle="1" w:styleId="70">
    <w:name w:val="批注文字 字符"/>
    <w:link w:val="15"/>
    <w:qFormat/>
    <w:uiPriority w:val="0"/>
    <w:rPr>
      <w:rFonts w:ascii="Times New Roman" w:hAnsi="Times New Roman" w:eastAsia="宋体" w:cs="Times New Roman"/>
      <w:kern w:val="2"/>
      <w:sz w:val="21"/>
      <w:szCs w:val="24"/>
      <w:lang w:val="en-US" w:eastAsia="zh-CN" w:bidi="ar-SA"/>
    </w:rPr>
  </w:style>
  <w:style w:type="character" w:customStyle="1" w:styleId="71">
    <w:name w:val="Char Char7"/>
    <w:qFormat/>
    <w:uiPriority w:val="0"/>
    <w:rPr>
      <w:rFonts w:ascii="Times New Roman" w:hAnsi="Times New Roman" w:eastAsia="仿宋_GB2312" w:cs="Times New Roman"/>
      <w:b/>
      <w:bCs/>
      <w:kern w:val="44"/>
      <w:sz w:val="44"/>
      <w:szCs w:val="44"/>
      <w:lang w:val="en-US" w:eastAsia="zh-CN" w:bidi="ar-SA"/>
    </w:rPr>
  </w:style>
  <w:style w:type="character" w:customStyle="1" w:styleId="72">
    <w:name w:val="ca-1"/>
    <w:qFormat/>
    <w:uiPriority w:val="0"/>
    <w:rPr>
      <w:rFonts w:ascii="Times New Roman" w:hAnsi="Times New Roman" w:eastAsia="宋体" w:cs="Times New Roman"/>
    </w:rPr>
  </w:style>
  <w:style w:type="character" w:customStyle="1" w:styleId="73">
    <w:name w:val="正文360首行缩进 Char"/>
    <w:link w:val="74"/>
    <w:qFormat/>
    <w:uiPriority w:val="0"/>
    <w:rPr>
      <w:rFonts w:ascii="Times New Roman" w:hAnsi="Times New Roman" w:eastAsia="宋体" w:cs="Times New Roman"/>
      <w:sz w:val="24"/>
      <w:szCs w:val="24"/>
    </w:rPr>
  </w:style>
  <w:style w:type="paragraph" w:customStyle="1" w:styleId="74">
    <w:name w:val="正文360首行缩进"/>
    <w:basedOn w:val="1"/>
    <w:link w:val="73"/>
    <w:qFormat/>
    <w:uiPriority w:val="0"/>
    <w:pPr>
      <w:widowControl/>
      <w:spacing w:before="120" w:line="300" w:lineRule="auto"/>
      <w:ind w:firstLine="200"/>
      <w:jc w:val="left"/>
    </w:pPr>
    <w:rPr>
      <w:kern w:val="0"/>
      <w:sz w:val="24"/>
    </w:rPr>
  </w:style>
  <w:style w:type="character" w:customStyle="1" w:styleId="75">
    <w:name w:val="List Paragraph Char"/>
    <w:link w:val="76"/>
    <w:qFormat/>
    <w:locked/>
    <w:uiPriority w:val="0"/>
    <w:rPr>
      <w:rFonts w:ascii="宋体" w:hAnsi="宋体" w:cs="宋体"/>
      <w:sz w:val="24"/>
      <w:szCs w:val="24"/>
    </w:rPr>
  </w:style>
  <w:style w:type="paragraph" w:customStyle="1" w:styleId="76">
    <w:name w:val="列表段落1"/>
    <w:basedOn w:val="1"/>
    <w:link w:val="75"/>
    <w:qFormat/>
    <w:uiPriority w:val="0"/>
    <w:pPr>
      <w:widowControl/>
      <w:ind w:firstLine="420" w:firstLineChars="200"/>
      <w:jc w:val="left"/>
    </w:pPr>
    <w:rPr>
      <w:rFonts w:ascii="宋体" w:hAnsi="宋体"/>
      <w:kern w:val="0"/>
      <w:sz w:val="24"/>
      <w:lang w:val="zh-CN"/>
    </w:rPr>
  </w:style>
  <w:style w:type="character" w:customStyle="1" w:styleId="77">
    <w:name w:val="yyii"/>
    <w:qFormat/>
    <w:uiPriority w:val="0"/>
    <w:rPr>
      <w:rFonts w:ascii="Times New Roman" w:hAnsi="Times New Roman" w:eastAsia="宋体" w:cs="Times New Roman"/>
    </w:rPr>
  </w:style>
  <w:style w:type="character" w:customStyle="1" w:styleId="78">
    <w:name w:val="纯文本 Char1"/>
    <w:qFormat/>
    <w:uiPriority w:val="0"/>
    <w:rPr>
      <w:rFonts w:ascii="宋体" w:hAnsi="Courier New" w:eastAsia="宋体" w:cs="Times New Roman"/>
      <w:kern w:val="2"/>
      <w:sz w:val="21"/>
    </w:rPr>
  </w:style>
  <w:style w:type="character" w:customStyle="1" w:styleId="79">
    <w:name w:val="标题 1 Char1"/>
    <w:qFormat/>
    <w:uiPriority w:val="0"/>
    <w:rPr>
      <w:rFonts w:ascii="Times New Roman" w:hAnsi="Times New Roman" w:eastAsia="宋体" w:cs="Times New Roman"/>
      <w:b/>
      <w:bCs/>
      <w:kern w:val="44"/>
      <w:sz w:val="44"/>
      <w:szCs w:val="44"/>
    </w:rPr>
  </w:style>
  <w:style w:type="character" w:customStyle="1" w:styleId="80">
    <w:name w:val="标题 2 字符"/>
    <w:link w:val="4"/>
    <w:qFormat/>
    <w:uiPriority w:val="9"/>
    <w:rPr>
      <w:rFonts w:ascii="Arial" w:hAnsi="Arial" w:eastAsia="黑体"/>
      <w:b/>
      <w:bCs/>
      <w:kern w:val="2"/>
      <w:sz w:val="24"/>
      <w:szCs w:val="32"/>
    </w:rPr>
  </w:style>
  <w:style w:type="character" w:customStyle="1" w:styleId="81">
    <w:name w:val="批注主题 字符"/>
    <w:link w:val="33"/>
    <w:qFormat/>
    <w:uiPriority w:val="0"/>
    <w:rPr>
      <w:rFonts w:ascii="Times New Roman" w:hAnsi="Times New Roman" w:eastAsia="宋体" w:cs="Times New Roman"/>
      <w:b/>
      <w:bCs/>
      <w:kern w:val="2"/>
      <w:sz w:val="21"/>
      <w:szCs w:val="24"/>
      <w:lang w:val="en-US" w:eastAsia="zh-CN" w:bidi="ar-SA"/>
    </w:rPr>
  </w:style>
  <w:style w:type="paragraph" w:customStyle="1" w:styleId="82">
    <w:name w:val="目录 11"/>
    <w:basedOn w:val="1"/>
    <w:next w:val="1"/>
    <w:qFormat/>
    <w:uiPriority w:val="39"/>
  </w:style>
  <w:style w:type="paragraph" w:customStyle="1" w:styleId="83">
    <w:name w:val="目录 21"/>
    <w:basedOn w:val="1"/>
    <w:next w:val="1"/>
    <w:qFormat/>
    <w:uiPriority w:val="39"/>
    <w:pPr>
      <w:tabs>
        <w:tab w:val="right" w:leader="dot" w:pos="9402"/>
      </w:tabs>
      <w:ind w:left="718" w:leftChars="200" w:hanging="298" w:hangingChars="142"/>
    </w:pPr>
  </w:style>
  <w:style w:type="paragraph" w:customStyle="1" w:styleId="84">
    <w:name w:val="目录 31"/>
    <w:basedOn w:val="1"/>
    <w:next w:val="1"/>
    <w:qFormat/>
    <w:uiPriority w:val="39"/>
    <w:pPr>
      <w:ind w:left="840" w:leftChars="400"/>
    </w:pPr>
  </w:style>
  <w:style w:type="paragraph" w:customStyle="1" w:styleId="85">
    <w:name w:val="正文首行缩进1"/>
    <w:basedOn w:val="2"/>
    <w:qFormat/>
    <w:uiPriority w:val="0"/>
    <w:pPr>
      <w:spacing w:after="120" w:line="240" w:lineRule="auto"/>
      <w:ind w:firstLine="420" w:firstLineChars="100"/>
    </w:pPr>
    <w:rPr>
      <w:sz w:val="21"/>
    </w:rPr>
  </w:style>
  <w:style w:type="paragraph" w:customStyle="1" w:styleId="86">
    <w:name w:val="Char Char1 Char Char Char Char"/>
    <w:basedOn w:val="14"/>
    <w:qFormat/>
    <w:uiPriority w:val="0"/>
    <w:rPr>
      <w:rFonts w:ascii="Tahoma" w:hAnsi="Tahoma"/>
      <w:sz w:val="24"/>
    </w:rPr>
  </w:style>
  <w:style w:type="paragraph" w:customStyle="1" w:styleId="87">
    <w:name w:val="列出段落1"/>
    <w:basedOn w:val="1"/>
    <w:qFormat/>
    <w:uiPriority w:val="99"/>
    <w:pPr>
      <w:ind w:firstLine="420" w:firstLineChars="200"/>
    </w:pPr>
    <w:rPr>
      <w:rFonts w:ascii="Calibri" w:hAnsi="Calibri"/>
    </w:rPr>
  </w:style>
  <w:style w:type="paragraph" w:customStyle="1" w:styleId="88">
    <w:name w:val="Char Char Char1 Char"/>
    <w:basedOn w:val="14"/>
    <w:qFormat/>
    <w:uiPriority w:val="0"/>
  </w:style>
  <w:style w:type="paragraph" w:customStyle="1" w:styleId="89">
    <w:name w:val="pa-5"/>
    <w:basedOn w:val="1"/>
    <w:qFormat/>
    <w:uiPriority w:val="0"/>
    <w:pPr>
      <w:widowControl/>
      <w:spacing w:before="150" w:after="150"/>
      <w:jc w:val="left"/>
    </w:pPr>
    <w:rPr>
      <w:rFonts w:ascii="宋体" w:hAnsi="宋体" w:cs="宋体"/>
      <w:kern w:val="0"/>
      <w:sz w:val="24"/>
    </w:rPr>
  </w:style>
  <w:style w:type="paragraph" w:customStyle="1" w:styleId="90">
    <w:name w:val="Table Text Char"/>
    <w:qFormat/>
    <w:uiPriority w:val="0"/>
    <w:pPr>
      <w:snapToGrid w:val="0"/>
      <w:spacing w:before="80" w:after="80"/>
    </w:pPr>
    <w:rPr>
      <w:rFonts w:ascii="Arial" w:hAnsi="Arial" w:eastAsia="宋体" w:cs="Times New Roman"/>
      <w:sz w:val="18"/>
      <w:lang w:val="en-US" w:eastAsia="zh-CN" w:bidi="ar-SA"/>
    </w:rPr>
  </w:style>
  <w:style w:type="paragraph" w:customStyle="1" w:styleId="91">
    <w:name w:val="Char Char1 Char Char Char Char1"/>
    <w:basedOn w:val="14"/>
    <w:qFormat/>
    <w:uiPriority w:val="0"/>
    <w:rPr>
      <w:rFonts w:ascii="Tahoma" w:hAnsi="Tahoma"/>
      <w:sz w:val="24"/>
    </w:rPr>
  </w:style>
  <w:style w:type="paragraph" w:customStyle="1" w:styleId="92">
    <w:name w:val="_Style 35"/>
    <w:basedOn w:val="14"/>
    <w:qFormat/>
    <w:uiPriority w:val="0"/>
    <w:pPr>
      <w:widowControl/>
      <w:ind w:firstLine="454"/>
      <w:jc w:val="left"/>
    </w:pPr>
  </w:style>
  <w:style w:type="paragraph" w:customStyle="1" w:styleId="93">
    <w:name w:val="5 Char Char Char Char Char Char Char Char Char Char"/>
    <w:basedOn w:val="1"/>
    <w:qFormat/>
    <w:uiPriority w:val="0"/>
  </w:style>
  <w:style w:type="paragraph" w:customStyle="1" w:styleId="94">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textAlignment w:val="top"/>
    </w:pPr>
    <w:rPr>
      <w:kern w:val="0"/>
      <w:szCs w:val="21"/>
    </w:rPr>
  </w:style>
  <w:style w:type="paragraph" w:customStyle="1" w:styleId="95">
    <w:name w:val="Char Char2 Char Char Char Char Char Char Char Char Char Char"/>
    <w:basedOn w:val="1"/>
    <w:qFormat/>
    <w:uiPriority w:val="0"/>
    <w:pPr>
      <w:tabs>
        <w:tab w:val="left" w:pos="360"/>
      </w:tabs>
      <w:spacing w:line="360" w:lineRule="auto"/>
      <w:ind w:left="482" w:firstLine="200" w:firstLineChars="200"/>
    </w:pPr>
  </w:style>
  <w:style w:type="paragraph" w:customStyle="1" w:styleId="96">
    <w:name w:val="默认段落字体 Para Char"/>
    <w:basedOn w:val="1"/>
    <w:qFormat/>
    <w:uiPriority w:val="0"/>
    <w:rPr>
      <w:szCs w:val="20"/>
    </w:rPr>
  </w:style>
  <w:style w:type="paragraph" w:customStyle="1" w:styleId="97">
    <w:name w:val="表格文字"/>
    <w:basedOn w:val="1"/>
    <w:qFormat/>
    <w:uiPriority w:val="0"/>
    <w:pPr>
      <w:spacing w:before="25" w:after="25"/>
      <w:jc w:val="left"/>
    </w:pPr>
    <w:rPr>
      <w:bCs/>
      <w:spacing w:val="10"/>
      <w:kern w:val="0"/>
      <w:sz w:val="24"/>
    </w:rPr>
  </w:style>
  <w:style w:type="paragraph" w:customStyle="1" w:styleId="98">
    <w:name w:val="_Style 7"/>
    <w:basedOn w:val="14"/>
    <w:qFormat/>
    <w:uiPriority w:val="0"/>
  </w:style>
  <w:style w:type="paragraph" w:customStyle="1" w:styleId="99">
    <w:name w:val="普通(网站)1"/>
    <w:basedOn w:val="1"/>
    <w:qFormat/>
    <w:uiPriority w:val="0"/>
    <w:pPr>
      <w:widowControl/>
      <w:spacing w:before="100" w:beforeAutospacing="1" w:after="100" w:afterAutospacing="1"/>
      <w:jc w:val="left"/>
    </w:pPr>
    <w:rPr>
      <w:rFonts w:ascii="宋体" w:hAnsi="宋体" w:cs="宋体"/>
      <w:kern w:val="0"/>
      <w:sz w:val="24"/>
    </w:rPr>
  </w:style>
  <w:style w:type="paragraph" w:customStyle="1" w:styleId="100">
    <w:name w:val="默认段落字体 Para Char Char Char Char Char Char Char Char Char1 Char Char Char Char"/>
    <w:basedOn w:val="1"/>
    <w:qFormat/>
    <w:uiPriority w:val="0"/>
    <w:rPr>
      <w:rFonts w:ascii="Tahoma" w:hAnsi="Tahoma"/>
      <w:sz w:val="24"/>
      <w:szCs w:val="20"/>
    </w:rPr>
  </w:style>
  <w:style w:type="paragraph" w:customStyle="1" w:styleId="101">
    <w:name w:val="样式 标题 1 + 居中 段前: 0 磅 段后: 0 磅 行距: 固定值 30 磅"/>
    <w:basedOn w:val="3"/>
    <w:qFormat/>
    <w:uiPriority w:val="0"/>
    <w:pPr>
      <w:spacing w:before="0" w:after="0" w:line="600" w:lineRule="exact"/>
    </w:pPr>
    <w:rPr>
      <w:rFonts w:eastAsia="宋体" w:cs="宋体"/>
      <w:szCs w:val="20"/>
    </w:rPr>
  </w:style>
  <w:style w:type="paragraph" w:customStyle="1" w:styleId="102">
    <w:name w:val="样式 小四 行距: 1.5 倍行距"/>
    <w:basedOn w:val="1"/>
    <w:qFormat/>
    <w:uiPriority w:val="0"/>
    <w:pPr>
      <w:spacing w:line="360" w:lineRule="auto"/>
      <w:ind w:firstLine="480" w:firstLineChars="200"/>
    </w:pPr>
    <w:rPr>
      <w:rFonts w:cs="宋体"/>
      <w:sz w:val="24"/>
      <w:szCs w:val="20"/>
    </w:rPr>
  </w:style>
  <w:style w:type="paragraph" w:customStyle="1" w:styleId="103">
    <w:name w:val="p0"/>
    <w:basedOn w:val="1"/>
    <w:qFormat/>
    <w:uiPriority w:val="0"/>
    <w:pPr>
      <w:widowControl/>
    </w:pPr>
    <w:rPr>
      <w:rFonts w:ascii="宋体" w:hAnsi="宋体" w:cs="宋体"/>
      <w:kern w:val="0"/>
      <w:szCs w:val="21"/>
    </w:rPr>
  </w:style>
  <w:style w:type="paragraph" w:customStyle="1" w:styleId="104">
    <w:name w:val="Char Char Char Char Char Char Char Char Char Char Char Char"/>
    <w:basedOn w:val="1"/>
    <w:qFormat/>
    <w:uiPriority w:val="0"/>
    <w:pPr>
      <w:widowControl/>
      <w:spacing w:after="160" w:line="240" w:lineRule="exact"/>
      <w:jc w:val="left"/>
    </w:pPr>
  </w:style>
  <w:style w:type="paragraph" w:customStyle="1" w:styleId="105">
    <w:name w:val="Char Char Char1 Char1"/>
    <w:basedOn w:val="1"/>
    <w:qFormat/>
    <w:uiPriority w:val="0"/>
    <w:rPr>
      <w:rFonts w:ascii="Calibri" w:hAnsi="Calibri"/>
      <w:szCs w:val="22"/>
    </w:rPr>
  </w:style>
  <w:style w:type="paragraph" w:customStyle="1" w:styleId="106">
    <w:name w:val="Char Char Char Char Char Char Char"/>
    <w:basedOn w:val="1"/>
    <w:qFormat/>
    <w:uiPriority w:val="0"/>
  </w:style>
  <w:style w:type="paragraph" w:customStyle="1" w:styleId="107">
    <w:name w:val="文档正文"/>
    <w:basedOn w:val="1"/>
    <w:qFormat/>
    <w:uiPriority w:val="0"/>
    <w:pPr>
      <w:autoSpaceDE w:val="0"/>
      <w:autoSpaceDN w:val="0"/>
      <w:adjustRightInd w:val="0"/>
      <w:spacing w:line="240" w:lineRule="atLeast"/>
      <w:ind w:firstLine="567"/>
    </w:pPr>
    <w:rPr>
      <w:rFonts w:ascii="Arial Narrow" w:hAnsi="Arial Narrow" w:cs="Arial"/>
      <w:sz w:val="24"/>
      <w:lang w:val="zh-CN"/>
    </w:rPr>
  </w:style>
  <w:style w:type="paragraph" w:customStyle="1" w:styleId="108">
    <w:name w:val="样式 正文2 + 仿宋 黑色 首行缩进:  2 字符"/>
    <w:basedOn w:val="1"/>
    <w:qFormat/>
    <w:uiPriority w:val="0"/>
    <w:pPr>
      <w:spacing w:line="360" w:lineRule="auto"/>
      <w:ind w:firstLine="480" w:firstLineChars="200"/>
    </w:pPr>
    <w:rPr>
      <w:rFonts w:ascii="仿宋" w:hAnsi="仿宋" w:eastAsia="仿宋" w:cs="宋体"/>
      <w:color w:val="000000"/>
      <w:sz w:val="24"/>
      <w:szCs w:val="20"/>
    </w:rPr>
  </w:style>
  <w:style w:type="paragraph" w:customStyle="1" w:styleId="109">
    <w:name w:val="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10">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111">
    <w:name w:val="Char"/>
    <w:basedOn w:val="14"/>
    <w:qFormat/>
    <w:uiPriority w:val="0"/>
    <w:pPr>
      <w:widowControl/>
      <w:ind w:firstLine="454"/>
      <w:jc w:val="left"/>
    </w:pPr>
    <w:rPr>
      <w:rFonts w:ascii="Tahoma" w:hAnsi="Tahoma" w:cs="宋体"/>
      <w:kern w:val="0"/>
      <w:sz w:val="24"/>
      <w:szCs w:val="20"/>
    </w:rPr>
  </w:style>
  <w:style w:type="paragraph" w:customStyle="1" w:styleId="112">
    <w:name w:val="Char1"/>
    <w:basedOn w:val="14"/>
    <w:qFormat/>
    <w:uiPriority w:val="0"/>
    <w:pPr>
      <w:widowControl/>
      <w:ind w:firstLine="454"/>
      <w:jc w:val="left"/>
    </w:pPr>
    <w:rPr>
      <w:rFonts w:ascii="Tahoma" w:hAnsi="Tahoma" w:cs="宋体"/>
      <w:kern w:val="0"/>
      <w:sz w:val="24"/>
      <w:szCs w:val="20"/>
    </w:rPr>
  </w:style>
  <w:style w:type="paragraph" w:customStyle="1" w:styleId="113">
    <w:name w:val="1"/>
    <w:basedOn w:val="1"/>
    <w:next w:val="20"/>
    <w:qFormat/>
    <w:uiPriority w:val="0"/>
    <w:rPr>
      <w:rFonts w:ascii="宋体" w:hAnsi="Courier New"/>
      <w:szCs w:val="20"/>
    </w:rPr>
  </w:style>
  <w:style w:type="paragraph" w:customStyle="1" w:styleId="114">
    <w:name w:val="_Style 2"/>
    <w:basedOn w:val="1"/>
    <w:qFormat/>
    <w:uiPriority w:val="0"/>
    <w:pPr>
      <w:ind w:firstLine="420" w:firstLineChars="200"/>
    </w:pPr>
  </w:style>
  <w:style w:type="paragraph" w:customStyle="1" w:styleId="115">
    <w:name w:val="正文段"/>
    <w:basedOn w:val="1"/>
    <w:qFormat/>
    <w:uiPriority w:val="0"/>
    <w:pPr>
      <w:widowControl/>
      <w:snapToGrid w:val="0"/>
      <w:spacing w:after="156" w:afterLines="50"/>
      <w:ind w:firstLine="200" w:firstLineChars="200"/>
    </w:pPr>
    <w:rPr>
      <w:kern w:val="0"/>
      <w:sz w:val="24"/>
      <w:szCs w:val="20"/>
    </w:rPr>
  </w:style>
  <w:style w:type="paragraph" w:customStyle="1" w:styleId="116">
    <w:name w:val="列出段落"/>
    <w:basedOn w:val="1"/>
    <w:qFormat/>
    <w:uiPriority w:val="34"/>
    <w:pPr>
      <w:ind w:firstLine="420" w:firstLineChars="200"/>
    </w:pPr>
    <w:rPr>
      <w:rFonts w:ascii="Calibri" w:hAnsi="Calibri"/>
      <w:szCs w:val="22"/>
    </w:rPr>
  </w:style>
  <w:style w:type="paragraph" w:styleId="117">
    <w:name w:val="No Spacing"/>
    <w:qFormat/>
    <w:uiPriority w:val="0"/>
    <w:pPr>
      <w:widowControl w:val="0"/>
      <w:jc w:val="both"/>
    </w:pPr>
    <w:rPr>
      <w:rFonts w:ascii="Calibri" w:hAnsi="Calibri" w:eastAsia="宋体" w:cs="Times New Roman"/>
      <w:kern w:val="2"/>
      <w:sz w:val="21"/>
      <w:szCs w:val="22"/>
      <w:lang w:val="en-US" w:eastAsia="zh-CN" w:bidi="ar-SA"/>
    </w:rPr>
  </w:style>
  <w:style w:type="character" w:customStyle="1" w:styleId="118">
    <w:name w:val="未处理的提及1"/>
    <w:basedOn w:val="36"/>
    <w:semiHidden/>
    <w:unhideWhenUsed/>
    <w:qFormat/>
    <w:uiPriority w:val="99"/>
    <w:rPr>
      <w:color w:val="605E5C"/>
      <w:shd w:val="clear" w:color="auto" w:fill="E1DFDD"/>
    </w:rPr>
  </w:style>
  <w:style w:type="character" w:customStyle="1" w:styleId="119">
    <w:name w:val="font81"/>
    <w:basedOn w:val="36"/>
    <w:qFormat/>
    <w:uiPriority w:val="0"/>
    <w:rPr>
      <w:rFonts w:hint="eastAsia" w:ascii="宋体" w:hAnsi="宋体" w:eastAsia="宋体" w:cs="宋体"/>
      <w:color w:val="000000"/>
      <w:sz w:val="18"/>
      <w:szCs w:val="18"/>
      <w:u w:val="none"/>
    </w:rPr>
  </w:style>
  <w:style w:type="paragraph" w:styleId="120">
    <w:name w:val="List Paragraph"/>
    <w:basedOn w:val="1"/>
    <w:qFormat/>
    <w:uiPriority w:val="34"/>
    <w:pPr>
      <w:ind w:firstLine="420" w:firstLineChars="200"/>
    </w:pPr>
  </w:style>
  <w:style w:type="character" w:customStyle="1" w:styleId="121">
    <w:name w:val="Unresolved Mention"/>
    <w:basedOn w:val="36"/>
    <w:semiHidden/>
    <w:unhideWhenUsed/>
    <w:qFormat/>
    <w:uiPriority w:val="99"/>
    <w:rPr>
      <w:color w:val="605E5C"/>
      <w:shd w:val="clear" w:color="auto" w:fill="E1DFDD"/>
    </w:rPr>
  </w:style>
  <w:style w:type="character" w:customStyle="1" w:styleId="122">
    <w:name w:val="纯文本 字符1"/>
    <w:qFormat/>
    <w:uiPriority w:val="0"/>
    <w:rPr>
      <w:rFonts w:ascii="宋体" w:hAnsi="Courier New" w:eastAsia="宋体" w:cs="Courier New"/>
      <w:kern w:val="2"/>
      <w:sz w:val="21"/>
      <w:szCs w:val="21"/>
      <w:lang w:val="en-US" w:eastAsia="zh-CN" w:bidi="ar-SA"/>
    </w:rPr>
  </w:style>
  <w:style w:type="paragraph" w:customStyle="1" w:styleId="123">
    <w:name w:val="Table Paragraph"/>
    <w:basedOn w:val="1"/>
    <w:qFormat/>
    <w:uiPriority w:val="1"/>
    <w:pPr>
      <w:autoSpaceDE w:val="0"/>
      <w:autoSpaceDN w:val="0"/>
      <w:jc w:val="left"/>
    </w:pPr>
    <w:rPr>
      <w:rFonts w:ascii="宋体" w:hAnsi="宋体" w:cs="宋体"/>
      <w:kern w:val="0"/>
      <w:sz w:val="22"/>
      <w:szCs w:val="22"/>
      <w:lang w:eastAsia="en-US"/>
    </w:rPr>
  </w:style>
  <w:style w:type="character" w:customStyle="1" w:styleId="124">
    <w:name w:val="标题 5 字符"/>
    <w:basedOn w:val="36"/>
    <w:link w:val="6"/>
    <w:qFormat/>
    <w:uiPriority w:val="0"/>
    <w:rPr>
      <w:b/>
      <w:kern w:val="2"/>
      <w:sz w:val="28"/>
      <w:szCs w:val="24"/>
    </w:rPr>
  </w:style>
  <w:style w:type="character" w:customStyle="1" w:styleId="125">
    <w:name w:val="标题 6 字符"/>
    <w:basedOn w:val="36"/>
    <w:link w:val="8"/>
    <w:qFormat/>
    <w:uiPriority w:val="0"/>
    <w:rPr>
      <w:rFonts w:ascii="Arial" w:hAnsi="Arial" w:eastAsia="黑体"/>
      <w:b/>
      <w:kern w:val="2"/>
      <w:sz w:val="24"/>
      <w:szCs w:val="24"/>
    </w:rPr>
  </w:style>
  <w:style w:type="character" w:customStyle="1" w:styleId="126">
    <w:name w:val="标题 7 字符"/>
    <w:basedOn w:val="36"/>
    <w:link w:val="9"/>
    <w:qFormat/>
    <w:uiPriority w:val="0"/>
    <w:rPr>
      <w:b/>
      <w:kern w:val="2"/>
      <w:sz w:val="24"/>
      <w:szCs w:val="24"/>
    </w:rPr>
  </w:style>
  <w:style w:type="character" w:customStyle="1" w:styleId="127">
    <w:name w:val="标题 8 字符"/>
    <w:basedOn w:val="36"/>
    <w:link w:val="10"/>
    <w:qFormat/>
    <w:uiPriority w:val="0"/>
    <w:rPr>
      <w:rFonts w:ascii="Arial" w:hAnsi="Arial" w:eastAsia="黑体"/>
      <w:kern w:val="2"/>
      <w:sz w:val="24"/>
      <w:szCs w:val="24"/>
    </w:rPr>
  </w:style>
  <w:style w:type="character" w:customStyle="1" w:styleId="128">
    <w:name w:val="标题 9 字符"/>
    <w:basedOn w:val="36"/>
    <w:link w:val="11"/>
    <w:qFormat/>
    <w:uiPriority w:val="0"/>
    <w:rPr>
      <w:rFonts w:ascii="Arial" w:hAnsi="Arial" w:eastAsia="黑体"/>
      <w:kern w:val="2"/>
      <w:sz w:val="21"/>
      <w:szCs w:val="24"/>
    </w:rPr>
  </w:style>
  <w:style w:type="character" w:customStyle="1" w:styleId="129">
    <w:name w:val="文档结构图 字符"/>
    <w:basedOn w:val="36"/>
    <w:link w:val="14"/>
    <w:qFormat/>
    <w:uiPriority w:val="0"/>
    <w:rPr>
      <w:kern w:val="2"/>
      <w:sz w:val="21"/>
      <w:szCs w:val="24"/>
      <w:shd w:val="clear" w:color="auto" w:fill="000080"/>
    </w:rPr>
  </w:style>
  <w:style w:type="character" w:customStyle="1" w:styleId="130">
    <w:name w:val="正文文本 3 字符"/>
    <w:basedOn w:val="36"/>
    <w:link w:val="16"/>
    <w:qFormat/>
    <w:uiPriority w:val="0"/>
    <w:rPr>
      <w:b/>
      <w:bCs/>
      <w:kern w:val="2"/>
      <w:sz w:val="24"/>
      <w:szCs w:val="24"/>
    </w:rPr>
  </w:style>
  <w:style w:type="character" w:customStyle="1" w:styleId="131">
    <w:name w:val="正文文本 字符"/>
    <w:basedOn w:val="36"/>
    <w:link w:val="2"/>
    <w:qFormat/>
    <w:uiPriority w:val="0"/>
    <w:rPr>
      <w:kern w:val="2"/>
      <w:sz w:val="24"/>
      <w:szCs w:val="24"/>
    </w:rPr>
  </w:style>
  <w:style w:type="character" w:customStyle="1" w:styleId="132">
    <w:name w:val="日期 字符"/>
    <w:basedOn w:val="36"/>
    <w:link w:val="21"/>
    <w:qFormat/>
    <w:uiPriority w:val="0"/>
    <w:rPr>
      <w:rFonts w:ascii="宋体" w:hAnsi="Courier New" w:cs="Courier New"/>
      <w:kern w:val="2"/>
      <w:sz w:val="21"/>
      <w:szCs w:val="21"/>
    </w:rPr>
  </w:style>
  <w:style w:type="character" w:customStyle="1" w:styleId="133">
    <w:name w:val="正文文本缩进 2 字符"/>
    <w:basedOn w:val="36"/>
    <w:link w:val="22"/>
    <w:qFormat/>
    <w:uiPriority w:val="0"/>
    <w:rPr>
      <w:kern w:val="2"/>
      <w:sz w:val="32"/>
    </w:rPr>
  </w:style>
  <w:style w:type="character" w:customStyle="1" w:styleId="134">
    <w:name w:val="正文文本缩进 3 字符"/>
    <w:basedOn w:val="36"/>
    <w:link w:val="29"/>
    <w:qFormat/>
    <w:uiPriority w:val="0"/>
    <w:rPr>
      <w:kern w:val="2"/>
      <w:sz w:val="16"/>
      <w:szCs w:val="16"/>
    </w:rPr>
  </w:style>
  <w:style w:type="character" w:customStyle="1" w:styleId="135">
    <w:name w:val="正文文本 2 字符"/>
    <w:basedOn w:val="36"/>
    <w:link w:val="30"/>
    <w:qFormat/>
    <w:uiPriority w:val="0"/>
    <w:rPr>
      <w:kern w:val="2"/>
      <w:sz w:val="21"/>
      <w:szCs w:val="24"/>
    </w:rPr>
  </w:style>
  <w:style w:type="character" w:customStyle="1" w:styleId="136">
    <w:name w:val="HTML 预设格式 字符"/>
    <w:basedOn w:val="36"/>
    <w:link w:val="31"/>
    <w:qFormat/>
    <w:uiPriority w:val="0"/>
    <w:rPr>
      <w:rFonts w:ascii="宋体" w:hAnsi="宋体" w:cs="宋体"/>
      <w:sz w:val="24"/>
      <w:szCs w:val="24"/>
    </w:rPr>
  </w:style>
  <w:style w:type="paragraph" w:customStyle="1" w:styleId="137">
    <w:name w:val="Default"/>
    <w:qFormat/>
    <w:uiPriority w:val="0"/>
    <w:pPr>
      <w:widowControl w:val="0"/>
      <w:autoSpaceDE w:val="0"/>
      <w:autoSpaceDN w:val="0"/>
      <w:adjustRightInd w:val="0"/>
      <w:spacing w:line="360" w:lineRule="auto"/>
      <w:ind w:firstLine="147" w:firstLineChars="147"/>
      <w:jc w:val="both"/>
    </w:pPr>
    <w:rPr>
      <w:rFonts w:ascii="宋体" w:hAnsi="Times New Roman" w:eastAsia="宋体" w:cs="Times New Roman"/>
      <w:color w:val="000000"/>
      <w:sz w:val="24"/>
      <w:szCs w:val="24"/>
      <w:lang w:val="en-US" w:eastAsia="zh-CN" w:bidi="ar-SA"/>
    </w:rPr>
  </w:style>
  <w:style w:type="character" w:customStyle="1" w:styleId="138">
    <w:name w:val="font01"/>
    <w:basedOn w:val="36"/>
    <w:qFormat/>
    <w:uiPriority w:val="0"/>
    <w:rPr>
      <w:rFonts w:hint="eastAsia" w:ascii="宋体" w:hAnsi="宋体" w:eastAsia="宋体" w:cs="宋体"/>
      <w:color w:val="000000"/>
      <w:sz w:val="24"/>
      <w:szCs w:val="24"/>
      <w:u w:val="none"/>
    </w:rPr>
  </w:style>
  <w:style w:type="character" w:customStyle="1" w:styleId="139">
    <w:name w:val="font11"/>
    <w:basedOn w:val="36"/>
    <w:qFormat/>
    <w:uiPriority w:val="0"/>
    <w:rPr>
      <w:rFonts w:hint="eastAsia" w:ascii="宋体" w:hAnsi="宋体" w:eastAsia="宋体" w:cs="宋体"/>
      <w:color w:val="000000"/>
      <w:sz w:val="24"/>
      <w:szCs w:val="24"/>
      <w:u w:val="none"/>
    </w:rPr>
  </w:style>
  <w:style w:type="character" w:customStyle="1" w:styleId="140">
    <w:name w:val="font61"/>
    <w:basedOn w:val="36"/>
    <w:qFormat/>
    <w:uiPriority w:val="0"/>
    <w:rPr>
      <w:rFonts w:hint="eastAsia" w:ascii="宋体" w:hAnsi="宋体" w:eastAsia="宋体" w:cs="宋体"/>
      <w:color w:val="000000"/>
      <w:sz w:val="24"/>
      <w:szCs w:val="24"/>
      <w:u w:val="none"/>
    </w:rPr>
  </w:style>
  <w:style w:type="character" w:customStyle="1" w:styleId="141">
    <w:name w:val="font71"/>
    <w:basedOn w:val="36"/>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DAF175-1F30-4369-8DF1-883D08BE14AC}">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104</Pages>
  <Words>58321</Words>
  <Characters>65325</Characters>
  <Lines>235</Lines>
  <Paragraphs>66</Paragraphs>
  <TotalTime>0</TotalTime>
  <ScaleCrop>false</ScaleCrop>
  <LinksUpToDate>false</LinksUpToDate>
  <CharactersWithSpaces>70986</CharactersWithSpaces>
  <Application>WPS Office_11.8.2.11813_F1E327BC-269C-435d-A152-05C5408002CA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2022-05-07T01:50:00Z</dcterms:created>
  <dc:creator>Huang Qian</dc:creator>
  <cp:lastModifiedBy>Lenovo</cp:lastModifiedBy>
  <cp:lastPrinted>2024-10-28T02:43:00Z</cp:lastPrinted>
  <dcterms:modified xsi:type="dcterms:W3CDTF">2024-10-28T06:26:56Z</dcterms:modified>
  <dc:title>竞争性谈判文件</dc:title>
  <cp:revision>257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2052-11.8.2.11813</vt:lpwstr>
  </property>
  <property fmtid="{D5CDD505-2E9C-101B-9397-08002B2CF9AE}" pid="3" name="ICV">
    <vt:lpwstr>0FD9E1C1B2A642F89F880258625F2E94</vt:lpwstr>
  </property>
</Properties>
</file>