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D1721">
      <w:pPr>
        <w:rPr>
          <w:color w:val="auto"/>
        </w:rPr>
      </w:pPr>
    </w:p>
    <w:p w14:paraId="1AF118F1">
      <w:pPr>
        <w:rPr>
          <w:color w:val="auto"/>
        </w:rPr>
      </w:pPr>
    </w:p>
    <w:p w14:paraId="3D91D4E4">
      <w:pPr>
        <w:rPr>
          <w:color w:val="auto"/>
        </w:rPr>
      </w:pPr>
    </w:p>
    <w:p w14:paraId="4F0BABA6">
      <w:pPr>
        <w:rPr>
          <w:color w:val="auto"/>
        </w:rPr>
      </w:pPr>
    </w:p>
    <w:p w14:paraId="024B5BA4">
      <w:pPr>
        <w:spacing w:before="156" w:beforeLines="50" w:line="780" w:lineRule="exact"/>
        <w:jc w:val="center"/>
        <w:rPr>
          <w:rFonts w:ascii="方正小标宋_GBK" w:hAnsi="黑体" w:eastAsia="方正小标宋_GBK"/>
          <w:b/>
          <w:color w:val="auto"/>
          <w:sz w:val="84"/>
          <w:szCs w:val="84"/>
        </w:rPr>
      </w:pPr>
      <w:r>
        <w:rPr>
          <w:rFonts w:hint="eastAsia" w:ascii="方正小标宋_GBK" w:hAnsi="黑体" w:eastAsia="方正小标宋_GBK"/>
          <w:b/>
          <w:color w:val="auto"/>
          <w:sz w:val="84"/>
          <w:szCs w:val="84"/>
        </w:rPr>
        <w:t>竞争性谈判采购文件</w:t>
      </w:r>
    </w:p>
    <w:p w14:paraId="4D7871A8">
      <w:pPr>
        <w:rPr>
          <w:color w:val="auto"/>
        </w:rPr>
      </w:pPr>
    </w:p>
    <w:p w14:paraId="6E4BDEE3">
      <w:pPr>
        <w:rPr>
          <w:color w:val="auto"/>
        </w:rPr>
      </w:pPr>
    </w:p>
    <w:p w14:paraId="7437D1A8">
      <w:pPr>
        <w:rPr>
          <w:color w:val="auto"/>
        </w:rPr>
      </w:pPr>
    </w:p>
    <w:p w14:paraId="28310F09">
      <w:pPr>
        <w:rPr>
          <w:color w:val="auto"/>
        </w:rPr>
      </w:pPr>
    </w:p>
    <w:p w14:paraId="36742F5A">
      <w:pPr>
        <w:rPr>
          <w:color w:val="auto"/>
        </w:rPr>
      </w:pPr>
    </w:p>
    <w:p w14:paraId="25DFA2CC">
      <w:pPr>
        <w:rPr>
          <w:color w:val="auto"/>
        </w:rPr>
      </w:pPr>
    </w:p>
    <w:p w14:paraId="1A7CDB4C">
      <w:pPr>
        <w:rPr>
          <w:color w:val="auto"/>
        </w:rPr>
      </w:pPr>
    </w:p>
    <w:p w14:paraId="086F0D4E">
      <w:pPr>
        <w:rPr>
          <w:color w:val="auto"/>
        </w:rPr>
      </w:pPr>
    </w:p>
    <w:p w14:paraId="1DEC21E4">
      <w:pPr>
        <w:rPr>
          <w:color w:val="auto"/>
        </w:rPr>
      </w:pPr>
    </w:p>
    <w:p w14:paraId="41B89F7C">
      <w:pPr>
        <w:rPr>
          <w:color w:val="auto"/>
        </w:rPr>
      </w:pPr>
    </w:p>
    <w:p w14:paraId="4705B323">
      <w:pPr>
        <w:rPr>
          <w:color w:val="auto"/>
        </w:rPr>
      </w:pPr>
    </w:p>
    <w:p w14:paraId="219720FF">
      <w:pPr>
        <w:rPr>
          <w:color w:val="auto"/>
        </w:rPr>
      </w:pPr>
    </w:p>
    <w:p w14:paraId="51EE8E93">
      <w:pPr>
        <w:spacing w:line="500" w:lineRule="exact"/>
        <w:ind w:left="2557" w:leftChars="608" w:hanging="1280" w:hangingChars="400"/>
        <w:rPr>
          <w:rFonts w:ascii="方正小标宋_GBK" w:hAnsi="微软雅黑" w:eastAsia="方正小标宋_GBK"/>
          <w:color w:val="auto"/>
          <w:sz w:val="32"/>
          <w:szCs w:val="32"/>
        </w:rPr>
      </w:pPr>
      <w:r>
        <w:rPr>
          <w:rFonts w:hint="eastAsia" w:ascii="方正小标宋_GBK" w:hAnsi="微软雅黑" w:eastAsia="方正小标宋_GBK"/>
          <w:color w:val="auto"/>
          <w:sz w:val="32"/>
          <w:szCs w:val="32"/>
        </w:rPr>
        <w:t>项目名称:北部湾大学公共计算机房建设项目</w:t>
      </w:r>
    </w:p>
    <w:p w14:paraId="54F51ED1">
      <w:pPr>
        <w:spacing w:line="500" w:lineRule="exact"/>
        <w:ind w:firstLine="1280" w:firstLineChars="400"/>
        <w:rPr>
          <w:rFonts w:ascii="方正小标宋_GBK" w:hAnsi="微软雅黑" w:eastAsia="方正小标宋_GBK"/>
          <w:color w:val="auto"/>
          <w:sz w:val="32"/>
          <w:szCs w:val="32"/>
        </w:rPr>
      </w:pPr>
      <w:r>
        <w:rPr>
          <w:rFonts w:hint="eastAsia" w:ascii="方正小标宋_GBK" w:hAnsi="微软雅黑" w:eastAsia="方正小标宋_GBK"/>
          <w:color w:val="auto"/>
          <w:sz w:val="32"/>
          <w:szCs w:val="32"/>
        </w:rPr>
        <w:t>项目编号:GXZC2025-J1-000126-QZSZ</w:t>
      </w:r>
    </w:p>
    <w:p w14:paraId="7967BBCE">
      <w:pPr>
        <w:rPr>
          <w:color w:val="auto"/>
        </w:rPr>
      </w:pPr>
    </w:p>
    <w:p w14:paraId="375682B2">
      <w:pPr>
        <w:rPr>
          <w:color w:val="auto"/>
        </w:rPr>
      </w:pPr>
    </w:p>
    <w:p w14:paraId="2AF18D30">
      <w:pPr>
        <w:rPr>
          <w:color w:val="auto"/>
        </w:rPr>
      </w:pPr>
    </w:p>
    <w:p w14:paraId="2AECDAD1">
      <w:pPr>
        <w:rPr>
          <w:color w:val="auto"/>
        </w:rPr>
      </w:pPr>
    </w:p>
    <w:p w14:paraId="78871ED8">
      <w:pPr>
        <w:rPr>
          <w:color w:val="auto"/>
        </w:rPr>
      </w:pPr>
    </w:p>
    <w:p w14:paraId="3D209DB8">
      <w:pPr>
        <w:rPr>
          <w:color w:val="auto"/>
        </w:rPr>
      </w:pPr>
    </w:p>
    <w:p w14:paraId="6C290146">
      <w:pPr>
        <w:rPr>
          <w:color w:val="auto"/>
        </w:rPr>
      </w:pPr>
    </w:p>
    <w:p w14:paraId="7BEC8DF5">
      <w:pPr>
        <w:rPr>
          <w:color w:val="auto"/>
        </w:rPr>
      </w:pPr>
    </w:p>
    <w:p w14:paraId="0060F5D0">
      <w:pPr>
        <w:rPr>
          <w:color w:val="auto"/>
        </w:rPr>
      </w:pPr>
    </w:p>
    <w:p w14:paraId="5198D572">
      <w:pPr>
        <w:rPr>
          <w:color w:val="auto"/>
        </w:rPr>
      </w:pPr>
    </w:p>
    <w:p w14:paraId="21900ACF">
      <w:pPr>
        <w:rPr>
          <w:color w:val="auto"/>
        </w:rPr>
      </w:pPr>
    </w:p>
    <w:p w14:paraId="1C8D8914">
      <w:pPr>
        <w:rPr>
          <w:color w:val="auto"/>
        </w:rPr>
      </w:pPr>
    </w:p>
    <w:p w14:paraId="0283430D">
      <w:pPr>
        <w:rPr>
          <w:color w:val="auto"/>
        </w:rPr>
      </w:pPr>
    </w:p>
    <w:p w14:paraId="18BB8593">
      <w:pPr>
        <w:rPr>
          <w:color w:val="auto"/>
        </w:rPr>
      </w:pPr>
    </w:p>
    <w:p w14:paraId="6B78D064">
      <w:pPr>
        <w:rPr>
          <w:color w:val="auto"/>
        </w:rPr>
      </w:pPr>
    </w:p>
    <w:p w14:paraId="5A3F4824">
      <w:pPr>
        <w:rPr>
          <w:color w:val="auto"/>
        </w:rPr>
      </w:pPr>
    </w:p>
    <w:p w14:paraId="5AB8D404">
      <w:pPr>
        <w:rPr>
          <w:color w:val="auto"/>
        </w:rPr>
      </w:pPr>
    </w:p>
    <w:p w14:paraId="7149A324">
      <w:pPr>
        <w:rPr>
          <w:color w:val="auto"/>
        </w:rPr>
      </w:pPr>
    </w:p>
    <w:p w14:paraId="274C5600">
      <w:pPr>
        <w:spacing w:line="360" w:lineRule="exact"/>
        <w:jc w:val="center"/>
        <w:rPr>
          <w:rFonts w:ascii="方正小标宋_GBK" w:hAnsi="微软雅黑" w:eastAsia="方正小标宋_GBK"/>
          <w:color w:val="auto"/>
          <w:sz w:val="32"/>
          <w:szCs w:val="32"/>
        </w:rPr>
      </w:pPr>
      <w:r>
        <w:rPr>
          <w:rFonts w:hint="eastAsia" w:ascii="方正小标宋_GBK" w:hAnsi="微软雅黑" w:eastAsia="方正小标宋_GBK"/>
          <w:color w:val="auto"/>
          <w:sz w:val="32"/>
          <w:szCs w:val="32"/>
        </w:rPr>
        <w:t>钦州市政府采购中心</w:t>
      </w:r>
    </w:p>
    <w:p w14:paraId="757258A0">
      <w:pPr>
        <w:tabs>
          <w:tab w:val="left" w:pos="360"/>
        </w:tabs>
        <w:spacing w:line="440" w:lineRule="exact"/>
        <w:jc w:val="center"/>
        <w:rPr>
          <w:rFonts w:ascii="仿宋_GB2312" w:hAnsi="宋体" w:eastAsia="仿宋_GB2312"/>
          <w:color w:val="auto"/>
          <w:sz w:val="32"/>
          <w:szCs w:val="32"/>
        </w:rPr>
      </w:pPr>
      <w:r>
        <w:rPr>
          <w:rFonts w:hint="eastAsia" w:ascii="方正小标宋_GBK" w:hAnsi="微软雅黑" w:eastAsia="方正小标宋_GBK"/>
          <w:color w:val="auto"/>
          <w:sz w:val="32"/>
          <w:szCs w:val="32"/>
        </w:rPr>
        <w:t>2025年4月</w:t>
      </w:r>
    </w:p>
    <w:p w14:paraId="0BBC7FE6">
      <w:pPr>
        <w:rPr>
          <w:color w:val="auto"/>
        </w:rPr>
      </w:pPr>
    </w:p>
    <w:p w14:paraId="7B10DA35">
      <w:pPr>
        <w:rPr>
          <w:color w:val="auto"/>
        </w:rPr>
      </w:pPr>
    </w:p>
    <w:p w14:paraId="45A7D022">
      <w:pPr>
        <w:spacing w:line="640" w:lineRule="exact"/>
        <w:jc w:val="center"/>
        <w:rPr>
          <w:rFonts w:ascii="方正小标宋_GBK" w:hAnsi="宋体" w:eastAsia="方正小标宋_GBK"/>
          <w:b/>
          <w:color w:val="auto"/>
          <w:sz w:val="32"/>
          <w:szCs w:val="32"/>
        </w:rPr>
      </w:pPr>
      <w:r>
        <w:rPr>
          <w:rFonts w:hint="eastAsia" w:ascii="方正小标宋_GBK" w:hAnsi="宋体" w:eastAsia="方正小标宋_GBK"/>
          <w:b/>
          <w:color w:val="auto"/>
          <w:sz w:val="44"/>
          <w:szCs w:val="44"/>
        </w:rPr>
        <w:t>目   录</w:t>
      </w:r>
    </w:p>
    <w:p w14:paraId="5C13F828">
      <w:pPr>
        <w:rPr>
          <w:color w:val="auto"/>
        </w:rPr>
      </w:pPr>
    </w:p>
    <w:p w14:paraId="5A430783">
      <w:pPr>
        <w:pStyle w:val="29"/>
        <w:tabs>
          <w:tab w:val="right" w:leader="dot" w:pos="9514"/>
        </w:tabs>
        <w:spacing w:line="1000" w:lineRule="exact"/>
        <w:rPr>
          <w:rFonts w:asciiTheme="minorHAnsi" w:hAnsiTheme="minorHAnsi" w:eastAsiaTheme="minorEastAsia" w:cstheme="minorBidi"/>
          <w:color w:val="auto"/>
          <w:sz w:val="28"/>
          <w:szCs w:val="28"/>
        </w:rPr>
      </w:pPr>
      <w:bookmarkStart w:id="0" w:name="_Toc354479497"/>
      <w:r>
        <w:rPr>
          <w:rFonts w:hint="eastAsia" w:ascii="方正小标宋_GBK" w:hAnsi="仿宋" w:eastAsia="方正小标宋_GBK"/>
          <w:b/>
          <w:color w:val="auto"/>
          <w:sz w:val="28"/>
          <w:szCs w:val="28"/>
        </w:rPr>
        <w:fldChar w:fldCharType="begin"/>
      </w:r>
      <w:r>
        <w:rPr>
          <w:rFonts w:hint="eastAsia" w:ascii="方正小标宋_GBK" w:hAnsi="仿宋" w:eastAsia="方正小标宋_GBK"/>
          <w:b/>
          <w:color w:val="auto"/>
          <w:sz w:val="28"/>
          <w:szCs w:val="28"/>
        </w:rPr>
        <w:instrText xml:space="preserve"> TOC \o "1-1" \h \z \u </w:instrText>
      </w:r>
      <w:r>
        <w:rPr>
          <w:rFonts w:hint="eastAsia" w:ascii="方正小标宋_GBK" w:hAnsi="仿宋" w:eastAsia="方正小标宋_GBK"/>
          <w:b/>
          <w:color w:val="auto"/>
          <w:sz w:val="28"/>
          <w:szCs w:val="28"/>
        </w:rPr>
        <w:fldChar w:fldCharType="separate"/>
      </w:r>
      <w:r>
        <w:rPr>
          <w:color w:val="auto"/>
        </w:rPr>
        <w:fldChar w:fldCharType="begin"/>
      </w:r>
      <w:r>
        <w:rPr>
          <w:color w:val="auto"/>
        </w:rPr>
        <w:instrText xml:space="preserve"> HYPERLINK \l "_Toc92355023" </w:instrText>
      </w:r>
      <w:r>
        <w:rPr>
          <w:color w:val="auto"/>
        </w:rPr>
        <w:fldChar w:fldCharType="separate"/>
      </w:r>
      <w:r>
        <w:rPr>
          <w:rStyle w:val="48"/>
          <w:rFonts w:ascii="方正小标宋_GBK" w:hAnsi="宋体" w:eastAsia="方正小标宋_GBK"/>
          <w:color w:val="auto"/>
          <w:sz w:val="28"/>
          <w:szCs w:val="28"/>
        </w:rPr>
        <w:t>第一章  竞争性谈判公告</w:t>
      </w:r>
      <w:r>
        <w:rPr>
          <w:color w:val="auto"/>
          <w:sz w:val="28"/>
          <w:szCs w:val="28"/>
        </w:rPr>
        <w:tab/>
      </w:r>
      <w:r>
        <w:rPr>
          <w:color w:val="auto"/>
          <w:sz w:val="28"/>
          <w:szCs w:val="28"/>
        </w:rPr>
        <w:fldChar w:fldCharType="begin"/>
      </w:r>
      <w:r>
        <w:rPr>
          <w:color w:val="auto"/>
          <w:sz w:val="28"/>
          <w:szCs w:val="28"/>
        </w:rPr>
        <w:instrText xml:space="preserve"> PAGEREF _Toc92355023 \h </w:instrText>
      </w:r>
      <w:r>
        <w:rPr>
          <w:color w:val="auto"/>
          <w:sz w:val="28"/>
          <w:szCs w:val="28"/>
        </w:rPr>
        <w:fldChar w:fldCharType="separate"/>
      </w:r>
      <w:r>
        <w:rPr>
          <w:color w:val="auto"/>
          <w:sz w:val="28"/>
          <w:szCs w:val="28"/>
        </w:rPr>
        <w:t>3</w:t>
      </w:r>
      <w:r>
        <w:rPr>
          <w:color w:val="auto"/>
          <w:sz w:val="28"/>
          <w:szCs w:val="28"/>
        </w:rPr>
        <w:fldChar w:fldCharType="end"/>
      </w:r>
      <w:r>
        <w:rPr>
          <w:color w:val="auto"/>
          <w:sz w:val="28"/>
          <w:szCs w:val="28"/>
        </w:rPr>
        <w:fldChar w:fldCharType="end"/>
      </w:r>
    </w:p>
    <w:p w14:paraId="01B2F0B3">
      <w:pPr>
        <w:pStyle w:val="29"/>
        <w:tabs>
          <w:tab w:val="right" w:leader="dot" w:pos="9514"/>
        </w:tabs>
        <w:spacing w:line="1000" w:lineRule="exact"/>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"_Toc92355024" </w:instrText>
      </w:r>
      <w:r>
        <w:rPr>
          <w:color w:val="auto"/>
        </w:rPr>
        <w:fldChar w:fldCharType="separate"/>
      </w:r>
      <w:r>
        <w:rPr>
          <w:rStyle w:val="48"/>
          <w:rFonts w:ascii="方正小标宋_GBK" w:hAnsi="宋体" w:eastAsia="方正小标宋_GBK"/>
          <w:color w:val="auto"/>
          <w:sz w:val="28"/>
          <w:szCs w:val="28"/>
        </w:rPr>
        <w:t>第二章  项目需求</w:t>
      </w:r>
      <w:r>
        <w:rPr>
          <w:color w:val="auto"/>
          <w:sz w:val="28"/>
          <w:szCs w:val="28"/>
        </w:rPr>
        <w:tab/>
      </w:r>
      <w:r>
        <w:rPr>
          <w:color w:val="auto"/>
          <w:sz w:val="28"/>
          <w:szCs w:val="28"/>
        </w:rPr>
        <w:fldChar w:fldCharType="begin"/>
      </w:r>
      <w:r>
        <w:rPr>
          <w:color w:val="auto"/>
          <w:sz w:val="28"/>
          <w:szCs w:val="28"/>
        </w:rPr>
        <w:instrText xml:space="preserve"> PAGEREF _Toc92355024 \h </w:instrText>
      </w:r>
      <w:r>
        <w:rPr>
          <w:color w:val="auto"/>
          <w:sz w:val="28"/>
          <w:szCs w:val="28"/>
        </w:rPr>
        <w:fldChar w:fldCharType="separate"/>
      </w:r>
      <w:r>
        <w:rPr>
          <w:color w:val="auto"/>
          <w:sz w:val="28"/>
          <w:szCs w:val="28"/>
        </w:rPr>
        <w:t>7</w:t>
      </w:r>
      <w:r>
        <w:rPr>
          <w:color w:val="auto"/>
          <w:sz w:val="28"/>
          <w:szCs w:val="28"/>
        </w:rPr>
        <w:fldChar w:fldCharType="end"/>
      </w:r>
      <w:r>
        <w:rPr>
          <w:color w:val="auto"/>
          <w:sz w:val="28"/>
          <w:szCs w:val="28"/>
        </w:rPr>
        <w:fldChar w:fldCharType="end"/>
      </w:r>
    </w:p>
    <w:p w14:paraId="7185B224">
      <w:pPr>
        <w:pStyle w:val="29"/>
        <w:tabs>
          <w:tab w:val="right" w:leader="dot" w:pos="9514"/>
        </w:tabs>
        <w:spacing w:line="1000" w:lineRule="exact"/>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"_Toc92355025" </w:instrText>
      </w:r>
      <w:r>
        <w:rPr>
          <w:color w:val="auto"/>
        </w:rPr>
        <w:fldChar w:fldCharType="separate"/>
      </w:r>
      <w:r>
        <w:rPr>
          <w:rStyle w:val="48"/>
          <w:rFonts w:ascii="方正小标宋简体" w:eastAsia="方正小标宋简体"/>
          <w:color w:val="auto"/>
          <w:sz w:val="28"/>
          <w:szCs w:val="28"/>
        </w:rPr>
        <w:t>第三章  供应商须知</w:t>
      </w:r>
      <w:r>
        <w:rPr>
          <w:color w:val="auto"/>
          <w:sz w:val="28"/>
          <w:szCs w:val="28"/>
        </w:rPr>
        <w:tab/>
      </w:r>
      <w:r>
        <w:rPr>
          <w:rFonts w:hint="eastAsia"/>
          <w:color w:val="auto"/>
          <w:sz w:val="28"/>
          <w:szCs w:val="28"/>
          <w:lang w:val="en-US" w:eastAsia="zh-CN"/>
        </w:rPr>
        <w:t>3</w:t>
      </w:r>
      <w:r>
        <w:rPr>
          <w:color w:val="auto"/>
          <w:sz w:val="28"/>
          <w:szCs w:val="28"/>
        </w:rPr>
        <w:fldChar w:fldCharType="begin"/>
      </w:r>
      <w:r>
        <w:rPr>
          <w:color w:val="auto"/>
          <w:sz w:val="28"/>
          <w:szCs w:val="28"/>
        </w:rPr>
        <w:instrText xml:space="preserve"> PAGEREF _Toc92355025 \h </w:instrText>
      </w:r>
      <w:r>
        <w:rPr>
          <w:color w:val="auto"/>
          <w:sz w:val="28"/>
          <w:szCs w:val="28"/>
        </w:rPr>
        <w:fldChar w:fldCharType="separate"/>
      </w:r>
      <w:r>
        <w:rPr>
          <w:color w:val="auto"/>
          <w:sz w:val="28"/>
          <w:szCs w:val="28"/>
        </w:rPr>
        <w:t>9</w:t>
      </w:r>
      <w:r>
        <w:rPr>
          <w:color w:val="auto"/>
          <w:sz w:val="28"/>
          <w:szCs w:val="28"/>
        </w:rPr>
        <w:fldChar w:fldCharType="end"/>
      </w:r>
      <w:r>
        <w:rPr>
          <w:color w:val="auto"/>
          <w:sz w:val="28"/>
          <w:szCs w:val="28"/>
        </w:rPr>
        <w:fldChar w:fldCharType="end"/>
      </w:r>
    </w:p>
    <w:p w14:paraId="2F3BA96C">
      <w:pPr>
        <w:pStyle w:val="29"/>
        <w:tabs>
          <w:tab w:val="right" w:leader="dot" w:pos="9514"/>
        </w:tabs>
        <w:spacing w:line="1000" w:lineRule="exact"/>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"_Toc92355026" </w:instrText>
      </w:r>
      <w:r>
        <w:rPr>
          <w:color w:val="auto"/>
        </w:rPr>
        <w:fldChar w:fldCharType="separate"/>
      </w:r>
      <w:r>
        <w:rPr>
          <w:rStyle w:val="48"/>
          <w:rFonts w:ascii="方正小标宋_GBK" w:hAnsi="宋体" w:eastAsia="方正小标宋_GBK"/>
          <w:color w:val="auto"/>
          <w:sz w:val="28"/>
          <w:szCs w:val="28"/>
        </w:rPr>
        <w:t>第四章  评定标准及推荐原则</w:t>
      </w:r>
      <w:r>
        <w:rPr>
          <w:color w:val="auto"/>
          <w:sz w:val="28"/>
          <w:szCs w:val="28"/>
        </w:rPr>
        <w:tab/>
      </w:r>
      <w:r>
        <w:rPr>
          <w:color w:val="auto"/>
          <w:sz w:val="28"/>
          <w:szCs w:val="28"/>
        </w:rPr>
        <w:fldChar w:fldCharType="begin"/>
      </w:r>
      <w:r>
        <w:rPr>
          <w:color w:val="auto"/>
          <w:sz w:val="28"/>
          <w:szCs w:val="28"/>
        </w:rPr>
        <w:instrText xml:space="preserve"> PAGEREF _Toc92355026 \h </w:instrText>
      </w:r>
      <w:r>
        <w:rPr>
          <w:color w:val="auto"/>
          <w:sz w:val="28"/>
          <w:szCs w:val="28"/>
        </w:rPr>
        <w:fldChar w:fldCharType="separate"/>
      </w:r>
      <w:r>
        <w:rPr>
          <w:color w:val="auto"/>
          <w:sz w:val="28"/>
          <w:szCs w:val="28"/>
        </w:rPr>
        <w:t>51</w:t>
      </w:r>
      <w:r>
        <w:rPr>
          <w:color w:val="auto"/>
          <w:sz w:val="28"/>
          <w:szCs w:val="28"/>
        </w:rPr>
        <w:fldChar w:fldCharType="end"/>
      </w:r>
      <w:r>
        <w:rPr>
          <w:color w:val="auto"/>
          <w:sz w:val="28"/>
          <w:szCs w:val="28"/>
        </w:rPr>
        <w:fldChar w:fldCharType="end"/>
      </w:r>
    </w:p>
    <w:p w14:paraId="5BAA20A7">
      <w:pPr>
        <w:pStyle w:val="29"/>
        <w:tabs>
          <w:tab w:val="right" w:leader="dot" w:pos="9514"/>
        </w:tabs>
        <w:spacing w:line="1000" w:lineRule="exact"/>
        <w:rPr>
          <w:rFonts w:hint="eastAsia" w:eastAsia="宋体" w:asciiTheme="minorHAnsi" w:hAnsiTheme="minorHAnsi" w:cstheme="minorBidi"/>
          <w:color w:val="auto"/>
          <w:sz w:val="28"/>
          <w:szCs w:val="28"/>
          <w:lang w:val="en-US" w:eastAsia="zh-CN"/>
        </w:rPr>
      </w:pPr>
      <w:r>
        <w:rPr>
          <w:color w:val="auto"/>
        </w:rPr>
        <w:fldChar w:fldCharType="begin"/>
      </w:r>
      <w:r>
        <w:rPr>
          <w:color w:val="auto"/>
        </w:rPr>
        <w:instrText xml:space="preserve"> HYPERLINK \l "_Toc92355027" </w:instrText>
      </w:r>
      <w:r>
        <w:rPr>
          <w:color w:val="auto"/>
        </w:rPr>
        <w:fldChar w:fldCharType="separate"/>
      </w:r>
      <w:r>
        <w:rPr>
          <w:rStyle w:val="48"/>
          <w:rFonts w:ascii="方正小标宋_GBK" w:eastAsia="方正小标宋_GBK"/>
          <w:color w:val="auto"/>
          <w:sz w:val="28"/>
          <w:szCs w:val="28"/>
        </w:rPr>
        <w:t>第五章  合同文本</w:t>
      </w:r>
      <w:r>
        <w:rPr>
          <w:color w:val="auto"/>
          <w:sz w:val="28"/>
          <w:szCs w:val="28"/>
        </w:rPr>
        <w:tab/>
      </w:r>
      <w:r>
        <w:rPr>
          <w:rFonts w:hint="eastAsia"/>
          <w:color w:val="auto"/>
          <w:sz w:val="28"/>
          <w:szCs w:val="28"/>
          <w:lang w:val="en-US" w:eastAsia="zh-CN"/>
        </w:rPr>
        <w:t>5</w:t>
      </w:r>
      <w:r>
        <w:rPr>
          <w:color w:val="auto"/>
          <w:sz w:val="28"/>
          <w:szCs w:val="28"/>
        </w:rPr>
        <w:fldChar w:fldCharType="end"/>
      </w:r>
      <w:r>
        <w:rPr>
          <w:rFonts w:hint="eastAsia"/>
          <w:color w:val="auto"/>
          <w:sz w:val="28"/>
          <w:szCs w:val="28"/>
          <w:lang w:val="en-US" w:eastAsia="zh-CN"/>
        </w:rPr>
        <w:t>3</w:t>
      </w:r>
    </w:p>
    <w:p w14:paraId="42FBA915">
      <w:pPr>
        <w:pStyle w:val="29"/>
        <w:tabs>
          <w:tab w:val="right" w:leader="dot" w:pos="9514"/>
        </w:tabs>
        <w:spacing w:line="1000" w:lineRule="exact"/>
        <w:rPr>
          <w:rFonts w:asciiTheme="minorHAnsi" w:hAnsiTheme="minorHAnsi" w:eastAsiaTheme="minorEastAsia" w:cstheme="minorBidi"/>
          <w:color w:val="auto"/>
          <w:sz w:val="28"/>
          <w:szCs w:val="28"/>
        </w:rPr>
      </w:pPr>
      <w:r>
        <w:rPr>
          <w:color w:val="auto"/>
        </w:rPr>
        <w:fldChar w:fldCharType="begin"/>
      </w:r>
      <w:r>
        <w:rPr>
          <w:color w:val="auto"/>
        </w:rPr>
        <w:instrText xml:space="preserve"> HYPERLINK \l "_Toc92355028" </w:instrText>
      </w:r>
      <w:r>
        <w:rPr>
          <w:color w:val="auto"/>
        </w:rPr>
        <w:fldChar w:fldCharType="separate"/>
      </w:r>
      <w:r>
        <w:rPr>
          <w:rStyle w:val="48"/>
          <w:rFonts w:ascii="方正小标宋_GBK" w:hAnsi="方正小标宋_GBK" w:eastAsia="方正小标宋_GBK"/>
          <w:color w:val="auto"/>
          <w:sz w:val="28"/>
          <w:szCs w:val="28"/>
        </w:rPr>
        <w:t>第六章  响应文件格式</w:t>
      </w:r>
      <w:r>
        <w:rPr>
          <w:color w:val="auto"/>
          <w:sz w:val="28"/>
          <w:szCs w:val="28"/>
        </w:rPr>
        <w:tab/>
      </w:r>
      <w:r>
        <w:rPr>
          <w:color w:val="auto"/>
          <w:sz w:val="28"/>
          <w:szCs w:val="28"/>
        </w:rPr>
        <w:fldChar w:fldCharType="begin"/>
      </w:r>
      <w:r>
        <w:rPr>
          <w:color w:val="auto"/>
          <w:sz w:val="28"/>
          <w:szCs w:val="28"/>
        </w:rPr>
        <w:instrText xml:space="preserve"> PAGEREF _Toc92355028 \h </w:instrText>
      </w:r>
      <w:r>
        <w:rPr>
          <w:color w:val="auto"/>
          <w:sz w:val="28"/>
          <w:szCs w:val="28"/>
        </w:rPr>
        <w:fldChar w:fldCharType="separate"/>
      </w:r>
      <w:r>
        <w:rPr>
          <w:color w:val="auto"/>
          <w:sz w:val="28"/>
          <w:szCs w:val="28"/>
        </w:rPr>
        <w:t>73</w:t>
      </w:r>
      <w:r>
        <w:rPr>
          <w:color w:val="auto"/>
          <w:sz w:val="28"/>
          <w:szCs w:val="28"/>
        </w:rPr>
        <w:fldChar w:fldCharType="end"/>
      </w:r>
      <w:r>
        <w:rPr>
          <w:color w:val="auto"/>
          <w:sz w:val="28"/>
          <w:szCs w:val="28"/>
        </w:rPr>
        <w:fldChar w:fldCharType="end"/>
      </w:r>
    </w:p>
    <w:p w14:paraId="2F2EEBE6">
      <w:pPr>
        <w:rPr>
          <w:color w:val="auto"/>
        </w:rPr>
        <w:sectPr>
          <w:footerReference r:id="rId5" w:type="first"/>
          <w:headerReference r:id="rId3" w:type="default"/>
          <w:footerReference r:id="rId4" w:type="default"/>
          <w:pgSz w:w="11906" w:h="16838"/>
          <w:pgMar w:top="936" w:right="1191" w:bottom="936" w:left="1191" w:header="851" w:footer="992" w:gutter="0"/>
          <w:pgNumType w:start="1"/>
          <w:cols w:space="720" w:num="1"/>
          <w:docGrid w:type="lines" w:linePitch="312" w:charSpace="0"/>
        </w:sectPr>
      </w:pPr>
      <w:r>
        <w:rPr>
          <w:rFonts w:hint="eastAsia"/>
          <w:color w:val="auto"/>
        </w:rPr>
        <w:fldChar w:fldCharType="end"/>
      </w:r>
      <w:bookmarkStart w:id="133" w:name="_GoBack"/>
      <w:bookmarkEnd w:id="133"/>
    </w:p>
    <w:p w14:paraId="137FACB4">
      <w:pPr>
        <w:rPr>
          <w:color w:val="auto"/>
        </w:rPr>
      </w:pPr>
    </w:p>
    <w:p w14:paraId="1663ADC0">
      <w:pPr>
        <w:widowControl/>
        <w:jc w:val="left"/>
        <w:rPr>
          <w:color w:val="auto"/>
        </w:rPr>
      </w:pPr>
    </w:p>
    <w:p w14:paraId="5ECF26CC">
      <w:pPr>
        <w:rPr>
          <w:color w:val="auto"/>
        </w:rPr>
      </w:pPr>
    </w:p>
    <w:p w14:paraId="2DC7F0C2">
      <w:pPr>
        <w:rPr>
          <w:color w:val="auto"/>
        </w:rPr>
      </w:pPr>
    </w:p>
    <w:p w14:paraId="2C179DCD">
      <w:pPr>
        <w:rPr>
          <w:color w:val="auto"/>
        </w:rPr>
      </w:pPr>
    </w:p>
    <w:p w14:paraId="394316B0">
      <w:pPr>
        <w:rPr>
          <w:color w:val="auto"/>
        </w:rPr>
      </w:pPr>
    </w:p>
    <w:p w14:paraId="252866E4">
      <w:pPr>
        <w:rPr>
          <w:color w:val="auto"/>
        </w:rPr>
      </w:pPr>
    </w:p>
    <w:p w14:paraId="0BFD98F4">
      <w:pPr>
        <w:rPr>
          <w:color w:val="auto"/>
        </w:rPr>
      </w:pPr>
    </w:p>
    <w:p w14:paraId="71135E44">
      <w:pPr>
        <w:rPr>
          <w:color w:val="auto"/>
        </w:rPr>
      </w:pPr>
    </w:p>
    <w:p w14:paraId="538CF109">
      <w:pPr>
        <w:rPr>
          <w:color w:val="auto"/>
        </w:rPr>
      </w:pPr>
    </w:p>
    <w:p w14:paraId="21393E5C">
      <w:pPr>
        <w:rPr>
          <w:color w:val="auto"/>
        </w:rPr>
      </w:pPr>
    </w:p>
    <w:p w14:paraId="64A83E28">
      <w:pPr>
        <w:rPr>
          <w:color w:val="auto"/>
        </w:rPr>
      </w:pPr>
    </w:p>
    <w:p w14:paraId="68102D71">
      <w:pPr>
        <w:rPr>
          <w:color w:val="auto"/>
        </w:rPr>
      </w:pPr>
    </w:p>
    <w:p w14:paraId="6DCC29DD">
      <w:pPr>
        <w:rPr>
          <w:color w:val="auto"/>
        </w:rPr>
      </w:pPr>
    </w:p>
    <w:p w14:paraId="4B744A6B">
      <w:pPr>
        <w:pStyle w:val="4"/>
        <w:spacing w:line="400" w:lineRule="exact"/>
        <w:rPr>
          <w:rFonts w:ascii="方正小标宋_GBK" w:hAnsi="宋体" w:eastAsia="方正小标宋_GBK"/>
          <w:color w:val="auto"/>
        </w:rPr>
      </w:pPr>
      <w:bookmarkStart w:id="1" w:name="_Toc92355023"/>
      <w:r>
        <w:rPr>
          <w:rFonts w:hint="eastAsia" w:ascii="方正小标宋_GBK" w:hAnsi="宋体" w:eastAsia="方正小标宋_GBK"/>
          <w:color w:val="auto"/>
        </w:rPr>
        <w:t>第一章  竞争性谈判公告</w:t>
      </w:r>
      <w:bookmarkEnd w:id="0"/>
      <w:bookmarkEnd w:id="1"/>
    </w:p>
    <w:p w14:paraId="73D30069">
      <w:pPr>
        <w:spacing w:line="600" w:lineRule="exact"/>
        <w:jc w:val="center"/>
        <w:rPr>
          <w:color w:val="auto"/>
        </w:rPr>
      </w:pPr>
      <w:r>
        <w:rPr>
          <w:rFonts w:ascii="黑体" w:hAnsi="宋体" w:eastAsia="黑体"/>
          <w:b/>
          <w:color w:val="auto"/>
          <w:sz w:val="32"/>
          <w:szCs w:val="32"/>
        </w:rPr>
        <w:br w:type="page"/>
      </w:r>
    </w:p>
    <w:p w14:paraId="0CCE71F9">
      <w:pPr>
        <w:spacing w:line="600" w:lineRule="exact"/>
        <w:jc w:val="center"/>
        <w:rPr>
          <w:rFonts w:ascii="方正小标宋_GBK" w:hAnsi="宋体" w:eastAsia="方正小标宋_GBK"/>
          <w:b/>
          <w:color w:val="auto"/>
          <w:sz w:val="34"/>
          <w:szCs w:val="34"/>
        </w:rPr>
      </w:pPr>
      <w:r>
        <w:rPr>
          <w:rFonts w:hint="eastAsia" w:ascii="方正小标宋_GBK" w:hAnsi="宋体" w:eastAsia="方正小标宋_GBK"/>
          <w:b/>
          <w:color w:val="auto"/>
          <w:sz w:val="34"/>
          <w:szCs w:val="34"/>
        </w:rPr>
        <w:t>钦州市政府采购中心关于北部湾大学公共计算机房建设项目</w:t>
      </w:r>
      <w:r>
        <w:rPr>
          <w:rFonts w:ascii="方正小标宋_GBK" w:hAnsi="宋体" w:eastAsia="方正小标宋_GBK"/>
          <w:b/>
          <w:color w:val="auto"/>
          <w:sz w:val="34"/>
          <w:szCs w:val="34"/>
        </w:rPr>
        <w:t>(</w:t>
      </w:r>
      <w:r>
        <w:rPr>
          <w:rFonts w:hint="eastAsia" w:ascii="方正小标宋_GBK" w:hAnsi="宋体" w:eastAsia="方正小标宋_GBK"/>
          <w:b/>
          <w:color w:val="auto"/>
          <w:sz w:val="34"/>
          <w:szCs w:val="34"/>
        </w:rPr>
        <w:t>GXZC2025-J1-000126-QZSZ</w:t>
      </w:r>
      <w:r>
        <w:rPr>
          <w:rFonts w:ascii="方正小标宋_GBK" w:hAnsi="宋体" w:eastAsia="方正小标宋_GBK"/>
          <w:b/>
          <w:color w:val="auto"/>
          <w:sz w:val="34"/>
          <w:szCs w:val="34"/>
        </w:rPr>
        <w:t>)</w:t>
      </w:r>
      <w:r>
        <w:rPr>
          <w:rFonts w:hint="eastAsia" w:ascii="方正小标宋_GBK" w:hAnsi="宋体" w:eastAsia="方正小标宋_GBK"/>
          <w:b/>
          <w:color w:val="auto"/>
          <w:sz w:val="34"/>
          <w:szCs w:val="34"/>
        </w:rPr>
        <w:t>的竞争性谈判公告</w:t>
      </w:r>
    </w:p>
    <w:p w14:paraId="7E2EF87C">
      <w:pPr>
        <w:pBdr>
          <w:top w:val="single" w:color="auto" w:sz="4" w:space="0"/>
          <w:left w:val="single" w:color="auto" w:sz="4" w:space="4"/>
          <w:bottom w:val="single" w:color="auto" w:sz="4" w:space="1"/>
          <w:right w:val="single" w:color="auto" w:sz="4" w:space="4"/>
        </w:pBdr>
        <w:spacing w:line="400" w:lineRule="exact"/>
        <w:rPr>
          <w:rFonts w:ascii="方正小标宋简体" w:hAnsi="宋体" w:eastAsia="方正小标宋简体"/>
          <w:b/>
          <w:color w:val="auto"/>
          <w:sz w:val="32"/>
          <w:szCs w:val="32"/>
        </w:rPr>
      </w:pPr>
      <w:bookmarkStart w:id="2" w:name="_Toc38370138"/>
      <w:r>
        <w:rPr>
          <w:rFonts w:hint="eastAsia" w:ascii="宋体" w:hAnsi="宋体"/>
          <w:color w:val="auto"/>
          <w:szCs w:val="21"/>
        </w:rPr>
        <w:t>项目概况</w:t>
      </w:r>
    </w:p>
    <w:p w14:paraId="6626EF8B">
      <w:pPr>
        <w:pBdr>
          <w:top w:val="single" w:color="auto" w:sz="4" w:space="0"/>
          <w:left w:val="single" w:color="auto" w:sz="4" w:space="4"/>
          <w:bottom w:val="single" w:color="auto" w:sz="4" w:space="1"/>
          <w:right w:val="single" w:color="auto" w:sz="4" w:space="4"/>
        </w:pBdr>
        <w:spacing w:line="400" w:lineRule="exact"/>
        <w:ind w:firstLine="420" w:firstLineChars="200"/>
        <w:rPr>
          <w:rFonts w:ascii="宋体" w:hAnsi="宋体"/>
          <w:color w:val="auto"/>
          <w:szCs w:val="21"/>
        </w:rPr>
      </w:pPr>
      <w:r>
        <w:rPr>
          <w:rFonts w:hint="eastAsia" w:ascii="宋体" w:hAnsi="宋体"/>
          <w:color w:val="auto"/>
          <w:szCs w:val="21"/>
        </w:rPr>
        <w:t>北部湾大学公共计算机房建设项目的潜在供应商应在广西政府采购云平台（https://www.gcy.zfcg.gxzf.gov.cn/）获取采购文件，并于2025</w:t>
      </w:r>
      <w:r>
        <w:rPr>
          <w:rFonts w:hint="eastAsia" w:ascii="宋体" w:hAnsi="宋体"/>
          <w:bCs/>
          <w:color w:val="auto"/>
          <w:szCs w:val="21"/>
        </w:rPr>
        <w:t>年</w:t>
      </w:r>
      <w:r>
        <w:rPr>
          <w:rFonts w:hint="eastAsia" w:ascii="宋体" w:hAnsi="宋体"/>
          <w:bCs/>
          <w:color w:val="auto"/>
          <w:szCs w:val="21"/>
          <w:lang w:val="en-US" w:eastAsia="zh-CN"/>
        </w:rPr>
        <w:t>4</w:t>
      </w:r>
      <w:r>
        <w:rPr>
          <w:rFonts w:hint="eastAsia" w:ascii="宋体" w:hAnsi="宋体"/>
          <w:bCs/>
          <w:color w:val="auto"/>
          <w:szCs w:val="21"/>
        </w:rPr>
        <w:t>月</w:t>
      </w:r>
      <w:r>
        <w:rPr>
          <w:rFonts w:hint="eastAsia" w:ascii="宋体" w:hAnsi="宋体"/>
          <w:bCs/>
          <w:color w:val="auto"/>
          <w:szCs w:val="21"/>
          <w:lang w:val="en-US" w:eastAsia="zh-CN"/>
        </w:rPr>
        <w:t>25</w:t>
      </w:r>
      <w:r>
        <w:rPr>
          <w:rFonts w:hint="eastAsia" w:ascii="宋体" w:hAnsi="宋体"/>
          <w:bCs/>
          <w:color w:val="auto"/>
          <w:szCs w:val="21"/>
        </w:rPr>
        <w:t>日</w:t>
      </w:r>
      <w:r>
        <w:rPr>
          <w:rFonts w:hint="eastAsia"/>
          <w:color w:val="auto"/>
        </w:rPr>
        <w:t>10</w:t>
      </w:r>
      <w:r>
        <w:rPr>
          <w:color w:val="auto"/>
        </w:rPr>
        <w:t>:</w:t>
      </w:r>
      <w:r>
        <w:rPr>
          <w:rFonts w:hint="eastAsia"/>
          <w:color w:val="auto"/>
        </w:rPr>
        <w:t>00</w:t>
      </w:r>
      <w:r>
        <w:rPr>
          <w:rFonts w:hint="eastAsia" w:ascii="宋体" w:hAnsi="宋体"/>
          <w:bCs/>
          <w:color w:val="auto"/>
          <w:szCs w:val="21"/>
        </w:rPr>
        <w:t>（北京时间）前提交响应</w:t>
      </w:r>
      <w:r>
        <w:rPr>
          <w:rFonts w:ascii="宋体" w:hAnsi="宋体"/>
          <w:bCs/>
          <w:color w:val="auto"/>
          <w:szCs w:val="21"/>
        </w:rPr>
        <w:t>文件</w:t>
      </w:r>
      <w:r>
        <w:rPr>
          <w:rFonts w:hint="eastAsia" w:ascii="宋体" w:hAnsi="宋体"/>
          <w:color w:val="auto"/>
          <w:szCs w:val="21"/>
        </w:rPr>
        <w:t>。</w:t>
      </w:r>
    </w:p>
    <w:bookmarkEnd w:id="2"/>
    <w:p w14:paraId="3F7235B0">
      <w:pPr>
        <w:spacing w:line="400" w:lineRule="exact"/>
        <w:rPr>
          <w:b/>
          <w:color w:val="auto"/>
        </w:rPr>
      </w:pPr>
      <w:bookmarkStart w:id="3" w:name="_Toc28359079"/>
      <w:bookmarkStart w:id="4" w:name="_Toc35393621"/>
      <w:bookmarkStart w:id="5" w:name="_Toc35393790"/>
      <w:bookmarkStart w:id="6" w:name="_Toc28359002"/>
      <w:bookmarkStart w:id="7" w:name="_Hlk24379207"/>
      <w:bookmarkStart w:id="8" w:name="_Toc38370146"/>
      <w:r>
        <w:rPr>
          <w:rFonts w:hint="eastAsia"/>
          <w:b/>
          <w:color w:val="auto"/>
        </w:rPr>
        <w:t>一、项目基本情况</w:t>
      </w:r>
      <w:bookmarkEnd w:id="3"/>
      <w:bookmarkEnd w:id="4"/>
      <w:bookmarkEnd w:id="5"/>
      <w:bookmarkEnd w:id="6"/>
    </w:p>
    <w:p w14:paraId="64FA3354">
      <w:pPr>
        <w:spacing w:line="400" w:lineRule="exact"/>
        <w:ind w:firstLine="420"/>
        <w:rPr>
          <w:color w:val="auto"/>
        </w:rPr>
      </w:pPr>
      <w:r>
        <w:rPr>
          <w:rFonts w:hint="eastAsia"/>
          <w:color w:val="auto"/>
        </w:rPr>
        <w:t>项目编号：GXZC2025-J1-000126-QZSZ</w:t>
      </w:r>
    </w:p>
    <w:p w14:paraId="4F49F1F1">
      <w:pPr>
        <w:spacing w:line="400" w:lineRule="exact"/>
        <w:ind w:firstLine="420"/>
        <w:rPr>
          <w:color w:val="auto"/>
        </w:rPr>
      </w:pPr>
      <w:r>
        <w:rPr>
          <w:rFonts w:hint="eastAsia"/>
          <w:color w:val="auto"/>
        </w:rPr>
        <w:t>项目名称：北部湾大学公共计算机房建设项目</w:t>
      </w:r>
    </w:p>
    <w:bookmarkEnd w:id="7"/>
    <w:p w14:paraId="6D6D833B">
      <w:pPr>
        <w:spacing w:line="400" w:lineRule="exact"/>
        <w:ind w:firstLine="420"/>
        <w:rPr>
          <w:color w:val="auto"/>
        </w:rPr>
      </w:pPr>
      <w:r>
        <w:rPr>
          <w:rFonts w:hint="eastAsia"/>
          <w:color w:val="auto"/>
        </w:rPr>
        <w:t>预算总金额(元</w:t>
      </w:r>
      <w:r>
        <w:rPr>
          <w:color w:val="auto"/>
        </w:rPr>
        <w:t>)</w:t>
      </w:r>
      <w:r>
        <w:rPr>
          <w:rFonts w:hint="eastAsia"/>
          <w:color w:val="auto"/>
        </w:rPr>
        <w:t>：2959900.00</w:t>
      </w:r>
    </w:p>
    <w:p w14:paraId="588BE669">
      <w:pPr>
        <w:spacing w:line="400" w:lineRule="exact"/>
        <w:ind w:firstLine="420"/>
        <w:rPr>
          <w:color w:val="auto"/>
        </w:rPr>
      </w:pPr>
      <w:r>
        <w:rPr>
          <w:rFonts w:hint="eastAsia"/>
          <w:color w:val="auto"/>
        </w:rPr>
        <w:t>采购需求：</w:t>
      </w:r>
    </w:p>
    <w:p w14:paraId="60154E46">
      <w:pPr>
        <w:spacing w:line="400" w:lineRule="exact"/>
        <w:rPr>
          <w:color w:val="auto"/>
        </w:rPr>
      </w:pPr>
    </w:p>
    <w:p w14:paraId="21A8A4B0">
      <w:pPr>
        <w:spacing w:line="400" w:lineRule="exact"/>
        <w:ind w:firstLine="420"/>
        <w:rPr>
          <w:color w:val="auto"/>
        </w:rPr>
      </w:pPr>
      <w:r>
        <w:rPr>
          <w:rFonts w:hint="eastAsia"/>
          <w:color w:val="auto"/>
        </w:rPr>
        <w:t>标项名称：北部湾大学公共计算机房建设项目</w:t>
      </w:r>
    </w:p>
    <w:p w14:paraId="1229CFE6">
      <w:pPr>
        <w:spacing w:line="400" w:lineRule="exact"/>
        <w:ind w:firstLine="420"/>
        <w:rPr>
          <w:color w:val="auto"/>
        </w:rPr>
      </w:pPr>
      <w:r>
        <w:rPr>
          <w:rFonts w:hint="eastAsia"/>
          <w:color w:val="auto"/>
        </w:rPr>
        <w:t>数量：1</w:t>
      </w:r>
    </w:p>
    <w:p w14:paraId="656816E4">
      <w:pPr>
        <w:spacing w:line="400" w:lineRule="exact"/>
        <w:ind w:firstLine="420"/>
        <w:rPr>
          <w:color w:val="auto"/>
        </w:rPr>
      </w:pPr>
      <w:r>
        <w:rPr>
          <w:rFonts w:hint="eastAsia"/>
          <w:color w:val="auto"/>
        </w:rPr>
        <w:t>预算金额(元</w:t>
      </w:r>
      <w:r>
        <w:rPr>
          <w:color w:val="auto"/>
        </w:rPr>
        <w:t>)</w:t>
      </w:r>
      <w:r>
        <w:rPr>
          <w:rFonts w:hint="eastAsia"/>
          <w:color w:val="auto"/>
        </w:rPr>
        <w:t>：¥2959900.00</w:t>
      </w:r>
    </w:p>
    <w:p w14:paraId="1851A02F">
      <w:pPr>
        <w:spacing w:line="400" w:lineRule="exact"/>
        <w:ind w:firstLine="420"/>
        <w:rPr>
          <w:rFonts w:ascii="宋体" w:hAnsi="宋体" w:cs="宋体"/>
          <w:color w:val="auto"/>
          <w:kern w:val="0"/>
          <w:szCs w:val="21"/>
          <w:lang w:bidi="ar"/>
        </w:rPr>
      </w:pPr>
      <w:r>
        <w:rPr>
          <w:rFonts w:hint="eastAsia"/>
          <w:color w:val="auto"/>
        </w:rPr>
        <w:t xml:space="preserve">简要规格描述或项目基本概况介绍、用途：云资源共享服务器5台、高算力测绘设备51套、教学云终端教师机5台等，具体详见采购需求。 </w:t>
      </w:r>
    </w:p>
    <w:p w14:paraId="7D2E8718">
      <w:pPr>
        <w:spacing w:line="400" w:lineRule="exact"/>
        <w:ind w:firstLine="420"/>
        <w:rPr>
          <w:color w:val="auto"/>
        </w:rPr>
      </w:pPr>
      <w:r>
        <w:rPr>
          <w:rFonts w:hint="eastAsia"/>
          <w:color w:val="auto"/>
        </w:rPr>
        <w:t>最高限价(如有</w:t>
      </w:r>
      <w:r>
        <w:rPr>
          <w:color w:val="auto"/>
        </w:rPr>
        <w:t>)</w:t>
      </w:r>
      <w:r>
        <w:rPr>
          <w:rFonts w:hint="eastAsia"/>
          <w:color w:val="auto"/>
        </w:rPr>
        <w:t>：</w:t>
      </w:r>
    </w:p>
    <w:p w14:paraId="46846DB6">
      <w:pPr>
        <w:spacing w:line="400" w:lineRule="exact"/>
        <w:ind w:firstLine="420"/>
        <w:rPr>
          <w:color w:val="auto"/>
        </w:rPr>
      </w:pPr>
      <w:r>
        <w:rPr>
          <w:rFonts w:hint="eastAsia"/>
          <w:color w:val="auto"/>
        </w:rPr>
        <w:t>合同履行期限：</w:t>
      </w:r>
      <w:r>
        <w:rPr>
          <w:rFonts w:hint="eastAsia" w:ascii="宋体" w:hAnsi="宋体" w:cs="宋体"/>
          <w:color w:val="auto"/>
          <w:szCs w:val="21"/>
        </w:rPr>
        <w:t>合同签订之日起45日内全部安装调试完毕并交付使用。</w:t>
      </w:r>
    </w:p>
    <w:p w14:paraId="07696B91">
      <w:pPr>
        <w:spacing w:line="400" w:lineRule="exact"/>
        <w:ind w:firstLine="420"/>
        <w:rPr>
          <w:color w:val="auto"/>
        </w:rPr>
      </w:pPr>
      <w:r>
        <w:rPr>
          <w:rFonts w:hint="eastAsia"/>
          <w:color w:val="auto"/>
        </w:rPr>
        <w:t>本标项(否</w:t>
      </w:r>
      <w:r>
        <w:rPr>
          <w:color w:val="auto"/>
        </w:rPr>
        <w:t>)</w:t>
      </w:r>
      <w:r>
        <w:rPr>
          <w:rFonts w:hint="eastAsia"/>
          <w:color w:val="auto"/>
        </w:rPr>
        <w:t>接受联合体竞标。</w:t>
      </w:r>
    </w:p>
    <w:p w14:paraId="096E60F2">
      <w:pPr>
        <w:spacing w:line="400" w:lineRule="exact"/>
        <w:ind w:firstLine="420"/>
        <w:rPr>
          <w:color w:val="auto"/>
        </w:rPr>
      </w:pPr>
      <w:r>
        <w:rPr>
          <w:rFonts w:hint="eastAsia"/>
          <w:color w:val="auto"/>
        </w:rPr>
        <w:t>备注：</w:t>
      </w:r>
    </w:p>
    <w:p w14:paraId="26AF00DE">
      <w:pPr>
        <w:spacing w:line="400" w:lineRule="exact"/>
        <w:rPr>
          <w:b/>
          <w:color w:val="auto"/>
        </w:rPr>
      </w:pPr>
      <w:bookmarkStart w:id="9" w:name="_Toc35393622"/>
      <w:bookmarkStart w:id="10" w:name="_Toc28359003"/>
      <w:bookmarkStart w:id="11" w:name="_Toc35393791"/>
      <w:bookmarkStart w:id="12" w:name="_Toc28359080"/>
      <w:r>
        <w:rPr>
          <w:rFonts w:hint="eastAsia"/>
          <w:b/>
          <w:color w:val="auto"/>
        </w:rPr>
        <w:t>二、申请人的资格要求：</w:t>
      </w:r>
      <w:bookmarkEnd w:id="9"/>
      <w:bookmarkEnd w:id="10"/>
      <w:bookmarkEnd w:id="11"/>
      <w:bookmarkEnd w:id="12"/>
      <w:bookmarkStart w:id="13" w:name="_Toc35393623"/>
      <w:bookmarkStart w:id="14" w:name="_Toc35393792"/>
      <w:bookmarkStart w:id="15" w:name="_Toc28359081"/>
      <w:bookmarkStart w:id="16" w:name="_Toc28359004"/>
    </w:p>
    <w:p w14:paraId="36353AD1">
      <w:pPr>
        <w:spacing w:line="400" w:lineRule="exact"/>
        <w:ind w:firstLine="420"/>
        <w:rPr>
          <w:b/>
          <w:color w:val="auto"/>
        </w:rPr>
      </w:pPr>
      <w:r>
        <w:rPr>
          <w:rFonts w:hint="eastAsia"/>
          <w:color w:val="auto"/>
        </w:rPr>
        <w:t>1.满足《中华人民共和国政府采购法》第二十二条规定</w:t>
      </w:r>
    </w:p>
    <w:p w14:paraId="2A9F9DF8">
      <w:pPr>
        <w:spacing w:line="400" w:lineRule="exact"/>
        <w:ind w:firstLine="420"/>
        <w:rPr>
          <w:color w:val="auto"/>
        </w:rPr>
      </w:pPr>
      <w:r>
        <w:rPr>
          <w:rFonts w:hint="eastAsia"/>
          <w:color w:val="auto"/>
        </w:rPr>
        <w:t>2.落实政府采购政策需满足的资格要求：无 </w:t>
      </w:r>
    </w:p>
    <w:p w14:paraId="2D05557E">
      <w:pPr>
        <w:spacing w:line="400" w:lineRule="exact"/>
        <w:ind w:firstLine="435"/>
        <w:rPr>
          <w:color w:val="auto"/>
        </w:rPr>
      </w:pPr>
      <w:r>
        <w:rPr>
          <w:rFonts w:hint="eastAsia"/>
          <w:color w:val="auto"/>
        </w:rPr>
        <w:t>3.本项目的特定资格要求：无</w:t>
      </w:r>
    </w:p>
    <w:p w14:paraId="573E233F">
      <w:pPr>
        <w:spacing w:line="400" w:lineRule="exact"/>
        <w:rPr>
          <w:b/>
          <w:color w:val="auto"/>
        </w:rPr>
      </w:pPr>
      <w:r>
        <w:rPr>
          <w:rFonts w:hint="eastAsia"/>
          <w:b/>
          <w:color w:val="auto"/>
        </w:rPr>
        <w:t>三、获取采购文件</w:t>
      </w:r>
      <w:bookmarkEnd w:id="13"/>
      <w:bookmarkEnd w:id="14"/>
      <w:bookmarkEnd w:id="15"/>
      <w:bookmarkEnd w:id="16"/>
    </w:p>
    <w:p w14:paraId="78F2FEC3">
      <w:pPr>
        <w:spacing w:line="400" w:lineRule="exact"/>
        <w:ind w:firstLine="420"/>
        <w:jc w:val="left"/>
        <w:rPr>
          <w:color w:val="auto"/>
        </w:rPr>
      </w:pPr>
      <w:bookmarkStart w:id="17" w:name="_Toc38370141"/>
      <w:r>
        <w:rPr>
          <w:rFonts w:hint="eastAsia"/>
          <w:color w:val="auto"/>
        </w:rPr>
        <w:t>时间：</w:t>
      </w:r>
      <w:r>
        <w:rPr>
          <w:rFonts w:hint="eastAsia" w:ascii="宋体" w:hAnsi="宋体"/>
          <w:color w:val="auto"/>
          <w:szCs w:val="21"/>
        </w:rPr>
        <w:t>2025</w:t>
      </w:r>
      <w:r>
        <w:rPr>
          <w:rFonts w:hint="eastAsia" w:ascii="宋体" w:hAnsi="宋体"/>
          <w:bCs/>
          <w:color w:val="auto"/>
          <w:szCs w:val="21"/>
        </w:rPr>
        <w:t>年</w:t>
      </w:r>
      <w:r>
        <w:rPr>
          <w:rFonts w:hint="eastAsia" w:ascii="宋体" w:hAnsi="宋体"/>
          <w:bCs/>
          <w:color w:val="auto"/>
          <w:szCs w:val="21"/>
          <w:lang w:val="en-US" w:eastAsia="zh-CN"/>
        </w:rPr>
        <w:t>4</w:t>
      </w:r>
      <w:r>
        <w:rPr>
          <w:rFonts w:hint="eastAsia" w:ascii="宋体" w:hAnsi="宋体"/>
          <w:bCs/>
          <w:color w:val="auto"/>
          <w:szCs w:val="21"/>
        </w:rPr>
        <w:t>月</w:t>
      </w:r>
      <w:r>
        <w:rPr>
          <w:rFonts w:hint="eastAsia" w:ascii="宋体" w:hAnsi="宋体"/>
          <w:bCs/>
          <w:color w:val="auto"/>
          <w:szCs w:val="21"/>
          <w:lang w:val="en-US" w:eastAsia="zh-CN"/>
        </w:rPr>
        <w:t>14</w:t>
      </w:r>
      <w:r>
        <w:rPr>
          <w:rFonts w:hint="eastAsia" w:ascii="宋体" w:hAnsi="宋体"/>
          <w:bCs/>
          <w:color w:val="auto"/>
          <w:szCs w:val="21"/>
        </w:rPr>
        <w:t>日</w:t>
      </w:r>
      <w:r>
        <w:rPr>
          <w:rFonts w:hint="eastAsia"/>
          <w:color w:val="auto"/>
        </w:rPr>
        <w:t>至</w:t>
      </w:r>
      <w:r>
        <w:rPr>
          <w:rFonts w:hint="eastAsia" w:ascii="宋体" w:hAnsi="宋体"/>
          <w:color w:val="auto"/>
          <w:szCs w:val="21"/>
        </w:rPr>
        <w:t>2025</w:t>
      </w:r>
      <w:r>
        <w:rPr>
          <w:rFonts w:hint="eastAsia" w:ascii="宋体" w:hAnsi="宋体"/>
          <w:bCs/>
          <w:color w:val="auto"/>
          <w:szCs w:val="21"/>
        </w:rPr>
        <w:t>年</w:t>
      </w:r>
      <w:r>
        <w:rPr>
          <w:rFonts w:hint="eastAsia" w:ascii="宋体" w:hAnsi="宋体"/>
          <w:bCs/>
          <w:color w:val="auto"/>
          <w:szCs w:val="21"/>
          <w:lang w:val="en-US" w:eastAsia="zh-CN"/>
        </w:rPr>
        <w:t>4</w:t>
      </w:r>
      <w:r>
        <w:rPr>
          <w:rFonts w:hint="eastAsia" w:ascii="宋体" w:hAnsi="宋体"/>
          <w:bCs/>
          <w:color w:val="auto"/>
          <w:szCs w:val="21"/>
        </w:rPr>
        <w:t>月</w:t>
      </w:r>
      <w:r>
        <w:rPr>
          <w:rFonts w:hint="eastAsia" w:ascii="宋体" w:hAnsi="宋体"/>
          <w:bCs/>
          <w:color w:val="auto"/>
          <w:szCs w:val="21"/>
          <w:lang w:val="en-US" w:eastAsia="zh-CN"/>
        </w:rPr>
        <w:t>21</w:t>
      </w:r>
      <w:r>
        <w:rPr>
          <w:rFonts w:hint="eastAsia" w:ascii="宋体" w:hAnsi="宋体"/>
          <w:bCs/>
          <w:color w:val="auto"/>
          <w:szCs w:val="21"/>
        </w:rPr>
        <w:t>日</w:t>
      </w:r>
      <w:r>
        <w:rPr>
          <w:rFonts w:hint="eastAsia"/>
          <w:color w:val="auto"/>
        </w:rPr>
        <w:t xml:space="preserve"> ，每天上午00:00至12:00，下午12:00至23:59（北京时间，法定节假日除外）</w:t>
      </w:r>
    </w:p>
    <w:p w14:paraId="182A582A">
      <w:pPr>
        <w:spacing w:line="400" w:lineRule="exact"/>
        <w:ind w:firstLine="420"/>
        <w:rPr>
          <w:color w:val="auto"/>
        </w:rPr>
      </w:pPr>
      <w:r>
        <w:rPr>
          <w:rFonts w:hint="eastAsia"/>
          <w:color w:val="auto"/>
        </w:rPr>
        <w:t>地点(网址</w:t>
      </w:r>
      <w:r>
        <w:rPr>
          <w:color w:val="auto"/>
        </w:rPr>
        <w:t>)</w:t>
      </w:r>
      <w:r>
        <w:rPr>
          <w:rFonts w:hint="eastAsia"/>
          <w:color w:val="auto"/>
        </w:rPr>
        <w:t>：</w:t>
      </w:r>
      <w:r>
        <w:rPr>
          <w:rFonts w:hint="eastAsia" w:ascii="宋体" w:hAnsi="宋体"/>
          <w:color w:val="auto"/>
          <w:szCs w:val="21"/>
        </w:rPr>
        <w:t>广西政府采购云平台（https://www.gcy.zfcg.gxzf.gov.cn/）</w:t>
      </w:r>
    </w:p>
    <w:p w14:paraId="0F3DD582">
      <w:pPr>
        <w:spacing w:line="400" w:lineRule="exact"/>
        <w:ind w:firstLine="420"/>
        <w:rPr>
          <w:color w:val="auto"/>
        </w:rPr>
      </w:pPr>
      <w:r>
        <w:rPr>
          <w:rFonts w:hint="eastAsia"/>
          <w:color w:val="auto"/>
        </w:rPr>
        <w:t>方式：供应商登录广西政府采购云平台在线获取采购文件（进入“项目采购”应用选择项目，获取采购文件）</w:t>
      </w:r>
    </w:p>
    <w:p w14:paraId="6E1C10A3">
      <w:pPr>
        <w:spacing w:line="400" w:lineRule="exact"/>
        <w:ind w:firstLine="420"/>
        <w:rPr>
          <w:color w:val="auto"/>
        </w:rPr>
      </w:pPr>
      <w:r>
        <w:rPr>
          <w:rFonts w:hint="eastAsia"/>
          <w:color w:val="auto"/>
        </w:rPr>
        <w:t>售价(元</w:t>
      </w:r>
      <w:r>
        <w:rPr>
          <w:color w:val="auto"/>
        </w:rPr>
        <w:t>)</w:t>
      </w:r>
      <w:r>
        <w:rPr>
          <w:rFonts w:hint="eastAsia"/>
          <w:color w:val="auto"/>
        </w:rPr>
        <w:t>：0</w:t>
      </w:r>
    </w:p>
    <w:p w14:paraId="58A17170">
      <w:pPr>
        <w:spacing w:line="400" w:lineRule="exact"/>
        <w:rPr>
          <w:b/>
          <w:color w:val="auto"/>
        </w:rPr>
      </w:pPr>
      <w:r>
        <w:rPr>
          <w:rFonts w:hint="eastAsia"/>
          <w:b/>
          <w:bCs/>
          <w:color w:val="auto"/>
        </w:rPr>
        <w:t>四、</w:t>
      </w:r>
      <w:bookmarkEnd w:id="17"/>
      <w:bookmarkStart w:id="18" w:name="_Toc28359082"/>
      <w:bookmarkStart w:id="19" w:name="_Toc28359005"/>
      <w:bookmarkStart w:id="20" w:name="_Toc35393793"/>
      <w:bookmarkStart w:id="21" w:name="_Toc35393624"/>
      <w:r>
        <w:rPr>
          <w:rFonts w:hint="eastAsia"/>
          <w:b/>
          <w:color w:val="auto"/>
        </w:rPr>
        <w:t>响应文件</w:t>
      </w:r>
      <w:bookmarkEnd w:id="18"/>
      <w:bookmarkEnd w:id="19"/>
      <w:r>
        <w:rPr>
          <w:rFonts w:hint="eastAsia"/>
          <w:b/>
          <w:color w:val="auto"/>
        </w:rPr>
        <w:t>提交</w:t>
      </w:r>
      <w:bookmarkEnd w:id="20"/>
      <w:bookmarkEnd w:id="21"/>
    </w:p>
    <w:p w14:paraId="5EB70E78">
      <w:pPr>
        <w:spacing w:line="400" w:lineRule="exact"/>
        <w:ind w:firstLine="420"/>
        <w:rPr>
          <w:color w:val="auto"/>
        </w:rPr>
      </w:pPr>
      <w:r>
        <w:rPr>
          <w:rFonts w:hint="eastAsia"/>
          <w:color w:val="auto"/>
        </w:rPr>
        <w:t>截止时间：</w:t>
      </w:r>
      <w:r>
        <w:rPr>
          <w:rFonts w:hint="eastAsia" w:ascii="宋体" w:hAnsi="宋体"/>
          <w:color w:val="auto"/>
          <w:szCs w:val="21"/>
        </w:rPr>
        <w:t>2025</w:t>
      </w:r>
      <w:r>
        <w:rPr>
          <w:rFonts w:hint="eastAsia" w:ascii="宋体" w:hAnsi="宋体"/>
          <w:bCs/>
          <w:color w:val="auto"/>
          <w:szCs w:val="21"/>
        </w:rPr>
        <w:t>年</w:t>
      </w:r>
      <w:r>
        <w:rPr>
          <w:rFonts w:hint="eastAsia" w:ascii="宋体" w:hAnsi="宋体"/>
          <w:bCs/>
          <w:color w:val="auto"/>
          <w:szCs w:val="21"/>
          <w:lang w:val="en-US" w:eastAsia="zh-CN"/>
        </w:rPr>
        <w:t>4</w:t>
      </w:r>
      <w:r>
        <w:rPr>
          <w:rFonts w:hint="eastAsia" w:ascii="宋体" w:hAnsi="宋体"/>
          <w:bCs/>
          <w:color w:val="auto"/>
          <w:szCs w:val="21"/>
        </w:rPr>
        <w:t>月</w:t>
      </w:r>
      <w:r>
        <w:rPr>
          <w:rFonts w:hint="eastAsia" w:ascii="宋体" w:hAnsi="宋体"/>
          <w:bCs/>
          <w:color w:val="auto"/>
          <w:szCs w:val="21"/>
          <w:lang w:val="en-US" w:eastAsia="zh-CN"/>
        </w:rPr>
        <w:t>25</w:t>
      </w:r>
      <w:r>
        <w:rPr>
          <w:rFonts w:hint="eastAsia" w:ascii="宋体" w:hAnsi="宋体"/>
          <w:bCs/>
          <w:color w:val="auto"/>
          <w:szCs w:val="21"/>
        </w:rPr>
        <w:t>日</w:t>
      </w:r>
      <w:r>
        <w:rPr>
          <w:rFonts w:hint="eastAsia"/>
          <w:color w:val="auto"/>
        </w:rPr>
        <w:t>10</w:t>
      </w:r>
      <w:r>
        <w:rPr>
          <w:color w:val="auto"/>
        </w:rPr>
        <w:t>:</w:t>
      </w:r>
      <w:r>
        <w:rPr>
          <w:rFonts w:hint="eastAsia"/>
          <w:color w:val="auto"/>
        </w:rPr>
        <w:t>00（北京时间）</w:t>
      </w:r>
    </w:p>
    <w:p w14:paraId="3374275C">
      <w:pPr>
        <w:spacing w:line="400" w:lineRule="exact"/>
        <w:ind w:firstLine="420"/>
        <w:rPr>
          <w:rFonts w:ascii="宋体" w:hAnsi="宋体" w:cs="Courier New"/>
          <w:color w:val="auto"/>
          <w:szCs w:val="21"/>
        </w:rPr>
      </w:pPr>
      <w:r>
        <w:rPr>
          <w:rFonts w:hint="eastAsia"/>
          <w:color w:val="auto"/>
        </w:rPr>
        <w:t>地点(网址）：</w:t>
      </w:r>
      <w:r>
        <w:rPr>
          <w:rFonts w:hint="eastAsia" w:ascii="宋体" w:hAnsi="宋体"/>
          <w:color w:val="auto"/>
          <w:szCs w:val="21"/>
        </w:rPr>
        <w:t>广西政府采购云平台（https://www.gcy.zfcg.gxzf.gov.cn/）</w:t>
      </w:r>
    </w:p>
    <w:p w14:paraId="15AE445E">
      <w:pPr>
        <w:spacing w:line="400" w:lineRule="exact"/>
        <w:rPr>
          <w:rFonts w:ascii="宋体" w:hAnsi="宋体" w:cs="Courier New"/>
          <w:b/>
          <w:bCs/>
          <w:color w:val="auto"/>
          <w:szCs w:val="21"/>
        </w:rPr>
      </w:pPr>
      <w:r>
        <w:rPr>
          <w:rFonts w:hint="eastAsia" w:ascii="宋体" w:hAnsi="宋体" w:cs="Courier New"/>
          <w:b/>
          <w:bCs/>
          <w:color w:val="auto"/>
          <w:szCs w:val="21"/>
        </w:rPr>
        <w:t>五、响应文件开启</w:t>
      </w:r>
    </w:p>
    <w:p w14:paraId="0A4549EA">
      <w:pPr>
        <w:spacing w:line="400" w:lineRule="exact"/>
        <w:ind w:firstLine="420" w:firstLineChars="200"/>
        <w:rPr>
          <w:rFonts w:ascii="宋体" w:hAnsi="宋体" w:cs="Courier New"/>
          <w:color w:val="auto"/>
          <w:szCs w:val="21"/>
        </w:rPr>
      </w:pPr>
      <w:r>
        <w:rPr>
          <w:rFonts w:hint="eastAsia" w:ascii="宋体" w:hAnsi="宋体" w:cs="Courier New"/>
          <w:color w:val="auto"/>
          <w:szCs w:val="21"/>
        </w:rPr>
        <w:t>开启时间：</w:t>
      </w:r>
      <w:r>
        <w:rPr>
          <w:rFonts w:hint="eastAsia" w:ascii="宋体" w:hAnsi="宋体"/>
          <w:color w:val="auto"/>
          <w:szCs w:val="21"/>
        </w:rPr>
        <w:t>2025</w:t>
      </w:r>
      <w:r>
        <w:rPr>
          <w:rFonts w:hint="eastAsia" w:ascii="宋体" w:hAnsi="宋体"/>
          <w:bCs/>
          <w:color w:val="auto"/>
          <w:szCs w:val="21"/>
        </w:rPr>
        <w:t>年</w:t>
      </w:r>
      <w:r>
        <w:rPr>
          <w:rFonts w:hint="eastAsia" w:ascii="宋体" w:hAnsi="宋体"/>
          <w:bCs/>
          <w:color w:val="auto"/>
          <w:szCs w:val="21"/>
          <w:lang w:val="en-US" w:eastAsia="zh-CN"/>
        </w:rPr>
        <w:t>4</w:t>
      </w:r>
      <w:r>
        <w:rPr>
          <w:rFonts w:hint="eastAsia" w:ascii="宋体" w:hAnsi="宋体"/>
          <w:bCs/>
          <w:color w:val="auto"/>
          <w:szCs w:val="21"/>
        </w:rPr>
        <w:t>月</w:t>
      </w:r>
      <w:r>
        <w:rPr>
          <w:rFonts w:hint="eastAsia" w:ascii="宋体" w:hAnsi="宋体"/>
          <w:bCs/>
          <w:color w:val="auto"/>
          <w:szCs w:val="21"/>
          <w:lang w:val="en-US" w:eastAsia="zh-CN"/>
        </w:rPr>
        <w:t>25</w:t>
      </w:r>
      <w:r>
        <w:rPr>
          <w:rFonts w:hint="eastAsia" w:ascii="宋体" w:hAnsi="宋体"/>
          <w:bCs/>
          <w:color w:val="auto"/>
          <w:szCs w:val="21"/>
        </w:rPr>
        <w:t>日</w:t>
      </w:r>
      <w:r>
        <w:rPr>
          <w:rFonts w:hint="eastAsia"/>
          <w:color w:val="auto"/>
        </w:rPr>
        <w:t>10</w:t>
      </w:r>
      <w:r>
        <w:rPr>
          <w:color w:val="auto"/>
        </w:rPr>
        <w:t>:</w:t>
      </w:r>
      <w:r>
        <w:rPr>
          <w:rFonts w:hint="eastAsia"/>
          <w:color w:val="auto"/>
        </w:rPr>
        <w:t>00（北京时间）</w:t>
      </w:r>
    </w:p>
    <w:p w14:paraId="71C00D44">
      <w:pPr>
        <w:spacing w:line="400" w:lineRule="exact"/>
        <w:ind w:firstLine="420"/>
        <w:rPr>
          <w:rFonts w:ascii="宋体" w:hAnsi="宋体" w:cs="Courier New"/>
          <w:color w:val="auto"/>
          <w:szCs w:val="21"/>
        </w:rPr>
      </w:pPr>
      <w:r>
        <w:rPr>
          <w:rFonts w:hint="eastAsia" w:ascii="宋体" w:hAnsi="宋体" w:cs="Courier New"/>
          <w:color w:val="auto"/>
          <w:szCs w:val="21"/>
        </w:rPr>
        <w:t>地点：</w:t>
      </w:r>
      <w:bookmarkStart w:id="22" w:name="_Toc35393794"/>
      <w:bookmarkStart w:id="23" w:name="_Toc35393625"/>
      <w:bookmarkStart w:id="24" w:name="_Toc28359007"/>
      <w:bookmarkStart w:id="25" w:name="_Toc28359084"/>
      <w:r>
        <w:rPr>
          <w:rFonts w:hint="eastAsia"/>
          <w:color w:val="auto"/>
        </w:rPr>
        <w:t>广西钦州市金海湾东大街8号市政务服务中心三楼开标室</w:t>
      </w:r>
    </w:p>
    <w:p w14:paraId="5CA24C1E">
      <w:pPr>
        <w:spacing w:line="400" w:lineRule="exact"/>
        <w:rPr>
          <w:b/>
          <w:color w:val="auto"/>
        </w:rPr>
      </w:pPr>
      <w:r>
        <w:rPr>
          <w:rFonts w:hint="eastAsia"/>
          <w:b/>
          <w:color w:val="auto"/>
        </w:rPr>
        <w:t>六、公告期限</w:t>
      </w:r>
      <w:bookmarkEnd w:id="22"/>
      <w:bookmarkEnd w:id="23"/>
      <w:bookmarkEnd w:id="24"/>
      <w:bookmarkEnd w:id="25"/>
    </w:p>
    <w:p w14:paraId="03EF7044">
      <w:pPr>
        <w:spacing w:line="400" w:lineRule="exact"/>
        <w:ind w:firstLine="420"/>
        <w:rPr>
          <w:color w:val="auto"/>
        </w:rPr>
      </w:pPr>
      <w:r>
        <w:rPr>
          <w:rFonts w:hint="eastAsia"/>
          <w:color w:val="auto"/>
        </w:rPr>
        <w:t>自本公告发布之日起</w:t>
      </w:r>
      <w:r>
        <w:rPr>
          <w:color w:val="auto"/>
        </w:rPr>
        <w:t>3</w:t>
      </w:r>
      <w:r>
        <w:rPr>
          <w:rFonts w:hint="eastAsia"/>
          <w:color w:val="auto"/>
        </w:rPr>
        <w:t>个工作日。</w:t>
      </w:r>
    </w:p>
    <w:p w14:paraId="50514211">
      <w:pPr>
        <w:spacing w:line="400" w:lineRule="exact"/>
        <w:rPr>
          <w:b/>
          <w:color w:val="auto"/>
        </w:rPr>
      </w:pPr>
      <w:bookmarkStart w:id="26" w:name="_Toc28359008"/>
      <w:bookmarkStart w:id="27" w:name="_Toc35393796"/>
      <w:bookmarkStart w:id="28" w:name="_Toc35393627"/>
      <w:bookmarkStart w:id="29" w:name="_Toc28359085"/>
      <w:r>
        <w:rPr>
          <w:rFonts w:hint="eastAsia"/>
          <w:b/>
          <w:color w:val="auto"/>
        </w:rPr>
        <w:t>七、其他补充事宜</w:t>
      </w:r>
    </w:p>
    <w:p w14:paraId="4F8439A3">
      <w:pPr>
        <w:spacing w:line="400" w:lineRule="exact"/>
        <w:ind w:firstLine="420"/>
        <w:rPr>
          <w:b/>
          <w:color w:val="auto"/>
        </w:rPr>
      </w:pPr>
      <w:r>
        <w:rPr>
          <w:rFonts w:hint="eastAsia"/>
          <w:color w:val="auto"/>
        </w:rPr>
        <w:t>1</w:t>
      </w:r>
      <w:r>
        <w:rPr>
          <w:color w:val="auto"/>
        </w:rPr>
        <w:t>.</w:t>
      </w:r>
      <w:r>
        <w:rPr>
          <w:rFonts w:hint="eastAsia"/>
          <w:bCs/>
          <w:color w:val="auto"/>
        </w:rPr>
        <w:t>本项目须要落实的政府采购政策</w:t>
      </w:r>
      <w:r>
        <w:rPr>
          <w:rFonts w:hint="eastAsia"/>
          <w:b/>
          <w:color w:val="auto"/>
        </w:rPr>
        <w:t>：</w:t>
      </w:r>
    </w:p>
    <w:p w14:paraId="5082A9D7">
      <w:pPr>
        <w:spacing w:line="400" w:lineRule="exact"/>
        <w:ind w:left="420" w:leftChars="200"/>
        <w:rPr>
          <w:bCs/>
          <w:color w:val="auto"/>
        </w:rPr>
      </w:pPr>
      <w:r>
        <w:rPr>
          <w:rFonts w:hint="eastAsia"/>
          <w:bCs/>
          <w:color w:val="auto"/>
        </w:rPr>
        <w:t>(1)财政部 工业和信息化部关于印发《政府采购促进中小企业发展管理办法》的通知(财库﹝2020﹞46号)</w:t>
      </w:r>
    </w:p>
    <w:p w14:paraId="3A087015">
      <w:pPr>
        <w:spacing w:line="400" w:lineRule="exact"/>
        <w:ind w:left="420" w:leftChars="200"/>
        <w:rPr>
          <w:bCs/>
          <w:color w:val="auto"/>
        </w:rPr>
      </w:pPr>
      <w:r>
        <w:rPr>
          <w:rFonts w:hint="eastAsia"/>
          <w:bCs/>
          <w:color w:val="auto"/>
        </w:rPr>
        <w:t>(2)财政部 司法部关于政府采购支持监狱企业发展有关问题的通知 (财库﹝2014﹞68号)</w:t>
      </w:r>
    </w:p>
    <w:p w14:paraId="145589F4">
      <w:pPr>
        <w:spacing w:line="400" w:lineRule="exact"/>
        <w:ind w:left="420" w:leftChars="200"/>
        <w:rPr>
          <w:bCs/>
          <w:color w:val="auto"/>
        </w:rPr>
      </w:pPr>
      <w:r>
        <w:rPr>
          <w:rFonts w:hint="eastAsia"/>
          <w:bCs/>
          <w:color w:val="auto"/>
        </w:rPr>
        <w:t>(3)财政部 民政部 中国残疾人联合会关于促进残疾人就业政府采购政策的通知 (财库﹝2017﹞141号)</w:t>
      </w:r>
    </w:p>
    <w:p w14:paraId="53E2FF2F">
      <w:pPr>
        <w:spacing w:line="400" w:lineRule="exact"/>
        <w:ind w:left="420" w:leftChars="200"/>
        <w:rPr>
          <w:bCs/>
          <w:color w:val="auto"/>
        </w:rPr>
      </w:pPr>
      <w:r>
        <w:rPr>
          <w:rFonts w:hint="eastAsia"/>
          <w:bCs/>
          <w:color w:val="auto"/>
        </w:rPr>
        <w:t>(4)财政部 发展改革委 生态环境部 市场监管总局关于调整优化节能产品、环境标志产品政府采购执行机制的通知（财库〔2019〕9号）</w:t>
      </w:r>
    </w:p>
    <w:p w14:paraId="52DE9B1C">
      <w:pPr>
        <w:spacing w:line="400" w:lineRule="exact"/>
        <w:ind w:left="420" w:leftChars="200"/>
        <w:rPr>
          <w:bCs/>
          <w:color w:val="auto"/>
        </w:rPr>
      </w:pPr>
      <w:r>
        <w:rPr>
          <w:rFonts w:hint="eastAsia"/>
          <w:bCs/>
          <w:color w:val="auto"/>
        </w:rPr>
        <w:t>(5)财政部 发展改革委 关于印发节能产品政府采购品目清单的通知（财库〔2019〕19号）</w:t>
      </w:r>
    </w:p>
    <w:p w14:paraId="343CFC6B">
      <w:pPr>
        <w:spacing w:line="400" w:lineRule="exact"/>
        <w:ind w:firstLine="420"/>
        <w:rPr>
          <w:color w:val="auto"/>
        </w:rPr>
      </w:pPr>
      <w:r>
        <w:rPr>
          <w:rFonts w:hint="eastAsia"/>
          <w:color w:val="auto"/>
        </w:rPr>
        <w:t>2</w:t>
      </w:r>
      <w:r>
        <w:rPr>
          <w:color w:val="auto"/>
        </w:rPr>
        <w:t>.</w:t>
      </w:r>
      <w:bookmarkStart w:id="30" w:name="_Hlk91598380"/>
      <w:r>
        <w:rPr>
          <w:rFonts w:hint="eastAsia"/>
          <w:color w:val="auto"/>
        </w:rPr>
        <w:t>全流程电子化</w:t>
      </w:r>
      <w:bookmarkEnd w:id="30"/>
      <w:r>
        <w:rPr>
          <w:rFonts w:hint="eastAsia"/>
          <w:color w:val="auto"/>
        </w:rPr>
        <w:t>要求：</w:t>
      </w:r>
    </w:p>
    <w:p w14:paraId="7238E59B">
      <w:pPr>
        <w:spacing w:line="400" w:lineRule="exact"/>
        <w:ind w:firstLine="420"/>
        <w:rPr>
          <w:color w:val="auto"/>
        </w:rPr>
      </w:pPr>
      <w:bookmarkStart w:id="31" w:name="_Hlk147760486"/>
      <w:r>
        <w:rPr>
          <w:rFonts w:hint="eastAsia"/>
          <w:color w:val="auto"/>
        </w:rPr>
        <w:t>本项目为全流程电子化项目，供应商应做好参与全流程电子化交易的充分准备，熟悉掌握电子化采购项目操作指南(操作指南：</w:t>
      </w:r>
      <w:r>
        <w:rPr>
          <w:rFonts w:hint="eastAsia"/>
          <w:color w:val="auto"/>
          <w:u w:val="single"/>
        </w:rPr>
        <w:t>广西</w:t>
      </w:r>
      <w:r>
        <w:rPr>
          <w:color w:val="auto"/>
        </w:rPr>
        <w:fldChar w:fldCharType="begin"/>
      </w:r>
      <w:r>
        <w:rPr>
          <w:color w:val="auto"/>
        </w:rPr>
        <w:instrText xml:space="preserve"> HYPERLINK "https://helpcenter.zcygov.cn/document/" \l "/document/dashboard?siteCode=beijing&amp;channel=dt" </w:instrText>
      </w:r>
      <w:r>
        <w:rPr>
          <w:color w:val="auto"/>
        </w:rPr>
        <w:fldChar w:fldCharType="separate"/>
      </w:r>
      <w:r>
        <w:rPr>
          <w:rStyle w:val="48"/>
          <w:rFonts w:hint="eastAsia"/>
          <w:color w:val="auto"/>
        </w:rPr>
        <w:t>政采云电子卖场首页右上角—服务中心—帮助文档—项目采购</w:t>
      </w:r>
      <w:r>
        <w:rPr>
          <w:rStyle w:val="48"/>
          <w:rFonts w:hint="eastAsia"/>
          <w:color w:val="auto"/>
        </w:rPr>
        <w:fldChar w:fldCharType="end"/>
      </w:r>
      <w:r>
        <w:rPr>
          <w:rFonts w:hint="eastAsia"/>
          <w:color w:val="auto"/>
        </w:rPr>
        <w:t>)，及时完成CA申领和绑定(操作指南：</w:t>
      </w:r>
      <w:r>
        <w:rPr>
          <w:rFonts w:hint="eastAsia"/>
          <w:color w:val="auto"/>
          <w:u w:val="single"/>
        </w:rPr>
        <w:t>广西</w:t>
      </w:r>
      <w:r>
        <w:rPr>
          <w:color w:val="auto"/>
        </w:rPr>
        <w:fldChar w:fldCharType="begin"/>
      </w:r>
      <w:r>
        <w:rPr>
          <w:color w:val="auto"/>
        </w:rPr>
        <w:instrText xml:space="preserve"> HYPERLINK "https://helpcenter.zcygov.cn/document/" \l "/document/detail?siteCode=beijing&amp;manualId=795&amp;topicId=4081" </w:instrText>
      </w:r>
      <w:r>
        <w:rPr>
          <w:color w:val="auto"/>
        </w:rPr>
        <w:fldChar w:fldCharType="separate"/>
      </w:r>
      <w:r>
        <w:rPr>
          <w:rStyle w:val="48"/>
          <w:rFonts w:hint="eastAsia"/>
          <w:color w:val="auto"/>
        </w:rPr>
        <w:t>政采云电子卖场首页右上角—帮助文档—入驻与配置—CA管理</w:t>
      </w:r>
      <w:r>
        <w:rPr>
          <w:rStyle w:val="48"/>
          <w:rFonts w:hint="eastAsia"/>
          <w:color w:val="auto"/>
        </w:rPr>
        <w:fldChar w:fldCharType="end"/>
      </w:r>
      <w:r>
        <w:rPr>
          <w:rFonts w:hint="eastAsia"/>
          <w:color w:val="auto"/>
        </w:rPr>
        <w:t>；CA证书申领路径：</w:t>
      </w:r>
      <w:r>
        <w:rPr>
          <w:rFonts w:hint="eastAsia"/>
          <w:color w:val="auto"/>
          <w:u w:val="single"/>
        </w:rPr>
        <w:t>广西</w:t>
      </w:r>
      <w:r>
        <w:rPr>
          <w:color w:val="auto"/>
        </w:rPr>
        <w:fldChar w:fldCharType="begin"/>
      </w:r>
      <w:r>
        <w:rPr>
          <w:color w:val="auto"/>
        </w:rPr>
        <w:instrText xml:space="preserve"> HYPERLINK "https://helpcenter.zcygov.cn/document/" \l "/document/detail?siteCode=beijing&amp;manualId=795&amp;topicId=4083" </w:instrText>
      </w:r>
      <w:r>
        <w:rPr>
          <w:color w:val="auto"/>
        </w:rPr>
        <w:fldChar w:fldCharType="separate"/>
      </w:r>
      <w:r>
        <w:rPr>
          <w:rStyle w:val="48"/>
          <w:rFonts w:hint="eastAsia"/>
          <w:color w:val="auto"/>
        </w:rPr>
        <w:t>政采云平台—我的工作台右上角—CA管理—CA证书申领</w:t>
      </w:r>
      <w:r>
        <w:rPr>
          <w:rStyle w:val="48"/>
          <w:rFonts w:hint="eastAsia"/>
          <w:color w:val="auto"/>
        </w:rPr>
        <w:fldChar w:fldCharType="end"/>
      </w:r>
      <w:r>
        <w:rPr>
          <w:rFonts w:hint="eastAsia"/>
          <w:color w:val="auto"/>
        </w:rPr>
        <w:t>)。因未注册入库、未办理CA数字证书、CA证书故障、操作不当等原因造成谈判失败等后果由供应商承担。</w:t>
      </w:r>
    </w:p>
    <w:bookmarkEnd w:id="31"/>
    <w:p w14:paraId="7C218560">
      <w:pPr>
        <w:spacing w:line="400" w:lineRule="exact"/>
        <w:ind w:firstLine="420"/>
        <w:rPr>
          <w:color w:val="auto"/>
        </w:rPr>
      </w:pPr>
      <w:r>
        <w:rPr>
          <w:color w:val="auto"/>
        </w:rPr>
        <w:t>(1)</w:t>
      </w:r>
      <w:r>
        <w:rPr>
          <w:rFonts w:hint="eastAsia"/>
          <w:color w:val="auto"/>
        </w:rPr>
        <w:t>依法获取采购文件：供应商须在获取采购文件时间内登录</w:t>
      </w:r>
      <w:r>
        <w:rPr>
          <w:rFonts w:hint="eastAsia"/>
          <w:color w:val="auto"/>
          <w:u w:val="single"/>
        </w:rPr>
        <w:t>广西</w:t>
      </w:r>
      <w:r>
        <w:rPr>
          <w:color w:val="auto"/>
        </w:rPr>
        <w:fldChar w:fldCharType="begin"/>
      </w:r>
      <w:r>
        <w:rPr>
          <w:color w:val="auto"/>
        </w:rPr>
        <w:instrText xml:space="preserve"> HYPERLINK "https://www.zcygov.cn/" </w:instrText>
      </w:r>
      <w:r>
        <w:rPr>
          <w:color w:val="auto"/>
        </w:rPr>
        <w:fldChar w:fldCharType="separate"/>
      </w:r>
      <w:r>
        <w:rPr>
          <w:rStyle w:val="48"/>
          <w:rFonts w:hint="eastAsia"/>
          <w:color w:val="auto"/>
        </w:rPr>
        <w:t>政府采购云平台</w:t>
      </w:r>
      <w:r>
        <w:rPr>
          <w:rStyle w:val="48"/>
          <w:rFonts w:hint="eastAsia"/>
          <w:color w:val="auto"/>
        </w:rPr>
        <w:fldChar w:fldCharType="end"/>
      </w:r>
      <w:r>
        <w:rPr>
          <w:rFonts w:hint="eastAsia"/>
          <w:color w:val="auto"/>
        </w:rPr>
        <w:t>申请下载采购文件才视作依法获取采购文件。</w:t>
      </w:r>
    </w:p>
    <w:p w14:paraId="072A9A75">
      <w:pPr>
        <w:spacing w:line="400" w:lineRule="exact"/>
        <w:ind w:firstLine="420"/>
        <w:rPr>
          <w:b/>
          <w:color w:val="auto"/>
        </w:rPr>
      </w:pPr>
      <w:r>
        <w:rPr>
          <w:rFonts w:hint="eastAsia"/>
          <w:color w:val="auto"/>
        </w:rPr>
        <w:t>(</w:t>
      </w:r>
      <w:r>
        <w:rPr>
          <w:color w:val="auto"/>
        </w:rPr>
        <w:t>2)</w:t>
      </w:r>
      <w:r>
        <w:rPr>
          <w:rFonts w:hint="eastAsia"/>
          <w:color w:val="auto"/>
        </w:rPr>
        <w:t>供应商应通过广西政府采购云平台客户端制作响应文件，供应商自行前往下载安装（</w:t>
      </w:r>
      <w:r>
        <w:rPr>
          <w:color w:val="auto"/>
        </w:rPr>
        <w:fldChar w:fldCharType="begin"/>
      </w:r>
      <w:r>
        <w:rPr>
          <w:color w:val="auto"/>
        </w:rPr>
        <w:instrText xml:space="preserve"> HYPERLINK "https://sitecdn.zcycdn.com/zcy-client/bidding-client-new/official/guangxi/GuangXiSetup.exe" </w:instrText>
      </w:r>
      <w:r>
        <w:rPr>
          <w:color w:val="auto"/>
        </w:rPr>
        <w:fldChar w:fldCharType="separate"/>
      </w:r>
      <w:r>
        <w:rPr>
          <w:rFonts w:hint="eastAsia"/>
          <w:color w:val="auto"/>
        </w:rPr>
        <w:t>客户端下载</w:t>
      </w:r>
      <w:r>
        <w:rPr>
          <w:rFonts w:hint="eastAsia"/>
          <w:color w:val="auto"/>
        </w:rPr>
        <w:fldChar w:fldCharType="end"/>
      </w:r>
      <w:r>
        <w:rPr>
          <w:rFonts w:hint="eastAsia"/>
          <w:color w:val="auto"/>
        </w:rPr>
        <w:t>）。</w:t>
      </w:r>
    </w:p>
    <w:p w14:paraId="339C92AE">
      <w:pPr>
        <w:spacing w:line="400" w:lineRule="exact"/>
        <w:ind w:firstLine="420"/>
        <w:rPr>
          <w:color w:val="auto"/>
        </w:rPr>
      </w:pPr>
      <w:r>
        <w:rPr>
          <w:rFonts w:hint="eastAsia"/>
          <w:color w:val="auto"/>
        </w:rPr>
        <w:t>(</w:t>
      </w:r>
      <w:r>
        <w:rPr>
          <w:color w:val="auto"/>
        </w:rPr>
        <w:t>3)</w:t>
      </w:r>
      <w:r>
        <w:rPr>
          <w:rFonts w:hint="eastAsia"/>
          <w:color w:val="auto"/>
        </w:rPr>
        <w:t>供应商须按照采购文件和广西政府采购云平台的要求进行编制、上传、加密、提交、解密响应文件，响应文件提交截止时间后，广西政府采购云平台自动提取全部响应文件，各供应商须在提交截止时间后30分钟内对已上传广西政府采购云平台的响应文件进行解密，参与本项目的全部供应商在规定的解密时限内解密完成或解密时限结束后，我中心开启响应文件；供应商在解密时限内未完成解密的，广西政府采购云平台默认为供应商放弃参与本项目。</w:t>
      </w:r>
    </w:p>
    <w:p w14:paraId="21098604">
      <w:pPr>
        <w:spacing w:line="400" w:lineRule="exact"/>
        <w:ind w:firstLine="420"/>
        <w:rPr>
          <w:b/>
          <w:color w:val="auto"/>
        </w:rPr>
      </w:pPr>
      <w:r>
        <w:rPr>
          <w:rFonts w:hint="eastAsia"/>
          <w:color w:val="auto"/>
        </w:rPr>
        <w:t>(</w:t>
      </w:r>
      <w:r>
        <w:rPr>
          <w:color w:val="auto"/>
        </w:rPr>
        <w:t>4)</w:t>
      </w:r>
      <w:r>
        <w:rPr>
          <w:rFonts w:hint="eastAsia"/>
          <w:color w:val="auto"/>
        </w:rPr>
        <w:t>供应商法定代表人或委托代理人须按时登录</w:t>
      </w:r>
      <w:bookmarkStart w:id="32" w:name="_Hlk90367388"/>
      <w:r>
        <w:rPr>
          <w:rFonts w:hint="eastAsia"/>
          <w:color w:val="auto"/>
        </w:rPr>
        <w:t>广西</w:t>
      </w:r>
      <w:r>
        <w:rPr>
          <w:rFonts w:hint="eastAsia" w:ascii="宋体" w:hAnsi="宋体" w:cs="Courier New"/>
          <w:color w:val="auto"/>
          <w:szCs w:val="21"/>
        </w:rPr>
        <w:t>政采云远程开标大厅</w:t>
      </w:r>
      <w:bookmarkEnd w:id="32"/>
      <w:r>
        <w:rPr>
          <w:rFonts w:hint="eastAsia"/>
          <w:color w:val="auto"/>
        </w:rPr>
        <w:t>，保持全程在线并关注评审谈判进度，评审期间谈判小组提出澄清等要求时，供应商须在规定时间内进行应答，否则按采购文件或广西政采云平台的相关规定执行。</w:t>
      </w:r>
    </w:p>
    <w:p w14:paraId="56DB9B68">
      <w:pPr>
        <w:spacing w:line="400" w:lineRule="exact"/>
        <w:ind w:firstLine="420"/>
        <w:rPr>
          <w:rFonts w:hAnsi="宋体"/>
          <w:color w:val="auto"/>
        </w:rPr>
      </w:pPr>
      <w:r>
        <w:rPr>
          <w:rFonts w:hint="eastAsia"/>
          <w:color w:val="auto"/>
        </w:rPr>
        <w:t>(</w:t>
      </w:r>
      <w:r>
        <w:rPr>
          <w:color w:val="auto"/>
        </w:rPr>
        <w:t>5)</w:t>
      </w:r>
      <w:r>
        <w:rPr>
          <w:rFonts w:hint="eastAsia"/>
          <w:color w:val="auto"/>
        </w:rPr>
        <w:t>供应商参与谈判过程中涉及广西政府采购云平台的问题，请咨询广西政采云</w:t>
      </w:r>
      <w:r>
        <w:rPr>
          <w:rFonts w:hint="eastAsia" w:hAnsi="宋体"/>
          <w:color w:val="auto"/>
        </w:rPr>
        <w:t>技术支持热线：</w:t>
      </w:r>
      <w:r>
        <w:rPr>
          <w:rFonts w:hAnsi="宋体"/>
          <w:color w:val="auto"/>
        </w:rPr>
        <w:t>95763</w:t>
      </w:r>
      <w:r>
        <w:rPr>
          <w:rFonts w:hint="eastAsia" w:hAnsi="宋体"/>
          <w:color w:val="auto"/>
        </w:rPr>
        <w:t>。</w:t>
      </w:r>
    </w:p>
    <w:p w14:paraId="04A7D427">
      <w:pPr>
        <w:spacing w:line="400" w:lineRule="exact"/>
        <w:ind w:firstLine="420"/>
        <w:jc w:val="left"/>
        <w:rPr>
          <w:rFonts w:hAnsi="宋体"/>
          <w:color w:val="auto"/>
        </w:rPr>
      </w:pPr>
      <w:r>
        <w:rPr>
          <w:rFonts w:hint="eastAsia" w:hAnsi="宋体"/>
          <w:color w:val="auto"/>
        </w:rPr>
        <w:t>3</w:t>
      </w:r>
      <w:r>
        <w:rPr>
          <w:rFonts w:hAnsi="宋体"/>
          <w:color w:val="auto"/>
        </w:rPr>
        <w:t>.</w:t>
      </w:r>
      <w:r>
        <w:rPr>
          <w:rFonts w:hint="eastAsia" w:hAnsi="宋体"/>
          <w:color w:val="auto"/>
        </w:rPr>
        <w:t>查询媒体：中国政府采购网、</w:t>
      </w:r>
      <w:r>
        <w:rPr>
          <w:color w:val="auto"/>
        </w:rPr>
        <w:fldChar w:fldCharType="begin"/>
      </w:r>
      <w:r>
        <w:rPr>
          <w:color w:val="auto"/>
        </w:rPr>
        <w:instrText xml:space="preserve"> HYPERLINK "http://zfcg.gxzf.gov.cn/" </w:instrText>
      </w:r>
      <w:r>
        <w:rPr>
          <w:color w:val="auto"/>
        </w:rPr>
        <w:fldChar w:fldCharType="separate"/>
      </w:r>
      <w:r>
        <w:rPr>
          <w:rStyle w:val="48"/>
          <w:rFonts w:hint="eastAsia" w:hAnsi="宋体"/>
          <w:color w:val="auto"/>
          <w:u w:val="none"/>
        </w:rPr>
        <w:t>广西政府采购网</w:t>
      </w:r>
      <w:r>
        <w:rPr>
          <w:rStyle w:val="48"/>
          <w:rFonts w:hint="eastAsia" w:hAnsi="宋体"/>
          <w:color w:val="auto"/>
          <w:u w:val="none"/>
        </w:rPr>
        <w:fldChar w:fldCharType="end"/>
      </w:r>
      <w:r>
        <w:rPr>
          <w:rFonts w:hint="eastAsia" w:hAnsi="宋体"/>
          <w:color w:val="auto"/>
        </w:rPr>
        <w:t>。</w:t>
      </w:r>
    </w:p>
    <w:p w14:paraId="3D9D4885">
      <w:pPr>
        <w:spacing w:line="400" w:lineRule="exact"/>
        <w:ind w:firstLine="420"/>
        <w:jc w:val="left"/>
        <w:rPr>
          <w:rFonts w:hAnsi="宋体"/>
          <w:color w:val="auto"/>
        </w:rPr>
      </w:pPr>
      <w:bookmarkStart w:id="33" w:name="_Hlk107409555"/>
      <w:r>
        <w:rPr>
          <w:rFonts w:hint="eastAsia" w:hAnsi="宋体"/>
          <w:color w:val="auto"/>
        </w:rPr>
        <w:t>4</w:t>
      </w:r>
      <w:r>
        <w:rPr>
          <w:rFonts w:hAnsi="宋体"/>
          <w:color w:val="auto"/>
        </w:rPr>
        <w:t>.</w:t>
      </w:r>
      <w:r>
        <w:rPr>
          <w:rFonts w:hint="eastAsia" w:hAnsi="宋体"/>
          <w:color w:val="auto"/>
        </w:rPr>
        <w:t>钦州市政府采购中心联系方式：</w:t>
      </w:r>
    </w:p>
    <w:p w14:paraId="7765CC65">
      <w:pPr>
        <w:spacing w:line="400" w:lineRule="exact"/>
        <w:ind w:firstLine="420"/>
        <w:jc w:val="left"/>
        <w:rPr>
          <w:rFonts w:hAnsi="宋体"/>
          <w:color w:val="auto"/>
        </w:rPr>
      </w:pPr>
      <w:r>
        <w:rPr>
          <w:rFonts w:hAnsi="宋体"/>
          <w:color w:val="auto"/>
        </w:rPr>
        <w:t>(1)</w:t>
      </w:r>
      <w:r>
        <w:rPr>
          <w:rFonts w:hint="eastAsia" w:hAnsi="宋体"/>
          <w:color w:val="auto"/>
        </w:rPr>
        <w:t>采购部(采购文件</w:t>
      </w:r>
      <w:r>
        <w:rPr>
          <w:rFonts w:hAnsi="宋体"/>
          <w:color w:val="auto"/>
        </w:rPr>
        <w:t>)</w:t>
      </w:r>
    </w:p>
    <w:p w14:paraId="10D4B463">
      <w:pPr>
        <w:spacing w:line="400" w:lineRule="exact"/>
        <w:ind w:firstLine="420"/>
        <w:jc w:val="left"/>
        <w:rPr>
          <w:rFonts w:hAnsi="宋体"/>
          <w:color w:val="auto"/>
        </w:rPr>
      </w:pPr>
      <w:r>
        <w:rPr>
          <w:rFonts w:hint="eastAsia" w:hAnsi="宋体"/>
          <w:color w:val="auto"/>
        </w:rPr>
        <w:t>联系人：苏晓婷</w:t>
      </w:r>
      <w:r>
        <w:rPr>
          <w:rFonts w:hAnsi="宋体"/>
          <w:color w:val="auto"/>
        </w:rPr>
        <w:t xml:space="preserve">  </w:t>
      </w:r>
      <w:r>
        <w:rPr>
          <w:rFonts w:hint="eastAsia" w:hAnsi="宋体"/>
          <w:color w:val="auto"/>
        </w:rPr>
        <w:t xml:space="preserve"> 联系方式：0777-2886022</w:t>
      </w:r>
    </w:p>
    <w:p w14:paraId="025B0E75">
      <w:pPr>
        <w:spacing w:line="400" w:lineRule="exact"/>
        <w:ind w:firstLine="420"/>
        <w:jc w:val="left"/>
        <w:rPr>
          <w:rFonts w:hAnsi="宋体"/>
          <w:color w:val="auto"/>
        </w:rPr>
      </w:pPr>
      <w:r>
        <w:rPr>
          <w:rFonts w:hint="eastAsia" w:hAnsi="宋体"/>
          <w:color w:val="auto"/>
        </w:rPr>
        <w:t>(</w:t>
      </w:r>
      <w:r>
        <w:rPr>
          <w:rFonts w:hAnsi="宋体"/>
          <w:color w:val="auto"/>
        </w:rPr>
        <w:t>2)</w:t>
      </w:r>
      <w:r>
        <w:rPr>
          <w:rFonts w:hint="eastAsia" w:hAnsi="宋体"/>
          <w:color w:val="auto"/>
        </w:rPr>
        <w:t>综合二部(评审、谈判、成交及合同管理)</w:t>
      </w:r>
    </w:p>
    <w:p w14:paraId="528E69F0">
      <w:pPr>
        <w:spacing w:line="400" w:lineRule="exact"/>
        <w:ind w:firstLine="420"/>
        <w:jc w:val="left"/>
        <w:rPr>
          <w:rFonts w:hAnsi="宋体"/>
          <w:color w:val="auto"/>
        </w:rPr>
      </w:pPr>
      <w:r>
        <w:rPr>
          <w:rFonts w:hint="eastAsia" w:hAnsi="宋体"/>
          <w:color w:val="auto"/>
        </w:rPr>
        <w:t xml:space="preserve">联系人：陈启梅、陈侃 </w:t>
      </w:r>
      <w:r>
        <w:rPr>
          <w:rFonts w:hAnsi="宋体"/>
          <w:color w:val="auto"/>
        </w:rPr>
        <w:t xml:space="preserve">  </w:t>
      </w:r>
      <w:r>
        <w:rPr>
          <w:rFonts w:hint="eastAsia" w:hAnsi="宋体"/>
          <w:color w:val="auto"/>
        </w:rPr>
        <w:t>联系方式：0777-2886006</w:t>
      </w:r>
      <w:bookmarkEnd w:id="33"/>
    </w:p>
    <w:p w14:paraId="775632CD">
      <w:pPr>
        <w:spacing w:line="400" w:lineRule="exact"/>
        <w:rPr>
          <w:b/>
          <w:color w:val="auto"/>
        </w:rPr>
      </w:pPr>
      <w:r>
        <w:rPr>
          <w:rFonts w:hint="eastAsia"/>
          <w:b/>
          <w:color w:val="auto"/>
        </w:rPr>
        <w:t>八、对本次采购项目提出询问，请按</w:t>
      </w:r>
      <w:r>
        <w:rPr>
          <w:b/>
          <w:color w:val="auto"/>
        </w:rPr>
        <w:t>以下方式</w:t>
      </w:r>
      <w:r>
        <w:rPr>
          <w:rFonts w:hint="eastAsia"/>
          <w:b/>
          <w:color w:val="auto"/>
        </w:rPr>
        <w:t>联系</w:t>
      </w:r>
      <w:bookmarkEnd w:id="26"/>
      <w:bookmarkEnd w:id="27"/>
      <w:bookmarkEnd w:id="28"/>
      <w:bookmarkEnd w:id="29"/>
    </w:p>
    <w:bookmarkEnd w:id="8"/>
    <w:p w14:paraId="0F85F2E7">
      <w:pPr>
        <w:spacing w:line="400" w:lineRule="exact"/>
        <w:ind w:firstLine="420" w:firstLineChars="200"/>
        <w:rPr>
          <w:color w:val="auto"/>
        </w:rPr>
      </w:pPr>
      <w:r>
        <w:rPr>
          <w:rFonts w:hint="eastAsia"/>
          <w:color w:val="auto"/>
        </w:rPr>
        <w:t>1.采购人信息</w:t>
      </w:r>
    </w:p>
    <w:p w14:paraId="35130EB7">
      <w:pPr>
        <w:spacing w:line="400" w:lineRule="exact"/>
        <w:ind w:firstLine="420" w:firstLineChars="200"/>
        <w:rPr>
          <w:color w:val="auto"/>
        </w:rPr>
      </w:pPr>
      <w:bookmarkStart w:id="34" w:name="_Toc38370147"/>
      <w:r>
        <w:rPr>
          <w:rFonts w:hint="eastAsia"/>
          <w:color w:val="auto"/>
        </w:rPr>
        <w:t xml:space="preserve">名称：北部湾大学 </w:t>
      </w:r>
    </w:p>
    <w:p w14:paraId="5BAC71B3">
      <w:pPr>
        <w:spacing w:line="400" w:lineRule="exact"/>
        <w:ind w:firstLine="420" w:firstLineChars="200"/>
        <w:rPr>
          <w:color w:val="auto"/>
        </w:rPr>
      </w:pPr>
      <w:r>
        <w:rPr>
          <w:rFonts w:hint="eastAsia"/>
          <w:color w:val="auto"/>
        </w:rPr>
        <w:t>地</w:t>
      </w:r>
      <w:r>
        <w:rPr>
          <w:rFonts w:hint="eastAsia" w:ascii="宋体" w:hAnsi="宋体"/>
          <w:color w:val="auto"/>
          <w:szCs w:val="21"/>
        </w:rPr>
        <w:t>址：</w:t>
      </w:r>
      <w:r>
        <w:rPr>
          <w:rFonts w:hint="eastAsia"/>
          <w:color w:val="auto"/>
        </w:rPr>
        <w:t>钦州市滨海大道12号北部湾大学</w:t>
      </w:r>
    </w:p>
    <w:bookmarkEnd w:id="34"/>
    <w:p w14:paraId="20305733">
      <w:pPr>
        <w:spacing w:line="400" w:lineRule="exact"/>
        <w:ind w:firstLine="420" w:firstLineChars="200"/>
        <w:rPr>
          <w:color w:val="auto"/>
        </w:rPr>
      </w:pPr>
      <w:r>
        <w:rPr>
          <w:rFonts w:hint="eastAsia"/>
          <w:color w:val="auto"/>
        </w:rPr>
        <w:t>项目联系人：覃老师</w:t>
      </w:r>
    </w:p>
    <w:p w14:paraId="1C60DA40">
      <w:pPr>
        <w:spacing w:line="400" w:lineRule="exact"/>
        <w:ind w:firstLine="420" w:firstLineChars="200"/>
        <w:rPr>
          <w:color w:val="auto"/>
        </w:rPr>
      </w:pPr>
      <w:r>
        <w:rPr>
          <w:rFonts w:hint="eastAsia"/>
          <w:color w:val="auto"/>
        </w:rPr>
        <w:t>项目联系方式：0777-2807096</w:t>
      </w:r>
    </w:p>
    <w:p w14:paraId="6BD35925">
      <w:pPr>
        <w:spacing w:line="400" w:lineRule="exact"/>
        <w:ind w:firstLine="420" w:firstLineChars="200"/>
        <w:rPr>
          <w:color w:val="auto"/>
        </w:rPr>
      </w:pPr>
      <w:r>
        <w:rPr>
          <w:rFonts w:hint="eastAsia"/>
          <w:color w:val="auto"/>
        </w:rPr>
        <w:t>2.采购代理机构信息</w:t>
      </w:r>
    </w:p>
    <w:p w14:paraId="2FD798D9">
      <w:pPr>
        <w:spacing w:line="400" w:lineRule="exact"/>
        <w:ind w:firstLine="420" w:firstLineChars="200"/>
        <w:rPr>
          <w:color w:val="auto"/>
        </w:rPr>
      </w:pPr>
      <w:r>
        <w:rPr>
          <w:rFonts w:hint="eastAsia"/>
          <w:color w:val="auto"/>
        </w:rPr>
        <w:t>名称：钦州市政府采购中心</w:t>
      </w:r>
    </w:p>
    <w:p w14:paraId="558F44FC">
      <w:pPr>
        <w:spacing w:line="400" w:lineRule="exact"/>
        <w:ind w:firstLine="420" w:firstLineChars="200"/>
        <w:rPr>
          <w:color w:val="auto"/>
        </w:rPr>
      </w:pPr>
      <w:r>
        <w:rPr>
          <w:rFonts w:hint="eastAsia"/>
          <w:color w:val="auto"/>
        </w:rPr>
        <w:t>地址：钦州市金海湾东大街8号</w:t>
      </w:r>
    </w:p>
    <w:p w14:paraId="7094933F">
      <w:pPr>
        <w:spacing w:line="400" w:lineRule="exact"/>
        <w:ind w:firstLine="420" w:firstLineChars="200"/>
        <w:rPr>
          <w:color w:val="auto"/>
        </w:rPr>
      </w:pPr>
      <w:r>
        <w:rPr>
          <w:rFonts w:hint="eastAsia"/>
          <w:color w:val="auto"/>
        </w:rPr>
        <w:t>项目联系人：</w:t>
      </w:r>
      <w:bookmarkStart w:id="35" w:name="_Toc28359010"/>
      <w:bookmarkStart w:id="36" w:name="_Toc28359087"/>
      <w:r>
        <w:rPr>
          <w:rFonts w:hint="eastAsia"/>
          <w:color w:val="auto"/>
        </w:rPr>
        <w:t>苏晓婷</w:t>
      </w:r>
    </w:p>
    <w:p w14:paraId="2B95FF37">
      <w:pPr>
        <w:spacing w:line="400" w:lineRule="exact"/>
        <w:ind w:firstLine="420"/>
        <w:jc w:val="left"/>
        <w:rPr>
          <w:rFonts w:hAnsi="宋体"/>
          <w:color w:val="auto"/>
        </w:rPr>
      </w:pPr>
      <w:r>
        <w:rPr>
          <w:rFonts w:hint="eastAsia"/>
          <w:color w:val="auto"/>
        </w:rPr>
        <w:t>项目联系方式：</w:t>
      </w:r>
      <w:r>
        <w:rPr>
          <w:rFonts w:hint="eastAsia" w:hAnsi="宋体"/>
          <w:color w:val="auto"/>
        </w:rPr>
        <w:t>0777-2886022</w:t>
      </w:r>
    </w:p>
    <w:p w14:paraId="2103D7B7">
      <w:pPr>
        <w:spacing w:line="400" w:lineRule="exact"/>
        <w:ind w:firstLine="420" w:firstLineChars="200"/>
        <w:rPr>
          <w:color w:val="auto"/>
        </w:rPr>
      </w:pPr>
    </w:p>
    <w:p w14:paraId="3582D6A6">
      <w:pPr>
        <w:widowControl/>
        <w:jc w:val="left"/>
        <w:rPr>
          <w:color w:val="auto"/>
        </w:rPr>
      </w:pPr>
      <w:r>
        <w:rPr>
          <w:color w:val="auto"/>
        </w:rPr>
        <w:br w:type="page"/>
      </w:r>
    </w:p>
    <w:p w14:paraId="71BA5E49">
      <w:pPr>
        <w:spacing w:line="400" w:lineRule="exact"/>
        <w:ind w:firstLine="420" w:firstLineChars="200"/>
        <w:rPr>
          <w:color w:val="auto"/>
        </w:rPr>
      </w:pPr>
    </w:p>
    <w:p w14:paraId="5AB3027B">
      <w:pPr>
        <w:rPr>
          <w:color w:val="auto"/>
        </w:rPr>
      </w:pPr>
    </w:p>
    <w:bookmarkEnd w:id="35"/>
    <w:bookmarkEnd w:id="36"/>
    <w:p w14:paraId="01581336">
      <w:pPr>
        <w:rPr>
          <w:color w:val="auto"/>
        </w:rPr>
      </w:pPr>
    </w:p>
    <w:p w14:paraId="2C003FA2">
      <w:pPr>
        <w:rPr>
          <w:color w:val="auto"/>
        </w:rPr>
      </w:pPr>
    </w:p>
    <w:p w14:paraId="3F181993">
      <w:pPr>
        <w:rPr>
          <w:color w:val="auto"/>
        </w:rPr>
      </w:pPr>
    </w:p>
    <w:p w14:paraId="3790D0A1">
      <w:pPr>
        <w:rPr>
          <w:color w:val="auto"/>
        </w:rPr>
      </w:pPr>
    </w:p>
    <w:p w14:paraId="45E73100">
      <w:pPr>
        <w:rPr>
          <w:color w:val="auto"/>
        </w:rPr>
      </w:pPr>
    </w:p>
    <w:p w14:paraId="72AB5B55">
      <w:pPr>
        <w:rPr>
          <w:color w:val="auto"/>
        </w:rPr>
      </w:pPr>
    </w:p>
    <w:p w14:paraId="1EC6DEAD">
      <w:pPr>
        <w:rPr>
          <w:color w:val="auto"/>
        </w:rPr>
      </w:pPr>
    </w:p>
    <w:p w14:paraId="0E7A9E7E">
      <w:pPr>
        <w:rPr>
          <w:color w:val="auto"/>
        </w:rPr>
      </w:pPr>
    </w:p>
    <w:p w14:paraId="20A68D6D">
      <w:pPr>
        <w:rPr>
          <w:color w:val="auto"/>
        </w:rPr>
      </w:pPr>
    </w:p>
    <w:p w14:paraId="1B02780B">
      <w:pPr>
        <w:rPr>
          <w:color w:val="auto"/>
        </w:rPr>
      </w:pPr>
    </w:p>
    <w:p w14:paraId="3EDC19DA">
      <w:pPr>
        <w:rPr>
          <w:color w:val="auto"/>
        </w:rPr>
      </w:pPr>
    </w:p>
    <w:p w14:paraId="2EF76496">
      <w:pPr>
        <w:rPr>
          <w:color w:val="auto"/>
        </w:rPr>
      </w:pPr>
    </w:p>
    <w:p w14:paraId="7AA7912C">
      <w:pPr>
        <w:pStyle w:val="4"/>
        <w:spacing w:line="400" w:lineRule="exact"/>
        <w:rPr>
          <w:rFonts w:ascii="方正小标宋_GBK" w:hAnsi="宋体" w:eastAsia="方正小标宋_GBK"/>
          <w:color w:val="auto"/>
        </w:rPr>
      </w:pPr>
      <w:bookmarkStart w:id="37" w:name="_Toc92355024"/>
      <w:r>
        <w:rPr>
          <w:rFonts w:hint="eastAsia" w:ascii="方正小标宋_GBK" w:hAnsi="宋体" w:eastAsia="方正小标宋_GBK"/>
          <w:color w:val="auto"/>
        </w:rPr>
        <w:t>第二章  项目需求</w:t>
      </w:r>
      <w:bookmarkEnd w:id="37"/>
    </w:p>
    <w:p w14:paraId="4900D40A">
      <w:pPr>
        <w:spacing w:line="440" w:lineRule="exact"/>
        <w:jc w:val="center"/>
        <w:rPr>
          <w:rFonts w:ascii="宋体" w:hAnsi="宋体"/>
          <w:b/>
          <w:color w:val="auto"/>
          <w:sz w:val="36"/>
          <w:szCs w:val="36"/>
        </w:rPr>
      </w:pPr>
      <w:r>
        <w:rPr>
          <w:rFonts w:ascii="宋体" w:hAnsi="宋体"/>
          <w:b/>
          <w:color w:val="auto"/>
          <w:szCs w:val="21"/>
        </w:rPr>
        <w:br w:type="page"/>
      </w:r>
      <w:bookmarkStart w:id="38" w:name="_Toc358477280"/>
      <w:bookmarkStart w:id="39" w:name="_Toc354479498"/>
      <w:r>
        <w:rPr>
          <w:rFonts w:hint="eastAsia" w:ascii="宋体" w:hAnsi="宋体"/>
          <w:b/>
          <w:color w:val="auto"/>
          <w:sz w:val="36"/>
          <w:szCs w:val="36"/>
        </w:rPr>
        <w:t>项目需求</w:t>
      </w:r>
    </w:p>
    <w:p w14:paraId="512E8F25">
      <w:pPr>
        <w:spacing w:line="396" w:lineRule="exact"/>
        <w:rPr>
          <w:rFonts w:ascii="宋体" w:hAnsi="宋体"/>
          <w:b/>
          <w:color w:val="auto"/>
          <w:szCs w:val="21"/>
        </w:rPr>
      </w:pPr>
    </w:p>
    <w:p w14:paraId="208495D1">
      <w:pPr>
        <w:spacing w:line="430" w:lineRule="exact"/>
        <w:ind w:firstLine="422" w:firstLineChars="200"/>
        <w:rPr>
          <w:rFonts w:ascii="宋体" w:hAnsi="宋体" w:cs="宋体"/>
          <w:color w:val="auto"/>
          <w:szCs w:val="21"/>
        </w:rPr>
      </w:pPr>
      <w:r>
        <w:rPr>
          <w:rFonts w:hint="eastAsia" w:ascii="宋体" w:hAnsi="宋体" w:cs="宋体"/>
          <w:b/>
          <w:bCs/>
          <w:color w:val="auto"/>
          <w:kern w:val="0"/>
          <w:szCs w:val="21"/>
        </w:rPr>
        <w:t>说明：</w:t>
      </w:r>
      <w:r>
        <w:rPr>
          <w:rFonts w:hint="eastAsia" w:ascii="宋体" w:hAnsi="宋体" w:cs="宋体"/>
          <w:color w:val="auto"/>
          <w:kern w:val="0"/>
          <w:szCs w:val="21"/>
        </w:rPr>
        <w:t xml:space="preserve">  </w:t>
      </w:r>
      <w:r>
        <w:rPr>
          <w:rFonts w:hint="eastAsia" w:ascii="宋体" w:hAnsi="宋体" w:cs="宋体"/>
          <w:color w:val="auto"/>
          <w:szCs w:val="21"/>
        </w:rPr>
        <w:t xml:space="preserve">  </w:t>
      </w:r>
    </w:p>
    <w:p w14:paraId="60FEE8B3">
      <w:pPr>
        <w:spacing w:line="460" w:lineRule="exact"/>
        <w:ind w:firstLine="422" w:firstLineChars="200"/>
        <w:rPr>
          <w:rFonts w:ascii="宋体" w:hAnsi="宋体" w:cs="宋体"/>
          <w:b/>
          <w:bCs/>
          <w:color w:val="auto"/>
          <w:szCs w:val="21"/>
        </w:rPr>
      </w:pPr>
      <w:r>
        <w:rPr>
          <w:rFonts w:hint="eastAsia" w:ascii="宋体" w:hAnsi="宋体" w:cs="宋体"/>
          <w:b/>
          <w:bCs/>
          <w:color w:val="auto"/>
          <w:szCs w:val="21"/>
        </w:rPr>
        <w:t>1.根据《财政部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号）的规定，采购需求中的产品属于节能产品政府采购品目清单内标注“★”的，供应商的竞标货物必须使用政府强制采购的节能产品，否则响应文件作无效竞标处理。</w:t>
      </w:r>
    </w:p>
    <w:p w14:paraId="7BC34CE4">
      <w:pPr>
        <w:spacing w:line="460" w:lineRule="exact"/>
        <w:ind w:firstLine="422" w:firstLineChars="200"/>
        <w:rPr>
          <w:rFonts w:ascii="宋体" w:hAnsi="宋体"/>
          <w:b/>
          <w:bCs/>
          <w:color w:val="auto"/>
          <w:szCs w:val="21"/>
        </w:rPr>
      </w:pPr>
      <w:r>
        <w:rPr>
          <w:rFonts w:hint="eastAsia" w:ascii="宋体" w:hAnsi="宋体" w:cs="宋体"/>
          <w:b/>
          <w:bCs/>
          <w:color w:val="auto"/>
          <w:szCs w:val="21"/>
        </w:rPr>
        <w:t>2.根据《关于调整网络安全专用产品安全管理有关事项的公告》（2023年1号）规定，采购标的中如包含列入《网络关键设备和网络安全专用产品目录》的网络安全专用产品，供应商应当按照《信息安全技术网络安全专用产品安全技术要求》等相关国家标准的强制性要求，提供由具备资格的机构安全认证合格或者安全检测符合要求证明材料（加盖供应商公章），否则竞标无效。</w:t>
      </w:r>
    </w:p>
    <w:p w14:paraId="59D7C137">
      <w:pPr>
        <w:spacing w:line="430" w:lineRule="exact"/>
        <w:ind w:firstLine="420" w:firstLineChars="200"/>
        <w:rPr>
          <w:rFonts w:ascii="宋体" w:hAnsi="宋体"/>
          <w:color w:val="auto"/>
          <w:szCs w:val="21"/>
        </w:rPr>
      </w:pPr>
      <w:r>
        <w:rPr>
          <w:rFonts w:hint="eastAsia" w:ascii="宋体" w:hAnsi="宋体"/>
          <w:color w:val="auto"/>
          <w:szCs w:val="21"/>
        </w:rPr>
        <w:t>3.本表中的品牌型号、技术参数及其性能（规格）仅起参考作用，供应商可选用其他品牌型号替代，</w:t>
      </w:r>
      <w:r>
        <w:rPr>
          <w:rFonts w:hint="eastAsia" w:ascii="宋体" w:hAnsi="宋体"/>
          <w:color w:val="auto"/>
        </w:rPr>
        <w:t>但替代的产品整体上要相当于或优于参考品牌型号或其技术参数性能（规格）要求。</w:t>
      </w:r>
    </w:p>
    <w:p w14:paraId="7B43EBFF">
      <w:pPr>
        <w:spacing w:line="430" w:lineRule="exact"/>
        <w:ind w:firstLine="420" w:firstLineChars="200"/>
        <w:rPr>
          <w:rFonts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供应商必须自行为其产品侵犯其他供应商或专利人的专利成果承担相应法律责任；同时，具有产品专利的供应商应在其响应文件中提供与其自有产品专利相关的有效证明材料，否则，不能就其产品的专利在本项目谈判过程中被侵权问题提出异议。</w:t>
      </w:r>
    </w:p>
    <w:p w14:paraId="6E901DF6">
      <w:pPr>
        <w:spacing w:line="430" w:lineRule="exact"/>
        <w:ind w:firstLine="420" w:firstLineChars="200"/>
        <w:rPr>
          <w:rFonts w:ascii="宋体" w:hAnsi="宋体"/>
          <w:color w:val="auto"/>
          <w:szCs w:val="21"/>
        </w:rPr>
      </w:pPr>
      <w:r>
        <w:rPr>
          <w:rFonts w:hint="eastAsia" w:ascii="宋体" w:hAnsi="宋体"/>
          <w:color w:val="auto"/>
          <w:szCs w:val="21"/>
        </w:rPr>
        <w:t>5.本项目不接受供应商提供通过中国海关报关验放进入中国境内且产自关境外的产品。</w:t>
      </w:r>
    </w:p>
    <w:p w14:paraId="3AD77A6E">
      <w:pPr>
        <w:spacing w:line="430" w:lineRule="exact"/>
        <w:ind w:firstLine="422" w:firstLineChars="200"/>
        <w:rPr>
          <w:rFonts w:ascii="宋体" w:hAnsi="宋体"/>
          <w:b/>
          <w:bCs/>
          <w:color w:val="auto"/>
          <w:szCs w:val="21"/>
        </w:rPr>
      </w:pPr>
      <w:r>
        <w:rPr>
          <w:rFonts w:hint="eastAsia" w:ascii="宋体" w:hAnsi="宋体"/>
          <w:b/>
          <w:bCs/>
          <w:color w:val="auto"/>
          <w:szCs w:val="21"/>
        </w:rPr>
        <w:t>6</w:t>
      </w:r>
      <w:r>
        <w:rPr>
          <w:rFonts w:ascii="宋体" w:hAnsi="宋体"/>
          <w:b/>
          <w:bCs/>
          <w:color w:val="auto"/>
          <w:szCs w:val="21"/>
        </w:rPr>
        <w:t>.</w:t>
      </w:r>
      <w:r>
        <w:rPr>
          <w:rFonts w:hint="eastAsia" w:ascii="宋体" w:hAnsi="宋体"/>
          <w:b/>
          <w:bCs/>
          <w:color w:val="auto"/>
          <w:szCs w:val="21"/>
        </w:rPr>
        <w:t>标注</w:t>
      </w:r>
      <w:r>
        <w:rPr>
          <w:rFonts w:hint="eastAsia" w:ascii="宋体" w:hAnsi="宋体"/>
          <w:b/>
          <w:bCs/>
          <w:color w:val="auto"/>
          <w:kern w:val="0"/>
          <w:szCs w:val="21"/>
        </w:rPr>
        <w:t>▲</w:t>
      </w:r>
      <w:r>
        <w:rPr>
          <w:rFonts w:hint="eastAsia" w:ascii="宋体" w:hAnsi="宋体"/>
          <w:b/>
          <w:bCs/>
          <w:color w:val="auto"/>
          <w:szCs w:val="21"/>
        </w:rPr>
        <w:t>号的技术参数为实质性响应条款，要求必须满足或优于，否则视为无效响应文件。</w:t>
      </w:r>
    </w:p>
    <w:p w14:paraId="7ACF9925">
      <w:pPr>
        <w:spacing w:line="430" w:lineRule="exact"/>
        <w:ind w:firstLine="420" w:firstLineChars="200"/>
        <w:rPr>
          <w:rFonts w:ascii="宋体" w:hAnsi="宋体"/>
          <w:color w:val="auto"/>
          <w:szCs w:val="21"/>
        </w:rPr>
      </w:pPr>
      <w:r>
        <w:rPr>
          <w:rFonts w:hint="eastAsia" w:ascii="宋体" w:hAnsi="宋体" w:cs="宋体"/>
          <w:color w:val="auto"/>
          <w:kern w:val="0"/>
          <w:szCs w:val="21"/>
          <w:lang w:bidi="ar"/>
        </w:rPr>
        <w:t>7.采购需求中出现的产品的固定规格尺寸或重量允许正负偏离百分之五（具体技术参数要求已有允许偏离差异或定制的除外）。</w:t>
      </w:r>
    </w:p>
    <w:p w14:paraId="1AEB6AEB">
      <w:pPr>
        <w:pStyle w:val="50"/>
        <w:ind w:firstLine="353"/>
        <w:rPr>
          <w:color w:val="auto"/>
        </w:rPr>
      </w:pPr>
    </w:p>
    <w:p w14:paraId="1501948A">
      <w:pPr>
        <w:pStyle w:val="50"/>
        <w:ind w:firstLine="353"/>
        <w:rPr>
          <w:color w:val="auto"/>
        </w:rPr>
      </w:pPr>
    </w:p>
    <w:p w14:paraId="24E7E23B">
      <w:pPr>
        <w:pStyle w:val="50"/>
        <w:ind w:firstLine="353"/>
        <w:rPr>
          <w:color w:val="auto"/>
        </w:rPr>
      </w:pPr>
    </w:p>
    <w:p w14:paraId="189CB31B">
      <w:pPr>
        <w:tabs>
          <w:tab w:val="left" w:pos="1200"/>
          <w:tab w:val="right" w:leader="dot" w:pos="9628"/>
        </w:tabs>
        <w:spacing w:before="156" w:beforeLines="50" w:after="156" w:afterLines="50"/>
        <w:rPr>
          <w:rFonts w:ascii="黑体" w:hAnsi="黑体" w:eastAsia="黑体" w:cs="黑体"/>
          <w:color w:val="auto"/>
          <w:sz w:val="32"/>
          <w:szCs w:val="32"/>
        </w:rPr>
      </w:pPr>
      <w:bookmarkStart w:id="40" w:name="_Toc92355025"/>
    </w:p>
    <w:p w14:paraId="21544431">
      <w:pPr>
        <w:pStyle w:val="2"/>
        <w:rPr>
          <w:color w:val="auto"/>
        </w:rPr>
      </w:pPr>
    </w:p>
    <w:p w14:paraId="5DD7BF85">
      <w:pPr>
        <w:pStyle w:val="2"/>
        <w:rPr>
          <w:color w:val="auto"/>
        </w:rPr>
      </w:pPr>
    </w:p>
    <w:p w14:paraId="55481744">
      <w:pPr>
        <w:pStyle w:val="3"/>
        <w:rPr>
          <w:color w:val="auto"/>
        </w:rPr>
      </w:pPr>
    </w:p>
    <w:p w14:paraId="006A4914">
      <w:pPr>
        <w:pStyle w:val="3"/>
        <w:rPr>
          <w:color w:val="auto"/>
        </w:rPr>
      </w:pPr>
    </w:p>
    <w:tbl>
      <w:tblPr>
        <w:tblStyle w:val="41"/>
        <w:tblpPr w:leftFromText="180" w:rightFromText="180" w:vertAnchor="text" w:horzAnchor="page" w:tblpX="1761" w:tblpY="780"/>
        <w:tblOverlap w:val="never"/>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142"/>
        <w:gridCol w:w="5220"/>
        <w:gridCol w:w="705"/>
        <w:gridCol w:w="750"/>
        <w:gridCol w:w="780"/>
      </w:tblGrid>
      <w:tr w14:paraId="2ECD2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trPr>
        <w:tc>
          <w:tcPr>
            <w:tcW w:w="617" w:type="dxa"/>
            <w:vAlign w:val="center"/>
          </w:tcPr>
          <w:p w14:paraId="0A7C24B6">
            <w:pPr>
              <w:jc w:val="center"/>
              <w:rPr>
                <w:rFonts w:ascii="宋体" w:hAnsi="宋体" w:cs="宋体"/>
                <w:b/>
                <w:bCs/>
                <w:color w:val="auto"/>
                <w:szCs w:val="21"/>
              </w:rPr>
            </w:pPr>
            <w:r>
              <w:rPr>
                <w:rFonts w:hint="eastAsia" w:ascii="宋体" w:hAnsi="宋体" w:cs="宋体"/>
                <w:b/>
                <w:bCs/>
                <w:color w:val="auto"/>
                <w:szCs w:val="21"/>
              </w:rPr>
              <w:t>序号</w:t>
            </w:r>
          </w:p>
        </w:tc>
        <w:tc>
          <w:tcPr>
            <w:tcW w:w="1142" w:type="dxa"/>
            <w:vAlign w:val="center"/>
          </w:tcPr>
          <w:p w14:paraId="6715B30A">
            <w:pPr>
              <w:jc w:val="center"/>
              <w:rPr>
                <w:rFonts w:ascii="宋体" w:hAnsi="宋体" w:cs="宋体"/>
                <w:b/>
                <w:bCs/>
                <w:color w:val="auto"/>
                <w:szCs w:val="21"/>
              </w:rPr>
            </w:pPr>
            <w:r>
              <w:rPr>
                <w:rFonts w:hint="eastAsia" w:ascii="宋体" w:hAnsi="宋体" w:cs="宋体"/>
                <w:b/>
                <w:color w:val="auto"/>
                <w:kern w:val="0"/>
                <w:szCs w:val="21"/>
                <w:lang w:bidi="ar"/>
              </w:rPr>
              <w:t>货物名称</w:t>
            </w:r>
          </w:p>
        </w:tc>
        <w:tc>
          <w:tcPr>
            <w:tcW w:w="5220" w:type="dxa"/>
            <w:vAlign w:val="center"/>
          </w:tcPr>
          <w:p w14:paraId="7AB7AD54">
            <w:pPr>
              <w:jc w:val="center"/>
              <w:rPr>
                <w:rFonts w:ascii="宋体" w:hAnsi="宋体" w:cs="宋体"/>
                <w:b/>
                <w:bCs/>
                <w:color w:val="auto"/>
                <w:szCs w:val="21"/>
              </w:rPr>
            </w:pPr>
            <w:r>
              <w:rPr>
                <w:rFonts w:hint="eastAsia" w:ascii="宋体" w:hAnsi="宋体" w:cs="宋体"/>
                <w:b/>
                <w:color w:val="auto"/>
                <w:kern w:val="0"/>
                <w:szCs w:val="21"/>
              </w:rPr>
              <w:t>技术参数、规格及要求</w:t>
            </w:r>
          </w:p>
        </w:tc>
        <w:tc>
          <w:tcPr>
            <w:tcW w:w="705" w:type="dxa"/>
            <w:vAlign w:val="center"/>
          </w:tcPr>
          <w:p w14:paraId="1E414E33">
            <w:pPr>
              <w:jc w:val="center"/>
              <w:rPr>
                <w:rFonts w:ascii="宋体" w:hAnsi="宋体" w:cs="宋体"/>
                <w:b/>
                <w:bCs/>
                <w:color w:val="auto"/>
                <w:szCs w:val="21"/>
              </w:rPr>
            </w:pPr>
            <w:r>
              <w:rPr>
                <w:rFonts w:hint="eastAsia" w:ascii="宋体" w:hAnsi="宋体" w:cs="宋体"/>
                <w:b/>
                <w:bCs/>
                <w:color w:val="auto"/>
                <w:szCs w:val="21"/>
              </w:rPr>
              <w:t>数量</w:t>
            </w:r>
          </w:p>
        </w:tc>
        <w:tc>
          <w:tcPr>
            <w:tcW w:w="750" w:type="dxa"/>
            <w:vAlign w:val="center"/>
          </w:tcPr>
          <w:p w14:paraId="7B7E11D1">
            <w:pPr>
              <w:jc w:val="center"/>
              <w:rPr>
                <w:rFonts w:ascii="宋体" w:hAnsi="宋体" w:cs="宋体"/>
                <w:b/>
                <w:bCs/>
                <w:color w:val="auto"/>
                <w:szCs w:val="21"/>
              </w:rPr>
            </w:pPr>
            <w:r>
              <w:rPr>
                <w:rFonts w:hint="eastAsia" w:ascii="宋体" w:hAnsi="宋体" w:cs="宋体"/>
                <w:b/>
                <w:bCs/>
                <w:color w:val="auto"/>
                <w:szCs w:val="21"/>
              </w:rPr>
              <w:t>单位</w:t>
            </w:r>
          </w:p>
        </w:tc>
        <w:tc>
          <w:tcPr>
            <w:tcW w:w="780" w:type="dxa"/>
            <w:vAlign w:val="center"/>
          </w:tcPr>
          <w:p w14:paraId="5F570E79">
            <w:pPr>
              <w:jc w:val="center"/>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所属行业</w:t>
            </w:r>
          </w:p>
        </w:tc>
      </w:tr>
      <w:tr w14:paraId="3E02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trPr>
        <w:tc>
          <w:tcPr>
            <w:tcW w:w="9214" w:type="dxa"/>
            <w:gridSpan w:val="6"/>
            <w:vAlign w:val="center"/>
          </w:tcPr>
          <w:p w14:paraId="366DE658">
            <w:pPr>
              <w:jc w:val="left"/>
              <w:rPr>
                <w:rFonts w:ascii="宋体" w:hAnsi="宋体" w:cs="宋体"/>
                <w:b/>
                <w:bCs/>
                <w:color w:val="auto"/>
                <w:szCs w:val="21"/>
              </w:rPr>
            </w:pPr>
            <w:r>
              <w:rPr>
                <w:rFonts w:hint="eastAsia" w:ascii="宋体" w:hAnsi="宋体" w:cs="宋体"/>
                <w:b/>
                <w:bCs/>
                <w:color w:val="auto"/>
                <w:szCs w:val="21"/>
              </w:rPr>
              <w:t>一、技术要求</w:t>
            </w:r>
          </w:p>
        </w:tc>
      </w:tr>
      <w:tr w14:paraId="5A4D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17" w:type="dxa"/>
            <w:vAlign w:val="center"/>
          </w:tcPr>
          <w:p w14:paraId="402492EF">
            <w:pPr>
              <w:jc w:val="center"/>
              <w:rPr>
                <w:rFonts w:ascii="宋体" w:hAnsi="宋体"/>
                <w:color w:val="auto"/>
                <w:szCs w:val="21"/>
              </w:rPr>
            </w:pPr>
            <w:r>
              <w:rPr>
                <w:rFonts w:hint="eastAsia" w:ascii="宋体" w:hAnsi="宋体"/>
                <w:color w:val="auto"/>
                <w:szCs w:val="21"/>
              </w:rPr>
              <w:t>1</w:t>
            </w:r>
          </w:p>
        </w:tc>
        <w:tc>
          <w:tcPr>
            <w:tcW w:w="1142" w:type="dxa"/>
            <w:vAlign w:val="center"/>
          </w:tcPr>
          <w:p w14:paraId="445F401B">
            <w:pPr>
              <w:spacing w:line="420" w:lineRule="exact"/>
              <w:jc w:val="center"/>
              <w:rPr>
                <w:rFonts w:ascii="宋体" w:hAnsi="宋体"/>
                <w:color w:val="auto"/>
                <w:szCs w:val="21"/>
              </w:rPr>
            </w:pPr>
            <w:r>
              <w:rPr>
                <w:rFonts w:hint="eastAsia" w:ascii="宋体" w:hAnsi="宋体"/>
                <w:color w:val="auto"/>
                <w:szCs w:val="21"/>
              </w:rPr>
              <w:t>云资源共享服务器</w:t>
            </w:r>
          </w:p>
        </w:tc>
        <w:tc>
          <w:tcPr>
            <w:tcW w:w="5220" w:type="dxa"/>
            <w:vAlign w:val="center"/>
          </w:tcPr>
          <w:p w14:paraId="4CA54998">
            <w:pPr>
              <w:spacing w:line="440" w:lineRule="exact"/>
              <w:rPr>
                <w:rFonts w:ascii="宋体" w:hAnsi="宋体"/>
                <w:color w:val="auto"/>
                <w:szCs w:val="21"/>
              </w:rPr>
            </w:pPr>
            <w:r>
              <w:rPr>
                <w:rFonts w:hint="eastAsia" w:ascii="宋体" w:hAnsi="宋体"/>
                <w:color w:val="auto"/>
                <w:szCs w:val="21"/>
              </w:rPr>
              <w:t>一、硬件配置要求：</w:t>
            </w:r>
          </w:p>
          <w:p w14:paraId="1ED50058">
            <w:pPr>
              <w:spacing w:line="440" w:lineRule="exact"/>
              <w:rPr>
                <w:rFonts w:ascii="宋体" w:hAnsi="宋体"/>
                <w:color w:val="auto"/>
                <w:szCs w:val="21"/>
              </w:rPr>
            </w:pPr>
            <w:r>
              <w:rPr>
                <w:rFonts w:hint="eastAsia" w:ascii="宋体" w:hAnsi="宋体"/>
                <w:color w:val="auto"/>
                <w:szCs w:val="21"/>
              </w:rPr>
              <w:t>1.整机规格：≤2U机架式；</w:t>
            </w:r>
          </w:p>
          <w:p w14:paraId="7BF5C04B">
            <w:pPr>
              <w:spacing w:line="440" w:lineRule="exact"/>
              <w:rPr>
                <w:rFonts w:ascii="宋体" w:hAnsi="宋体"/>
                <w:color w:val="auto"/>
                <w:szCs w:val="21"/>
              </w:rPr>
            </w:pPr>
            <w:r>
              <w:rPr>
                <w:rFonts w:hint="eastAsia" w:ascii="宋体" w:hAnsi="宋体"/>
                <w:color w:val="auto"/>
                <w:szCs w:val="21"/>
              </w:rPr>
              <w:t>2.CPU 规格：支持2颗AMD EPYC 7003系列(Milan)处理器，兼容AMD EPYC 7002系列(Rome)和AMD EPYC 7001系列(Naples)，实配≥2颗CPU，单颗≥48核96线程6GHz主频；CPU功能：计算处理，支持通用计算及虚拟化功能；处理器需集成整型计算单元、浮点计算单元、内存控制器、I/O 模块等，处理器与存储部件、网络部件、I/O部件等组成计算系统，提供数据处理、网络接入等计算相关功能；</w:t>
            </w:r>
          </w:p>
          <w:p w14:paraId="6C3413AF">
            <w:pPr>
              <w:spacing w:line="440" w:lineRule="exact"/>
              <w:rPr>
                <w:rFonts w:ascii="宋体" w:hAnsi="宋体"/>
                <w:color w:val="auto"/>
                <w:szCs w:val="21"/>
              </w:rPr>
            </w:pPr>
            <w:r>
              <w:rPr>
                <w:rFonts w:hint="eastAsia" w:ascii="宋体" w:hAnsi="宋体"/>
                <w:color w:val="auto"/>
                <w:szCs w:val="21"/>
              </w:rPr>
              <w:t>3.主板内存槽数量：标配32个DDR4内存插槽；内存规格：支持2666/2933/3200MHz DDR4内存，实配≥2048GB  （32*64GB） DDR4；</w:t>
            </w:r>
          </w:p>
          <w:p w14:paraId="3B9AA74C">
            <w:pPr>
              <w:spacing w:line="440" w:lineRule="exact"/>
              <w:rPr>
                <w:rFonts w:ascii="宋体" w:hAnsi="宋体"/>
                <w:color w:val="auto"/>
                <w:szCs w:val="21"/>
              </w:rPr>
            </w:pPr>
            <w:r>
              <w:rPr>
                <w:rFonts w:hint="eastAsia" w:ascii="宋体" w:hAnsi="宋体"/>
                <w:color w:val="auto"/>
                <w:szCs w:val="21"/>
              </w:rPr>
              <w:t xml:space="preserve">4.存储规格：前置8个热插拔3.5/2.5英 寸SAS/SATA硬盘，后置选配支持2个2×3.5英寸或2个2×2.5英寸SAS/SATA硬盘，磁盘阵列卡可选；硬盘实配数量：实配 ≥3块8TB 机械盘，1块1.92TB U.2 SSD硬盘； </w:t>
            </w:r>
          </w:p>
          <w:p w14:paraId="35E80BEB">
            <w:pPr>
              <w:spacing w:line="440" w:lineRule="exact"/>
              <w:rPr>
                <w:rFonts w:ascii="宋体" w:hAnsi="宋体"/>
                <w:color w:val="auto"/>
                <w:szCs w:val="21"/>
              </w:rPr>
            </w:pPr>
            <w:r>
              <w:rPr>
                <w:rFonts w:hint="eastAsia" w:ascii="宋体" w:hAnsi="宋体"/>
                <w:color w:val="auto"/>
                <w:szCs w:val="21"/>
              </w:rPr>
              <w:t>5.主板规格：4个SATA(其中2个支持SATA DOM),2个M.2(NVMe)接口,3个MiniSAS HD 接口；</w:t>
            </w:r>
          </w:p>
          <w:p w14:paraId="5F632233">
            <w:pPr>
              <w:spacing w:line="440" w:lineRule="exact"/>
              <w:rPr>
                <w:rFonts w:ascii="宋体" w:hAnsi="宋体"/>
                <w:color w:val="auto"/>
                <w:szCs w:val="21"/>
              </w:rPr>
            </w:pPr>
            <w:r>
              <w:rPr>
                <w:rFonts w:hint="eastAsia" w:ascii="宋体" w:hAnsi="宋体"/>
                <w:color w:val="auto"/>
                <w:szCs w:val="21"/>
              </w:rPr>
              <w:t>6.PCIe 插槽接口：PCI-E插槽 最大支持6*PCIe全高槽位、4*PCIe半高槽位，1*OCP 3.0卡槽；</w:t>
            </w:r>
          </w:p>
          <w:p w14:paraId="0E07C0AE">
            <w:pPr>
              <w:spacing w:line="440" w:lineRule="exact"/>
              <w:rPr>
                <w:rFonts w:ascii="宋体" w:hAnsi="宋体"/>
                <w:color w:val="auto"/>
                <w:szCs w:val="21"/>
              </w:rPr>
            </w:pPr>
            <w:r>
              <w:rPr>
                <w:rFonts w:hint="eastAsia" w:ascii="宋体" w:hAnsi="宋体"/>
                <w:color w:val="auto"/>
                <w:szCs w:val="21"/>
              </w:rPr>
              <w:t>7.网络规格：标配4x1000Mb（板载2x1000Mb，独立2x1000Mb）， 可选配万兆网卡（含光模块）</w:t>
            </w:r>
          </w:p>
          <w:p w14:paraId="24CD532E">
            <w:pPr>
              <w:spacing w:line="440" w:lineRule="exact"/>
              <w:rPr>
                <w:rFonts w:ascii="宋体" w:hAnsi="宋体"/>
                <w:color w:val="auto"/>
                <w:szCs w:val="21"/>
              </w:rPr>
            </w:pPr>
            <w:r>
              <w:rPr>
                <w:rFonts w:hint="eastAsia" w:ascii="宋体" w:hAnsi="宋体"/>
                <w:color w:val="auto"/>
                <w:szCs w:val="21"/>
              </w:rPr>
              <w:t>8.外部接口规格：前置：1个VGA、2个USB3.0，后置：1个VGA、1个COM口、2个USB3.0；</w:t>
            </w:r>
          </w:p>
          <w:p w14:paraId="0D38C4A8">
            <w:pPr>
              <w:spacing w:line="440" w:lineRule="exact"/>
              <w:rPr>
                <w:rFonts w:ascii="宋体" w:hAnsi="宋体"/>
                <w:color w:val="auto"/>
                <w:szCs w:val="21"/>
              </w:rPr>
            </w:pPr>
            <w:r>
              <w:rPr>
                <w:rFonts w:hint="eastAsia" w:ascii="宋体" w:hAnsi="宋体"/>
                <w:color w:val="auto"/>
                <w:szCs w:val="21"/>
              </w:rPr>
              <w:t>9.风扇：标配4个热插拔N+1冗余风扇</w:t>
            </w:r>
          </w:p>
          <w:p w14:paraId="5C4CA1BA">
            <w:pPr>
              <w:spacing w:line="440" w:lineRule="exact"/>
              <w:rPr>
                <w:rFonts w:ascii="宋体" w:hAnsi="宋体"/>
                <w:color w:val="auto"/>
                <w:szCs w:val="21"/>
              </w:rPr>
            </w:pPr>
            <w:r>
              <w:rPr>
                <w:rFonts w:hint="eastAsia" w:ascii="宋体" w:hAnsi="宋体"/>
                <w:color w:val="auto"/>
                <w:szCs w:val="21"/>
              </w:rPr>
              <w:t>10.电源规格：标配550W，可选800W、1300W、1600W、2000W、2200W；</w:t>
            </w:r>
          </w:p>
          <w:p w14:paraId="35123709">
            <w:pPr>
              <w:spacing w:line="440" w:lineRule="exact"/>
              <w:rPr>
                <w:rFonts w:ascii="宋体" w:hAnsi="宋体"/>
                <w:color w:val="auto"/>
                <w:szCs w:val="21"/>
              </w:rPr>
            </w:pPr>
            <w:r>
              <w:rPr>
                <w:rFonts w:hint="eastAsia" w:ascii="宋体" w:hAnsi="宋体"/>
                <w:color w:val="auto"/>
                <w:szCs w:val="21"/>
              </w:rPr>
              <w:t>11.导轨：标准导轨*1</w:t>
            </w:r>
          </w:p>
          <w:p w14:paraId="73E3116A">
            <w:pPr>
              <w:spacing w:line="440" w:lineRule="exact"/>
              <w:rPr>
                <w:rFonts w:ascii="宋体" w:hAnsi="宋体"/>
                <w:color w:val="auto"/>
                <w:szCs w:val="21"/>
              </w:rPr>
            </w:pPr>
            <w:r>
              <w:rPr>
                <w:rFonts w:hint="eastAsia" w:ascii="宋体" w:hAnsi="宋体"/>
                <w:color w:val="auto"/>
                <w:szCs w:val="21"/>
              </w:rPr>
              <w:t>12.管理功能：提供1个专用RJ45管理网口， 可远程管理，支持IPMI 2.0</w:t>
            </w:r>
          </w:p>
          <w:p w14:paraId="2E779E4E">
            <w:pPr>
              <w:spacing w:line="440" w:lineRule="exact"/>
              <w:rPr>
                <w:rFonts w:ascii="宋体" w:hAnsi="宋体"/>
                <w:color w:val="auto"/>
                <w:szCs w:val="21"/>
              </w:rPr>
            </w:pPr>
            <w:r>
              <w:rPr>
                <w:rFonts w:hint="eastAsia" w:ascii="宋体" w:hAnsi="宋体"/>
                <w:color w:val="auto"/>
                <w:szCs w:val="21"/>
              </w:rPr>
              <w:t>13.配置硬件raid卡，支持raid 0/1;</w:t>
            </w:r>
          </w:p>
          <w:p w14:paraId="09BA778C">
            <w:pPr>
              <w:spacing w:line="440" w:lineRule="exact"/>
              <w:rPr>
                <w:rFonts w:ascii="宋体" w:hAnsi="宋体"/>
                <w:color w:val="auto"/>
                <w:szCs w:val="21"/>
              </w:rPr>
            </w:pPr>
            <w:r>
              <w:rPr>
                <w:rFonts w:hint="eastAsia" w:ascii="宋体" w:hAnsi="宋体"/>
                <w:color w:val="auto"/>
                <w:szCs w:val="21"/>
              </w:rPr>
              <w:t>14.为保证产品稳定性，要求所投产品满足电快速瞬变脉冲群抗扰度要求（符合GB/T17626.4-2018相关标准）：（1）AC电源端口开路电压1kV，5kHz脉冲群信号，设备不出现画面质量降低，存储数据丢失，按键失灵现象；（2）电信端口开路电压0.5kV，5kHz脉冲群信号，设备不出现画面质量降低，存储数据丢失，按键失灵现象；（供货时提供国家认可的第三方机构出具的带CNAS或CMA标识的功能性测试报告扫描件）</w:t>
            </w:r>
          </w:p>
          <w:p w14:paraId="724B4EAA">
            <w:pPr>
              <w:spacing w:line="440" w:lineRule="exact"/>
              <w:rPr>
                <w:rFonts w:ascii="宋体" w:hAnsi="宋体"/>
                <w:color w:val="auto"/>
                <w:szCs w:val="21"/>
              </w:rPr>
            </w:pPr>
            <w:r>
              <w:rPr>
                <w:rFonts w:hint="eastAsia" w:ascii="宋体" w:hAnsi="宋体"/>
                <w:color w:val="auto"/>
                <w:szCs w:val="21"/>
              </w:rPr>
              <w:t>15.产品满足辐射骚扰抗扰度要求，在80MHz-1000MHz和1000MHz-2700MHz范围内符合GB/T17626.3-2023相关标准（供货时提供国家认可的</w:t>
            </w:r>
            <w:r>
              <w:rPr>
                <w:rFonts w:hint="eastAsia" w:ascii="宋体" w:hAnsi="宋体"/>
                <w:color w:val="auto"/>
                <w:szCs w:val="21"/>
              </w:rPr>
              <w:t>第三方机构出具的带CNAS</w:t>
            </w:r>
            <w:r>
              <w:rPr>
                <w:rFonts w:hint="eastAsia" w:ascii="宋体" w:hAnsi="宋体"/>
                <w:color w:val="auto"/>
                <w:szCs w:val="21"/>
                <w:lang w:val="en-US" w:eastAsia="zh-CN"/>
              </w:rPr>
              <w:t>或</w:t>
            </w:r>
            <w:r>
              <w:rPr>
                <w:rFonts w:hint="eastAsia" w:ascii="宋体" w:hAnsi="宋体"/>
                <w:color w:val="auto"/>
                <w:szCs w:val="21"/>
              </w:rPr>
              <w:t>CMA标识的功能性测试报告扫描件）</w:t>
            </w:r>
          </w:p>
          <w:p w14:paraId="081BFAE5">
            <w:pPr>
              <w:spacing w:line="440" w:lineRule="exact"/>
              <w:rPr>
                <w:rFonts w:ascii="宋体" w:hAnsi="宋体"/>
                <w:color w:val="auto"/>
                <w:szCs w:val="21"/>
              </w:rPr>
            </w:pPr>
            <w:r>
              <w:rPr>
                <w:rFonts w:hint="eastAsia" w:ascii="宋体" w:hAnsi="宋体"/>
                <w:color w:val="auto"/>
                <w:szCs w:val="21"/>
              </w:rPr>
              <w:t>16.服务响应：</w:t>
            </w:r>
          </w:p>
          <w:p w14:paraId="2DE6EE6E">
            <w:pPr>
              <w:spacing w:line="440" w:lineRule="exact"/>
              <w:rPr>
                <w:rFonts w:ascii="宋体" w:hAnsi="宋体"/>
                <w:color w:val="auto"/>
                <w:szCs w:val="21"/>
              </w:rPr>
            </w:pPr>
            <w:r>
              <w:rPr>
                <w:rFonts w:hint="eastAsia" w:ascii="宋体" w:hAnsi="宋体"/>
                <w:color w:val="auto"/>
                <w:szCs w:val="21"/>
              </w:rPr>
              <w:t xml:space="preserve">a) 需提供电话、电子邮件、远程连接等多种形式服务； </w:t>
            </w:r>
          </w:p>
          <w:p w14:paraId="0503BAC7">
            <w:pPr>
              <w:spacing w:line="440" w:lineRule="exact"/>
              <w:rPr>
                <w:rFonts w:ascii="宋体" w:hAnsi="宋体"/>
                <w:color w:val="auto"/>
                <w:szCs w:val="21"/>
              </w:rPr>
            </w:pPr>
            <w:r>
              <w:rPr>
                <w:rFonts w:hint="eastAsia" w:ascii="宋体" w:hAnsi="宋体"/>
                <w:color w:val="auto"/>
                <w:szCs w:val="21"/>
              </w:rPr>
              <w:t xml:space="preserve">b)需提供8h 技术响应服务，2个工作日解决问题，对于未能解决的问题和故障应提供可行的升级方案，并提供周转设备； </w:t>
            </w:r>
          </w:p>
          <w:p w14:paraId="4B513540">
            <w:pPr>
              <w:spacing w:line="440" w:lineRule="exact"/>
              <w:rPr>
                <w:rFonts w:ascii="宋体" w:hAnsi="宋体"/>
                <w:color w:val="auto"/>
                <w:szCs w:val="21"/>
              </w:rPr>
            </w:pPr>
            <w:r>
              <w:rPr>
                <w:rFonts w:hint="eastAsia" w:ascii="宋体" w:hAnsi="宋体"/>
                <w:color w:val="auto"/>
                <w:szCs w:val="21"/>
              </w:rPr>
              <w:t xml:space="preserve">c)建立全国技术服务体系和服务团体，符合专业服务体系标准要求，提供中文服务； </w:t>
            </w:r>
          </w:p>
          <w:p w14:paraId="7A2BAAE0">
            <w:pPr>
              <w:spacing w:line="440" w:lineRule="exact"/>
              <w:rPr>
                <w:rFonts w:ascii="宋体" w:hAnsi="宋体"/>
                <w:color w:val="auto"/>
                <w:szCs w:val="21"/>
              </w:rPr>
            </w:pPr>
            <w:r>
              <w:rPr>
                <w:rFonts w:hint="eastAsia" w:ascii="宋体" w:hAnsi="宋体"/>
                <w:color w:val="auto"/>
                <w:szCs w:val="21"/>
              </w:rPr>
              <w:t>d) 服务周期内提供产品的维修、换件和升级服务；</w:t>
            </w:r>
          </w:p>
          <w:p w14:paraId="36AC4785">
            <w:pPr>
              <w:spacing w:line="440" w:lineRule="exact"/>
              <w:rPr>
                <w:rFonts w:ascii="宋体" w:hAnsi="宋体"/>
                <w:color w:val="auto"/>
                <w:szCs w:val="21"/>
              </w:rPr>
            </w:pPr>
            <w:r>
              <w:rPr>
                <w:rFonts w:hint="eastAsia" w:ascii="宋体" w:hAnsi="宋体"/>
                <w:color w:val="auto"/>
                <w:szCs w:val="21"/>
              </w:rPr>
              <w:t>17.服务周期：</w:t>
            </w:r>
          </w:p>
          <w:p w14:paraId="73BAFFA7">
            <w:pPr>
              <w:spacing w:line="440" w:lineRule="exact"/>
              <w:rPr>
                <w:rFonts w:ascii="宋体" w:hAnsi="宋体"/>
                <w:color w:val="auto"/>
                <w:szCs w:val="21"/>
              </w:rPr>
            </w:pPr>
            <w:r>
              <w:rPr>
                <w:rFonts w:hint="eastAsia" w:ascii="宋体" w:hAnsi="宋体"/>
                <w:color w:val="auto"/>
                <w:szCs w:val="21"/>
              </w:rPr>
              <w:t xml:space="preserve">a) 产品免费服务周期（含换件和维修）应不小于3年； </w:t>
            </w:r>
          </w:p>
          <w:p w14:paraId="585CD5F1">
            <w:pPr>
              <w:spacing w:line="440" w:lineRule="exact"/>
              <w:rPr>
                <w:rFonts w:ascii="宋体" w:hAnsi="宋体"/>
                <w:color w:val="auto"/>
                <w:szCs w:val="21"/>
              </w:rPr>
            </w:pPr>
            <w:r>
              <w:rPr>
                <w:rFonts w:hint="eastAsia" w:ascii="宋体" w:hAnsi="宋体"/>
                <w:color w:val="auto"/>
                <w:szCs w:val="21"/>
              </w:rPr>
              <w:t xml:space="preserve">b)设备停产后继续提供质量保障服务（含备品备件），服务终止时间与最后一批设备交付时间间隔不低于6 年（验收合格之日起算 ）； </w:t>
            </w:r>
          </w:p>
          <w:p w14:paraId="1810AC4D">
            <w:pPr>
              <w:spacing w:line="440" w:lineRule="exact"/>
              <w:rPr>
                <w:rFonts w:ascii="宋体" w:hAnsi="宋体"/>
                <w:color w:val="auto"/>
                <w:szCs w:val="21"/>
              </w:rPr>
            </w:pPr>
            <w:r>
              <w:rPr>
                <w:rFonts w:hint="eastAsia" w:ascii="宋体" w:hAnsi="宋体"/>
                <w:color w:val="auto"/>
                <w:szCs w:val="21"/>
              </w:rPr>
              <w:t xml:space="preserve">c) 产品停止服务时间应提前1年告知客户； </w:t>
            </w:r>
          </w:p>
          <w:p w14:paraId="45C90EB2">
            <w:pPr>
              <w:spacing w:line="440" w:lineRule="exact"/>
              <w:rPr>
                <w:color w:val="auto"/>
                <w:sz w:val="24"/>
              </w:rPr>
            </w:pPr>
            <w:r>
              <w:rPr>
                <w:rFonts w:hint="eastAsia" w:ascii="宋体" w:hAnsi="宋体"/>
                <w:color w:val="auto"/>
                <w:szCs w:val="21"/>
              </w:rPr>
              <w:t>d) 产品发布日期需在随机文件中明确</w:t>
            </w:r>
          </w:p>
        </w:tc>
        <w:tc>
          <w:tcPr>
            <w:tcW w:w="705" w:type="dxa"/>
            <w:vAlign w:val="center"/>
          </w:tcPr>
          <w:p w14:paraId="46D5183F">
            <w:pPr>
              <w:spacing w:line="420" w:lineRule="exact"/>
              <w:jc w:val="center"/>
              <w:rPr>
                <w:rFonts w:ascii="宋体" w:hAnsi="宋体" w:cs="宋体"/>
                <w:color w:val="auto"/>
                <w:szCs w:val="21"/>
              </w:rPr>
            </w:pPr>
            <w:r>
              <w:rPr>
                <w:rFonts w:hint="eastAsia" w:ascii="宋体" w:hAnsi="宋体" w:cs="宋体"/>
                <w:color w:val="auto"/>
                <w:szCs w:val="21"/>
              </w:rPr>
              <w:t>5</w:t>
            </w:r>
          </w:p>
        </w:tc>
        <w:tc>
          <w:tcPr>
            <w:tcW w:w="750" w:type="dxa"/>
            <w:vAlign w:val="center"/>
          </w:tcPr>
          <w:p w14:paraId="4A498042">
            <w:pPr>
              <w:spacing w:line="420" w:lineRule="exact"/>
              <w:jc w:val="center"/>
              <w:rPr>
                <w:rFonts w:ascii="宋体" w:hAnsi="宋体" w:cs="宋体"/>
                <w:b/>
                <w:bCs/>
                <w:color w:val="auto"/>
                <w:szCs w:val="21"/>
              </w:rPr>
            </w:pPr>
            <w:r>
              <w:rPr>
                <w:rFonts w:hint="eastAsia" w:ascii="宋体" w:hAnsi="宋体" w:cs="宋体"/>
                <w:color w:val="auto"/>
                <w:szCs w:val="21"/>
              </w:rPr>
              <w:t>台</w:t>
            </w:r>
          </w:p>
        </w:tc>
        <w:tc>
          <w:tcPr>
            <w:tcW w:w="780" w:type="dxa"/>
            <w:vAlign w:val="center"/>
          </w:tcPr>
          <w:p w14:paraId="15FFD75D">
            <w:pPr>
              <w:jc w:val="center"/>
              <w:rPr>
                <w:rFonts w:hint="eastAsia" w:ascii="宋体" w:hAnsi="宋体" w:eastAsia="宋体" w:cs="宋体"/>
                <w:b/>
                <w:bCs/>
                <w:color w:val="auto"/>
                <w:szCs w:val="21"/>
                <w:lang w:val="en-US" w:eastAsia="zh-CN"/>
              </w:rPr>
            </w:pPr>
            <w:r>
              <w:rPr>
                <w:rFonts w:hint="eastAsia" w:ascii="宋体" w:hAnsi="宋体" w:cs="宋体"/>
                <w:b w:val="0"/>
                <w:bCs w:val="0"/>
                <w:color w:val="auto"/>
                <w:szCs w:val="21"/>
                <w:lang w:val="en-US" w:eastAsia="zh-CN"/>
              </w:rPr>
              <w:t>工业</w:t>
            </w:r>
          </w:p>
        </w:tc>
      </w:tr>
      <w:tr w14:paraId="34A5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79CEDDCD">
            <w:pPr>
              <w:jc w:val="center"/>
              <w:rPr>
                <w:rFonts w:ascii="宋体" w:hAnsi="宋体"/>
                <w:color w:val="auto"/>
                <w:szCs w:val="21"/>
              </w:rPr>
            </w:pPr>
            <w:r>
              <w:rPr>
                <w:rFonts w:hint="eastAsia" w:ascii="宋体" w:hAnsi="宋体"/>
                <w:color w:val="auto"/>
                <w:szCs w:val="21"/>
              </w:rPr>
              <w:t>2</w:t>
            </w:r>
          </w:p>
        </w:tc>
        <w:tc>
          <w:tcPr>
            <w:tcW w:w="1142" w:type="dxa"/>
            <w:vAlign w:val="center"/>
          </w:tcPr>
          <w:p w14:paraId="3DD77481">
            <w:pPr>
              <w:spacing w:line="420" w:lineRule="exact"/>
              <w:jc w:val="center"/>
              <w:rPr>
                <w:rFonts w:ascii="宋体" w:hAnsi="宋体"/>
                <w:color w:val="auto"/>
                <w:szCs w:val="21"/>
              </w:rPr>
            </w:pPr>
            <w:r>
              <w:rPr>
                <w:rFonts w:hint="eastAsia" w:ascii="宋体" w:hAnsi="宋体"/>
                <w:color w:val="auto"/>
                <w:szCs w:val="21"/>
              </w:rPr>
              <w:t>室外光纤施工</w:t>
            </w:r>
          </w:p>
        </w:tc>
        <w:tc>
          <w:tcPr>
            <w:tcW w:w="5220" w:type="dxa"/>
            <w:vAlign w:val="center"/>
          </w:tcPr>
          <w:p w14:paraId="78A9AD8E">
            <w:pPr>
              <w:spacing w:line="420" w:lineRule="exact"/>
              <w:rPr>
                <w:rFonts w:ascii="宋体" w:hAnsi="宋体"/>
                <w:color w:val="auto"/>
                <w:szCs w:val="21"/>
              </w:rPr>
            </w:pPr>
            <w:r>
              <w:rPr>
                <w:rFonts w:hint="eastAsia" w:ascii="宋体" w:hAnsi="宋体"/>
                <w:color w:val="auto"/>
                <w:szCs w:val="21"/>
              </w:rPr>
              <w:t>1.从机房布设24芯室外光纤至图书馆1楼。</w:t>
            </w:r>
          </w:p>
          <w:p w14:paraId="756F90C8">
            <w:pPr>
              <w:spacing w:line="420" w:lineRule="exact"/>
              <w:rPr>
                <w:rFonts w:ascii="宋体" w:hAnsi="宋体"/>
                <w:color w:val="auto"/>
                <w:szCs w:val="21"/>
              </w:rPr>
            </w:pPr>
            <w:r>
              <w:rPr>
                <w:rFonts w:hint="eastAsia" w:ascii="宋体" w:hAnsi="宋体"/>
                <w:color w:val="auto"/>
                <w:szCs w:val="21"/>
              </w:rPr>
              <w:t>2.本项包含所有线材及辅材。</w:t>
            </w:r>
          </w:p>
        </w:tc>
        <w:tc>
          <w:tcPr>
            <w:tcW w:w="705" w:type="dxa"/>
            <w:vAlign w:val="center"/>
          </w:tcPr>
          <w:p w14:paraId="4673261E">
            <w:pPr>
              <w:spacing w:line="420" w:lineRule="exact"/>
              <w:jc w:val="center"/>
              <w:rPr>
                <w:rFonts w:ascii="宋体" w:hAnsi="宋体" w:cs="宋体"/>
                <w:b w:val="0"/>
                <w:bCs w:val="0"/>
                <w:color w:val="auto"/>
                <w:szCs w:val="21"/>
              </w:rPr>
            </w:pPr>
            <w:r>
              <w:rPr>
                <w:rFonts w:hint="eastAsia" w:ascii="宋体" w:hAnsi="宋体" w:cs="宋体"/>
                <w:b w:val="0"/>
                <w:bCs w:val="0"/>
                <w:color w:val="auto"/>
                <w:szCs w:val="21"/>
              </w:rPr>
              <w:t>1</w:t>
            </w:r>
          </w:p>
        </w:tc>
        <w:tc>
          <w:tcPr>
            <w:tcW w:w="750" w:type="dxa"/>
            <w:vAlign w:val="center"/>
          </w:tcPr>
          <w:p w14:paraId="7FA19BE2">
            <w:pPr>
              <w:spacing w:line="420" w:lineRule="exact"/>
              <w:jc w:val="center"/>
              <w:rPr>
                <w:rFonts w:ascii="宋体" w:hAnsi="宋体" w:cs="宋体"/>
                <w:b/>
                <w:bCs/>
                <w:color w:val="auto"/>
                <w:szCs w:val="21"/>
              </w:rPr>
            </w:pPr>
            <w:r>
              <w:rPr>
                <w:rFonts w:hint="eastAsia" w:ascii="宋体" w:hAnsi="宋体" w:cs="宋体"/>
                <w:color w:val="auto"/>
                <w:szCs w:val="21"/>
              </w:rPr>
              <w:t>项</w:t>
            </w:r>
          </w:p>
        </w:tc>
        <w:tc>
          <w:tcPr>
            <w:tcW w:w="780" w:type="dxa"/>
            <w:vAlign w:val="center"/>
          </w:tcPr>
          <w:p w14:paraId="3AE84E6F">
            <w:pPr>
              <w:spacing w:line="420" w:lineRule="exact"/>
              <w:jc w:val="center"/>
              <w:rPr>
                <w:rFonts w:hint="eastAsia" w:ascii="宋体" w:hAnsi="宋体" w:eastAsia="宋体" w:cs="宋体"/>
                <w:b/>
                <w:bCs/>
                <w:color w:val="auto"/>
                <w:szCs w:val="21"/>
                <w:lang w:val="en-US" w:eastAsia="zh-CN"/>
              </w:rPr>
            </w:pPr>
            <w:r>
              <w:rPr>
                <w:rFonts w:hint="eastAsia" w:ascii="宋体" w:hAnsi="宋体" w:cs="宋体"/>
                <w:b w:val="0"/>
                <w:bCs w:val="0"/>
                <w:color w:val="auto"/>
                <w:szCs w:val="21"/>
                <w:lang w:val="en-US" w:eastAsia="zh-CN"/>
              </w:rPr>
              <w:t>/</w:t>
            </w:r>
          </w:p>
        </w:tc>
      </w:tr>
      <w:tr w14:paraId="1180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056F2783">
            <w:pPr>
              <w:jc w:val="center"/>
              <w:rPr>
                <w:rFonts w:ascii="宋体" w:hAnsi="宋体"/>
                <w:color w:val="auto"/>
                <w:szCs w:val="21"/>
              </w:rPr>
            </w:pPr>
            <w:r>
              <w:rPr>
                <w:rFonts w:hint="eastAsia" w:ascii="宋体" w:hAnsi="宋体"/>
                <w:color w:val="auto"/>
                <w:szCs w:val="21"/>
              </w:rPr>
              <w:t>3</w:t>
            </w:r>
          </w:p>
        </w:tc>
        <w:tc>
          <w:tcPr>
            <w:tcW w:w="1142" w:type="dxa"/>
            <w:vAlign w:val="center"/>
          </w:tcPr>
          <w:p w14:paraId="1A5CADBA">
            <w:pPr>
              <w:spacing w:line="420" w:lineRule="exact"/>
              <w:jc w:val="center"/>
              <w:rPr>
                <w:rFonts w:ascii="宋体" w:hAnsi="宋体"/>
                <w:color w:val="auto"/>
                <w:szCs w:val="21"/>
              </w:rPr>
            </w:pPr>
            <w:r>
              <w:rPr>
                <w:rFonts w:hint="eastAsia" w:ascii="宋体" w:hAnsi="宋体"/>
                <w:color w:val="auto"/>
                <w:szCs w:val="21"/>
              </w:rPr>
              <w:t>高算力测绘设备</w:t>
            </w:r>
          </w:p>
        </w:tc>
        <w:tc>
          <w:tcPr>
            <w:tcW w:w="5220" w:type="dxa"/>
            <w:vAlign w:val="center"/>
          </w:tcPr>
          <w:p w14:paraId="6CE6AB78">
            <w:pPr>
              <w:spacing w:line="420" w:lineRule="exact"/>
              <w:rPr>
                <w:rFonts w:ascii="宋体" w:hAnsi="宋体"/>
                <w:color w:val="auto"/>
                <w:szCs w:val="21"/>
              </w:rPr>
            </w:pPr>
            <w:r>
              <w:rPr>
                <w:rFonts w:hint="eastAsia" w:ascii="宋体" w:hAnsi="宋体"/>
                <w:color w:val="auto"/>
                <w:szCs w:val="21"/>
              </w:rPr>
              <w:t>一、配置要求</w:t>
            </w:r>
          </w:p>
          <w:p w14:paraId="543E923C">
            <w:pPr>
              <w:spacing w:line="420" w:lineRule="exact"/>
              <w:rPr>
                <w:rFonts w:ascii="宋体" w:hAnsi="宋体"/>
                <w:color w:val="auto"/>
                <w:szCs w:val="21"/>
              </w:rPr>
            </w:pPr>
            <w:r>
              <w:rPr>
                <w:rFonts w:hint="eastAsia" w:ascii="宋体" w:hAnsi="宋体"/>
                <w:color w:val="auto"/>
                <w:szCs w:val="21"/>
              </w:rPr>
              <w:t>1.机箱: 标准塔式机箱，体积要求与设备相匹配。</w:t>
            </w:r>
          </w:p>
          <w:p w14:paraId="5D63CBCF">
            <w:pPr>
              <w:spacing w:line="420" w:lineRule="exact"/>
              <w:rPr>
                <w:rFonts w:ascii="宋体" w:hAnsi="宋体"/>
                <w:color w:val="auto"/>
                <w:szCs w:val="21"/>
              </w:rPr>
            </w:pPr>
            <w:r>
              <w:rPr>
                <w:rFonts w:hint="eastAsia" w:ascii="宋体" w:hAnsi="宋体"/>
                <w:color w:val="auto"/>
                <w:szCs w:val="21"/>
              </w:rPr>
              <w:t>2.芯片组:不低于英特尔B660；</w:t>
            </w:r>
          </w:p>
          <w:p w14:paraId="7E1B2079">
            <w:pPr>
              <w:spacing w:line="420" w:lineRule="exact"/>
              <w:rPr>
                <w:rFonts w:ascii="宋体" w:hAnsi="宋体"/>
                <w:color w:val="auto"/>
                <w:szCs w:val="21"/>
              </w:rPr>
            </w:pPr>
            <w:r>
              <w:rPr>
                <w:rFonts w:hint="eastAsia" w:ascii="宋体" w:hAnsi="宋体"/>
                <w:color w:val="auto"/>
                <w:szCs w:val="21"/>
              </w:rPr>
              <w:t>3.处理器: 不低于i7-12700F 12核20线程，2.1GHz主频 最高睿频4.9GHz；</w:t>
            </w:r>
          </w:p>
          <w:p w14:paraId="1BE15EA9">
            <w:pPr>
              <w:spacing w:line="420" w:lineRule="exact"/>
              <w:rPr>
                <w:rFonts w:ascii="宋体" w:hAnsi="宋体"/>
                <w:color w:val="auto"/>
                <w:szCs w:val="21"/>
              </w:rPr>
            </w:pPr>
            <w:r>
              <w:rPr>
                <w:rFonts w:hint="eastAsia" w:ascii="宋体" w:hAnsi="宋体"/>
                <w:color w:val="auto"/>
                <w:szCs w:val="21"/>
              </w:rPr>
              <w:t>4.内存: 2个内存插槽，最大支持64G，实配≥32GB DDR4 3200高频内存；</w:t>
            </w:r>
          </w:p>
          <w:p w14:paraId="7E0E7BCB">
            <w:pPr>
              <w:spacing w:line="420" w:lineRule="exact"/>
              <w:rPr>
                <w:rFonts w:ascii="宋体" w:hAnsi="宋体"/>
                <w:color w:val="auto"/>
                <w:szCs w:val="21"/>
              </w:rPr>
            </w:pPr>
            <w:r>
              <w:rPr>
                <w:rFonts w:hint="eastAsia" w:ascii="宋体" w:hAnsi="宋体"/>
                <w:color w:val="auto"/>
                <w:szCs w:val="21"/>
              </w:rPr>
              <w:t>5.存储: 实配≥1块512GB M2 NVME固态硬盘，1块1TB  7200RPM 高速机械硬盘；</w:t>
            </w:r>
          </w:p>
          <w:p w14:paraId="6D72F61F">
            <w:pPr>
              <w:spacing w:line="420" w:lineRule="exact"/>
              <w:rPr>
                <w:rFonts w:ascii="宋体" w:hAnsi="宋体"/>
                <w:color w:val="auto"/>
                <w:szCs w:val="21"/>
              </w:rPr>
            </w:pPr>
            <w:r>
              <w:rPr>
                <w:rFonts w:hint="eastAsia" w:ascii="宋体" w:hAnsi="宋体"/>
                <w:color w:val="auto"/>
                <w:szCs w:val="21"/>
              </w:rPr>
              <w:t>6.显卡: ≥12G显存高性能独立显卡；</w:t>
            </w:r>
          </w:p>
          <w:p w14:paraId="3408805D">
            <w:pPr>
              <w:spacing w:line="420" w:lineRule="exact"/>
              <w:rPr>
                <w:rFonts w:ascii="宋体" w:hAnsi="宋体"/>
                <w:color w:val="auto"/>
                <w:szCs w:val="21"/>
              </w:rPr>
            </w:pPr>
            <w:r>
              <w:rPr>
                <w:rFonts w:hint="eastAsia" w:ascii="宋体" w:hAnsi="宋体"/>
                <w:color w:val="auto"/>
                <w:szCs w:val="21"/>
              </w:rPr>
              <w:t>7.网卡：10/100/1000M自适应以太网卡，可拓展PCIE无线网卡；</w:t>
            </w:r>
          </w:p>
          <w:p w14:paraId="06A34D1C">
            <w:pPr>
              <w:spacing w:line="420" w:lineRule="exact"/>
              <w:rPr>
                <w:rFonts w:ascii="宋体" w:hAnsi="宋体"/>
                <w:color w:val="auto"/>
                <w:szCs w:val="21"/>
              </w:rPr>
            </w:pPr>
            <w:r>
              <w:rPr>
                <w:rFonts w:hint="eastAsia" w:ascii="宋体" w:hAnsi="宋体"/>
                <w:color w:val="auto"/>
                <w:szCs w:val="21"/>
              </w:rPr>
              <w:t>8.I/O接口: 前置: USB3.0*2.USB2.0*2.音频输入输出接口1组；</w:t>
            </w:r>
          </w:p>
          <w:p w14:paraId="497BFDE2">
            <w:pPr>
              <w:spacing w:line="420" w:lineRule="exact"/>
              <w:rPr>
                <w:rFonts w:ascii="宋体" w:hAnsi="宋体"/>
                <w:color w:val="auto"/>
                <w:szCs w:val="21"/>
              </w:rPr>
            </w:pPr>
            <w:r>
              <w:rPr>
                <w:rFonts w:hint="eastAsia" w:ascii="宋体" w:hAnsi="宋体"/>
                <w:color w:val="auto"/>
                <w:szCs w:val="21"/>
              </w:rPr>
              <w:t>后置: USB3.2Gen1*4，USB2.0*2，音频输入输出接口1组（3孔），主板板载2 个 DisplayPort1.4接口，1个HDMI口，一个VGA接口，支持4屏显示;</w:t>
            </w:r>
          </w:p>
          <w:p w14:paraId="15A5C517">
            <w:pPr>
              <w:spacing w:line="420" w:lineRule="exact"/>
              <w:rPr>
                <w:rFonts w:ascii="宋体" w:hAnsi="宋体"/>
                <w:color w:val="auto"/>
                <w:szCs w:val="21"/>
              </w:rPr>
            </w:pPr>
            <w:r>
              <w:rPr>
                <w:rFonts w:hint="eastAsia" w:ascii="宋体" w:hAnsi="宋体"/>
                <w:color w:val="auto"/>
                <w:szCs w:val="21"/>
              </w:rPr>
              <w:t>9.电源: 标配≥300W，根据实际配置可选450W、550W；</w:t>
            </w:r>
          </w:p>
          <w:p w14:paraId="54CDAC63">
            <w:pPr>
              <w:spacing w:line="420" w:lineRule="exact"/>
              <w:rPr>
                <w:rFonts w:ascii="宋体" w:hAnsi="宋体"/>
                <w:color w:val="auto"/>
                <w:szCs w:val="21"/>
              </w:rPr>
            </w:pPr>
            <w:r>
              <w:rPr>
                <w:rFonts w:hint="eastAsia" w:ascii="宋体" w:hAnsi="宋体"/>
                <w:color w:val="auto"/>
                <w:szCs w:val="21"/>
              </w:rPr>
              <w:t>10.认证：3C认证。</w:t>
            </w:r>
          </w:p>
          <w:p w14:paraId="427C6E55">
            <w:pPr>
              <w:spacing w:line="420" w:lineRule="exact"/>
              <w:rPr>
                <w:rFonts w:ascii="宋体" w:hAnsi="宋体"/>
                <w:color w:val="auto"/>
                <w:szCs w:val="21"/>
              </w:rPr>
            </w:pPr>
            <w:r>
              <w:rPr>
                <w:rFonts w:hint="eastAsia" w:ascii="宋体" w:hAnsi="宋体"/>
                <w:color w:val="auto"/>
                <w:szCs w:val="21"/>
              </w:rPr>
              <w:t>二、售后服务要求</w:t>
            </w:r>
          </w:p>
          <w:p w14:paraId="61826A05">
            <w:pPr>
              <w:spacing w:line="420" w:lineRule="exact"/>
              <w:rPr>
                <w:rFonts w:ascii="宋体" w:hAnsi="宋体"/>
                <w:color w:val="auto"/>
                <w:szCs w:val="21"/>
              </w:rPr>
            </w:pPr>
            <w:r>
              <w:rPr>
                <w:rFonts w:hint="eastAsia" w:ascii="宋体" w:hAnsi="宋体"/>
                <w:color w:val="auto"/>
                <w:szCs w:val="21"/>
              </w:rPr>
              <w:t>1.提供售后服务承诺函；</w:t>
            </w:r>
          </w:p>
          <w:p w14:paraId="01D1B272">
            <w:pPr>
              <w:spacing w:line="420" w:lineRule="exact"/>
              <w:rPr>
                <w:rFonts w:ascii="宋体" w:hAnsi="宋体"/>
                <w:color w:val="auto"/>
                <w:szCs w:val="21"/>
              </w:rPr>
            </w:pPr>
            <w:r>
              <w:rPr>
                <w:rFonts w:hint="eastAsia" w:ascii="宋体" w:hAnsi="宋体"/>
                <w:color w:val="auto"/>
                <w:szCs w:val="21"/>
              </w:rPr>
              <w:t>2.设备三年质保，质保期内提供上门技术服务和现场专业培训；</w:t>
            </w:r>
          </w:p>
        </w:tc>
        <w:tc>
          <w:tcPr>
            <w:tcW w:w="705" w:type="dxa"/>
            <w:vAlign w:val="center"/>
          </w:tcPr>
          <w:p w14:paraId="4E2FE192">
            <w:pPr>
              <w:spacing w:line="420" w:lineRule="exact"/>
              <w:jc w:val="center"/>
              <w:rPr>
                <w:rFonts w:ascii="宋体" w:hAnsi="宋体" w:cs="宋体"/>
                <w:b/>
                <w:bCs/>
                <w:color w:val="auto"/>
                <w:szCs w:val="21"/>
              </w:rPr>
            </w:pPr>
            <w:r>
              <w:rPr>
                <w:rFonts w:hint="eastAsia" w:ascii="宋体" w:hAnsi="宋体"/>
                <w:color w:val="auto"/>
                <w:szCs w:val="21"/>
              </w:rPr>
              <w:t>51</w:t>
            </w:r>
          </w:p>
        </w:tc>
        <w:tc>
          <w:tcPr>
            <w:tcW w:w="750" w:type="dxa"/>
            <w:vAlign w:val="center"/>
          </w:tcPr>
          <w:p w14:paraId="7D085184">
            <w:pPr>
              <w:spacing w:line="420" w:lineRule="exact"/>
              <w:jc w:val="center"/>
              <w:rPr>
                <w:rFonts w:ascii="宋体" w:hAnsi="宋体" w:cs="宋体"/>
                <w:b/>
                <w:bCs/>
                <w:color w:val="auto"/>
                <w:szCs w:val="21"/>
              </w:rPr>
            </w:pPr>
            <w:r>
              <w:rPr>
                <w:rFonts w:hint="eastAsia" w:ascii="宋体" w:hAnsi="宋体"/>
                <w:color w:val="auto"/>
                <w:szCs w:val="21"/>
              </w:rPr>
              <w:t>套</w:t>
            </w:r>
          </w:p>
        </w:tc>
        <w:tc>
          <w:tcPr>
            <w:tcW w:w="780" w:type="dxa"/>
            <w:vAlign w:val="center"/>
          </w:tcPr>
          <w:p w14:paraId="1A0E4A3D">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6F6DC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2A458176">
            <w:pPr>
              <w:jc w:val="center"/>
              <w:rPr>
                <w:rFonts w:ascii="宋体" w:hAnsi="宋体"/>
                <w:color w:val="auto"/>
                <w:szCs w:val="21"/>
              </w:rPr>
            </w:pPr>
            <w:r>
              <w:rPr>
                <w:rFonts w:hint="eastAsia" w:ascii="宋体" w:hAnsi="宋体"/>
                <w:color w:val="auto"/>
                <w:szCs w:val="21"/>
              </w:rPr>
              <w:t>4</w:t>
            </w:r>
          </w:p>
        </w:tc>
        <w:tc>
          <w:tcPr>
            <w:tcW w:w="1142" w:type="dxa"/>
            <w:vAlign w:val="center"/>
          </w:tcPr>
          <w:p w14:paraId="1591A29C">
            <w:pPr>
              <w:spacing w:line="420" w:lineRule="exact"/>
              <w:jc w:val="center"/>
              <w:rPr>
                <w:rFonts w:ascii="宋体" w:hAnsi="宋体"/>
                <w:color w:val="auto"/>
                <w:szCs w:val="21"/>
              </w:rPr>
            </w:pPr>
            <w:r>
              <w:rPr>
                <w:rFonts w:hint="eastAsia" w:ascii="宋体" w:hAnsi="宋体"/>
                <w:color w:val="auto"/>
                <w:szCs w:val="21"/>
              </w:rPr>
              <w:t>算力中心管控服务器</w:t>
            </w:r>
          </w:p>
        </w:tc>
        <w:tc>
          <w:tcPr>
            <w:tcW w:w="5220" w:type="dxa"/>
            <w:vAlign w:val="center"/>
          </w:tcPr>
          <w:p w14:paraId="5DF45F02">
            <w:pPr>
              <w:widowControl/>
              <w:spacing w:line="440" w:lineRule="exact"/>
              <w:jc w:val="left"/>
              <w:rPr>
                <w:rFonts w:ascii="宋体" w:hAnsi="宋体"/>
                <w:color w:val="auto"/>
                <w:kern w:val="0"/>
                <w:szCs w:val="21"/>
              </w:rPr>
            </w:pPr>
            <w:r>
              <w:rPr>
                <w:rFonts w:hint="eastAsia" w:ascii="宋体" w:hAnsi="宋体"/>
                <w:color w:val="auto"/>
                <w:kern w:val="0"/>
                <w:szCs w:val="21"/>
              </w:rPr>
              <w:t>1.为云系统提供计算存储资源硬件支撑；</w:t>
            </w:r>
          </w:p>
          <w:p w14:paraId="6EAFCFE8">
            <w:pPr>
              <w:widowControl/>
              <w:spacing w:line="440" w:lineRule="exact"/>
              <w:jc w:val="left"/>
              <w:rPr>
                <w:rFonts w:ascii="宋体" w:hAnsi="宋体"/>
                <w:color w:val="auto"/>
                <w:kern w:val="0"/>
                <w:szCs w:val="21"/>
              </w:rPr>
            </w:pPr>
            <w:r>
              <w:rPr>
                <w:rFonts w:hint="eastAsia" w:ascii="宋体" w:hAnsi="宋体"/>
                <w:color w:val="auto"/>
                <w:kern w:val="0"/>
                <w:szCs w:val="21"/>
              </w:rPr>
              <w:t>2.功能要求：设备能够实现对资源的统一管理以及对桌面云系统的控制，保障资源和计算能力的灵活调度；内置虚拟化管理系统，能够实现对设备计算能力及存储空间的虚拟化。</w:t>
            </w:r>
          </w:p>
          <w:p w14:paraId="7CD11BCE">
            <w:pPr>
              <w:widowControl/>
              <w:spacing w:line="440" w:lineRule="exact"/>
              <w:jc w:val="left"/>
              <w:rPr>
                <w:rFonts w:ascii="宋体" w:hAnsi="宋体"/>
                <w:color w:val="auto"/>
                <w:kern w:val="0"/>
                <w:szCs w:val="21"/>
              </w:rPr>
            </w:pPr>
            <w:r>
              <w:rPr>
                <w:rFonts w:hint="eastAsia" w:ascii="宋体" w:hAnsi="宋体"/>
                <w:color w:val="auto"/>
                <w:kern w:val="0"/>
                <w:szCs w:val="21"/>
              </w:rPr>
              <w:t>3.整机规格：2U机架式软硬件一体服务器；</w:t>
            </w:r>
          </w:p>
          <w:p w14:paraId="6FE66D63">
            <w:pPr>
              <w:widowControl/>
              <w:spacing w:line="440" w:lineRule="exact"/>
              <w:jc w:val="left"/>
              <w:rPr>
                <w:rFonts w:ascii="宋体" w:hAnsi="宋体"/>
                <w:color w:val="auto"/>
                <w:kern w:val="0"/>
                <w:szCs w:val="21"/>
              </w:rPr>
            </w:pPr>
            <w:r>
              <w:rPr>
                <w:rFonts w:hint="eastAsia" w:ascii="宋体" w:hAnsi="宋体"/>
                <w:color w:val="auto"/>
                <w:kern w:val="0"/>
                <w:szCs w:val="21"/>
              </w:rPr>
              <w:t xml:space="preserve">4.CPU规格：实配≥1颗Intel Xeon Silver 4210R 10核/20线程，2.4GHz主频；CPU功能：计算处理，支持通用计算及虚拟化功能；处理器需集成整型计算单元、浮点计算单元、内存控制器、I/O 模块等，处理器与存储部件、网络部件、I/O部件等组成计算系统，提供数据处理、网络接入等计算相关功能；  </w:t>
            </w:r>
          </w:p>
          <w:p w14:paraId="0D70E88D">
            <w:pPr>
              <w:widowControl/>
              <w:spacing w:line="440" w:lineRule="exact"/>
              <w:jc w:val="left"/>
              <w:rPr>
                <w:rFonts w:ascii="宋体" w:hAnsi="宋体"/>
                <w:color w:val="auto"/>
                <w:kern w:val="0"/>
                <w:szCs w:val="21"/>
              </w:rPr>
            </w:pPr>
            <w:r>
              <w:rPr>
                <w:rFonts w:hint="eastAsia" w:ascii="宋体" w:hAnsi="宋体"/>
                <w:color w:val="auto"/>
                <w:kern w:val="0"/>
                <w:szCs w:val="21"/>
              </w:rPr>
              <w:t>5.主板内存槽数量：最大支持16个内存DIMM槽，实配≥64GB DDR4；</w:t>
            </w:r>
          </w:p>
          <w:p w14:paraId="6E7E02AE">
            <w:pPr>
              <w:widowControl/>
              <w:spacing w:line="440" w:lineRule="exact"/>
              <w:jc w:val="left"/>
              <w:rPr>
                <w:rFonts w:ascii="宋体" w:hAnsi="宋体"/>
                <w:color w:val="auto"/>
                <w:kern w:val="0"/>
                <w:szCs w:val="21"/>
              </w:rPr>
            </w:pPr>
            <w:r>
              <w:rPr>
                <w:rFonts w:hint="eastAsia" w:ascii="宋体" w:hAnsi="宋体"/>
                <w:color w:val="auto"/>
                <w:kern w:val="0"/>
                <w:szCs w:val="21"/>
              </w:rPr>
              <w:t xml:space="preserve">6.存储规格：最大支持8个热插拔3.5”/2.5” SATA/SAS/SSD硬盘;硬盘实配数量：实配 ≥1块1.92TB SSD硬盘，2块8TB 7.2K转企业级SATA硬盘； </w:t>
            </w:r>
          </w:p>
          <w:p w14:paraId="03DFB43F">
            <w:pPr>
              <w:widowControl/>
              <w:spacing w:line="440" w:lineRule="exact"/>
              <w:jc w:val="left"/>
              <w:rPr>
                <w:rFonts w:ascii="宋体" w:hAnsi="宋体"/>
                <w:color w:val="auto"/>
                <w:kern w:val="0"/>
                <w:szCs w:val="21"/>
              </w:rPr>
            </w:pPr>
            <w:r>
              <w:rPr>
                <w:rFonts w:hint="eastAsia" w:ascii="宋体" w:hAnsi="宋体"/>
                <w:color w:val="auto"/>
                <w:kern w:val="0"/>
                <w:szCs w:val="21"/>
              </w:rPr>
              <w:t xml:space="preserve">7.网络规格：2个千兆网口+2个万兆网口； </w:t>
            </w:r>
          </w:p>
          <w:p w14:paraId="7741CBB3">
            <w:pPr>
              <w:widowControl/>
              <w:spacing w:line="440" w:lineRule="exact"/>
              <w:jc w:val="left"/>
              <w:rPr>
                <w:rFonts w:ascii="宋体" w:hAnsi="宋体"/>
                <w:color w:val="auto"/>
                <w:kern w:val="0"/>
                <w:szCs w:val="21"/>
              </w:rPr>
            </w:pPr>
            <w:r>
              <w:rPr>
                <w:rFonts w:hint="eastAsia" w:ascii="宋体" w:hAnsi="宋体"/>
                <w:color w:val="auto"/>
                <w:kern w:val="0"/>
                <w:szCs w:val="21"/>
              </w:rPr>
              <w:t>8.PCIe 插槽接口≥ 3个PCI-E扩展插槽，外部接口规格：2个USB端口，1个VGA端口；</w:t>
            </w:r>
          </w:p>
          <w:p w14:paraId="0AE43FCC">
            <w:pPr>
              <w:widowControl/>
              <w:spacing w:line="440" w:lineRule="exact"/>
              <w:jc w:val="left"/>
              <w:rPr>
                <w:rFonts w:ascii="宋体" w:hAnsi="宋体"/>
                <w:color w:val="auto"/>
                <w:kern w:val="0"/>
                <w:szCs w:val="21"/>
              </w:rPr>
            </w:pPr>
            <w:r>
              <w:rPr>
                <w:rFonts w:hint="eastAsia" w:ascii="宋体" w:hAnsi="宋体"/>
                <w:color w:val="auto"/>
                <w:kern w:val="0"/>
                <w:szCs w:val="21"/>
              </w:rPr>
              <w:t>9.电源规格：标配高效节能服务器专用电源；</w:t>
            </w:r>
          </w:p>
          <w:p w14:paraId="312B9BE5">
            <w:pPr>
              <w:widowControl/>
              <w:spacing w:line="440" w:lineRule="exact"/>
              <w:jc w:val="left"/>
              <w:rPr>
                <w:rFonts w:ascii="宋体" w:hAnsi="宋体"/>
                <w:color w:val="auto"/>
                <w:kern w:val="0"/>
                <w:szCs w:val="21"/>
              </w:rPr>
            </w:pPr>
            <w:r>
              <w:rPr>
                <w:rFonts w:hint="eastAsia" w:ascii="宋体" w:hAnsi="宋体"/>
                <w:color w:val="auto"/>
                <w:kern w:val="0"/>
                <w:szCs w:val="21"/>
              </w:rPr>
              <w:t>10.配置硬件raid卡，支持Raid0，1，5；</w:t>
            </w:r>
          </w:p>
          <w:p w14:paraId="79CA4B9A">
            <w:pPr>
              <w:widowControl/>
              <w:spacing w:line="440" w:lineRule="exact"/>
              <w:jc w:val="left"/>
              <w:rPr>
                <w:rFonts w:ascii="宋体" w:hAnsi="宋体"/>
                <w:color w:val="auto"/>
                <w:kern w:val="0"/>
                <w:szCs w:val="21"/>
              </w:rPr>
            </w:pPr>
            <w:r>
              <w:rPr>
                <w:rFonts w:hint="eastAsia" w:ascii="宋体" w:hAnsi="宋体"/>
                <w:color w:val="auto"/>
                <w:kern w:val="0"/>
                <w:szCs w:val="21"/>
              </w:rPr>
              <w:t>11.支持IPMI2.0，对外提供1个100/1000 Mbps RJ45管理网口，支持远程管理；</w:t>
            </w:r>
          </w:p>
          <w:p w14:paraId="6701C079">
            <w:pPr>
              <w:widowControl/>
              <w:spacing w:line="440" w:lineRule="exact"/>
              <w:jc w:val="left"/>
              <w:rPr>
                <w:rFonts w:ascii="宋体" w:hAnsi="宋体"/>
                <w:color w:val="auto"/>
                <w:kern w:val="0"/>
                <w:szCs w:val="21"/>
              </w:rPr>
            </w:pPr>
            <w:r>
              <w:rPr>
                <w:rFonts w:hint="eastAsia" w:ascii="宋体" w:hAnsi="宋体"/>
                <w:color w:val="auto"/>
                <w:kern w:val="0"/>
                <w:szCs w:val="21"/>
              </w:rPr>
              <w:t>12.平台集成远程维护，可过WEB管理台上的控制台直接进入服务器底层操作系统，实现底层系统编辑和维护；为了应对学校网络调整，可在管理平台上灵活修改服务器的ip地址，无需重启服务器，使用更改后的ip地址即可访问平台，平台原有模板、桌面信息、网络配置无变化；</w:t>
            </w:r>
          </w:p>
          <w:p w14:paraId="6DA8ACC6">
            <w:pPr>
              <w:widowControl/>
              <w:spacing w:line="440" w:lineRule="exact"/>
              <w:jc w:val="left"/>
              <w:rPr>
                <w:rFonts w:ascii="宋体" w:hAnsi="宋体"/>
                <w:color w:val="auto"/>
                <w:kern w:val="0"/>
                <w:szCs w:val="21"/>
              </w:rPr>
            </w:pPr>
            <w:r>
              <w:rPr>
                <w:rFonts w:hint="eastAsia" w:ascii="宋体" w:hAnsi="宋体"/>
                <w:color w:val="auto"/>
                <w:kern w:val="0"/>
                <w:szCs w:val="21"/>
              </w:rPr>
              <w:t>13.设备支持高温工作、交变湿热、随机振动、压力、跌落、碰撞；</w:t>
            </w:r>
          </w:p>
          <w:p w14:paraId="5F6C5F1D">
            <w:pPr>
              <w:widowControl/>
              <w:spacing w:line="440" w:lineRule="exact"/>
              <w:jc w:val="left"/>
              <w:rPr>
                <w:rFonts w:ascii="宋体" w:hAnsi="宋体"/>
                <w:color w:val="auto"/>
                <w:kern w:val="0"/>
                <w:szCs w:val="21"/>
              </w:rPr>
            </w:pPr>
            <w:r>
              <w:rPr>
                <w:rFonts w:hint="eastAsia" w:ascii="宋体" w:hAnsi="宋体"/>
                <w:color w:val="auto"/>
                <w:kern w:val="0"/>
                <w:szCs w:val="21"/>
              </w:rPr>
              <w:t>14.产品满足浪涌（冲击）抗扰度要求（符合GB/T17626.5-2019相关标准）：（1）AC电源端口线对地4kV，线对线2kV，设备不出现画面质量降低，存储数据丢失，按键失灵现象；（2）电信端口线对地4kV，设备不出现画面质量降低，存储数据丢失，按键失灵现象；</w:t>
            </w:r>
          </w:p>
          <w:p w14:paraId="1986C07B">
            <w:pPr>
              <w:widowControl/>
              <w:spacing w:line="440" w:lineRule="exact"/>
              <w:jc w:val="left"/>
              <w:rPr>
                <w:rFonts w:ascii="宋体" w:hAnsi="宋体"/>
                <w:color w:val="auto"/>
                <w:kern w:val="0"/>
                <w:szCs w:val="21"/>
              </w:rPr>
            </w:pPr>
            <w:r>
              <w:rPr>
                <w:rFonts w:hint="eastAsia" w:ascii="宋体" w:hAnsi="宋体"/>
                <w:color w:val="auto"/>
                <w:kern w:val="0"/>
                <w:szCs w:val="21"/>
              </w:rPr>
              <w:t>▲15.兼容使用进行分布式存储级别的安全冗余，供货时提供一种基于Ceph或其他分布式存储软件的虚拟机高可用实现方法。供货时，提供国家认可的技术证明证书文件扫描件；</w:t>
            </w:r>
          </w:p>
          <w:p w14:paraId="1FE533BB">
            <w:pPr>
              <w:widowControl/>
              <w:spacing w:line="440" w:lineRule="exact"/>
              <w:jc w:val="left"/>
              <w:rPr>
                <w:rFonts w:ascii="宋体" w:hAnsi="宋体"/>
                <w:color w:val="auto"/>
                <w:kern w:val="0"/>
                <w:szCs w:val="21"/>
              </w:rPr>
            </w:pPr>
            <w:r>
              <w:rPr>
                <w:rFonts w:hint="eastAsia" w:ascii="宋体" w:hAnsi="宋体"/>
                <w:color w:val="auto"/>
                <w:kern w:val="0"/>
                <w:szCs w:val="21"/>
              </w:rPr>
              <w:t>16.服务响应：</w:t>
            </w:r>
          </w:p>
          <w:p w14:paraId="49F92D4E">
            <w:pPr>
              <w:widowControl/>
              <w:spacing w:line="440" w:lineRule="exact"/>
              <w:jc w:val="left"/>
              <w:rPr>
                <w:rFonts w:ascii="宋体" w:hAnsi="宋体"/>
                <w:color w:val="auto"/>
                <w:kern w:val="0"/>
                <w:szCs w:val="21"/>
              </w:rPr>
            </w:pPr>
            <w:r>
              <w:rPr>
                <w:rFonts w:hint="eastAsia" w:ascii="宋体" w:hAnsi="宋体"/>
                <w:color w:val="auto"/>
                <w:kern w:val="0"/>
                <w:szCs w:val="21"/>
              </w:rPr>
              <w:t xml:space="preserve">（a） 需提供电话、电子邮件、远程连接等多种形式服务； </w:t>
            </w:r>
          </w:p>
          <w:p w14:paraId="64A53E15">
            <w:pPr>
              <w:widowControl/>
              <w:spacing w:line="440" w:lineRule="exact"/>
              <w:jc w:val="left"/>
              <w:rPr>
                <w:rFonts w:ascii="宋体" w:hAnsi="宋体"/>
                <w:color w:val="auto"/>
                <w:kern w:val="0"/>
                <w:szCs w:val="21"/>
              </w:rPr>
            </w:pPr>
            <w:r>
              <w:rPr>
                <w:rFonts w:hint="eastAsia" w:ascii="宋体" w:hAnsi="宋体"/>
                <w:color w:val="auto"/>
                <w:kern w:val="0"/>
                <w:szCs w:val="21"/>
              </w:rPr>
              <w:t xml:space="preserve">（b）需提供8h 技术响应服务，2个工作日解决问题，对于未能解决的问题和故障应提供可行的升级方案，并提供周转设备； </w:t>
            </w:r>
          </w:p>
          <w:p w14:paraId="0F0F2523">
            <w:pPr>
              <w:widowControl/>
              <w:spacing w:line="440" w:lineRule="exact"/>
              <w:jc w:val="left"/>
              <w:rPr>
                <w:rFonts w:ascii="宋体" w:hAnsi="宋体"/>
                <w:color w:val="auto"/>
                <w:kern w:val="0"/>
                <w:szCs w:val="21"/>
              </w:rPr>
            </w:pPr>
            <w:r>
              <w:rPr>
                <w:rFonts w:hint="eastAsia" w:ascii="宋体" w:hAnsi="宋体"/>
                <w:color w:val="auto"/>
                <w:kern w:val="0"/>
                <w:szCs w:val="21"/>
              </w:rPr>
              <w:t xml:space="preserve">（c）建立全国技术服务体系和服务团体，符合专业服务体系标准要求，提供中文服务； </w:t>
            </w:r>
          </w:p>
          <w:p w14:paraId="4E142A1F">
            <w:pPr>
              <w:widowControl/>
              <w:spacing w:line="440" w:lineRule="exact"/>
              <w:jc w:val="left"/>
              <w:rPr>
                <w:rFonts w:ascii="宋体" w:hAnsi="宋体"/>
                <w:color w:val="auto"/>
                <w:kern w:val="0"/>
                <w:szCs w:val="21"/>
              </w:rPr>
            </w:pPr>
            <w:r>
              <w:rPr>
                <w:rFonts w:hint="eastAsia" w:ascii="宋体" w:hAnsi="宋体"/>
                <w:color w:val="auto"/>
                <w:kern w:val="0"/>
                <w:szCs w:val="21"/>
              </w:rPr>
              <w:t>（d）服务周期内提供产品的维修、换件和升级服务；</w:t>
            </w:r>
          </w:p>
          <w:p w14:paraId="61800C6E">
            <w:pPr>
              <w:widowControl/>
              <w:spacing w:line="440" w:lineRule="exact"/>
              <w:jc w:val="left"/>
              <w:rPr>
                <w:rFonts w:ascii="宋体" w:hAnsi="宋体"/>
                <w:color w:val="auto"/>
                <w:kern w:val="0"/>
                <w:szCs w:val="21"/>
              </w:rPr>
            </w:pPr>
            <w:r>
              <w:rPr>
                <w:rFonts w:hint="eastAsia" w:ascii="宋体" w:hAnsi="宋体"/>
                <w:color w:val="auto"/>
                <w:kern w:val="0"/>
                <w:szCs w:val="21"/>
              </w:rPr>
              <w:t>17.服务周期：</w:t>
            </w:r>
          </w:p>
          <w:p w14:paraId="328386CB">
            <w:pPr>
              <w:widowControl/>
              <w:spacing w:line="440" w:lineRule="exact"/>
              <w:jc w:val="left"/>
              <w:rPr>
                <w:rFonts w:ascii="宋体" w:hAnsi="宋体"/>
                <w:color w:val="auto"/>
                <w:kern w:val="0"/>
                <w:szCs w:val="21"/>
              </w:rPr>
            </w:pPr>
            <w:r>
              <w:rPr>
                <w:rFonts w:hint="eastAsia" w:ascii="宋体" w:hAnsi="宋体"/>
                <w:color w:val="auto"/>
                <w:kern w:val="0"/>
                <w:szCs w:val="21"/>
              </w:rPr>
              <w:t xml:space="preserve">（a）产品免费服务周期（含换件和维修）应不小于3年； </w:t>
            </w:r>
          </w:p>
          <w:p w14:paraId="447C7334">
            <w:pPr>
              <w:spacing w:line="440" w:lineRule="exact"/>
              <w:rPr>
                <w:rFonts w:ascii="宋体" w:hAnsi="宋体"/>
                <w:color w:val="auto"/>
                <w:szCs w:val="21"/>
              </w:rPr>
            </w:pPr>
            <w:r>
              <w:rPr>
                <w:rFonts w:hint="eastAsia" w:ascii="宋体" w:hAnsi="宋体"/>
                <w:color w:val="auto"/>
                <w:kern w:val="0"/>
                <w:szCs w:val="21"/>
              </w:rPr>
              <w:t>（b）</w:t>
            </w:r>
            <w:r>
              <w:rPr>
                <w:rFonts w:hint="eastAsia" w:ascii="宋体" w:hAnsi="宋体"/>
                <w:color w:val="auto"/>
                <w:szCs w:val="21"/>
              </w:rPr>
              <w:t xml:space="preserve"> 产品停止服务时间应提前1年告知客户； </w:t>
            </w:r>
          </w:p>
          <w:p w14:paraId="108F9D22">
            <w:pPr>
              <w:spacing w:line="440" w:lineRule="exact"/>
              <w:rPr>
                <w:color w:val="auto"/>
                <w:sz w:val="24"/>
              </w:rPr>
            </w:pPr>
            <w:r>
              <w:rPr>
                <w:rFonts w:hint="eastAsia" w:ascii="宋体" w:hAnsi="宋体"/>
                <w:color w:val="auto"/>
                <w:kern w:val="0"/>
                <w:szCs w:val="21"/>
              </w:rPr>
              <w:t>（c）</w:t>
            </w:r>
            <w:r>
              <w:rPr>
                <w:rFonts w:hint="eastAsia" w:ascii="宋体" w:hAnsi="宋体"/>
                <w:color w:val="auto"/>
                <w:szCs w:val="21"/>
              </w:rPr>
              <w:t xml:space="preserve"> 产品发布日期需在随机文件中明确；</w:t>
            </w:r>
          </w:p>
        </w:tc>
        <w:tc>
          <w:tcPr>
            <w:tcW w:w="705" w:type="dxa"/>
            <w:vAlign w:val="center"/>
          </w:tcPr>
          <w:p w14:paraId="386392A0">
            <w:pPr>
              <w:spacing w:line="420" w:lineRule="exact"/>
              <w:jc w:val="center"/>
              <w:rPr>
                <w:rFonts w:ascii="宋体" w:hAnsi="宋体" w:cs="宋体"/>
                <w:b/>
                <w:bCs/>
                <w:color w:val="auto"/>
                <w:szCs w:val="21"/>
              </w:rPr>
            </w:pPr>
            <w:r>
              <w:rPr>
                <w:rFonts w:hint="eastAsia" w:ascii="宋体" w:hAnsi="宋体"/>
                <w:color w:val="auto"/>
                <w:szCs w:val="21"/>
              </w:rPr>
              <w:t>1</w:t>
            </w:r>
          </w:p>
        </w:tc>
        <w:tc>
          <w:tcPr>
            <w:tcW w:w="750" w:type="dxa"/>
            <w:vAlign w:val="center"/>
          </w:tcPr>
          <w:p w14:paraId="180D8B1D">
            <w:pPr>
              <w:spacing w:line="420" w:lineRule="exact"/>
              <w:jc w:val="center"/>
              <w:rPr>
                <w:rFonts w:ascii="宋体" w:hAnsi="宋体" w:cs="宋体"/>
                <w:b/>
                <w:bCs/>
                <w:color w:val="auto"/>
                <w:szCs w:val="21"/>
              </w:rPr>
            </w:pPr>
            <w:r>
              <w:rPr>
                <w:rFonts w:hint="eastAsia" w:ascii="宋体" w:hAnsi="宋体"/>
                <w:color w:val="auto"/>
                <w:szCs w:val="21"/>
              </w:rPr>
              <w:t>台</w:t>
            </w:r>
          </w:p>
        </w:tc>
        <w:tc>
          <w:tcPr>
            <w:tcW w:w="780" w:type="dxa"/>
            <w:vAlign w:val="center"/>
          </w:tcPr>
          <w:p w14:paraId="39004E17">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250D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39744812">
            <w:pPr>
              <w:jc w:val="center"/>
              <w:rPr>
                <w:rFonts w:ascii="宋体" w:hAnsi="宋体"/>
                <w:color w:val="auto"/>
                <w:szCs w:val="21"/>
              </w:rPr>
            </w:pPr>
            <w:r>
              <w:rPr>
                <w:rFonts w:hint="eastAsia" w:ascii="宋体" w:hAnsi="宋体"/>
                <w:color w:val="auto"/>
                <w:szCs w:val="21"/>
              </w:rPr>
              <w:t>5</w:t>
            </w:r>
          </w:p>
        </w:tc>
        <w:tc>
          <w:tcPr>
            <w:tcW w:w="1142" w:type="dxa"/>
            <w:vAlign w:val="center"/>
          </w:tcPr>
          <w:p w14:paraId="7D1F6F2A">
            <w:pPr>
              <w:spacing w:line="420" w:lineRule="exact"/>
              <w:jc w:val="center"/>
              <w:rPr>
                <w:rFonts w:ascii="宋体" w:hAnsi="宋体"/>
                <w:color w:val="auto"/>
                <w:szCs w:val="21"/>
              </w:rPr>
            </w:pPr>
            <w:r>
              <w:rPr>
                <w:rFonts w:hint="eastAsia" w:ascii="宋体" w:hAnsi="宋体"/>
                <w:color w:val="auto"/>
                <w:szCs w:val="21"/>
              </w:rPr>
              <w:t>教学云终端教师机</w:t>
            </w:r>
          </w:p>
        </w:tc>
        <w:tc>
          <w:tcPr>
            <w:tcW w:w="5220" w:type="dxa"/>
            <w:vAlign w:val="center"/>
          </w:tcPr>
          <w:p w14:paraId="2B02D4FB">
            <w:pPr>
              <w:widowControl/>
              <w:spacing w:line="440" w:lineRule="exact"/>
              <w:jc w:val="left"/>
              <w:rPr>
                <w:rFonts w:ascii="宋体" w:hAnsi="宋体"/>
                <w:color w:val="auto"/>
                <w:kern w:val="0"/>
                <w:szCs w:val="21"/>
              </w:rPr>
            </w:pPr>
            <w:r>
              <w:rPr>
                <w:rFonts w:hint="eastAsia" w:ascii="宋体" w:hAnsi="宋体"/>
                <w:color w:val="auto"/>
                <w:szCs w:val="21"/>
              </w:rPr>
              <w:t xml:space="preserve">1.CPU：≥Intel I5 12400 </w:t>
            </w:r>
            <w:r>
              <w:rPr>
                <w:rFonts w:hint="eastAsia" w:ascii="宋体" w:hAnsi="宋体"/>
                <w:color w:val="auto"/>
                <w:kern w:val="0"/>
                <w:szCs w:val="21"/>
              </w:rPr>
              <w:t>处理器；</w:t>
            </w:r>
          </w:p>
          <w:p w14:paraId="6938115C">
            <w:pPr>
              <w:widowControl/>
              <w:spacing w:line="440" w:lineRule="exact"/>
              <w:jc w:val="left"/>
              <w:rPr>
                <w:rFonts w:ascii="宋体" w:hAnsi="宋体"/>
                <w:color w:val="auto"/>
                <w:kern w:val="0"/>
                <w:szCs w:val="21"/>
              </w:rPr>
            </w:pPr>
            <w:r>
              <w:rPr>
                <w:rFonts w:hint="eastAsia" w:ascii="宋体" w:hAnsi="宋体"/>
                <w:color w:val="auto"/>
                <w:kern w:val="0"/>
                <w:szCs w:val="21"/>
              </w:rPr>
              <w:t>物理核心数：≥6 核;主频:基础频率≥2.5 GHz，最高睿频可达 4.4 GHz;</w:t>
            </w:r>
          </w:p>
          <w:p w14:paraId="45E56DD2">
            <w:pPr>
              <w:widowControl/>
              <w:spacing w:line="440" w:lineRule="exact"/>
              <w:jc w:val="left"/>
              <w:rPr>
                <w:rFonts w:ascii="宋体" w:hAnsi="宋体"/>
                <w:color w:val="auto"/>
                <w:kern w:val="0"/>
                <w:szCs w:val="21"/>
              </w:rPr>
            </w:pPr>
            <w:r>
              <w:rPr>
                <w:rFonts w:hint="eastAsia" w:ascii="宋体" w:hAnsi="宋体"/>
                <w:color w:val="auto"/>
                <w:kern w:val="0"/>
                <w:szCs w:val="21"/>
              </w:rPr>
              <w:t>末级缓存容量：三级缓存为 18 MB，二级缓存为 7.5 MB;线程数：≥12 线程（支持超线程技术）;热设计功耗（TDP）：65 W;内存支持:最高速率支持 DDR4 3200 MHz;通道数：双通道;</w:t>
            </w:r>
          </w:p>
          <w:p w14:paraId="3301CD8A">
            <w:pPr>
              <w:widowControl/>
              <w:spacing w:line="440" w:lineRule="exact"/>
              <w:jc w:val="left"/>
              <w:rPr>
                <w:rFonts w:ascii="宋体" w:hAnsi="宋体"/>
                <w:color w:val="auto"/>
                <w:szCs w:val="21"/>
              </w:rPr>
            </w:pPr>
            <w:r>
              <w:rPr>
                <w:rFonts w:hint="eastAsia" w:ascii="宋体" w:hAnsi="宋体"/>
                <w:color w:val="auto"/>
                <w:kern w:val="0"/>
                <w:szCs w:val="21"/>
              </w:rPr>
              <w:t>2.内存配置容量</w:t>
            </w:r>
            <w:r>
              <w:rPr>
                <w:rFonts w:hint="eastAsia" w:ascii="宋体" w:hAnsi="宋体"/>
                <w:color w:val="auto"/>
                <w:szCs w:val="21"/>
              </w:rPr>
              <w:t>：≥32G DDR4 ，内存频率≥2666，</w:t>
            </w:r>
            <w:r>
              <w:rPr>
                <w:rFonts w:hint="eastAsia" w:ascii="宋体" w:hAnsi="宋体"/>
                <w:color w:val="auto"/>
                <w:kern w:val="0"/>
                <w:szCs w:val="21"/>
              </w:rPr>
              <w:t>内存规格:</w:t>
            </w:r>
            <w:r>
              <w:rPr>
                <w:rFonts w:hint="eastAsia" w:ascii="宋体" w:hAnsi="宋体"/>
                <w:color w:val="auto"/>
                <w:szCs w:val="21"/>
              </w:rPr>
              <w:t>采用双通道的小外形双列直插式内存模块DDR4内存插槽，可通过机身底部开盖式扩容口将内存提升至最大32GB；</w:t>
            </w:r>
          </w:p>
          <w:p w14:paraId="0FEF548F">
            <w:pPr>
              <w:spacing w:line="440" w:lineRule="exact"/>
              <w:rPr>
                <w:rFonts w:ascii="宋体" w:hAnsi="宋体"/>
                <w:color w:val="auto"/>
                <w:szCs w:val="21"/>
              </w:rPr>
            </w:pPr>
            <w:r>
              <w:rPr>
                <w:rFonts w:hint="eastAsia" w:ascii="宋体" w:hAnsi="宋体"/>
                <w:color w:val="auto"/>
                <w:szCs w:val="21"/>
              </w:rPr>
              <w:t>3.存储设备规格:固态存储容量：≥512G SSD，支持NVMe协议的M.2及mSATA类型双固态硬盘扩展；固态盘数量:≥1 个;</w:t>
            </w:r>
          </w:p>
          <w:p w14:paraId="7F0890EA">
            <w:pPr>
              <w:spacing w:line="440" w:lineRule="exact"/>
              <w:rPr>
                <w:rFonts w:ascii="宋体" w:hAnsi="宋体"/>
                <w:color w:val="auto"/>
                <w:szCs w:val="21"/>
              </w:rPr>
            </w:pPr>
            <w:r>
              <w:rPr>
                <w:rFonts w:hint="eastAsia" w:ascii="宋体" w:hAnsi="宋体"/>
                <w:color w:val="auto"/>
                <w:szCs w:val="21"/>
              </w:rPr>
              <w:t>4.USB 接口数量： ≥8个非外接Hub扩展的主板焊接式USB接口（包含≥4个USB 3.0接口），其中终端前置不少于2个USB 3.0及2个USB2.0接口；</w:t>
            </w:r>
          </w:p>
          <w:p w14:paraId="6B59CF0B">
            <w:pPr>
              <w:spacing w:line="440" w:lineRule="exact"/>
              <w:rPr>
                <w:rFonts w:ascii="宋体" w:hAnsi="宋体"/>
                <w:color w:val="auto"/>
                <w:szCs w:val="21"/>
              </w:rPr>
            </w:pPr>
            <w:r>
              <w:rPr>
                <w:rFonts w:hint="eastAsia" w:ascii="宋体" w:hAnsi="宋体"/>
                <w:color w:val="auto"/>
                <w:szCs w:val="21"/>
              </w:rPr>
              <w:t>5.设备散热方式：支持终端风扇+至少三侧的镂空设计铜管侧出风散热；</w:t>
            </w:r>
          </w:p>
          <w:p w14:paraId="465CFC6B">
            <w:pPr>
              <w:spacing w:line="440" w:lineRule="exact"/>
              <w:rPr>
                <w:rFonts w:ascii="宋体" w:hAnsi="宋体"/>
                <w:color w:val="auto"/>
                <w:szCs w:val="21"/>
              </w:rPr>
            </w:pPr>
            <w:r>
              <w:rPr>
                <w:rFonts w:hint="eastAsia" w:ascii="宋体" w:hAnsi="宋体"/>
                <w:color w:val="auto"/>
                <w:szCs w:val="21"/>
              </w:rPr>
              <w:t>6.为节约桌面空间，终端主体尺寸部分(L*W*H)≤208mm*181mm*43mm，终端整体尺寸不超过1.62L；</w:t>
            </w:r>
          </w:p>
          <w:p w14:paraId="3E1043BD">
            <w:pPr>
              <w:spacing w:line="440" w:lineRule="exact"/>
              <w:rPr>
                <w:rFonts w:ascii="宋体" w:hAnsi="宋体"/>
                <w:color w:val="auto"/>
                <w:szCs w:val="21"/>
              </w:rPr>
            </w:pPr>
            <w:r>
              <w:rPr>
                <w:rFonts w:hint="eastAsia" w:ascii="宋体" w:hAnsi="宋体"/>
                <w:color w:val="auto"/>
                <w:szCs w:val="21"/>
              </w:rPr>
              <w:t>7.其他接口：≥1个VGA接口，≥1个HDMI视频接口，≥1个COM串口；</w:t>
            </w:r>
          </w:p>
          <w:p w14:paraId="5AC96655">
            <w:pPr>
              <w:spacing w:line="440" w:lineRule="exact"/>
              <w:rPr>
                <w:rFonts w:ascii="宋体" w:hAnsi="宋体"/>
                <w:color w:val="auto"/>
                <w:szCs w:val="21"/>
              </w:rPr>
            </w:pPr>
            <w:r>
              <w:rPr>
                <w:rFonts w:hint="eastAsia" w:ascii="宋体" w:hAnsi="宋体"/>
                <w:color w:val="auto"/>
                <w:szCs w:val="21"/>
              </w:rPr>
              <w:t>8.网口：≥1个千兆网口；</w:t>
            </w:r>
          </w:p>
          <w:p w14:paraId="78A5CDB7">
            <w:pPr>
              <w:spacing w:line="440" w:lineRule="exact"/>
              <w:rPr>
                <w:rFonts w:ascii="宋体" w:hAnsi="宋体"/>
                <w:color w:val="auto"/>
                <w:szCs w:val="21"/>
              </w:rPr>
            </w:pPr>
            <w:r>
              <w:rPr>
                <w:rFonts w:hint="eastAsia" w:ascii="宋体" w:hAnsi="宋体"/>
                <w:color w:val="auto"/>
                <w:szCs w:val="21"/>
              </w:rPr>
              <w:t>9.电源：采用1个DC_IN接口，12/19V电源输入，日常工作输入功耗均值不超过120W；</w:t>
            </w:r>
          </w:p>
          <w:p w14:paraId="5BE80BC3">
            <w:pPr>
              <w:spacing w:line="440" w:lineRule="exact"/>
              <w:rPr>
                <w:rFonts w:ascii="宋体" w:hAnsi="宋体"/>
                <w:color w:val="auto"/>
                <w:szCs w:val="21"/>
              </w:rPr>
            </w:pPr>
            <w:r>
              <w:rPr>
                <w:rFonts w:hint="eastAsia" w:ascii="宋体" w:hAnsi="宋体"/>
                <w:color w:val="auto"/>
                <w:szCs w:val="21"/>
              </w:rPr>
              <w:t>▲10.终端前置≥1个开关按钮，含1个IR红外适应办公使用，具备≥1个硬盘指示灯；终端底部支持≥1个可拆卸式SIM卡插槽及1个可拆卸内存插槽（提供终端实物证明图片并加盖竞标人公章）；</w:t>
            </w:r>
          </w:p>
          <w:p w14:paraId="70D6817C">
            <w:pPr>
              <w:spacing w:line="440" w:lineRule="exact"/>
              <w:rPr>
                <w:rFonts w:ascii="宋体" w:hAnsi="宋体"/>
                <w:color w:val="auto"/>
                <w:szCs w:val="21"/>
              </w:rPr>
            </w:pPr>
            <w:r>
              <w:rPr>
                <w:rFonts w:hint="eastAsia" w:ascii="宋体" w:hAnsi="宋体"/>
                <w:color w:val="auto"/>
                <w:szCs w:val="21"/>
              </w:rPr>
              <w:t>11.日常考试需要进行隔位考试，为提高管理便捷度，应支持终端的快速筛选功能，可以通过单数序号或双数序号的方式进行批量管理；</w:t>
            </w:r>
          </w:p>
          <w:p w14:paraId="6E574520">
            <w:pPr>
              <w:spacing w:line="440" w:lineRule="exact"/>
              <w:rPr>
                <w:rFonts w:ascii="宋体" w:hAnsi="宋体"/>
                <w:color w:val="auto"/>
                <w:szCs w:val="21"/>
              </w:rPr>
            </w:pPr>
            <w:r>
              <w:rPr>
                <w:rFonts w:hint="eastAsia" w:ascii="宋体" w:hAnsi="宋体"/>
                <w:color w:val="auto"/>
                <w:szCs w:val="21"/>
              </w:rPr>
              <w:t>14.服务响应：</w:t>
            </w:r>
          </w:p>
          <w:p w14:paraId="1FC4C61C">
            <w:pPr>
              <w:spacing w:line="440" w:lineRule="exact"/>
              <w:rPr>
                <w:rFonts w:ascii="宋体" w:hAnsi="宋体"/>
                <w:color w:val="auto"/>
                <w:szCs w:val="21"/>
              </w:rPr>
            </w:pPr>
            <w:r>
              <w:rPr>
                <w:rFonts w:hint="eastAsia" w:ascii="宋体" w:hAnsi="宋体"/>
                <w:color w:val="auto"/>
                <w:szCs w:val="21"/>
              </w:rPr>
              <w:t>a)供应商提供电话、电子邮件、远程连接等多种形式服务;</w:t>
            </w:r>
          </w:p>
          <w:p w14:paraId="1FCD46F6">
            <w:pPr>
              <w:spacing w:line="440" w:lineRule="exact"/>
              <w:rPr>
                <w:rFonts w:ascii="宋体" w:hAnsi="宋体"/>
                <w:color w:val="auto"/>
                <w:szCs w:val="21"/>
              </w:rPr>
            </w:pPr>
            <w:r>
              <w:rPr>
                <w:rFonts w:hint="eastAsia" w:ascii="宋体" w:hAnsi="宋体"/>
                <w:color w:val="auto"/>
                <w:szCs w:val="21"/>
              </w:rPr>
              <w:t>b)供应商提供同城 4h、异地 12h 技术响应服务，2 个工作日解决问题，对于未能解决的问题和故障应提供可行的升级方案，并提供周转设备或更换设备;</w:t>
            </w:r>
          </w:p>
          <w:p w14:paraId="01CA56E3">
            <w:pPr>
              <w:spacing w:line="440" w:lineRule="exact"/>
              <w:rPr>
                <w:rFonts w:ascii="宋体" w:hAnsi="宋体"/>
                <w:color w:val="auto"/>
                <w:szCs w:val="21"/>
              </w:rPr>
            </w:pPr>
            <w:r>
              <w:rPr>
                <w:rFonts w:hint="eastAsia" w:ascii="宋体" w:hAnsi="宋体"/>
                <w:color w:val="auto"/>
                <w:szCs w:val="21"/>
              </w:rPr>
              <w:t>c)建立全国技术服务体系和服务团体，符合专业服务体系标准要求，提供原厂中文服务;</w:t>
            </w:r>
          </w:p>
          <w:p w14:paraId="532F3420">
            <w:pPr>
              <w:spacing w:line="440" w:lineRule="exact"/>
              <w:rPr>
                <w:rFonts w:ascii="宋体" w:hAnsi="宋体"/>
                <w:color w:val="auto"/>
                <w:szCs w:val="21"/>
              </w:rPr>
            </w:pPr>
            <w:r>
              <w:rPr>
                <w:rFonts w:hint="eastAsia" w:ascii="宋体" w:hAnsi="宋体"/>
                <w:color w:val="auto"/>
                <w:szCs w:val="21"/>
              </w:rPr>
              <w:t>d)服务周期内提供产品的维修、换件和升级服务</w:t>
            </w:r>
          </w:p>
          <w:p w14:paraId="2CEFE4D1">
            <w:pPr>
              <w:spacing w:line="440" w:lineRule="exact"/>
              <w:rPr>
                <w:rFonts w:ascii="宋体" w:hAnsi="宋体"/>
                <w:color w:val="auto"/>
                <w:szCs w:val="21"/>
              </w:rPr>
            </w:pPr>
            <w:r>
              <w:rPr>
                <w:rFonts w:hint="eastAsia" w:ascii="宋体" w:hAnsi="宋体"/>
                <w:color w:val="auto"/>
                <w:szCs w:val="21"/>
              </w:rPr>
              <w:t>15、服务周期</w:t>
            </w:r>
          </w:p>
          <w:p w14:paraId="1F9C31BF">
            <w:pPr>
              <w:widowControl/>
              <w:numPr>
                <w:ilvl w:val="0"/>
                <w:numId w:val="2"/>
              </w:numPr>
              <w:spacing w:line="440" w:lineRule="exact"/>
              <w:jc w:val="left"/>
              <w:rPr>
                <w:rFonts w:ascii="宋体" w:hAnsi="宋体"/>
                <w:color w:val="auto"/>
                <w:szCs w:val="21"/>
              </w:rPr>
            </w:pPr>
            <w:r>
              <w:rPr>
                <w:rFonts w:hint="eastAsia" w:ascii="宋体" w:hAnsi="宋体"/>
                <w:color w:val="auto"/>
                <w:szCs w:val="21"/>
              </w:rPr>
              <w:t>设备停产后应继续提供质量保障服务(含备品备件);</w:t>
            </w:r>
          </w:p>
          <w:p w14:paraId="5B541E47">
            <w:pPr>
              <w:widowControl/>
              <w:numPr>
                <w:ilvl w:val="0"/>
                <w:numId w:val="2"/>
              </w:numPr>
              <w:spacing w:line="440" w:lineRule="exact"/>
              <w:jc w:val="left"/>
              <w:rPr>
                <w:rFonts w:ascii="宋体" w:hAnsi="宋体"/>
                <w:color w:val="auto"/>
                <w:szCs w:val="21"/>
              </w:rPr>
            </w:pPr>
            <w:r>
              <w:rPr>
                <w:rFonts w:hint="eastAsia" w:ascii="宋体" w:hAnsi="宋体"/>
                <w:color w:val="auto"/>
                <w:szCs w:val="21"/>
              </w:rPr>
              <w:t>产品停止服务时间应提前1年告知;</w:t>
            </w:r>
          </w:p>
          <w:p w14:paraId="48963EA2">
            <w:pPr>
              <w:numPr>
                <w:ilvl w:val="0"/>
                <w:numId w:val="2"/>
              </w:numPr>
              <w:spacing w:line="440" w:lineRule="exact"/>
              <w:rPr>
                <w:rFonts w:ascii="宋体" w:hAnsi="宋体"/>
                <w:color w:val="auto"/>
                <w:szCs w:val="21"/>
              </w:rPr>
            </w:pPr>
            <w:r>
              <w:rPr>
                <w:rFonts w:hint="eastAsia" w:ascii="宋体" w:hAnsi="宋体"/>
                <w:color w:val="auto"/>
                <w:szCs w:val="21"/>
              </w:rPr>
              <w:t>应明确产品发布日期；</w:t>
            </w:r>
          </w:p>
          <w:p w14:paraId="0757B431">
            <w:pPr>
              <w:spacing w:line="420" w:lineRule="exact"/>
              <w:rPr>
                <w:color w:val="auto"/>
              </w:rPr>
            </w:pPr>
            <w:r>
              <w:rPr>
                <w:rFonts w:hint="eastAsia" w:ascii="宋体" w:hAnsi="宋体"/>
                <w:color w:val="auto"/>
                <w:szCs w:val="21"/>
              </w:rPr>
              <w:t>▲16.提供产品节能认证证书，加盖竞标人公章。</w:t>
            </w:r>
          </w:p>
        </w:tc>
        <w:tc>
          <w:tcPr>
            <w:tcW w:w="705" w:type="dxa"/>
            <w:vAlign w:val="center"/>
          </w:tcPr>
          <w:p w14:paraId="72D22337">
            <w:pPr>
              <w:spacing w:line="420" w:lineRule="exact"/>
              <w:jc w:val="center"/>
              <w:rPr>
                <w:rFonts w:ascii="宋体" w:hAnsi="宋体" w:cs="宋体"/>
                <w:b/>
                <w:bCs/>
                <w:color w:val="auto"/>
                <w:szCs w:val="21"/>
              </w:rPr>
            </w:pPr>
            <w:r>
              <w:rPr>
                <w:rFonts w:hint="eastAsia" w:ascii="宋体" w:hAnsi="宋体"/>
                <w:color w:val="auto"/>
                <w:szCs w:val="21"/>
              </w:rPr>
              <w:t>5</w:t>
            </w:r>
          </w:p>
        </w:tc>
        <w:tc>
          <w:tcPr>
            <w:tcW w:w="750" w:type="dxa"/>
            <w:vAlign w:val="center"/>
          </w:tcPr>
          <w:p w14:paraId="7CE46A3A">
            <w:pPr>
              <w:spacing w:line="420" w:lineRule="exact"/>
              <w:jc w:val="center"/>
              <w:rPr>
                <w:rFonts w:ascii="宋体" w:hAnsi="宋体" w:cs="宋体"/>
                <w:b/>
                <w:bCs/>
                <w:color w:val="auto"/>
                <w:szCs w:val="21"/>
              </w:rPr>
            </w:pPr>
            <w:r>
              <w:rPr>
                <w:rFonts w:hint="eastAsia" w:ascii="宋体" w:hAnsi="宋体"/>
                <w:color w:val="auto"/>
                <w:szCs w:val="21"/>
              </w:rPr>
              <w:t>台</w:t>
            </w:r>
          </w:p>
        </w:tc>
        <w:tc>
          <w:tcPr>
            <w:tcW w:w="780" w:type="dxa"/>
            <w:vAlign w:val="center"/>
          </w:tcPr>
          <w:p w14:paraId="015DE054">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7077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57B92245">
            <w:pPr>
              <w:jc w:val="center"/>
              <w:rPr>
                <w:rFonts w:ascii="宋体" w:hAnsi="宋体"/>
                <w:color w:val="auto"/>
                <w:szCs w:val="21"/>
              </w:rPr>
            </w:pPr>
            <w:r>
              <w:rPr>
                <w:rFonts w:hint="eastAsia" w:ascii="宋体" w:hAnsi="宋体"/>
                <w:color w:val="auto"/>
                <w:szCs w:val="21"/>
              </w:rPr>
              <w:t>6</w:t>
            </w:r>
          </w:p>
        </w:tc>
        <w:tc>
          <w:tcPr>
            <w:tcW w:w="1142" w:type="dxa"/>
            <w:vAlign w:val="center"/>
          </w:tcPr>
          <w:p w14:paraId="26D8C3E5">
            <w:pPr>
              <w:spacing w:line="420" w:lineRule="exact"/>
              <w:jc w:val="center"/>
              <w:rPr>
                <w:rFonts w:ascii="宋体" w:hAnsi="宋体"/>
                <w:color w:val="auto"/>
                <w:szCs w:val="21"/>
              </w:rPr>
            </w:pPr>
            <w:r>
              <w:rPr>
                <w:rFonts w:hint="eastAsia" w:ascii="宋体" w:hAnsi="宋体"/>
                <w:color w:val="auto"/>
                <w:szCs w:val="21"/>
              </w:rPr>
              <w:t>云盒子设备</w:t>
            </w:r>
          </w:p>
        </w:tc>
        <w:tc>
          <w:tcPr>
            <w:tcW w:w="5220" w:type="dxa"/>
            <w:vAlign w:val="center"/>
          </w:tcPr>
          <w:p w14:paraId="1E5949B2">
            <w:pPr>
              <w:spacing w:line="420" w:lineRule="exact"/>
              <w:rPr>
                <w:rFonts w:ascii="宋体" w:hAnsi="宋体"/>
                <w:color w:val="auto"/>
                <w:szCs w:val="21"/>
              </w:rPr>
            </w:pPr>
            <w:r>
              <w:rPr>
                <w:rFonts w:hint="eastAsia" w:ascii="宋体" w:hAnsi="宋体"/>
                <w:color w:val="auto"/>
                <w:szCs w:val="21"/>
              </w:rPr>
              <w:t xml:space="preserve">1.架构：x86架构云终端； </w:t>
            </w:r>
          </w:p>
          <w:p w14:paraId="27397D31">
            <w:pPr>
              <w:spacing w:line="420" w:lineRule="exact"/>
              <w:rPr>
                <w:rFonts w:ascii="宋体" w:hAnsi="宋体"/>
                <w:color w:val="auto"/>
                <w:szCs w:val="21"/>
              </w:rPr>
            </w:pPr>
            <w:r>
              <w:rPr>
                <w:rFonts w:hint="eastAsia" w:ascii="宋体" w:hAnsi="宋体"/>
                <w:color w:val="auto"/>
                <w:szCs w:val="21"/>
              </w:rPr>
              <w:t>2.CPU：intel四核 四线程处理器，基础主频2.0GHz，最大支持2.8GHz；</w:t>
            </w:r>
          </w:p>
          <w:p w14:paraId="4C45D33F">
            <w:pPr>
              <w:spacing w:line="420" w:lineRule="exact"/>
              <w:rPr>
                <w:rFonts w:ascii="宋体" w:hAnsi="宋体"/>
                <w:color w:val="auto"/>
                <w:szCs w:val="21"/>
              </w:rPr>
            </w:pPr>
            <w:r>
              <w:rPr>
                <w:rFonts w:hint="eastAsia" w:ascii="宋体" w:hAnsi="宋体"/>
                <w:color w:val="auto"/>
                <w:szCs w:val="21"/>
              </w:rPr>
              <w:t>3.内存：实配≥4GB DDR4内存，最大支持16GB，后盖独立开盖设计，内存易拆易升级；</w:t>
            </w:r>
          </w:p>
          <w:p w14:paraId="56C05E2D">
            <w:pPr>
              <w:spacing w:line="420" w:lineRule="exact"/>
              <w:rPr>
                <w:rFonts w:ascii="宋体" w:hAnsi="宋体"/>
                <w:color w:val="auto"/>
                <w:szCs w:val="21"/>
              </w:rPr>
            </w:pPr>
            <w:r>
              <w:rPr>
                <w:rFonts w:hint="eastAsia" w:ascii="宋体" w:hAnsi="宋体"/>
                <w:color w:val="auto"/>
                <w:szCs w:val="21"/>
              </w:rPr>
              <w:t xml:space="preserve">4.硬盘：实配≥128GB M.2 SSD； </w:t>
            </w:r>
          </w:p>
          <w:p w14:paraId="26BB6D47">
            <w:pPr>
              <w:spacing w:line="420" w:lineRule="exact"/>
              <w:rPr>
                <w:rFonts w:ascii="宋体" w:hAnsi="宋体"/>
                <w:color w:val="auto"/>
                <w:szCs w:val="21"/>
              </w:rPr>
            </w:pPr>
            <w:r>
              <w:rPr>
                <w:rFonts w:hint="eastAsia" w:ascii="宋体" w:hAnsi="宋体"/>
                <w:color w:val="auto"/>
                <w:szCs w:val="21"/>
              </w:rPr>
              <w:t xml:space="preserve">5.显卡：集成Intel UHD Graphics显示芯片； </w:t>
            </w:r>
          </w:p>
          <w:p w14:paraId="2AA0A3A8">
            <w:pPr>
              <w:spacing w:line="420" w:lineRule="exact"/>
              <w:rPr>
                <w:rFonts w:ascii="宋体" w:hAnsi="宋体"/>
                <w:color w:val="auto"/>
                <w:szCs w:val="21"/>
              </w:rPr>
            </w:pPr>
            <w:r>
              <w:rPr>
                <w:rFonts w:hint="eastAsia" w:ascii="宋体" w:hAnsi="宋体"/>
                <w:color w:val="auto"/>
                <w:szCs w:val="21"/>
              </w:rPr>
              <w:t>6.显示接口：1个VGA口，1个HDMI口；</w:t>
            </w:r>
          </w:p>
          <w:p w14:paraId="493F96FC">
            <w:pPr>
              <w:spacing w:line="420" w:lineRule="exact"/>
              <w:rPr>
                <w:rFonts w:ascii="宋体" w:hAnsi="宋体"/>
                <w:color w:val="auto"/>
                <w:szCs w:val="21"/>
              </w:rPr>
            </w:pPr>
            <w:r>
              <w:rPr>
                <w:rFonts w:hint="eastAsia" w:ascii="宋体" w:hAnsi="宋体"/>
                <w:color w:val="auto"/>
                <w:szCs w:val="21"/>
              </w:rPr>
              <w:t>7.USB接口：≥8个USB接口，其中前置4个（2个USB3.2 GEN2，2个USB2.0），后置4个（2个USB3.2 Gen1，2个USB2.0）</w:t>
            </w:r>
          </w:p>
          <w:p w14:paraId="3D47F5D6">
            <w:pPr>
              <w:spacing w:line="420" w:lineRule="exact"/>
              <w:rPr>
                <w:rFonts w:ascii="宋体" w:hAnsi="宋体"/>
                <w:color w:val="auto"/>
                <w:szCs w:val="21"/>
              </w:rPr>
            </w:pPr>
            <w:r>
              <w:rPr>
                <w:rFonts w:hint="eastAsia" w:ascii="宋体" w:hAnsi="宋体"/>
                <w:color w:val="auto"/>
                <w:szCs w:val="21"/>
              </w:rPr>
              <w:t>8. 2组音频接口，前置3.5mm  Mic in*1.AudioOut*1，后置4段式音频输入输出口；</w:t>
            </w:r>
          </w:p>
          <w:p w14:paraId="4DE8CCA8">
            <w:pPr>
              <w:spacing w:line="420" w:lineRule="exact"/>
              <w:rPr>
                <w:rFonts w:ascii="宋体" w:hAnsi="宋体"/>
                <w:color w:val="auto"/>
                <w:szCs w:val="21"/>
              </w:rPr>
            </w:pPr>
            <w:r>
              <w:rPr>
                <w:rFonts w:hint="eastAsia" w:ascii="宋体" w:hAnsi="宋体"/>
                <w:color w:val="auto"/>
                <w:szCs w:val="21"/>
              </w:rPr>
              <w:t xml:space="preserve">9.后置扩展模块，支持外接延长开关，可满足终端封闭式安装放置后的便捷式开关机操作； </w:t>
            </w:r>
          </w:p>
          <w:p w14:paraId="0A29D099">
            <w:pPr>
              <w:spacing w:line="420" w:lineRule="exact"/>
              <w:rPr>
                <w:rFonts w:ascii="宋体" w:hAnsi="宋体"/>
                <w:color w:val="auto"/>
                <w:szCs w:val="21"/>
              </w:rPr>
            </w:pPr>
            <w:r>
              <w:rPr>
                <w:rFonts w:hint="eastAsia" w:ascii="宋体" w:hAnsi="宋体"/>
                <w:color w:val="auto"/>
                <w:szCs w:val="21"/>
              </w:rPr>
              <w:t>10.支持一键快速恢复CMOS；</w:t>
            </w:r>
          </w:p>
          <w:p w14:paraId="22E00994">
            <w:pPr>
              <w:spacing w:line="420" w:lineRule="exact"/>
              <w:rPr>
                <w:rFonts w:ascii="宋体" w:hAnsi="宋体"/>
                <w:color w:val="auto"/>
                <w:szCs w:val="21"/>
              </w:rPr>
            </w:pPr>
            <w:r>
              <w:rPr>
                <w:rFonts w:hint="eastAsia" w:ascii="宋体" w:hAnsi="宋体"/>
                <w:color w:val="auto"/>
                <w:szCs w:val="21"/>
              </w:rPr>
              <w:t>11.尺寸：≤190X140X40mm；</w:t>
            </w:r>
          </w:p>
          <w:p w14:paraId="31E48684">
            <w:pPr>
              <w:spacing w:line="420" w:lineRule="exact"/>
              <w:rPr>
                <w:color w:val="auto"/>
              </w:rPr>
            </w:pPr>
            <w:r>
              <w:rPr>
                <w:rFonts w:hint="eastAsia" w:ascii="宋体" w:hAnsi="宋体"/>
                <w:color w:val="auto"/>
                <w:szCs w:val="21"/>
              </w:rPr>
              <w:t>▲7.提供产品节能认证证书，加盖竞标人公章。</w:t>
            </w:r>
          </w:p>
        </w:tc>
        <w:tc>
          <w:tcPr>
            <w:tcW w:w="705" w:type="dxa"/>
            <w:vAlign w:val="center"/>
          </w:tcPr>
          <w:p w14:paraId="5955EB9B">
            <w:pPr>
              <w:spacing w:line="420" w:lineRule="exact"/>
              <w:jc w:val="center"/>
              <w:rPr>
                <w:rFonts w:ascii="宋体" w:hAnsi="宋体" w:cs="宋体"/>
                <w:b/>
                <w:bCs/>
                <w:color w:val="auto"/>
                <w:szCs w:val="21"/>
              </w:rPr>
            </w:pPr>
            <w:r>
              <w:rPr>
                <w:rFonts w:hint="eastAsia" w:ascii="宋体" w:hAnsi="宋体"/>
                <w:color w:val="auto"/>
                <w:szCs w:val="21"/>
              </w:rPr>
              <w:t>246</w:t>
            </w:r>
          </w:p>
        </w:tc>
        <w:tc>
          <w:tcPr>
            <w:tcW w:w="750" w:type="dxa"/>
            <w:vAlign w:val="center"/>
          </w:tcPr>
          <w:p w14:paraId="47DD54C7">
            <w:pPr>
              <w:spacing w:line="420" w:lineRule="exact"/>
              <w:jc w:val="center"/>
              <w:rPr>
                <w:rFonts w:ascii="宋体" w:hAnsi="宋体" w:cs="宋体"/>
                <w:b/>
                <w:bCs/>
                <w:color w:val="auto"/>
                <w:szCs w:val="21"/>
              </w:rPr>
            </w:pPr>
            <w:r>
              <w:rPr>
                <w:rFonts w:hint="eastAsia" w:ascii="宋体" w:hAnsi="宋体"/>
                <w:color w:val="auto"/>
                <w:szCs w:val="21"/>
              </w:rPr>
              <w:t>台</w:t>
            </w:r>
          </w:p>
        </w:tc>
        <w:tc>
          <w:tcPr>
            <w:tcW w:w="780" w:type="dxa"/>
            <w:vAlign w:val="center"/>
          </w:tcPr>
          <w:p w14:paraId="34873CC7">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4B66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69787A72">
            <w:pPr>
              <w:jc w:val="center"/>
              <w:rPr>
                <w:rFonts w:ascii="宋体" w:hAnsi="宋体"/>
                <w:color w:val="auto"/>
                <w:szCs w:val="21"/>
              </w:rPr>
            </w:pPr>
            <w:r>
              <w:rPr>
                <w:rFonts w:hint="eastAsia" w:ascii="宋体" w:hAnsi="宋体"/>
                <w:color w:val="auto"/>
                <w:szCs w:val="21"/>
              </w:rPr>
              <w:t>7</w:t>
            </w:r>
          </w:p>
        </w:tc>
        <w:tc>
          <w:tcPr>
            <w:tcW w:w="1142" w:type="dxa"/>
            <w:vAlign w:val="center"/>
          </w:tcPr>
          <w:p w14:paraId="23AB4FBF">
            <w:pPr>
              <w:spacing w:line="420" w:lineRule="exact"/>
              <w:jc w:val="center"/>
              <w:rPr>
                <w:rFonts w:ascii="宋体" w:hAnsi="宋体"/>
                <w:color w:val="auto"/>
                <w:szCs w:val="21"/>
              </w:rPr>
            </w:pPr>
            <w:r>
              <w:rPr>
                <w:rFonts w:hint="eastAsia" w:ascii="宋体" w:hAnsi="宋体"/>
                <w:color w:val="auto"/>
                <w:szCs w:val="21"/>
              </w:rPr>
              <w:t>显示器</w:t>
            </w:r>
          </w:p>
        </w:tc>
        <w:tc>
          <w:tcPr>
            <w:tcW w:w="5220" w:type="dxa"/>
            <w:vAlign w:val="center"/>
          </w:tcPr>
          <w:p w14:paraId="37196907">
            <w:pPr>
              <w:spacing w:line="420" w:lineRule="exact"/>
              <w:rPr>
                <w:rFonts w:ascii="宋体" w:hAnsi="宋体"/>
                <w:color w:val="auto"/>
                <w:szCs w:val="21"/>
              </w:rPr>
            </w:pPr>
            <w:r>
              <w:rPr>
                <w:rFonts w:hint="eastAsia" w:ascii="宋体" w:hAnsi="宋体"/>
                <w:color w:val="auto"/>
                <w:szCs w:val="21"/>
              </w:rPr>
              <w:t>1.屏幕尺寸（对角）：23.8吋；</w:t>
            </w:r>
          </w:p>
          <w:p w14:paraId="4F8FBE8F">
            <w:pPr>
              <w:spacing w:line="420" w:lineRule="exact"/>
              <w:rPr>
                <w:rFonts w:ascii="宋体" w:hAnsi="宋体"/>
                <w:color w:val="auto"/>
                <w:szCs w:val="21"/>
              </w:rPr>
            </w:pPr>
            <w:r>
              <w:rPr>
                <w:rFonts w:hint="eastAsia" w:ascii="宋体" w:hAnsi="宋体"/>
                <w:color w:val="auto"/>
                <w:szCs w:val="21"/>
              </w:rPr>
              <w:t>2.屏幕比例：16:9；</w:t>
            </w:r>
          </w:p>
          <w:p w14:paraId="630118C6">
            <w:pPr>
              <w:spacing w:line="420" w:lineRule="exact"/>
              <w:rPr>
                <w:rFonts w:ascii="宋体" w:hAnsi="宋体"/>
                <w:color w:val="auto"/>
                <w:szCs w:val="21"/>
              </w:rPr>
            </w:pPr>
            <w:r>
              <w:rPr>
                <w:rFonts w:hint="eastAsia" w:ascii="宋体" w:hAnsi="宋体"/>
                <w:color w:val="auto"/>
                <w:szCs w:val="21"/>
              </w:rPr>
              <w:t>3.面板类型：IPS硬屏技术；</w:t>
            </w:r>
          </w:p>
          <w:p w14:paraId="2FEA8B9B">
            <w:pPr>
              <w:spacing w:line="420" w:lineRule="exact"/>
              <w:rPr>
                <w:rFonts w:ascii="宋体" w:hAnsi="宋体"/>
                <w:color w:val="auto"/>
                <w:szCs w:val="21"/>
              </w:rPr>
            </w:pPr>
            <w:r>
              <w:rPr>
                <w:rFonts w:hint="eastAsia" w:ascii="宋体" w:hAnsi="宋体"/>
                <w:color w:val="auto"/>
                <w:szCs w:val="21"/>
              </w:rPr>
              <w:t>4.最大分辨率 ：1920x1080@75Hz (HDMI)；</w:t>
            </w:r>
          </w:p>
          <w:p w14:paraId="61FFC377">
            <w:pPr>
              <w:spacing w:line="420" w:lineRule="exact"/>
              <w:rPr>
                <w:rFonts w:ascii="宋体" w:hAnsi="宋体"/>
                <w:color w:val="auto"/>
                <w:szCs w:val="21"/>
              </w:rPr>
            </w:pPr>
            <w:r>
              <w:rPr>
                <w:rFonts w:hint="eastAsia" w:ascii="宋体" w:hAnsi="宋体"/>
                <w:color w:val="auto"/>
                <w:szCs w:val="21"/>
              </w:rPr>
              <w:t>5.推荐分辨率（典型值）：1920x1080@60Hz；</w:t>
            </w:r>
          </w:p>
          <w:p w14:paraId="2C6918CB">
            <w:pPr>
              <w:spacing w:line="420" w:lineRule="exact"/>
              <w:rPr>
                <w:rFonts w:ascii="宋体" w:hAnsi="宋体"/>
                <w:color w:val="auto"/>
                <w:szCs w:val="21"/>
              </w:rPr>
            </w:pPr>
            <w:r>
              <w:rPr>
                <w:rFonts w:hint="eastAsia" w:ascii="宋体" w:hAnsi="宋体"/>
                <w:color w:val="auto"/>
                <w:szCs w:val="21"/>
              </w:rPr>
              <w:t>6.壁挂：VESA 100mm×100mm；</w:t>
            </w:r>
          </w:p>
          <w:p w14:paraId="34B12598">
            <w:pPr>
              <w:spacing w:line="420" w:lineRule="exact"/>
              <w:rPr>
                <w:rFonts w:ascii="宋体" w:hAnsi="宋体"/>
                <w:color w:val="auto"/>
                <w:szCs w:val="21"/>
              </w:rPr>
            </w:pPr>
            <w:r>
              <w:rPr>
                <w:rFonts w:hint="eastAsia" w:ascii="宋体" w:hAnsi="宋体"/>
                <w:b w:val="0"/>
                <w:bCs w:val="0"/>
                <w:color w:val="auto"/>
                <w:szCs w:val="21"/>
              </w:rPr>
              <w:t>▲</w:t>
            </w:r>
            <w:r>
              <w:rPr>
                <w:rFonts w:hint="eastAsia" w:ascii="宋体" w:hAnsi="宋体" w:cs="宋体"/>
                <w:b w:val="0"/>
                <w:bCs w:val="0"/>
                <w:color w:val="auto"/>
                <w:szCs w:val="21"/>
              </w:rPr>
              <w:t>7.提供产品节能认证证书，加盖竞标人公章。</w:t>
            </w:r>
          </w:p>
        </w:tc>
        <w:tc>
          <w:tcPr>
            <w:tcW w:w="705" w:type="dxa"/>
            <w:vAlign w:val="center"/>
          </w:tcPr>
          <w:p w14:paraId="4DE55D02">
            <w:pPr>
              <w:spacing w:line="420" w:lineRule="exact"/>
              <w:jc w:val="center"/>
              <w:rPr>
                <w:rFonts w:ascii="宋体" w:hAnsi="宋体" w:cs="宋体"/>
                <w:b/>
                <w:bCs/>
                <w:color w:val="auto"/>
                <w:szCs w:val="21"/>
              </w:rPr>
            </w:pPr>
            <w:r>
              <w:rPr>
                <w:rFonts w:hint="eastAsia" w:ascii="宋体" w:hAnsi="宋体"/>
                <w:color w:val="auto"/>
                <w:szCs w:val="21"/>
              </w:rPr>
              <w:t>302</w:t>
            </w:r>
          </w:p>
        </w:tc>
        <w:tc>
          <w:tcPr>
            <w:tcW w:w="750" w:type="dxa"/>
            <w:vAlign w:val="center"/>
          </w:tcPr>
          <w:p w14:paraId="6167219F">
            <w:pPr>
              <w:spacing w:line="420" w:lineRule="exact"/>
              <w:jc w:val="center"/>
              <w:rPr>
                <w:rFonts w:ascii="宋体" w:hAnsi="宋体" w:cs="宋体"/>
                <w:b/>
                <w:bCs/>
                <w:color w:val="auto"/>
                <w:szCs w:val="21"/>
              </w:rPr>
            </w:pPr>
            <w:r>
              <w:rPr>
                <w:rFonts w:hint="eastAsia" w:ascii="宋体" w:hAnsi="宋体"/>
                <w:color w:val="auto"/>
                <w:szCs w:val="21"/>
              </w:rPr>
              <w:t>台</w:t>
            </w:r>
          </w:p>
        </w:tc>
        <w:tc>
          <w:tcPr>
            <w:tcW w:w="780" w:type="dxa"/>
            <w:vAlign w:val="center"/>
          </w:tcPr>
          <w:p w14:paraId="06FDB548">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185B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3DDE1C87">
            <w:pPr>
              <w:jc w:val="center"/>
              <w:rPr>
                <w:rFonts w:ascii="宋体" w:hAnsi="宋体"/>
                <w:color w:val="auto"/>
                <w:szCs w:val="21"/>
              </w:rPr>
            </w:pPr>
            <w:r>
              <w:rPr>
                <w:rFonts w:hint="eastAsia" w:ascii="宋体" w:hAnsi="宋体"/>
                <w:color w:val="auto"/>
                <w:szCs w:val="21"/>
              </w:rPr>
              <w:t>8</w:t>
            </w:r>
          </w:p>
        </w:tc>
        <w:tc>
          <w:tcPr>
            <w:tcW w:w="1142" w:type="dxa"/>
            <w:vAlign w:val="center"/>
          </w:tcPr>
          <w:p w14:paraId="2C58A0FC">
            <w:pPr>
              <w:spacing w:line="420" w:lineRule="exact"/>
              <w:jc w:val="center"/>
              <w:rPr>
                <w:rFonts w:ascii="宋体" w:hAnsi="宋体"/>
                <w:color w:val="auto"/>
                <w:szCs w:val="21"/>
              </w:rPr>
            </w:pPr>
            <w:r>
              <w:rPr>
                <w:rFonts w:hint="eastAsia" w:ascii="宋体" w:hAnsi="宋体"/>
                <w:color w:val="auto"/>
                <w:szCs w:val="21"/>
              </w:rPr>
              <w:t>键鼠套装</w:t>
            </w:r>
          </w:p>
        </w:tc>
        <w:tc>
          <w:tcPr>
            <w:tcW w:w="5220" w:type="dxa"/>
            <w:vAlign w:val="center"/>
          </w:tcPr>
          <w:p w14:paraId="66305C0F">
            <w:pPr>
              <w:spacing w:line="420" w:lineRule="exact"/>
              <w:rPr>
                <w:rFonts w:ascii="宋体" w:hAnsi="宋体"/>
                <w:color w:val="auto"/>
                <w:szCs w:val="21"/>
              </w:rPr>
            </w:pPr>
            <w:r>
              <w:rPr>
                <w:rFonts w:hint="eastAsia" w:ascii="宋体" w:hAnsi="宋体"/>
                <w:color w:val="auto"/>
                <w:szCs w:val="21"/>
              </w:rPr>
              <w:t>1.全尺寸106键布局，操作更加便携；</w:t>
            </w:r>
          </w:p>
          <w:p w14:paraId="5507FB52">
            <w:pPr>
              <w:spacing w:line="420" w:lineRule="exact"/>
              <w:rPr>
                <w:rFonts w:ascii="宋体" w:hAnsi="宋体"/>
                <w:color w:val="auto"/>
                <w:szCs w:val="21"/>
              </w:rPr>
            </w:pPr>
            <w:r>
              <w:rPr>
                <w:rFonts w:hint="eastAsia" w:ascii="宋体" w:hAnsi="宋体"/>
                <w:color w:val="auto"/>
                <w:szCs w:val="21"/>
              </w:rPr>
              <w:t>2.键盘材质：ABS黑色；</w:t>
            </w:r>
          </w:p>
          <w:p w14:paraId="665D25D7">
            <w:pPr>
              <w:spacing w:line="420" w:lineRule="exact"/>
              <w:rPr>
                <w:rFonts w:ascii="宋体" w:hAnsi="宋体"/>
                <w:color w:val="auto"/>
                <w:szCs w:val="21"/>
              </w:rPr>
            </w:pPr>
            <w:r>
              <w:rPr>
                <w:rFonts w:hint="eastAsia" w:ascii="宋体" w:hAnsi="宋体"/>
                <w:color w:val="auto"/>
                <w:szCs w:val="21"/>
              </w:rPr>
              <w:t>3.USB接线长度：全黑PVC线，线长1.75M；</w:t>
            </w:r>
          </w:p>
          <w:p w14:paraId="06780157">
            <w:pPr>
              <w:spacing w:line="420" w:lineRule="exact"/>
              <w:rPr>
                <w:rFonts w:ascii="宋体" w:hAnsi="宋体"/>
                <w:color w:val="auto"/>
                <w:szCs w:val="21"/>
              </w:rPr>
            </w:pPr>
            <w:r>
              <w:rPr>
                <w:rFonts w:hint="eastAsia" w:ascii="宋体" w:hAnsi="宋体"/>
                <w:color w:val="auto"/>
                <w:szCs w:val="21"/>
              </w:rPr>
              <w:t>4.按键寿命：正常操作下1000万次以上；</w:t>
            </w:r>
          </w:p>
          <w:p w14:paraId="5D89604D">
            <w:pPr>
              <w:spacing w:line="420" w:lineRule="exact"/>
              <w:rPr>
                <w:rFonts w:ascii="宋体" w:hAnsi="宋体"/>
                <w:color w:val="auto"/>
                <w:szCs w:val="21"/>
              </w:rPr>
            </w:pPr>
            <w:r>
              <w:rPr>
                <w:rFonts w:hint="eastAsia" w:ascii="宋体" w:hAnsi="宋体"/>
                <w:color w:val="auto"/>
                <w:szCs w:val="21"/>
              </w:rPr>
              <w:t>5.鼠标材质：ABS黑色；</w:t>
            </w:r>
          </w:p>
          <w:p w14:paraId="3771F211">
            <w:pPr>
              <w:spacing w:line="420" w:lineRule="exact"/>
              <w:rPr>
                <w:rFonts w:ascii="宋体" w:hAnsi="宋体"/>
                <w:color w:val="auto"/>
                <w:szCs w:val="21"/>
              </w:rPr>
            </w:pPr>
            <w:r>
              <w:rPr>
                <w:rFonts w:hint="eastAsia" w:ascii="宋体" w:hAnsi="宋体"/>
                <w:color w:val="auto"/>
                <w:szCs w:val="21"/>
              </w:rPr>
              <w:t>6.按键寿命：正常操作下300万次以上；</w:t>
            </w:r>
          </w:p>
          <w:p w14:paraId="02BF7D5D">
            <w:pPr>
              <w:spacing w:line="420" w:lineRule="exact"/>
              <w:rPr>
                <w:rFonts w:ascii="宋体" w:hAnsi="宋体"/>
                <w:color w:val="auto"/>
                <w:szCs w:val="21"/>
              </w:rPr>
            </w:pPr>
            <w:r>
              <w:rPr>
                <w:rFonts w:hint="eastAsia" w:ascii="宋体" w:hAnsi="宋体"/>
                <w:color w:val="auto"/>
                <w:szCs w:val="21"/>
              </w:rPr>
              <w:t>7.分辨率：默认800DPI，可调1200.1600。</w:t>
            </w:r>
          </w:p>
        </w:tc>
        <w:tc>
          <w:tcPr>
            <w:tcW w:w="705" w:type="dxa"/>
            <w:vAlign w:val="center"/>
          </w:tcPr>
          <w:p w14:paraId="22B9F172">
            <w:pPr>
              <w:spacing w:line="420" w:lineRule="exact"/>
              <w:jc w:val="center"/>
              <w:rPr>
                <w:rFonts w:ascii="宋体" w:hAnsi="宋体" w:cs="宋体"/>
                <w:b/>
                <w:bCs/>
                <w:color w:val="auto"/>
                <w:szCs w:val="21"/>
              </w:rPr>
            </w:pPr>
            <w:r>
              <w:rPr>
                <w:rFonts w:hint="eastAsia" w:ascii="宋体" w:hAnsi="宋体"/>
                <w:color w:val="auto"/>
                <w:szCs w:val="21"/>
              </w:rPr>
              <w:t>302</w:t>
            </w:r>
          </w:p>
        </w:tc>
        <w:tc>
          <w:tcPr>
            <w:tcW w:w="750" w:type="dxa"/>
            <w:vAlign w:val="center"/>
          </w:tcPr>
          <w:p w14:paraId="6E2FC41D">
            <w:pPr>
              <w:spacing w:line="420" w:lineRule="exact"/>
              <w:jc w:val="center"/>
              <w:rPr>
                <w:rFonts w:ascii="宋体" w:hAnsi="宋体" w:cs="宋体"/>
                <w:b/>
                <w:bCs/>
                <w:color w:val="auto"/>
                <w:szCs w:val="21"/>
              </w:rPr>
            </w:pPr>
            <w:r>
              <w:rPr>
                <w:rFonts w:hint="eastAsia" w:ascii="宋体" w:hAnsi="宋体"/>
                <w:color w:val="auto"/>
                <w:szCs w:val="21"/>
              </w:rPr>
              <w:t>台</w:t>
            </w:r>
          </w:p>
        </w:tc>
        <w:tc>
          <w:tcPr>
            <w:tcW w:w="780" w:type="dxa"/>
            <w:vAlign w:val="center"/>
          </w:tcPr>
          <w:p w14:paraId="7DB3E782">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51B2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0D1574FD">
            <w:pPr>
              <w:jc w:val="center"/>
              <w:rPr>
                <w:rFonts w:ascii="宋体" w:hAnsi="宋体"/>
                <w:color w:val="auto"/>
                <w:szCs w:val="21"/>
              </w:rPr>
            </w:pPr>
            <w:r>
              <w:rPr>
                <w:rFonts w:hint="eastAsia" w:ascii="宋体" w:hAnsi="宋体"/>
                <w:color w:val="auto"/>
                <w:szCs w:val="21"/>
              </w:rPr>
              <w:t>9</w:t>
            </w:r>
          </w:p>
        </w:tc>
        <w:tc>
          <w:tcPr>
            <w:tcW w:w="1142" w:type="dxa"/>
            <w:vAlign w:val="center"/>
          </w:tcPr>
          <w:p w14:paraId="6BDDFF6A">
            <w:pPr>
              <w:spacing w:line="420" w:lineRule="exact"/>
              <w:jc w:val="center"/>
              <w:rPr>
                <w:rFonts w:ascii="宋体" w:hAnsi="宋体"/>
                <w:color w:val="auto"/>
                <w:szCs w:val="21"/>
              </w:rPr>
            </w:pPr>
            <w:r>
              <w:rPr>
                <w:rFonts w:hint="eastAsia" w:ascii="宋体" w:hAnsi="宋体"/>
                <w:color w:val="auto"/>
                <w:szCs w:val="21"/>
              </w:rPr>
              <w:t>资源共享云平台接入系统</w:t>
            </w:r>
          </w:p>
        </w:tc>
        <w:tc>
          <w:tcPr>
            <w:tcW w:w="5220" w:type="dxa"/>
            <w:vAlign w:val="center"/>
          </w:tcPr>
          <w:p w14:paraId="2D23D3BB">
            <w:pPr>
              <w:numPr>
                <w:ilvl w:val="0"/>
                <w:numId w:val="3"/>
              </w:numPr>
              <w:spacing w:line="420" w:lineRule="exact"/>
              <w:rPr>
                <w:rFonts w:ascii="宋体" w:hAnsi="宋体"/>
                <w:color w:val="auto"/>
                <w:szCs w:val="21"/>
              </w:rPr>
            </w:pPr>
            <w:r>
              <w:rPr>
                <w:rFonts w:hint="eastAsia" w:ascii="宋体" w:hAnsi="宋体"/>
                <w:color w:val="auto"/>
                <w:szCs w:val="21"/>
              </w:rPr>
              <w:t>虚拟化软件可直接安装在物理服务器上，通过一个安装包即可实现VDI/VOI/IDV三种架构云桌面服务端的统一安装，并立即生效使用，无需部署其他组件，降低安装复杂度，安装完成后管理平台可通过账号密码及微信扫码多种方式登录；支持VDI/VOI/IDV融合客户端，同一客户端可访问VDI、VOI和IDV桌面，并可按需切换，满足用户不同应用场景的多样化访问需求；</w:t>
            </w:r>
            <w:r>
              <w:rPr>
                <w:rFonts w:hint="eastAsia" w:ascii="宋体" w:hAnsi="宋体"/>
                <w:color w:val="auto"/>
                <w:szCs w:val="21"/>
              </w:rPr>
              <w:br w:type="textWrapping"/>
            </w:r>
            <w:r>
              <w:rPr>
                <w:rFonts w:hint="eastAsia" w:ascii="宋体" w:hAnsi="宋体"/>
                <w:color w:val="auto"/>
                <w:szCs w:val="21"/>
              </w:rPr>
              <w:t>▲2.支持跨校区分散部署，云服务器可部署在不同的校区，单一IP地址即可访问和管理所有区域，支持多区域切换管理，支持新增区域，便于构建校级云桌面同一管理平台，满足跨校区云桌面建设；</w:t>
            </w:r>
          </w:p>
          <w:p w14:paraId="696E1A92">
            <w:pPr>
              <w:numPr>
                <w:ilvl w:val="0"/>
                <w:numId w:val="3"/>
              </w:numPr>
              <w:spacing w:line="420" w:lineRule="exact"/>
              <w:rPr>
                <w:rFonts w:ascii="宋体" w:hAnsi="宋体"/>
                <w:color w:val="auto"/>
                <w:szCs w:val="21"/>
              </w:rPr>
            </w:pPr>
            <w:r>
              <w:rPr>
                <w:rFonts w:hint="eastAsia" w:ascii="宋体" w:hAnsi="宋体"/>
                <w:color w:val="auto"/>
                <w:szCs w:val="21"/>
              </w:rPr>
              <w:t>支持底层Linux系统或windows系统手动备份保护和实时自动备份保护两种模式，供货时提供有关于Linux文件系统或windows文件系统的多点备份和实时保护的国家主管行政机关认可的技术证明证书复印件；</w:t>
            </w:r>
            <w:r>
              <w:rPr>
                <w:rFonts w:hint="eastAsia" w:ascii="宋体" w:hAnsi="宋体"/>
                <w:color w:val="auto"/>
                <w:szCs w:val="21"/>
              </w:rPr>
              <w:br w:type="textWrapping"/>
            </w:r>
            <w:r>
              <w:rPr>
                <w:rFonts w:hint="eastAsia" w:ascii="宋体" w:hAnsi="宋体"/>
                <w:color w:val="auto"/>
                <w:szCs w:val="21"/>
              </w:rPr>
              <w:t>▲4.支持跨校区多区域资源汇总分析，可统计所有区域的桌面云部署信息，至少包括服务器数量，CPU、内存、存储使用率，教室数量，终端数量，桌面数量等，也可统计分析区域内桌面使用次数，桌面场景使用时长，机房日均使用时长等信息，便于学校掌握桌面云整体建设使情况；支持批量部署裸虚拟机环境，学生可手动安装操作系统，满足装机实验课程的实践需要；</w:t>
            </w:r>
          </w:p>
          <w:p w14:paraId="3D18B08A">
            <w:pPr>
              <w:spacing w:line="420" w:lineRule="exact"/>
              <w:rPr>
                <w:rFonts w:ascii="宋体" w:hAnsi="宋体"/>
                <w:color w:val="auto"/>
                <w:szCs w:val="21"/>
              </w:rPr>
            </w:pPr>
            <w:r>
              <w:rPr>
                <w:rFonts w:hint="eastAsia" w:ascii="宋体" w:hAnsi="宋体"/>
                <w:color w:val="auto"/>
                <w:szCs w:val="21"/>
              </w:rPr>
              <w:t>5.单个平台可交付多种类型桌面，至少包括VDI桌面、VOI桌面、IDV桌面、漫游桌面、个人桌面，满足教学、实训、科研、办公等场景需求；</w:t>
            </w:r>
          </w:p>
          <w:p w14:paraId="5BB0A8FE">
            <w:pPr>
              <w:spacing w:line="420" w:lineRule="exact"/>
              <w:rPr>
                <w:rFonts w:ascii="宋体" w:hAnsi="宋体"/>
                <w:color w:val="auto"/>
                <w:szCs w:val="21"/>
              </w:rPr>
            </w:pPr>
            <w:r>
              <w:rPr>
                <w:rFonts w:hint="eastAsia" w:ascii="宋体" w:hAnsi="宋体"/>
                <w:color w:val="auto"/>
                <w:szCs w:val="21"/>
              </w:rPr>
              <w:t xml:space="preserve">6.支持多种考试场景，包括但不限于全国计算机等级考试、ATA考试、会计类考试，在考试场景下，终端出现断网、断电等故障保证考试数据不丢失，更换终端可以正常恢复考试，保证考试正常进行； </w:t>
            </w:r>
            <w:r>
              <w:rPr>
                <w:rFonts w:hint="eastAsia" w:ascii="宋体" w:hAnsi="宋体"/>
                <w:color w:val="auto"/>
                <w:szCs w:val="21"/>
              </w:rPr>
              <w:br w:type="textWrapping"/>
            </w:r>
            <w:r>
              <w:rPr>
                <w:rFonts w:hint="eastAsia" w:ascii="宋体" w:hAnsi="宋体"/>
                <w:color w:val="auto"/>
                <w:szCs w:val="21"/>
              </w:rPr>
              <w:t>7.支持控制节点HA，配置两台主控时采用主备模式，当主控服务器故障，备控服务器自动完成接管，虚拟桌面零中断，执行HA切换前后，所有终端连接服务器的网络配置无需更改；HA触发的敏感时间可精细化到秒并可配置；</w:t>
            </w:r>
          </w:p>
          <w:p w14:paraId="020D3AB6">
            <w:pPr>
              <w:spacing w:line="420" w:lineRule="exact"/>
              <w:rPr>
                <w:rFonts w:hint="eastAsia"/>
                <w:b w:val="0"/>
                <w:bCs w:val="0"/>
                <w:color w:val="auto"/>
              </w:rPr>
            </w:pPr>
            <w:r>
              <w:rPr>
                <w:rFonts w:hint="eastAsia" w:ascii="宋体" w:hAnsi="宋体"/>
                <w:color w:val="auto"/>
                <w:szCs w:val="21"/>
              </w:rPr>
              <w:t>▲8.支持在WEB管理平台上直接对服务器SSD硬盘进行性能测试，不依赖第三方测试工具，可获取SSD硬盘16K随机读、顺序写数值，并给出测试评级结果，便于管理员定位系统故障；通过网页登录桌面或系统模板时，支持拖拽方式实现本地系统和虚拟桌面之间的文件上传和下载，便于数据文件的共享；</w:t>
            </w:r>
            <w:r>
              <w:rPr>
                <w:rFonts w:hint="eastAsia" w:ascii="宋体" w:hAnsi="宋体"/>
                <w:strike/>
                <w:color w:val="auto"/>
                <w:szCs w:val="21"/>
              </w:rPr>
              <w:br w:type="textWrapping"/>
            </w:r>
            <w:r>
              <w:rPr>
                <w:rFonts w:hint="eastAsia" w:ascii="宋体" w:hAnsi="宋体"/>
                <w:color w:val="auto"/>
                <w:szCs w:val="21"/>
              </w:rPr>
              <w:t xml:space="preserve">9.支持桌面还原属性修改，桌面创建完成后，可随时在管理平台根据教学需求修改教学桌面还原属性，可单独分别为系统盘和数据盘设置每次还原，每天还原，每周还原、每月还原或不还原，也可对场景中的任意数量的桌面实现立即还原，满足教学桌面还原和考试环境数据保存等需求；            </w:t>
            </w:r>
            <w:r>
              <w:rPr>
                <w:rFonts w:hint="eastAsia" w:ascii="宋体" w:hAnsi="宋体"/>
                <w:color w:val="auto"/>
                <w:szCs w:val="21"/>
              </w:rPr>
              <w:br w:type="textWrapping"/>
            </w:r>
            <w:r>
              <w:rPr>
                <w:rFonts w:hint="eastAsia" w:ascii="宋体" w:hAnsi="宋体"/>
                <w:color w:val="auto"/>
                <w:szCs w:val="21"/>
              </w:rPr>
              <w:t>10.提供的桌面服务平台通过符合GB/T 25000.51-2016标准的终端连接模式、交换机拓扑、数据概览、SSD测速、课表编排等功能</w:t>
            </w:r>
            <w:r>
              <w:rPr>
                <w:rFonts w:hint="eastAsia" w:ascii="宋体" w:hAnsi="宋体"/>
                <w:b w:val="0"/>
                <w:bCs w:val="0"/>
                <w:color w:val="auto"/>
                <w:szCs w:val="21"/>
              </w:rPr>
              <w:t>测试</w:t>
            </w:r>
            <w:r>
              <w:rPr>
                <w:rFonts w:hint="eastAsia"/>
                <w:b w:val="0"/>
                <w:bCs w:val="0"/>
                <w:color w:val="auto"/>
              </w:rPr>
              <w:t>。</w:t>
            </w:r>
          </w:p>
          <w:p w14:paraId="0922B079">
            <w:pPr>
              <w:spacing w:line="420" w:lineRule="exact"/>
              <w:rPr>
                <w:rFonts w:ascii="宋体" w:hAnsi="宋体"/>
                <w:color w:val="auto"/>
                <w:szCs w:val="21"/>
              </w:rPr>
            </w:pPr>
            <w:r>
              <w:rPr>
                <w:rFonts w:hint="eastAsia" w:ascii="宋体" w:hAnsi="宋体"/>
                <w:color w:val="auto"/>
                <w:szCs w:val="21"/>
              </w:rPr>
              <w:t xml:space="preserve">11.支持模板的共享和转让，管理用户可将所属权限下的模板共享给其他管理员，便于其他管理员编辑使用，也可直接转让模板，让被转让的管理员拥有模板所有操作权限，从而实现模板的分权管理； </w:t>
            </w:r>
            <w:r>
              <w:rPr>
                <w:rFonts w:hint="eastAsia" w:ascii="宋体" w:hAnsi="宋体"/>
                <w:color w:val="auto"/>
                <w:szCs w:val="21"/>
              </w:rPr>
              <w:br w:type="textWrapping"/>
            </w:r>
            <w:r>
              <w:rPr>
                <w:rFonts w:hint="eastAsia" w:ascii="宋体" w:hAnsi="宋体"/>
                <w:color w:val="auto"/>
                <w:szCs w:val="21"/>
              </w:rPr>
              <w:t>▲12.支持模板分享链接，管理员可以将编辑模板的链接分享给需要编辑模板的用户，在浏览器中直接输入链接地址即可对模板进行编辑，支持分享日期、分享链接的失效期设</w:t>
            </w:r>
            <w:r>
              <w:rPr>
                <w:rFonts w:hint="eastAsia" w:ascii="宋体" w:hAnsi="宋体"/>
                <w:b w:val="0"/>
                <w:bCs w:val="0"/>
                <w:color w:val="auto"/>
                <w:szCs w:val="21"/>
              </w:rPr>
              <w:t>置。</w:t>
            </w:r>
            <w:r>
              <w:rPr>
                <w:rFonts w:hint="eastAsia"/>
                <w:b w:val="0"/>
                <w:bCs w:val="0"/>
                <w:color w:val="auto"/>
              </w:rPr>
              <w:t>须提供的材料包括但不限于国家认可的第三方检测机构出具的检测报告或产品彩页或产品说明书或产品信息网站截图并加盖</w:t>
            </w:r>
            <w:r>
              <w:rPr>
                <w:rFonts w:hint="eastAsia"/>
                <w:b w:val="0"/>
                <w:bCs w:val="0"/>
                <w:color w:val="auto"/>
                <w:lang w:eastAsia="zh-CN"/>
              </w:rPr>
              <w:t>竞标人</w:t>
            </w:r>
            <w:r>
              <w:rPr>
                <w:rFonts w:hint="eastAsia"/>
                <w:b w:val="0"/>
                <w:bCs w:val="0"/>
                <w:color w:val="auto"/>
              </w:rPr>
              <w:t>公章。</w:t>
            </w:r>
            <w:r>
              <w:rPr>
                <w:rFonts w:hint="eastAsia" w:ascii="宋体" w:hAnsi="宋体"/>
                <w:b w:val="0"/>
                <w:bCs w:val="0"/>
                <w:strike/>
                <w:color w:val="auto"/>
                <w:szCs w:val="21"/>
              </w:rPr>
              <w:br w:type="textWrapping"/>
            </w:r>
            <w:r>
              <w:rPr>
                <w:rFonts w:hint="eastAsia" w:ascii="宋体" w:hAnsi="宋体"/>
                <w:color w:val="auto"/>
                <w:szCs w:val="21"/>
              </w:rPr>
              <w:t>▲13.至少支持windows客户端和linux客户端，windows客户端支持窗口模式和全屏模式并可设置开机自启；linux客户端支持虚实双系统断网切换，虚拟桌面连接中断时，无需人工干预，平台自动将虚拟桌面切换至终端本地系统；</w:t>
            </w:r>
          </w:p>
          <w:p w14:paraId="64801E9E">
            <w:pPr>
              <w:spacing w:line="420" w:lineRule="exact"/>
              <w:rPr>
                <w:rFonts w:ascii="宋体" w:hAnsi="宋体"/>
                <w:strike/>
                <w:color w:val="auto"/>
                <w:szCs w:val="21"/>
              </w:rPr>
            </w:pPr>
            <w:r>
              <w:rPr>
                <w:rFonts w:hint="eastAsia" w:ascii="宋体" w:hAnsi="宋体"/>
                <w:color w:val="auto"/>
                <w:szCs w:val="21"/>
              </w:rPr>
              <w:t>▲14.支持在虚拟化平台上查看服务器和虚拟机的运行详细情况，包括服务器和虚拟桌面的CPU占用率、内存占用率、磁盘读写速度、网络流量、进程资源占用率；无需依赖第三方软件或脚本，即可在管理台编辑学期课表，可设置学期开始和结束时间、单双周安排、每节课起始时间，可直接将不同桌面拖拽到课表中，与各个课程时间对应，桌面环境根据课表时间自</w:t>
            </w:r>
            <w:r>
              <w:rPr>
                <w:rFonts w:hint="eastAsia" w:ascii="宋体" w:hAnsi="宋体"/>
                <w:b w:val="0"/>
                <w:bCs w:val="0"/>
                <w:color w:val="auto"/>
                <w:szCs w:val="21"/>
              </w:rPr>
              <w:t>动启动；</w:t>
            </w:r>
            <w:r>
              <w:rPr>
                <w:rFonts w:hint="eastAsia"/>
                <w:b w:val="0"/>
                <w:bCs w:val="0"/>
                <w:color w:val="auto"/>
              </w:rPr>
              <w:t>须提供的材料包括但不限于国家认可的第三方检测机构出具的检测报告或产品彩页或产品说明书或产品信息网站截图并加盖</w:t>
            </w:r>
            <w:r>
              <w:rPr>
                <w:rFonts w:hint="eastAsia"/>
                <w:b w:val="0"/>
                <w:bCs w:val="0"/>
                <w:color w:val="auto"/>
                <w:lang w:eastAsia="zh-CN"/>
              </w:rPr>
              <w:t>竞标人</w:t>
            </w:r>
            <w:r>
              <w:rPr>
                <w:rFonts w:hint="eastAsia"/>
                <w:b w:val="0"/>
                <w:bCs w:val="0"/>
                <w:color w:val="auto"/>
              </w:rPr>
              <w:t>公章。</w:t>
            </w:r>
            <w:r>
              <w:rPr>
                <w:rFonts w:hint="eastAsia" w:ascii="宋体" w:hAnsi="宋体"/>
                <w:b w:val="0"/>
                <w:bCs w:val="0"/>
                <w:strike/>
                <w:color w:val="auto"/>
                <w:szCs w:val="21"/>
                <w:highlight w:val="yellow"/>
              </w:rPr>
              <w:br w:type="textWrapping"/>
            </w:r>
            <w:r>
              <w:rPr>
                <w:rFonts w:hint="eastAsia" w:ascii="宋体" w:hAnsi="宋体"/>
                <w:color w:val="auto"/>
                <w:szCs w:val="21"/>
              </w:rPr>
              <w:t>15.提供独立的桌面云系统检测工具，可检测服务器、终端连接状态，集群网络状态，数据库状态，文件系统状态，模板状态，桌面状态等内容，可提供体检分数和检测结果详情展示，并可生成检测报告，也可对检测的问题进行一键恢复，便于系统的日常运维；</w:t>
            </w:r>
          </w:p>
          <w:p w14:paraId="2ABEAA05">
            <w:pPr>
              <w:spacing w:line="420" w:lineRule="exact"/>
              <w:rPr>
                <w:rFonts w:ascii="宋体" w:hAnsi="宋体"/>
                <w:color w:val="auto"/>
                <w:szCs w:val="21"/>
              </w:rPr>
            </w:pPr>
            <w:r>
              <w:rPr>
                <w:rFonts w:hint="eastAsia" w:ascii="宋体" w:hAnsi="宋体"/>
                <w:color w:val="auto"/>
                <w:szCs w:val="21"/>
              </w:rPr>
              <w:t>▲16.</w:t>
            </w:r>
            <w:r>
              <w:rPr>
                <w:rFonts w:hint="eastAsia"/>
                <w:color w:val="auto"/>
              </w:rPr>
              <w:t>为保证产品兼容性与稳定性，要求与智能云资源共享服务器、算力中心管控服务器、高算力测绘设备、云盒子设备、计算机机房教学数据分析系统、多媒体教学软件相互兼容。</w:t>
            </w:r>
          </w:p>
        </w:tc>
        <w:tc>
          <w:tcPr>
            <w:tcW w:w="705" w:type="dxa"/>
            <w:vAlign w:val="center"/>
          </w:tcPr>
          <w:p w14:paraId="0274210D">
            <w:pPr>
              <w:spacing w:line="420" w:lineRule="exact"/>
              <w:jc w:val="center"/>
              <w:rPr>
                <w:rFonts w:ascii="宋体" w:hAnsi="宋体" w:cs="宋体"/>
                <w:b/>
                <w:bCs/>
                <w:color w:val="auto"/>
                <w:szCs w:val="21"/>
              </w:rPr>
            </w:pPr>
            <w:r>
              <w:rPr>
                <w:rFonts w:hint="eastAsia" w:ascii="宋体" w:hAnsi="宋体"/>
                <w:color w:val="auto"/>
                <w:szCs w:val="21"/>
              </w:rPr>
              <w:t>302</w:t>
            </w:r>
          </w:p>
        </w:tc>
        <w:tc>
          <w:tcPr>
            <w:tcW w:w="750" w:type="dxa"/>
            <w:vAlign w:val="center"/>
          </w:tcPr>
          <w:p w14:paraId="6AE75FC5">
            <w:pPr>
              <w:spacing w:line="420" w:lineRule="exact"/>
              <w:jc w:val="center"/>
              <w:rPr>
                <w:rFonts w:ascii="宋体" w:hAnsi="宋体" w:cs="宋体"/>
                <w:b/>
                <w:bCs/>
                <w:color w:val="auto"/>
                <w:szCs w:val="21"/>
              </w:rPr>
            </w:pPr>
            <w:r>
              <w:rPr>
                <w:rFonts w:hint="eastAsia" w:ascii="宋体" w:hAnsi="宋体"/>
                <w:color w:val="auto"/>
                <w:szCs w:val="21"/>
              </w:rPr>
              <w:t>点</w:t>
            </w:r>
          </w:p>
        </w:tc>
        <w:tc>
          <w:tcPr>
            <w:tcW w:w="780" w:type="dxa"/>
            <w:vAlign w:val="center"/>
          </w:tcPr>
          <w:p w14:paraId="087272EE">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774F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4CE24F0F">
            <w:pPr>
              <w:jc w:val="center"/>
              <w:rPr>
                <w:rFonts w:ascii="宋体" w:hAnsi="宋体"/>
                <w:color w:val="auto"/>
                <w:szCs w:val="21"/>
              </w:rPr>
            </w:pPr>
            <w:r>
              <w:rPr>
                <w:rFonts w:hint="eastAsia" w:ascii="宋体" w:hAnsi="宋体"/>
                <w:color w:val="auto"/>
                <w:szCs w:val="21"/>
              </w:rPr>
              <w:t>10</w:t>
            </w:r>
          </w:p>
        </w:tc>
        <w:tc>
          <w:tcPr>
            <w:tcW w:w="1142" w:type="dxa"/>
            <w:vAlign w:val="center"/>
          </w:tcPr>
          <w:p w14:paraId="5FDE04B5">
            <w:pPr>
              <w:spacing w:line="420" w:lineRule="exact"/>
              <w:jc w:val="center"/>
              <w:rPr>
                <w:rFonts w:ascii="宋体" w:hAnsi="宋体"/>
                <w:color w:val="auto"/>
                <w:szCs w:val="21"/>
              </w:rPr>
            </w:pPr>
            <w:r>
              <w:rPr>
                <w:rFonts w:hint="eastAsia" w:ascii="宋体" w:hAnsi="宋体"/>
                <w:color w:val="auto"/>
                <w:szCs w:val="21"/>
              </w:rPr>
              <w:t>实验室支撑系统</w:t>
            </w:r>
          </w:p>
        </w:tc>
        <w:tc>
          <w:tcPr>
            <w:tcW w:w="5220" w:type="dxa"/>
            <w:vAlign w:val="center"/>
          </w:tcPr>
          <w:p w14:paraId="4DAD48A0">
            <w:pPr>
              <w:spacing w:line="420" w:lineRule="exact"/>
              <w:rPr>
                <w:rFonts w:ascii="宋体" w:hAnsi="宋体"/>
                <w:color w:val="auto"/>
                <w:szCs w:val="21"/>
              </w:rPr>
            </w:pPr>
            <w:r>
              <w:rPr>
                <w:rFonts w:hint="eastAsia" w:ascii="宋体" w:hAnsi="宋体"/>
                <w:color w:val="auto"/>
                <w:szCs w:val="21"/>
              </w:rPr>
              <w:t>1.支持B /S管理架构，可通过网页方式对机房进行远程管理，包括时间同步、消息广播、系统切换等操作；</w:t>
            </w:r>
            <w:r>
              <w:rPr>
                <w:rFonts w:hint="eastAsia" w:ascii="宋体" w:hAnsi="宋体"/>
                <w:color w:val="auto"/>
                <w:szCs w:val="21"/>
              </w:rPr>
              <w:br w:type="textWrapping"/>
            </w:r>
            <w:r>
              <w:rPr>
                <w:rFonts w:hint="eastAsia" w:ascii="宋体" w:hAnsi="宋体"/>
                <w:color w:val="auto"/>
                <w:szCs w:val="21"/>
              </w:rPr>
              <w:t>2.支持在Windows系统下，对磁盘分区大小、数量、属性、分区格式和还原方式进行调整，且不会破坏原有系统；支持MBR分区系统和GPT分区系统混合安装,可支持60个以上的不同操作系统；</w:t>
            </w:r>
            <w:r>
              <w:rPr>
                <w:rFonts w:hint="eastAsia" w:ascii="宋体" w:hAnsi="宋体"/>
                <w:color w:val="auto"/>
                <w:szCs w:val="21"/>
              </w:rPr>
              <w:br w:type="textWrapping"/>
            </w:r>
            <w:r>
              <w:rPr>
                <w:rFonts w:hint="eastAsia" w:ascii="宋体" w:hAnsi="宋体"/>
                <w:color w:val="auto"/>
                <w:szCs w:val="21"/>
              </w:rPr>
              <w:t>3.支持对操作系统的立即还原，也能满足windows操作系统的差异拷贝，供货时提供有关于磁盘保护还原的文件同步系统的国家认可的技术证明证书复印件并加盖竞标人公章；</w:t>
            </w:r>
            <w:r>
              <w:rPr>
                <w:rFonts w:hint="eastAsia" w:ascii="宋体" w:hAnsi="宋体"/>
                <w:color w:val="auto"/>
                <w:szCs w:val="21"/>
              </w:rPr>
              <w:br w:type="textWrapping"/>
            </w:r>
            <w:r>
              <w:rPr>
                <w:rFonts w:hint="eastAsia" w:ascii="宋体" w:hAnsi="宋体"/>
                <w:color w:val="auto"/>
                <w:szCs w:val="21"/>
              </w:rPr>
              <w:t>4.支持对大于1000台终端同时进行数据的差异拷贝，主动分析机器间的差异数据，只传输差异的数据；最大传输速度不少于3G/分钟；</w:t>
            </w:r>
            <w:r>
              <w:rPr>
                <w:rFonts w:hint="eastAsia" w:ascii="宋体" w:hAnsi="宋体"/>
                <w:color w:val="auto"/>
                <w:szCs w:val="21"/>
              </w:rPr>
              <w:br w:type="textWrapping"/>
            </w:r>
            <w:r>
              <w:rPr>
                <w:rFonts w:hint="eastAsia" w:ascii="宋体" w:hAnsi="宋体"/>
                <w:color w:val="auto"/>
                <w:szCs w:val="21"/>
              </w:rPr>
              <w:t>▲5.支持操作系统分权管理，可分配不同的管理员管理不同的操作系统；(提供功能界面截图并加盖竞标人公章)</w:t>
            </w:r>
            <w:r>
              <w:rPr>
                <w:rFonts w:hint="eastAsia" w:ascii="宋体" w:hAnsi="宋体"/>
                <w:color w:val="auto"/>
                <w:szCs w:val="21"/>
              </w:rPr>
              <w:br w:type="textWrapping"/>
            </w:r>
            <w:r>
              <w:rPr>
                <w:rFonts w:hint="eastAsia" w:ascii="宋体" w:hAnsi="宋体"/>
                <w:color w:val="auto"/>
                <w:szCs w:val="21"/>
              </w:rPr>
              <w:t>▲6.支持文件夹穿透，可在当前保护的分区下设定一个开放的文件夹,保存更新设置，重启分区还原其它数据还原，此文件夹中的数据不还原；支持对客户端内多块硬盘进行分区、系统装载、还原、还原方式设置，满足多硬盘系统还原和管理；</w:t>
            </w:r>
          </w:p>
        </w:tc>
        <w:tc>
          <w:tcPr>
            <w:tcW w:w="705" w:type="dxa"/>
            <w:vAlign w:val="center"/>
          </w:tcPr>
          <w:p w14:paraId="41F893E2">
            <w:pPr>
              <w:spacing w:line="420" w:lineRule="exact"/>
              <w:jc w:val="center"/>
              <w:rPr>
                <w:rFonts w:ascii="宋体" w:hAnsi="宋体" w:cs="宋体"/>
                <w:b/>
                <w:bCs/>
                <w:color w:val="auto"/>
                <w:szCs w:val="21"/>
              </w:rPr>
            </w:pPr>
            <w:r>
              <w:rPr>
                <w:rFonts w:hint="eastAsia" w:ascii="宋体" w:hAnsi="宋体"/>
                <w:color w:val="auto"/>
                <w:szCs w:val="21"/>
              </w:rPr>
              <w:t>302</w:t>
            </w:r>
          </w:p>
        </w:tc>
        <w:tc>
          <w:tcPr>
            <w:tcW w:w="750" w:type="dxa"/>
            <w:vAlign w:val="center"/>
          </w:tcPr>
          <w:p w14:paraId="08C61C96">
            <w:pPr>
              <w:spacing w:line="420" w:lineRule="exact"/>
              <w:jc w:val="center"/>
              <w:rPr>
                <w:rFonts w:ascii="宋体" w:hAnsi="宋体" w:cs="宋体"/>
                <w:b/>
                <w:bCs/>
                <w:color w:val="auto"/>
                <w:szCs w:val="21"/>
              </w:rPr>
            </w:pPr>
            <w:r>
              <w:rPr>
                <w:rFonts w:hint="eastAsia" w:ascii="宋体" w:hAnsi="宋体"/>
                <w:color w:val="auto"/>
                <w:szCs w:val="21"/>
              </w:rPr>
              <w:t>点</w:t>
            </w:r>
          </w:p>
        </w:tc>
        <w:tc>
          <w:tcPr>
            <w:tcW w:w="780" w:type="dxa"/>
            <w:vAlign w:val="center"/>
          </w:tcPr>
          <w:p w14:paraId="006088CD">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7B99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2BC480BF">
            <w:pPr>
              <w:jc w:val="center"/>
              <w:rPr>
                <w:rFonts w:ascii="宋体" w:hAnsi="宋体"/>
                <w:color w:val="auto"/>
                <w:szCs w:val="21"/>
              </w:rPr>
            </w:pPr>
            <w:r>
              <w:rPr>
                <w:rFonts w:hint="eastAsia" w:ascii="宋体" w:hAnsi="宋体"/>
                <w:color w:val="auto"/>
                <w:szCs w:val="21"/>
              </w:rPr>
              <w:t>11</w:t>
            </w:r>
          </w:p>
        </w:tc>
        <w:tc>
          <w:tcPr>
            <w:tcW w:w="1142" w:type="dxa"/>
            <w:vAlign w:val="center"/>
          </w:tcPr>
          <w:p w14:paraId="11B6E51D">
            <w:pPr>
              <w:spacing w:line="420" w:lineRule="exact"/>
              <w:jc w:val="center"/>
              <w:rPr>
                <w:rFonts w:ascii="宋体" w:hAnsi="宋体"/>
                <w:color w:val="auto"/>
                <w:szCs w:val="21"/>
              </w:rPr>
            </w:pPr>
            <w:r>
              <w:rPr>
                <w:rFonts w:hint="eastAsia" w:ascii="宋体" w:hAnsi="宋体"/>
                <w:color w:val="auto"/>
                <w:szCs w:val="21"/>
              </w:rPr>
              <w:t>计算机机房教学数据分析系统</w:t>
            </w:r>
          </w:p>
        </w:tc>
        <w:tc>
          <w:tcPr>
            <w:tcW w:w="5220" w:type="dxa"/>
            <w:vAlign w:val="center"/>
          </w:tcPr>
          <w:p w14:paraId="701717B9">
            <w:pPr>
              <w:numPr>
                <w:ilvl w:val="0"/>
                <w:numId w:val="4"/>
              </w:numPr>
              <w:spacing w:line="420" w:lineRule="exact"/>
              <w:rPr>
                <w:rFonts w:ascii="宋体" w:hAnsi="宋体"/>
                <w:color w:val="auto"/>
                <w:szCs w:val="21"/>
              </w:rPr>
            </w:pPr>
            <w:r>
              <w:rPr>
                <w:rFonts w:hint="eastAsia" w:ascii="宋体" w:hAnsi="宋体"/>
                <w:color w:val="auto"/>
                <w:szCs w:val="21"/>
              </w:rPr>
              <w:t xml:space="preserve">系统采用B/S架构，通过浏览器访问服务器对机房的VDI桌面、VOI桌面，PC桌面在进行管理；支持展示实验室资源数据使用，包括实验室在线/总数、终端在线/总数、场景在线/总数、桌面在线/总数；展示实验室资产状态，包括终端的风险预警次数、待处理变更数、待处理报修数；展示服务器资源实时使用情况，包括CPU使用、内存使用信息、存储使用信息；展示桌面今日并发趋势； </w:t>
            </w:r>
            <w:r>
              <w:rPr>
                <w:rFonts w:hint="eastAsia" w:ascii="宋体" w:hAnsi="宋体"/>
                <w:color w:val="auto"/>
                <w:szCs w:val="21"/>
              </w:rPr>
              <w:br w:type="textWrapping"/>
            </w:r>
            <w:r>
              <w:rPr>
                <w:rFonts w:hint="eastAsia" w:ascii="宋体" w:hAnsi="宋体"/>
                <w:color w:val="auto"/>
                <w:szCs w:val="21"/>
              </w:rPr>
              <w:t>2.管理平台支持在线客服，可直接在平台上咨询客服技术问题，当客服不在线时可进行留言，留言支持上传图片、视频等方式提供给客服进行问题分析，无需安装第三方通讯软件；支持从认证平台（UAA）同步师生账号信息，可将学生信息按照行政班级进行分类；</w:t>
            </w:r>
            <w:r>
              <w:rPr>
                <w:rFonts w:hint="eastAsia" w:ascii="宋体" w:hAnsi="宋体"/>
                <w:color w:val="auto"/>
                <w:szCs w:val="21"/>
              </w:rPr>
              <w:br w:type="textWrapping"/>
            </w:r>
            <w:r>
              <w:rPr>
                <w:rFonts w:hint="eastAsia" w:ascii="宋体" w:hAnsi="宋体"/>
                <w:color w:val="auto"/>
                <w:szCs w:val="21"/>
              </w:rPr>
              <w:t>3.可对实验室终端电脑进行定时开机、定时关机、定时账号下机，有关机提醒、下机提醒；</w:t>
            </w:r>
            <w:r>
              <w:rPr>
                <w:rFonts w:hint="eastAsia" w:ascii="宋体" w:hAnsi="宋体"/>
                <w:color w:val="auto"/>
                <w:szCs w:val="21"/>
              </w:rPr>
              <w:br w:type="textWrapping"/>
            </w:r>
            <w:r>
              <w:rPr>
                <w:rFonts w:hint="eastAsia" w:ascii="宋体" w:hAnsi="宋体"/>
                <w:color w:val="auto"/>
                <w:szCs w:val="21"/>
              </w:rPr>
              <w:t>▲4.可设置实验室电脑终端的登录方式，可设置免登录的完全开放模式和输入帐号密码的登陆模式。登录模式可以选择全校全体师生和部分院系师生；可针对每间实验室或每台电脑终端自定义标签，管理员可以按标签的类别来搜索实验室或终端电脑。标签可设置为使用场景、使用班级、单双号等类别；</w:t>
            </w:r>
          </w:p>
          <w:p w14:paraId="2C1F3ACF">
            <w:pPr>
              <w:spacing w:line="420" w:lineRule="exact"/>
              <w:rPr>
                <w:rFonts w:ascii="宋体" w:hAnsi="宋体"/>
                <w:color w:val="auto"/>
                <w:szCs w:val="21"/>
              </w:rPr>
            </w:pPr>
            <w:r>
              <w:rPr>
                <w:rFonts w:hint="eastAsia" w:ascii="宋体" w:hAnsi="宋体"/>
                <w:color w:val="auto"/>
                <w:szCs w:val="21"/>
              </w:rPr>
              <w:t>5.可对指定机房的终端设定定时开机策略，定时策略可设置执行日期范围以及具体的执行时间点。执行时间点可以设定到每周的具体时间，精确到分钟，可设定多个执行时间点；可对指定机房的终端设定定时关机策略，定时策略可设置执行日期范围以及具体的执行时间点，执行时间点可以设定到每周的具体时间，精确到分钟。可设定多个执行时间点。执行关机策略时会在桌面内提前5分钟进行提醒，当提醒后才会执行操作；可以统计每个学生什么时间段在哪台终端电脑使用过，包括总体使用时长、上机时间、下机时间，并可将记录以电子表格形式进行导出。</w:t>
            </w:r>
            <w:r>
              <w:rPr>
                <w:rFonts w:hint="eastAsia" w:ascii="宋体" w:hAnsi="宋体"/>
                <w:color w:val="auto"/>
                <w:szCs w:val="21"/>
              </w:rPr>
              <w:br w:type="textWrapping"/>
            </w:r>
            <w:r>
              <w:rPr>
                <w:rFonts w:hint="eastAsia" w:ascii="宋体" w:hAnsi="宋体"/>
                <w:color w:val="auto"/>
                <w:szCs w:val="21"/>
              </w:rPr>
              <w:t>▲6.可将上机违规学生手动方式拉入黑名单，拉入黑名单的学生不能进行登录上机。黑名单可以设置天数自动移除以及手动移除；可设置程序限制策略，支持黑名单、白名单两种模式，支持从样机、文件的方式导入黑白名单。</w:t>
            </w:r>
          </w:p>
          <w:p w14:paraId="09593420">
            <w:pPr>
              <w:spacing w:line="420" w:lineRule="exact"/>
              <w:rPr>
                <w:rFonts w:ascii="宋体" w:hAnsi="宋体"/>
                <w:color w:val="auto"/>
                <w:szCs w:val="21"/>
              </w:rPr>
            </w:pPr>
            <w:r>
              <w:rPr>
                <w:rFonts w:hint="eastAsia" w:ascii="宋体" w:hAnsi="宋体"/>
                <w:color w:val="auto"/>
                <w:szCs w:val="21"/>
              </w:rPr>
              <w:t>7.针对网络限制策略，能够设定禁用外网或禁用全部网络和设置网址、域名、IP、端口为黑名单。 当设定禁用外网或全部网络时可以设定网址白名单；可设置设备限制策略，至少包含内置光驱、移动光驱、U盘、移动硬盘、USB外接设备类别，可设定只读模式、完全禁止模式和允许读写模式；可以统计每个学生上机过程中的上网记录，包括网址、标题、访问时间。并可将记录以电子表格形式进行导出；</w:t>
            </w:r>
            <w:r>
              <w:rPr>
                <w:rFonts w:hint="eastAsia" w:ascii="宋体" w:hAnsi="宋体"/>
                <w:color w:val="auto"/>
                <w:szCs w:val="21"/>
              </w:rPr>
              <w:br w:type="textWrapping"/>
            </w:r>
            <w:r>
              <w:rPr>
                <w:rFonts w:hint="eastAsia" w:ascii="宋体" w:hAnsi="宋体"/>
                <w:color w:val="auto"/>
                <w:szCs w:val="21"/>
              </w:rPr>
              <w:t>8.可统计按CPU类型、内存容量、硬盘容量搜索指定类型的终端电脑，分布在哪间实验室机房。教师和学生可以通过系统客户端上报使用电脑的故障，管理员在平台上收到上报消息之后，可以进行判断处理；</w:t>
            </w:r>
            <w:r>
              <w:rPr>
                <w:rFonts w:hint="eastAsia" w:ascii="宋体" w:hAnsi="宋体"/>
                <w:color w:val="auto"/>
                <w:szCs w:val="21"/>
              </w:rPr>
              <w:br w:type="textWrapping"/>
            </w:r>
            <w:r>
              <w:rPr>
                <w:rFonts w:hint="eastAsia" w:ascii="宋体" w:hAnsi="宋体"/>
                <w:color w:val="auto"/>
                <w:szCs w:val="21"/>
              </w:rPr>
              <w:t>9.可查询具体某个软件在哪间实验室进行过安装，以及在哪个桌面进行过安装，方便软件部署提前规划；可统计学生自主安装软件名称、安装次数以及安装的版本信息，为管理员下次统一部署提供决策支撑；可对所有的终端桌面进行开机自动发送消息，学生上机后自动进行消息提醒，消息显示时长默认3秒，倒计时结束后才可进行操作。开机消息支持图片和视频等方式；可对指定的终端和机房发送文件，可以查询到历史的文件发送记录，支持按文件名进行搜索；</w:t>
            </w:r>
            <w:r>
              <w:rPr>
                <w:rFonts w:hint="eastAsia" w:ascii="宋体" w:hAnsi="宋体"/>
                <w:color w:val="auto"/>
                <w:szCs w:val="21"/>
              </w:rPr>
              <w:br w:type="textWrapping"/>
            </w:r>
            <w:r>
              <w:rPr>
                <w:rFonts w:hint="eastAsia" w:ascii="宋体" w:hAnsi="宋体"/>
                <w:color w:val="auto"/>
                <w:szCs w:val="21"/>
              </w:rPr>
              <w:t>▲10.支持给终端电脑发送图文消息，可编辑图文消息的字体、文字颜色、背景色以及插入链接；</w:t>
            </w:r>
          </w:p>
          <w:p w14:paraId="1C50B59F">
            <w:pPr>
              <w:spacing w:line="420" w:lineRule="exact"/>
              <w:rPr>
                <w:rFonts w:ascii="宋体" w:hAnsi="宋体"/>
                <w:strike/>
                <w:color w:val="auto"/>
                <w:szCs w:val="21"/>
              </w:rPr>
            </w:pPr>
            <w:r>
              <w:rPr>
                <w:rFonts w:hint="eastAsia" w:ascii="宋体" w:hAnsi="宋体"/>
                <w:color w:val="auto"/>
                <w:szCs w:val="21"/>
              </w:rPr>
              <w:t>▲11.平台支持安全学习考试，教师或管理员可在平台上编辑考试试题，指定需要参加考试的学生在登录上机时会自动弹出试题进行考试，通过之后才可正常使用电脑终端。可根据实际情况设置临时跳过考试的次数；为提高学生的网络安全意识和水平，落实文明上网。系统会检索搜索引擎或浏览器地址栏搜索的内容，与敏感词库进行匹配并记录，当搜索内容包含敏感词时，可设置在客户端桌面发出提</w:t>
            </w:r>
            <w:r>
              <w:rPr>
                <w:rFonts w:hint="eastAsia" w:ascii="宋体" w:hAnsi="宋体"/>
                <w:b w:val="0"/>
                <w:bCs w:val="0"/>
                <w:color w:val="auto"/>
                <w:szCs w:val="21"/>
              </w:rPr>
              <w:t>醒警告；</w:t>
            </w:r>
            <w:r>
              <w:rPr>
                <w:rFonts w:hint="eastAsia"/>
                <w:b w:val="0"/>
                <w:bCs w:val="0"/>
                <w:color w:val="auto"/>
              </w:rPr>
              <w:t>须提供的材料包括但不限于国家认可的第三方检测机构出具的检测报告或产品彩页或产品说明书或产品信息网站截图并加盖</w:t>
            </w:r>
            <w:r>
              <w:rPr>
                <w:rFonts w:hint="eastAsia"/>
                <w:b w:val="0"/>
                <w:bCs w:val="0"/>
                <w:color w:val="auto"/>
                <w:lang w:eastAsia="zh-CN"/>
              </w:rPr>
              <w:t>竞标人</w:t>
            </w:r>
            <w:r>
              <w:rPr>
                <w:rFonts w:hint="eastAsia"/>
                <w:b w:val="0"/>
                <w:bCs w:val="0"/>
                <w:color w:val="auto"/>
              </w:rPr>
              <w:t>公章。</w:t>
            </w:r>
            <w:r>
              <w:rPr>
                <w:rFonts w:hint="eastAsia" w:ascii="宋体" w:hAnsi="宋体"/>
                <w:b w:val="0"/>
                <w:bCs w:val="0"/>
                <w:color w:val="auto"/>
                <w:szCs w:val="21"/>
              </w:rPr>
              <w:t xml:space="preserve"> </w:t>
            </w:r>
            <w:r>
              <w:rPr>
                <w:rFonts w:hint="eastAsia" w:ascii="宋体" w:hAnsi="宋体"/>
                <w:b w:val="0"/>
                <w:bCs w:val="0"/>
                <w:color w:val="auto"/>
                <w:szCs w:val="21"/>
              </w:rPr>
              <w:br w:type="textWrapping"/>
            </w:r>
            <w:r>
              <w:rPr>
                <w:rFonts w:hint="eastAsia" w:ascii="宋体" w:hAnsi="宋体"/>
                <w:color w:val="auto"/>
                <w:szCs w:val="21"/>
              </w:rPr>
              <w:t>12.可统计每间实验室终端电脑数量、实验室占有率、上机人次、终端利用率以及智能监测捕获风险项，包括CPU高负载预警、内存高负载预警、磁盘IO高负载预警、系统盘空间不足预警、CPU高温预警、独立显卡高温预警、异常断电/蓝屏死机预警 、终端网卡链接低速预警；管理员可统计终端报修情况和硬件变更记录，当有报修记录和变更记录时会在平台消息栏中提醒管理员及时处理；</w:t>
            </w:r>
            <w:r>
              <w:rPr>
                <w:rFonts w:hint="eastAsia" w:ascii="宋体" w:hAnsi="宋体"/>
                <w:color w:val="auto"/>
                <w:szCs w:val="21"/>
              </w:rPr>
              <w:br w:type="textWrapping"/>
            </w:r>
            <w:r>
              <w:rPr>
                <w:rFonts w:hint="eastAsia" w:ascii="宋体" w:hAnsi="宋体"/>
                <w:color w:val="auto"/>
                <w:szCs w:val="21"/>
              </w:rPr>
              <w:t>▲13.可统计一个校区或多个校区的某间实验室或多间实验室软件使用时长前50名，并且可以统计每个软件具体使用时长；</w:t>
            </w:r>
            <w:r>
              <w:rPr>
                <w:rFonts w:hint="eastAsia" w:ascii="宋体" w:hAnsi="宋体"/>
                <w:color w:val="auto"/>
                <w:szCs w:val="21"/>
              </w:rPr>
              <w:br w:type="textWrapping"/>
            </w:r>
            <w:r>
              <w:rPr>
                <w:rFonts w:hint="eastAsia" w:ascii="宋体" w:hAnsi="宋体"/>
                <w:color w:val="auto"/>
                <w:szCs w:val="21"/>
              </w:rPr>
              <w:t>14.可统计一个校区或多个校区的某间实验室或多间实验室实验教学网址次数的前50名，并可以统计每个网址具体的访问次数；可通过图形化的方式生成实验室使用报告，并导出报告图片。使用报告包括：实验室数量、终端数量、终端使用时长、服务师生人数和次数、实验室占有率、终端利用率、终端能耗统计、硬件风险趋势以及风险类型占比 ；可统计每台终端电脑的使用时长、利用率、能耗、开机次数、报修次数、硬件变更次数、风险预警次数；支持对自主上网搜索，统计关键词搜索次数查看热度和记录，了解学生上机过程的关注点；</w:t>
            </w:r>
            <w:r>
              <w:rPr>
                <w:rFonts w:hint="eastAsia" w:ascii="宋体" w:hAnsi="宋体"/>
                <w:color w:val="auto"/>
                <w:szCs w:val="21"/>
              </w:rPr>
              <w:br w:type="textWrapping"/>
            </w:r>
            <w:r>
              <w:rPr>
                <w:rFonts w:hint="eastAsia" w:ascii="宋体" w:hAnsi="宋体"/>
                <w:color w:val="auto"/>
                <w:szCs w:val="21"/>
              </w:rPr>
              <w:t>15.支持大屏显示大数据看板，可显示实验室使用实时状态，包括终端在线数、登陆上机人数、正在使用实验室数量；风险预警状态图、报修记录、软件使用前5的类别。以及服务实验室的总数量、总的师生人数、终端利用率前5名的实验室和占用率前5名的实验室；可设定学期课表的开始时间和结束时间，并定义每天课程节数以及每节课程的时间；</w:t>
            </w:r>
            <w:r>
              <w:rPr>
                <w:rFonts w:hint="eastAsia" w:ascii="宋体" w:hAnsi="宋体"/>
                <w:color w:val="auto"/>
                <w:szCs w:val="21"/>
              </w:rPr>
              <w:br w:type="textWrapping"/>
            </w:r>
            <w:r>
              <w:rPr>
                <w:rFonts w:hint="eastAsia" w:ascii="宋体" w:hAnsi="宋体"/>
                <w:color w:val="auto"/>
                <w:szCs w:val="21"/>
              </w:rPr>
              <w:t>16.当客户端屏幕被远程被锁时，因网络故障无法通过管理平台进行解销，可在管理平台生成解锁密码。在解锁界面，输入获取的解锁密码，屏幕便会解锁成功；为实现节能减排，可以设置终端在登录界面、报销锁屏界面、断网锁屏界面多长时间停留没任何操作会自动关闭终端，时间长度以分钟为单位；</w:t>
            </w:r>
            <w:r>
              <w:rPr>
                <w:rFonts w:hint="eastAsia" w:ascii="宋体" w:hAnsi="宋体"/>
                <w:color w:val="auto"/>
                <w:szCs w:val="21"/>
              </w:rPr>
              <w:br w:type="textWrapping"/>
            </w:r>
            <w:r>
              <w:rPr>
                <w:rFonts w:hint="eastAsia" w:ascii="宋体" w:hAnsi="宋体"/>
                <w:color w:val="auto"/>
                <w:szCs w:val="21"/>
              </w:rPr>
              <w:t>17.根据不同学校的统计维度，管理员可以根据学校的要求调整实验室占用率、终端利用率的计算公式数值；</w:t>
            </w:r>
            <w:r>
              <w:rPr>
                <w:rFonts w:hint="eastAsia" w:ascii="宋体" w:hAnsi="宋体"/>
                <w:color w:val="auto"/>
                <w:szCs w:val="21"/>
              </w:rPr>
              <w:br w:type="textWrapping"/>
            </w:r>
            <w:r>
              <w:rPr>
                <w:rFonts w:hint="eastAsia" w:ascii="宋体" w:hAnsi="宋体"/>
                <w:color w:val="auto"/>
                <w:szCs w:val="21"/>
              </w:rPr>
              <w:t>▲18.可自定义Web管理平台LOGO，LOGO支持png、jpg、jpeg格式。并可快速度恢复初使用设置；可将用户认证平台（UAA）的用户信息以增量的方式同步到系统平台，可设置手动同步和自动同步。自动同步可设定每天的具体时间进行同步；</w:t>
            </w:r>
          </w:p>
          <w:p w14:paraId="1648405A">
            <w:pPr>
              <w:spacing w:line="420" w:lineRule="exact"/>
              <w:rPr>
                <w:rFonts w:ascii="宋体" w:hAnsi="宋体"/>
                <w:color w:val="auto"/>
                <w:szCs w:val="21"/>
              </w:rPr>
            </w:pPr>
            <w:r>
              <w:rPr>
                <w:rFonts w:hint="eastAsia" w:ascii="宋体" w:hAnsi="宋体"/>
                <w:color w:val="auto"/>
                <w:szCs w:val="21"/>
              </w:rPr>
              <w:t>▲</w:t>
            </w:r>
            <w:r>
              <w:rPr>
                <w:rFonts w:hint="eastAsia"/>
                <w:b/>
                <w:bCs/>
                <w:color w:val="auto"/>
              </w:rPr>
              <w:t>19.为保证系统兼容性和稳定性，要求以上功能为同一品牌同一产品，而不是多个产品功能组合。</w:t>
            </w:r>
          </w:p>
        </w:tc>
        <w:tc>
          <w:tcPr>
            <w:tcW w:w="705" w:type="dxa"/>
            <w:vAlign w:val="center"/>
          </w:tcPr>
          <w:p w14:paraId="6D0B164E">
            <w:pPr>
              <w:spacing w:line="420" w:lineRule="exact"/>
              <w:jc w:val="center"/>
              <w:rPr>
                <w:rFonts w:ascii="宋体" w:hAnsi="宋体" w:cs="宋体"/>
                <w:b/>
                <w:bCs/>
                <w:color w:val="auto"/>
                <w:szCs w:val="21"/>
              </w:rPr>
            </w:pPr>
            <w:r>
              <w:rPr>
                <w:rFonts w:hint="eastAsia" w:ascii="宋体" w:hAnsi="宋体"/>
                <w:color w:val="auto"/>
                <w:szCs w:val="21"/>
              </w:rPr>
              <w:t>302</w:t>
            </w:r>
          </w:p>
        </w:tc>
        <w:tc>
          <w:tcPr>
            <w:tcW w:w="750" w:type="dxa"/>
            <w:vAlign w:val="center"/>
          </w:tcPr>
          <w:p w14:paraId="18BFCAD0">
            <w:pPr>
              <w:spacing w:line="420" w:lineRule="exact"/>
              <w:jc w:val="center"/>
              <w:rPr>
                <w:rFonts w:ascii="宋体" w:hAnsi="宋体" w:cs="宋体"/>
                <w:b/>
                <w:bCs/>
                <w:color w:val="auto"/>
                <w:szCs w:val="21"/>
              </w:rPr>
            </w:pPr>
            <w:r>
              <w:rPr>
                <w:rFonts w:hint="eastAsia" w:ascii="宋体" w:hAnsi="宋体"/>
                <w:color w:val="auto"/>
                <w:szCs w:val="21"/>
              </w:rPr>
              <w:t>点</w:t>
            </w:r>
          </w:p>
        </w:tc>
        <w:tc>
          <w:tcPr>
            <w:tcW w:w="780" w:type="dxa"/>
            <w:vAlign w:val="center"/>
          </w:tcPr>
          <w:p w14:paraId="26399F0E">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6EA6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17" w:type="dxa"/>
            <w:vAlign w:val="center"/>
          </w:tcPr>
          <w:p w14:paraId="5DAA5ADE">
            <w:pPr>
              <w:jc w:val="center"/>
              <w:rPr>
                <w:rFonts w:ascii="宋体" w:hAnsi="宋体"/>
                <w:color w:val="auto"/>
                <w:szCs w:val="21"/>
              </w:rPr>
            </w:pPr>
            <w:r>
              <w:rPr>
                <w:rFonts w:hint="eastAsia" w:ascii="宋体" w:hAnsi="宋体"/>
                <w:color w:val="auto"/>
                <w:szCs w:val="21"/>
              </w:rPr>
              <w:t>12</w:t>
            </w:r>
          </w:p>
        </w:tc>
        <w:tc>
          <w:tcPr>
            <w:tcW w:w="1142" w:type="dxa"/>
            <w:vAlign w:val="center"/>
          </w:tcPr>
          <w:p w14:paraId="6F24F3F3">
            <w:pPr>
              <w:spacing w:line="420" w:lineRule="exact"/>
              <w:jc w:val="center"/>
              <w:rPr>
                <w:rFonts w:ascii="宋体" w:hAnsi="宋体"/>
                <w:color w:val="auto"/>
                <w:szCs w:val="21"/>
              </w:rPr>
            </w:pPr>
            <w:r>
              <w:rPr>
                <w:rFonts w:hint="eastAsia" w:ascii="宋体" w:hAnsi="宋体"/>
                <w:color w:val="auto"/>
                <w:szCs w:val="21"/>
              </w:rPr>
              <w:t>多媒体教学软件</w:t>
            </w:r>
          </w:p>
        </w:tc>
        <w:tc>
          <w:tcPr>
            <w:tcW w:w="5220" w:type="dxa"/>
            <w:vAlign w:val="center"/>
          </w:tcPr>
          <w:p w14:paraId="4102D197">
            <w:pPr>
              <w:numPr>
                <w:ilvl w:val="0"/>
                <w:numId w:val="0"/>
              </w:numPr>
              <w:spacing w:line="420" w:lineRule="exact"/>
              <w:rPr>
                <w:rFonts w:hint="eastAsia"/>
                <w:b/>
                <w:bCs/>
                <w:color w:val="auto"/>
              </w:rPr>
            </w:pPr>
            <w:r>
              <w:rPr>
                <w:rFonts w:hint="eastAsia" w:ascii="宋体" w:hAnsi="宋体"/>
                <w:color w:val="auto"/>
                <w:szCs w:val="21"/>
                <w:lang w:val="en-US" w:eastAsia="zh-CN"/>
              </w:rPr>
              <w:t>1.</w:t>
            </w:r>
            <w:r>
              <w:rPr>
                <w:rFonts w:hint="eastAsia" w:ascii="宋体" w:hAnsi="宋体"/>
                <w:color w:val="auto"/>
                <w:szCs w:val="21"/>
              </w:rPr>
              <w:t>屏幕广播支持弹幕，教师机开启弹幕后，教师机和学生机可发送弹幕信息，便于及时交流、增强教学互动性；屏幕广播支持笔记截屏，教师机开启笔记截屏后，全屏广播时学生机可一键截取屏幕，保存上课重点信息；支持影音广播，即使在终端未进入桌面的状态，也能够实现全体学生的影音广播，影音广播下支持视频的切换、暂停，并支持点击进度条任意地方以改变视频播放进度；</w:t>
            </w:r>
            <w:r>
              <w:rPr>
                <w:rFonts w:hint="eastAsia" w:ascii="宋体" w:hAnsi="宋体"/>
                <w:color w:val="auto"/>
                <w:szCs w:val="21"/>
              </w:rPr>
              <w:br w:type="textWrapping"/>
            </w:r>
            <w:r>
              <w:rPr>
                <w:rFonts w:hint="eastAsia" w:ascii="宋体" w:hAnsi="宋体"/>
                <w:color w:val="auto"/>
                <w:szCs w:val="21"/>
              </w:rPr>
              <w:t>2.在屏幕广播之后连接上来的终端可直接接收屏幕广播内容，用户终端关闭虚拟桌面仍可同步广播教师机屏幕和视频，不会中断教学；</w:t>
            </w:r>
            <w:r>
              <w:rPr>
                <w:rFonts w:hint="eastAsia" w:ascii="宋体" w:hAnsi="宋体"/>
                <w:color w:val="auto"/>
                <w:szCs w:val="21"/>
              </w:rPr>
              <w:br w:type="textWrapping"/>
            </w:r>
            <w:r>
              <w:rPr>
                <w:rFonts w:hint="eastAsia" w:ascii="宋体" w:hAnsi="宋体"/>
                <w:color w:val="auto"/>
                <w:szCs w:val="21"/>
              </w:rPr>
              <w:t>▲3.教师机可以连续监看所选学生机屏幕，每屏可监视多个学生,可设置每屏学生机的数量以及学生机屏幕轮循的时间间隔；屏幕广播支持区域广播方式，教师端可选取一块区域广播给学</w:t>
            </w:r>
            <w:r>
              <w:rPr>
                <w:rFonts w:hint="eastAsia" w:ascii="宋体" w:hAnsi="宋体"/>
                <w:b w:val="0"/>
                <w:bCs w:val="0"/>
                <w:color w:val="auto"/>
                <w:szCs w:val="21"/>
              </w:rPr>
              <w:t>生机。</w:t>
            </w:r>
            <w:r>
              <w:rPr>
                <w:rFonts w:hint="eastAsia"/>
                <w:b w:val="0"/>
                <w:bCs w:val="0"/>
                <w:color w:val="auto"/>
              </w:rPr>
              <w:t>须提供的材料包括但不限于国家认可的第三方检测机构出具的检测报告或产品彩页或产品说明书或产品信息网站截图并加盖</w:t>
            </w:r>
            <w:r>
              <w:rPr>
                <w:rFonts w:hint="eastAsia"/>
                <w:b w:val="0"/>
                <w:bCs w:val="0"/>
                <w:color w:val="auto"/>
                <w:lang w:eastAsia="zh-CN"/>
              </w:rPr>
              <w:t>竞标人</w:t>
            </w:r>
            <w:r>
              <w:rPr>
                <w:rFonts w:hint="eastAsia"/>
                <w:b w:val="0"/>
                <w:bCs w:val="0"/>
                <w:color w:val="auto"/>
              </w:rPr>
              <w:t>公章。</w:t>
            </w:r>
            <w:r>
              <w:rPr>
                <w:rFonts w:hint="eastAsia" w:ascii="宋体" w:hAnsi="宋体"/>
                <w:b w:val="0"/>
                <w:bCs w:val="0"/>
                <w:color w:val="auto"/>
                <w:szCs w:val="21"/>
              </w:rPr>
              <w:t xml:space="preserve"> </w:t>
            </w:r>
            <w:r>
              <w:rPr>
                <w:rFonts w:hint="eastAsia" w:ascii="宋体" w:hAnsi="宋体"/>
                <w:b w:val="0"/>
                <w:bCs w:val="0"/>
                <w:color w:val="auto"/>
                <w:szCs w:val="21"/>
              </w:rPr>
              <w:br w:type="textWrapping"/>
            </w:r>
            <w:r>
              <w:rPr>
                <w:rFonts w:hint="eastAsia" w:ascii="宋体" w:hAnsi="宋体"/>
                <w:color w:val="auto"/>
                <w:szCs w:val="21"/>
              </w:rPr>
              <w:t>4.上课过程中，老师可对学生奖励小红花，教师机可显示小红花奖励排行榜，显示每个学生的奖励数量，并可向学生发布奖励排行榜，提升学生参与感和学习兴趣；</w:t>
            </w:r>
            <w:r>
              <w:rPr>
                <w:rFonts w:hint="eastAsia" w:ascii="宋体" w:hAnsi="宋体"/>
                <w:color w:val="auto"/>
                <w:szCs w:val="21"/>
              </w:rPr>
              <w:br w:type="textWrapping"/>
            </w:r>
            <w:r>
              <w:rPr>
                <w:rFonts w:hint="eastAsia" w:ascii="宋体" w:hAnsi="宋体"/>
                <w:color w:val="auto"/>
                <w:szCs w:val="21"/>
              </w:rPr>
              <w:t>5.教师机可控制学生机是否可开启麦克风进行对话，开启语音连麦后，教师和学生可通过麦克风对话，语音交流可被班级其它所有学生听到，便于课堂语音互动；</w:t>
            </w:r>
            <w:r>
              <w:rPr>
                <w:rFonts w:hint="eastAsia" w:ascii="宋体" w:hAnsi="宋体"/>
                <w:color w:val="auto"/>
                <w:szCs w:val="21"/>
              </w:rPr>
              <w:br w:type="textWrapping"/>
            </w:r>
            <w:r>
              <w:rPr>
                <w:rFonts w:hint="eastAsia" w:ascii="宋体" w:hAnsi="宋体"/>
                <w:color w:val="auto"/>
                <w:szCs w:val="21"/>
              </w:rPr>
              <w:t>6.支持保存电子点名信息为班级座位信息，老师可导入班级座位信息，将机房上机机位与学生信息进行绑定，便于学生来机房后使用固定位置上机；</w:t>
            </w:r>
            <w:r>
              <w:rPr>
                <w:rFonts w:hint="eastAsia" w:ascii="宋体" w:hAnsi="宋体"/>
                <w:color w:val="auto"/>
                <w:szCs w:val="21"/>
              </w:rPr>
              <w:br w:type="textWrapping"/>
            </w:r>
            <w:r>
              <w:rPr>
                <w:rFonts w:hint="eastAsia" w:ascii="宋体" w:hAnsi="宋体"/>
                <w:color w:val="auto"/>
                <w:szCs w:val="21"/>
              </w:rPr>
              <w:t>7.支持作业下发，教师机可将自己机器上的文件传输到学生机，支持一对多传输，当选中多台学生机执行下发文件时，教师端需选择其中一台学生机作为样本机，并选择存放路径，支持发送文件或文件夹；</w:t>
            </w:r>
            <w:r>
              <w:rPr>
                <w:rFonts w:hint="eastAsia" w:ascii="宋体" w:hAnsi="宋体"/>
                <w:color w:val="auto"/>
                <w:szCs w:val="21"/>
              </w:rPr>
              <w:br w:type="textWrapping"/>
            </w:r>
            <w:r>
              <w:rPr>
                <w:rFonts w:hint="eastAsia" w:ascii="宋体" w:hAnsi="宋体"/>
                <w:color w:val="auto"/>
                <w:szCs w:val="21"/>
              </w:rPr>
              <w:t>▲8.支持黑屏肃静，教师可对学生执行黑屏肃静操作，能够自定义黑屏肃静的提示信息，支持手动解锁、按时解锁、按时长解</w:t>
            </w:r>
            <w:r>
              <w:rPr>
                <w:rFonts w:hint="eastAsia" w:ascii="宋体" w:hAnsi="宋体"/>
                <w:b w:val="0"/>
                <w:bCs w:val="0"/>
                <w:color w:val="auto"/>
                <w:szCs w:val="21"/>
              </w:rPr>
              <w:t>锁；</w:t>
            </w:r>
            <w:r>
              <w:rPr>
                <w:rFonts w:hint="eastAsia"/>
                <w:b w:val="0"/>
                <w:bCs w:val="0"/>
                <w:color w:val="auto"/>
              </w:rPr>
              <w:t>须提供的材料包括但不限于国家认可的第三方检测机构出具的检测报告或产品彩页或产品说明书或产品信息网站截图并加盖</w:t>
            </w:r>
            <w:r>
              <w:rPr>
                <w:rFonts w:hint="eastAsia"/>
                <w:b w:val="0"/>
                <w:bCs w:val="0"/>
                <w:color w:val="auto"/>
                <w:lang w:eastAsia="zh-CN"/>
              </w:rPr>
              <w:t>竞标人</w:t>
            </w:r>
            <w:r>
              <w:rPr>
                <w:rFonts w:hint="eastAsia"/>
                <w:b w:val="0"/>
                <w:bCs w:val="0"/>
                <w:color w:val="auto"/>
              </w:rPr>
              <w:t>公章。</w:t>
            </w:r>
          </w:p>
          <w:p w14:paraId="6F062775">
            <w:pPr>
              <w:numPr>
                <w:ilvl w:val="0"/>
                <w:numId w:val="0"/>
              </w:numPr>
              <w:spacing w:line="420" w:lineRule="exact"/>
              <w:rPr>
                <w:rFonts w:ascii="宋体" w:hAnsi="宋体"/>
                <w:color w:val="auto"/>
                <w:szCs w:val="21"/>
              </w:rPr>
            </w:pPr>
            <w:r>
              <w:rPr>
                <w:rFonts w:hint="eastAsia" w:ascii="宋体" w:hAnsi="宋体"/>
                <w:color w:val="auto"/>
                <w:szCs w:val="21"/>
              </w:rPr>
              <w:t xml:space="preserve">9.支持对学生的网络搜索进行关键字屏蔽，教师机设置限制搜索的关键词后，学生机通过浏览器搜索禁用的关键词，会自动弹出提示信息，或直接关闭学生机浏览器； </w:t>
            </w:r>
            <w:r>
              <w:rPr>
                <w:rFonts w:hint="eastAsia" w:ascii="宋体" w:hAnsi="宋体"/>
                <w:color w:val="auto"/>
                <w:szCs w:val="21"/>
              </w:rPr>
              <w:br w:type="textWrapping"/>
            </w:r>
            <w:r>
              <w:rPr>
                <w:rFonts w:hint="eastAsia" w:ascii="宋体" w:hAnsi="宋体"/>
                <w:color w:val="auto"/>
                <w:szCs w:val="21"/>
              </w:rPr>
              <w:t>10.支持考试功能，包括试题编辑、下发试卷、考试监控、成绩统计。可添加单选题、多选题、判断题、填空题、问答题；可设置考试时长，倒计时结束后自动结束考试。阅卷时，单选题、多选题、判断题支持自动评分和统计正确率。（提供加盖竞标人公章的功能截图）</w:t>
            </w:r>
            <w:r>
              <w:rPr>
                <w:rFonts w:hint="eastAsia" w:ascii="宋体" w:hAnsi="宋体"/>
                <w:color w:val="auto"/>
                <w:szCs w:val="21"/>
              </w:rPr>
              <w:br w:type="textWrapping"/>
            </w:r>
            <w:r>
              <w:rPr>
                <w:rFonts w:hint="eastAsia" w:ascii="宋体" w:hAnsi="宋体"/>
                <w:color w:val="auto"/>
                <w:szCs w:val="21"/>
              </w:rPr>
              <w:t>▲11.支持与桌面云软件融合打通，通过教学软件实现操作系统一键切换，可关闭云桌面服务器和学生机；须提供的材料包括但不限于国家认可的第三方检测机构出具的检测报告或产品彩页或产品说明书或产品信息网站截图并加盖</w:t>
            </w:r>
            <w:r>
              <w:rPr>
                <w:rFonts w:hint="eastAsia" w:ascii="宋体" w:hAnsi="宋体"/>
                <w:color w:val="auto"/>
                <w:szCs w:val="21"/>
                <w:lang w:eastAsia="zh-CN"/>
              </w:rPr>
              <w:t>竞标人</w:t>
            </w:r>
            <w:r>
              <w:rPr>
                <w:rFonts w:hint="eastAsia" w:ascii="宋体" w:hAnsi="宋体"/>
                <w:color w:val="auto"/>
                <w:szCs w:val="21"/>
              </w:rPr>
              <w:t>公章。</w:t>
            </w:r>
          </w:p>
        </w:tc>
        <w:tc>
          <w:tcPr>
            <w:tcW w:w="705" w:type="dxa"/>
            <w:vAlign w:val="center"/>
          </w:tcPr>
          <w:p w14:paraId="37C6D9C2">
            <w:pPr>
              <w:spacing w:line="420" w:lineRule="exact"/>
              <w:jc w:val="center"/>
              <w:rPr>
                <w:rFonts w:ascii="宋体" w:hAnsi="宋体" w:cs="宋体"/>
                <w:b/>
                <w:bCs/>
                <w:color w:val="auto"/>
                <w:szCs w:val="21"/>
              </w:rPr>
            </w:pPr>
            <w:r>
              <w:rPr>
                <w:rFonts w:hint="eastAsia" w:ascii="宋体" w:hAnsi="宋体"/>
                <w:color w:val="auto"/>
                <w:szCs w:val="21"/>
              </w:rPr>
              <w:t>302</w:t>
            </w:r>
          </w:p>
        </w:tc>
        <w:tc>
          <w:tcPr>
            <w:tcW w:w="750" w:type="dxa"/>
            <w:vAlign w:val="center"/>
          </w:tcPr>
          <w:p w14:paraId="02D99366">
            <w:pPr>
              <w:spacing w:line="420" w:lineRule="exact"/>
              <w:jc w:val="center"/>
              <w:rPr>
                <w:rFonts w:ascii="宋体" w:hAnsi="宋体" w:cs="宋体"/>
                <w:b/>
                <w:bCs/>
                <w:color w:val="auto"/>
                <w:szCs w:val="21"/>
              </w:rPr>
            </w:pPr>
            <w:r>
              <w:rPr>
                <w:rFonts w:hint="eastAsia" w:ascii="宋体" w:hAnsi="宋体"/>
                <w:color w:val="auto"/>
                <w:szCs w:val="21"/>
              </w:rPr>
              <w:t>点</w:t>
            </w:r>
          </w:p>
        </w:tc>
        <w:tc>
          <w:tcPr>
            <w:tcW w:w="780" w:type="dxa"/>
            <w:vAlign w:val="center"/>
          </w:tcPr>
          <w:p w14:paraId="27FC3F0C">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07C8A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021E8F0A">
            <w:pPr>
              <w:jc w:val="center"/>
              <w:rPr>
                <w:rFonts w:ascii="宋体" w:hAnsi="宋体"/>
                <w:color w:val="auto"/>
                <w:szCs w:val="21"/>
              </w:rPr>
            </w:pPr>
            <w:r>
              <w:rPr>
                <w:rFonts w:hint="eastAsia" w:ascii="宋体" w:hAnsi="宋体"/>
                <w:color w:val="auto"/>
                <w:szCs w:val="21"/>
              </w:rPr>
              <w:t>13</w:t>
            </w:r>
          </w:p>
        </w:tc>
        <w:tc>
          <w:tcPr>
            <w:tcW w:w="1142" w:type="dxa"/>
            <w:vAlign w:val="center"/>
          </w:tcPr>
          <w:p w14:paraId="784BC037">
            <w:pPr>
              <w:spacing w:line="420" w:lineRule="exact"/>
              <w:jc w:val="center"/>
              <w:rPr>
                <w:rFonts w:ascii="宋体" w:hAnsi="宋体"/>
                <w:color w:val="auto"/>
                <w:szCs w:val="21"/>
              </w:rPr>
            </w:pPr>
            <w:r>
              <w:rPr>
                <w:rFonts w:hint="eastAsia" w:ascii="宋体" w:hAnsi="宋体"/>
                <w:color w:val="auto"/>
                <w:szCs w:val="21"/>
              </w:rPr>
              <w:t>六类非屏蔽跳线</w:t>
            </w:r>
          </w:p>
        </w:tc>
        <w:tc>
          <w:tcPr>
            <w:tcW w:w="5220" w:type="dxa"/>
            <w:vAlign w:val="center"/>
          </w:tcPr>
          <w:p w14:paraId="6743723C">
            <w:pPr>
              <w:spacing w:line="420" w:lineRule="exact"/>
              <w:rPr>
                <w:rFonts w:ascii="宋体" w:hAnsi="宋体"/>
                <w:color w:val="auto"/>
                <w:szCs w:val="21"/>
              </w:rPr>
            </w:pPr>
            <w:r>
              <w:rPr>
                <w:rFonts w:hint="eastAsia" w:ascii="宋体" w:hAnsi="宋体"/>
                <w:color w:val="auto"/>
                <w:szCs w:val="21"/>
              </w:rPr>
              <w:t>1.所有跳线应具备或超出TIA/EIA以及ISO/IEC6类/E级规格要求；</w:t>
            </w:r>
          </w:p>
          <w:p w14:paraId="00B595DA">
            <w:pPr>
              <w:spacing w:line="420" w:lineRule="exact"/>
              <w:rPr>
                <w:rFonts w:ascii="宋体" w:hAnsi="宋体"/>
                <w:color w:val="auto"/>
                <w:szCs w:val="21"/>
              </w:rPr>
            </w:pPr>
            <w:r>
              <w:rPr>
                <w:rFonts w:hint="eastAsia" w:ascii="宋体" w:hAnsi="宋体"/>
                <w:color w:val="auto"/>
                <w:szCs w:val="21"/>
              </w:rPr>
              <w:t>2.所有跳线应向后与5类及5E类系统兼容；</w:t>
            </w:r>
          </w:p>
          <w:p w14:paraId="3A0B96C0">
            <w:pPr>
              <w:spacing w:line="420" w:lineRule="exact"/>
              <w:rPr>
                <w:rFonts w:ascii="宋体" w:hAnsi="宋体"/>
                <w:strike/>
                <w:color w:val="auto"/>
                <w:szCs w:val="21"/>
              </w:rPr>
            </w:pPr>
            <w:r>
              <w:rPr>
                <w:rFonts w:hint="eastAsia" w:ascii="宋体" w:hAnsi="宋体"/>
                <w:color w:val="auto"/>
                <w:szCs w:val="21"/>
              </w:rPr>
              <w:t>3.根据需求提供≥5种不同颜色跳线，区分不同网络应用。</w:t>
            </w:r>
          </w:p>
          <w:p w14:paraId="34FC5E4B">
            <w:pPr>
              <w:spacing w:line="420" w:lineRule="exact"/>
              <w:rPr>
                <w:rFonts w:ascii="宋体" w:hAnsi="宋体"/>
                <w:color w:val="auto"/>
                <w:szCs w:val="21"/>
              </w:rPr>
            </w:pPr>
            <w:r>
              <w:rPr>
                <w:rFonts w:hint="eastAsia" w:ascii="宋体" w:hAnsi="宋体"/>
                <w:color w:val="auto"/>
                <w:szCs w:val="21"/>
              </w:rPr>
              <w:t>4.导体线规：24AWG,多股铜芯绞合的软跳线设计；</w:t>
            </w:r>
          </w:p>
          <w:p w14:paraId="3548EBC9">
            <w:pPr>
              <w:spacing w:line="420" w:lineRule="exact"/>
              <w:rPr>
                <w:rFonts w:ascii="宋体" w:hAnsi="宋体"/>
                <w:color w:val="auto"/>
                <w:szCs w:val="21"/>
              </w:rPr>
            </w:pPr>
            <w:r>
              <w:rPr>
                <w:rFonts w:hint="eastAsia" w:ascii="宋体" w:hAnsi="宋体"/>
                <w:color w:val="auto"/>
                <w:szCs w:val="21"/>
              </w:rPr>
              <w:t>5.RJ45水晶头整体注塑制作，长度</w:t>
            </w:r>
            <w:r>
              <w:rPr>
                <w:rFonts w:ascii="宋体" w:hAnsi="宋体"/>
                <w:color w:val="auto"/>
                <w:szCs w:val="21"/>
              </w:rPr>
              <w:t>3</w:t>
            </w:r>
            <w:r>
              <w:rPr>
                <w:rFonts w:hint="eastAsia" w:ascii="宋体" w:hAnsi="宋体"/>
                <w:color w:val="auto"/>
                <w:szCs w:val="21"/>
              </w:rPr>
              <w:t>米；</w:t>
            </w:r>
          </w:p>
          <w:p w14:paraId="5B03FA0B">
            <w:pPr>
              <w:spacing w:line="420" w:lineRule="exact"/>
              <w:rPr>
                <w:rFonts w:ascii="宋体" w:hAnsi="宋体"/>
                <w:color w:val="auto"/>
                <w:szCs w:val="21"/>
              </w:rPr>
            </w:pPr>
            <w:r>
              <w:rPr>
                <w:rFonts w:hint="eastAsia" w:ascii="宋体" w:hAnsi="宋体"/>
                <w:color w:val="auto"/>
                <w:szCs w:val="21"/>
              </w:rPr>
              <w:t>6.产品100%通过单体测试；</w:t>
            </w:r>
          </w:p>
          <w:p w14:paraId="33E7DBB7">
            <w:pPr>
              <w:spacing w:line="420" w:lineRule="exact"/>
              <w:rPr>
                <w:rFonts w:ascii="宋体" w:hAnsi="宋体"/>
                <w:color w:val="auto"/>
                <w:szCs w:val="21"/>
              </w:rPr>
            </w:pPr>
            <w:r>
              <w:rPr>
                <w:rFonts w:hint="eastAsia" w:ascii="宋体" w:hAnsi="宋体"/>
                <w:color w:val="auto"/>
                <w:szCs w:val="21"/>
              </w:rPr>
              <w:t>7.为长久使用，水晶头弹片上有保护塑料片；</w:t>
            </w:r>
          </w:p>
        </w:tc>
        <w:tc>
          <w:tcPr>
            <w:tcW w:w="705" w:type="dxa"/>
            <w:vAlign w:val="center"/>
          </w:tcPr>
          <w:p w14:paraId="0715AD94">
            <w:pPr>
              <w:spacing w:line="420" w:lineRule="exact"/>
              <w:jc w:val="center"/>
              <w:rPr>
                <w:rFonts w:ascii="宋体" w:hAnsi="宋体" w:cs="宋体"/>
                <w:b/>
                <w:bCs/>
                <w:color w:val="auto"/>
                <w:szCs w:val="21"/>
              </w:rPr>
            </w:pPr>
            <w:r>
              <w:rPr>
                <w:rFonts w:hint="eastAsia" w:ascii="宋体" w:hAnsi="宋体"/>
                <w:color w:val="auto"/>
                <w:szCs w:val="21"/>
              </w:rPr>
              <w:t>760</w:t>
            </w:r>
          </w:p>
        </w:tc>
        <w:tc>
          <w:tcPr>
            <w:tcW w:w="750" w:type="dxa"/>
            <w:vAlign w:val="center"/>
          </w:tcPr>
          <w:p w14:paraId="5C69F460">
            <w:pPr>
              <w:spacing w:line="420" w:lineRule="exact"/>
              <w:jc w:val="center"/>
              <w:rPr>
                <w:rFonts w:ascii="宋体" w:hAnsi="宋体" w:cs="宋体"/>
                <w:b/>
                <w:bCs/>
                <w:color w:val="auto"/>
                <w:szCs w:val="21"/>
              </w:rPr>
            </w:pPr>
            <w:r>
              <w:rPr>
                <w:rFonts w:hint="eastAsia" w:ascii="宋体" w:hAnsi="宋体"/>
                <w:color w:val="auto"/>
                <w:szCs w:val="21"/>
              </w:rPr>
              <w:t>条</w:t>
            </w:r>
          </w:p>
        </w:tc>
        <w:tc>
          <w:tcPr>
            <w:tcW w:w="780" w:type="dxa"/>
            <w:vAlign w:val="center"/>
          </w:tcPr>
          <w:p w14:paraId="4FBC9497">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0DEC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785B2A82">
            <w:pPr>
              <w:jc w:val="center"/>
              <w:rPr>
                <w:rFonts w:ascii="宋体" w:hAnsi="宋体"/>
                <w:color w:val="auto"/>
                <w:szCs w:val="21"/>
              </w:rPr>
            </w:pPr>
            <w:r>
              <w:rPr>
                <w:rFonts w:hint="eastAsia" w:ascii="宋体" w:hAnsi="宋体"/>
                <w:color w:val="auto"/>
                <w:szCs w:val="21"/>
              </w:rPr>
              <w:t>14</w:t>
            </w:r>
          </w:p>
        </w:tc>
        <w:tc>
          <w:tcPr>
            <w:tcW w:w="1142" w:type="dxa"/>
            <w:vAlign w:val="center"/>
          </w:tcPr>
          <w:p w14:paraId="4E5BC945">
            <w:pPr>
              <w:spacing w:line="420" w:lineRule="exact"/>
              <w:jc w:val="center"/>
              <w:rPr>
                <w:rFonts w:ascii="宋体" w:hAnsi="宋体"/>
                <w:color w:val="auto"/>
                <w:szCs w:val="21"/>
              </w:rPr>
            </w:pPr>
            <w:r>
              <w:rPr>
                <w:rFonts w:hint="eastAsia" w:ascii="宋体" w:hAnsi="宋体"/>
                <w:color w:val="auto"/>
                <w:szCs w:val="21"/>
              </w:rPr>
              <w:t>12对光纤配线架</w:t>
            </w:r>
          </w:p>
        </w:tc>
        <w:tc>
          <w:tcPr>
            <w:tcW w:w="5220" w:type="dxa"/>
            <w:vAlign w:val="center"/>
          </w:tcPr>
          <w:p w14:paraId="55236965">
            <w:pPr>
              <w:spacing w:line="420" w:lineRule="exact"/>
              <w:rPr>
                <w:rFonts w:ascii="宋体" w:hAnsi="宋体"/>
                <w:color w:val="auto"/>
                <w:szCs w:val="21"/>
              </w:rPr>
            </w:pPr>
            <w:r>
              <w:rPr>
                <w:rFonts w:ascii="宋体" w:hAnsi="宋体" w:cs="Helvetica"/>
                <w:color w:val="auto"/>
                <w:szCs w:val="21"/>
                <w:shd w:val="clear" w:color="auto" w:fill="FFFFFF"/>
              </w:rPr>
              <w:t>1.高强度、高耐用、高可靠的冷扎钢板箱体</w:t>
            </w:r>
            <w:r>
              <w:rPr>
                <w:rFonts w:hint="eastAsia" w:ascii="宋体" w:hAnsi="宋体" w:cs="Helvetica"/>
                <w:color w:val="auto"/>
                <w:szCs w:val="21"/>
                <w:shd w:val="clear" w:color="auto" w:fill="FFFFFF"/>
              </w:rPr>
              <w:t>；</w:t>
            </w:r>
            <w:r>
              <w:rPr>
                <w:rFonts w:ascii="宋体" w:hAnsi="宋体" w:cs="Helvetica"/>
                <w:color w:val="auto"/>
                <w:szCs w:val="21"/>
              </w:rPr>
              <w:br w:type="textWrapping"/>
            </w:r>
            <w:r>
              <w:rPr>
                <w:rFonts w:ascii="宋体" w:hAnsi="宋体" w:cs="Helvetica"/>
                <w:color w:val="auto"/>
                <w:szCs w:val="21"/>
                <w:shd w:val="clear" w:color="auto" w:fill="FFFFFF"/>
              </w:rPr>
              <w:t>2.</w:t>
            </w:r>
            <w:r>
              <w:rPr>
                <w:rFonts w:hint="eastAsia" w:ascii="宋体" w:hAnsi="宋体" w:cs="Helvetica"/>
                <w:color w:val="auto"/>
                <w:szCs w:val="21"/>
                <w:shd w:val="clear" w:color="auto" w:fill="FFFFFF"/>
              </w:rPr>
              <w:t>高度</w:t>
            </w:r>
            <w:r>
              <w:rPr>
                <w:rFonts w:ascii="宋体" w:hAnsi="宋体" w:cs="Helvetica"/>
                <w:color w:val="auto"/>
                <w:szCs w:val="21"/>
                <w:shd w:val="clear" w:color="auto" w:fill="FFFFFF"/>
              </w:rPr>
              <w:t>2U</w:t>
            </w:r>
            <w:r>
              <w:rPr>
                <w:rFonts w:hint="eastAsia" w:ascii="宋体" w:hAnsi="宋体" w:cs="Helvetica"/>
                <w:color w:val="auto"/>
                <w:szCs w:val="21"/>
                <w:shd w:val="clear" w:color="auto" w:fill="FFFFFF"/>
              </w:rPr>
              <w:t>，</w:t>
            </w:r>
            <w:r>
              <w:rPr>
                <w:rFonts w:ascii="宋体" w:hAnsi="宋体" w:cs="Helvetica"/>
                <w:color w:val="auto"/>
                <w:szCs w:val="21"/>
                <w:shd w:val="clear" w:color="auto" w:fill="FFFFFF"/>
              </w:rPr>
              <w:t>正面化操作，12芯一体ODF模块化设计</w:t>
            </w:r>
            <w:r>
              <w:rPr>
                <w:rFonts w:hint="eastAsia" w:ascii="宋体" w:hAnsi="宋体" w:cs="Helvetica"/>
                <w:color w:val="auto"/>
                <w:szCs w:val="21"/>
                <w:shd w:val="clear" w:color="auto" w:fill="FFFFFF"/>
              </w:rPr>
              <w:t>；</w:t>
            </w:r>
            <w:r>
              <w:rPr>
                <w:rFonts w:ascii="宋体" w:hAnsi="宋体" w:cs="Helvetica"/>
                <w:color w:val="auto"/>
                <w:szCs w:val="21"/>
                <w:shd w:val="clear" w:color="auto" w:fill="FFFFFF"/>
              </w:rPr>
              <w:br w:type="textWrapping"/>
            </w:r>
            <w:r>
              <w:rPr>
                <w:rFonts w:ascii="宋体" w:hAnsi="宋体" w:cs="Helvetica"/>
                <w:color w:val="auto"/>
                <w:szCs w:val="21"/>
                <w:shd w:val="clear" w:color="auto" w:fill="FFFFFF"/>
              </w:rPr>
              <w:t>3.集熔接与配线于一体，最大限度的高密度化</w:t>
            </w:r>
            <w:r>
              <w:rPr>
                <w:rFonts w:hint="eastAsia" w:ascii="宋体" w:hAnsi="宋体" w:cs="Helvetica"/>
                <w:color w:val="auto"/>
                <w:szCs w:val="21"/>
                <w:shd w:val="clear" w:color="auto" w:fill="FFFFFF"/>
              </w:rPr>
              <w:t>；</w:t>
            </w:r>
            <w:r>
              <w:rPr>
                <w:rFonts w:ascii="宋体" w:hAnsi="宋体" w:cs="Helvetica"/>
                <w:color w:val="auto"/>
                <w:szCs w:val="21"/>
              </w:rPr>
              <w:br w:type="textWrapping"/>
            </w:r>
            <w:r>
              <w:rPr>
                <w:rFonts w:ascii="宋体" w:hAnsi="宋体" w:cs="Helvetica"/>
                <w:color w:val="auto"/>
                <w:szCs w:val="21"/>
                <w:shd w:val="clear" w:color="auto" w:fill="FFFFFF"/>
              </w:rPr>
              <w:t>4.操作方便，保护完善方便大芯数高容量安装</w:t>
            </w:r>
            <w:r>
              <w:rPr>
                <w:rFonts w:hint="eastAsia" w:ascii="宋体" w:hAnsi="宋体" w:cs="Helvetica"/>
                <w:color w:val="auto"/>
                <w:szCs w:val="21"/>
                <w:shd w:val="clear" w:color="auto" w:fill="FFFFFF"/>
              </w:rPr>
              <w:t>；</w:t>
            </w:r>
            <w:r>
              <w:rPr>
                <w:rFonts w:ascii="宋体" w:hAnsi="宋体" w:cs="Helvetica"/>
                <w:color w:val="auto"/>
                <w:szCs w:val="21"/>
              </w:rPr>
              <w:br w:type="textWrapping"/>
            </w:r>
            <w:r>
              <w:rPr>
                <w:rFonts w:ascii="宋体" w:hAnsi="宋体" w:cs="Helvetica"/>
                <w:color w:val="auto"/>
                <w:szCs w:val="21"/>
                <w:shd w:val="clear" w:color="auto" w:fill="FFFFFF"/>
              </w:rPr>
              <w:t>5.模块化结构，可调节熔接、配线单元组合</w:t>
            </w:r>
            <w:r>
              <w:rPr>
                <w:rFonts w:hint="eastAsia" w:ascii="宋体" w:hAnsi="宋体" w:cs="Helvetica"/>
                <w:color w:val="auto"/>
                <w:szCs w:val="21"/>
                <w:shd w:val="clear" w:color="auto" w:fill="FFFFFF"/>
              </w:rPr>
              <w:t>；</w:t>
            </w:r>
            <w:r>
              <w:rPr>
                <w:rFonts w:ascii="宋体" w:hAnsi="宋体" w:cs="Helvetica"/>
                <w:color w:val="auto"/>
                <w:szCs w:val="21"/>
              </w:rPr>
              <w:br w:type="textWrapping"/>
            </w:r>
            <w:r>
              <w:rPr>
                <w:rFonts w:ascii="宋体" w:hAnsi="宋体" w:cs="Helvetica"/>
                <w:color w:val="auto"/>
                <w:szCs w:val="21"/>
                <w:shd w:val="clear" w:color="auto" w:fill="FFFFFF"/>
              </w:rPr>
              <w:t>6.适配器与ODF30度卡接式安装，避免激光灼伤人眼</w:t>
            </w:r>
            <w:r>
              <w:rPr>
                <w:rFonts w:hint="eastAsia" w:ascii="宋体" w:hAnsi="宋体" w:cs="Helvetica"/>
                <w:color w:val="auto"/>
                <w:szCs w:val="21"/>
                <w:shd w:val="clear" w:color="auto" w:fill="FFFFFF"/>
              </w:rPr>
              <w:t>；</w:t>
            </w:r>
            <w:r>
              <w:rPr>
                <w:rFonts w:ascii="宋体" w:hAnsi="宋体" w:cs="Helvetica"/>
                <w:color w:val="auto"/>
                <w:szCs w:val="21"/>
              </w:rPr>
              <w:br w:type="textWrapping"/>
            </w:r>
            <w:r>
              <w:rPr>
                <w:rFonts w:ascii="宋体" w:hAnsi="宋体" w:cs="Helvetica"/>
                <w:color w:val="auto"/>
                <w:szCs w:val="21"/>
                <w:shd w:val="clear" w:color="auto" w:fill="FFFFFF"/>
              </w:rPr>
              <w:t>7.光缆有可靠的固定、开剥和接地装置</w:t>
            </w:r>
            <w:r>
              <w:rPr>
                <w:rFonts w:hint="eastAsia" w:ascii="宋体" w:hAnsi="宋体" w:cs="Helvetica"/>
                <w:color w:val="auto"/>
                <w:szCs w:val="21"/>
                <w:shd w:val="clear" w:color="auto" w:fill="FFFFFF"/>
              </w:rPr>
              <w:t>；</w:t>
            </w:r>
            <w:r>
              <w:rPr>
                <w:rFonts w:ascii="宋体" w:hAnsi="宋体" w:cs="Helvetica"/>
                <w:color w:val="auto"/>
                <w:szCs w:val="21"/>
              </w:rPr>
              <w:br w:type="textWrapping"/>
            </w:r>
            <w:r>
              <w:rPr>
                <w:rFonts w:ascii="宋体" w:hAnsi="宋体" w:cs="Helvetica"/>
                <w:color w:val="auto"/>
                <w:szCs w:val="21"/>
                <w:shd w:val="clear" w:color="auto" w:fill="FFFFFF"/>
              </w:rPr>
              <w:t>8.设计合理确保光纤光缆弯曲半径均符合标准</w:t>
            </w:r>
            <w:r>
              <w:rPr>
                <w:rFonts w:hint="eastAsia" w:ascii="宋体" w:hAnsi="宋体" w:cs="Helvetica"/>
                <w:color w:val="auto"/>
                <w:szCs w:val="21"/>
                <w:shd w:val="clear" w:color="auto" w:fill="FFFFFF"/>
              </w:rPr>
              <w:t>；</w:t>
            </w:r>
            <w:r>
              <w:rPr>
                <w:rFonts w:ascii="宋体" w:hAnsi="宋体" w:cs="Helvetica"/>
                <w:color w:val="auto"/>
                <w:szCs w:val="21"/>
              </w:rPr>
              <w:br w:type="textWrapping"/>
            </w:r>
            <w:r>
              <w:rPr>
                <w:rFonts w:ascii="宋体" w:hAnsi="宋体" w:cs="Helvetica"/>
                <w:color w:val="auto"/>
                <w:szCs w:val="21"/>
                <w:shd w:val="clear" w:color="auto" w:fill="FFFFFF"/>
              </w:rPr>
              <w:t>9.有完整的高压接地保护及光缆集中固定装置</w:t>
            </w:r>
            <w:r>
              <w:rPr>
                <w:rFonts w:hint="eastAsia" w:ascii="宋体" w:hAnsi="宋体" w:cs="Helvetica"/>
                <w:color w:val="auto"/>
                <w:szCs w:val="21"/>
                <w:shd w:val="clear" w:color="auto" w:fill="FFFFFF"/>
              </w:rPr>
              <w:t>；</w:t>
            </w:r>
            <w:r>
              <w:rPr>
                <w:rFonts w:ascii="宋体" w:hAnsi="宋体" w:cs="Helvetica"/>
                <w:color w:val="auto"/>
                <w:szCs w:val="21"/>
              </w:rPr>
              <w:br w:type="textWrapping"/>
            </w:r>
            <w:r>
              <w:rPr>
                <w:rFonts w:ascii="宋体" w:hAnsi="宋体" w:cs="Helvetica"/>
                <w:color w:val="auto"/>
                <w:szCs w:val="21"/>
                <w:shd w:val="clear" w:color="auto" w:fill="FFFFFF"/>
              </w:rPr>
              <w:t>10.标准19英寸机架式,提高机柜和机房利用率</w:t>
            </w:r>
            <w:r>
              <w:rPr>
                <w:rFonts w:hint="eastAsia" w:ascii="宋体" w:hAnsi="宋体" w:cs="Helvetica"/>
                <w:color w:val="auto"/>
                <w:szCs w:val="21"/>
                <w:shd w:val="clear" w:color="auto" w:fill="FFFFFF"/>
              </w:rPr>
              <w:t>；</w:t>
            </w:r>
            <w:r>
              <w:rPr>
                <w:rFonts w:ascii="宋体" w:hAnsi="宋体" w:cs="Helvetica"/>
                <w:color w:val="auto"/>
                <w:szCs w:val="21"/>
              </w:rPr>
              <w:br w:type="textWrapping"/>
            </w:r>
            <w:r>
              <w:rPr>
                <w:rFonts w:ascii="宋体" w:hAnsi="宋体" w:cs="Helvetica"/>
                <w:color w:val="auto"/>
                <w:szCs w:val="21"/>
                <w:shd w:val="clear" w:color="auto" w:fill="FFFFFF"/>
              </w:rPr>
              <w:t>11.适用于多种适配器、尾纤和多种光缆</w:t>
            </w:r>
            <w:r>
              <w:rPr>
                <w:rFonts w:hint="eastAsia" w:ascii="宋体" w:hAnsi="宋体" w:cs="Helvetica"/>
                <w:color w:val="auto"/>
                <w:szCs w:val="21"/>
                <w:shd w:val="clear" w:color="auto" w:fill="FFFFFF"/>
              </w:rPr>
              <w:t>。</w:t>
            </w:r>
          </w:p>
        </w:tc>
        <w:tc>
          <w:tcPr>
            <w:tcW w:w="705" w:type="dxa"/>
            <w:vAlign w:val="center"/>
          </w:tcPr>
          <w:p w14:paraId="6F11BFAB">
            <w:pPr>
              <w:spacing w:line="420" w:lineRule="exact"/>
              <w:jc w:val="center"/>
              <w:rPr>
                <w:rFonts w:ascii="宋体" w:hAnsi="宋体" w:cs="宋体"/>
                <w:b/>
                <w:bCs/>
                <w:color w:val="auto"/>
                <w:szCs w:val="21"/>
              </w:rPr>
            </w:pPr>
            <w:r>
              <w:rPr>
                <w:rFonts w:hint="eastAsia" w:ascii="宋体" w:hAnsi="宋体" w:cs="宋体"/>
                <w:color w:val="auto"/>
                <w:szCs w:val="21"/>
              </w:rPr>
              <w:t>6</w:t>
            </w:r>
          </w:p>
        </w:tc>
        <w:tc>
          <w:tcPr>
            <w:tcW w:w="750" w:type="dxa"/>
            <w:vAlign w:val="center"/>
          </w:tcPr>
          <w:p w14:paraId="2ED30284">
            <w:pPr>
              <w:spacing w:line="420" w:lineRule="exact"/>
              <w:jc w:val="center"/>
              <w:rPr>
                <w:rFonts w:ascii="宋体" w:hAnsi="宋体" w:cs="宋体"/>
                <w:b/>
                <w:bCs/>
                <w:color w:val="auto"/>
                <w:szCs w:val="21"/>
              </w:rPr>
            </w:pPr>
            <w:r>
              <w:rPr>
                <w:rFonts w:hint="eastAsia" w:ascii="宋体" w:hAnsi="宋体"/>
                <w:color w:val="auto"/>
                <w:szCs w:val="21"/>
              </w:rPr>
              <w:t>个</w:t>
            </w:r>
          </w:p>
        </w:tc>
        <w:tc>
          <w:tcPr>
            <w:tcW w:w="780" w:type="dxa"/>
            <w:vAlign w:val="center"/>
          </w:tcPr>
          <w:p w14:paraId="095CB8F5">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2D7F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0E46336A">
            <w:pPr>
              <w:jc w:val="center"/>
              <w:rPr>
                <w:rFonts w:ascii="宋体" w:hAnsi="宋体"/>
                <w:color w:val="auto"/>
                <w:szCs w:val="21"/>
              </w:rPr>
            </w:pPr>
            <w:r>
              <w:rPr>
                <w:rFonts w:hint="eastAsia" w:ascii="宋体" w:hAnsi="宋体"/>
                <w:color w:val="auto"/>
                <w:szCs w:val="21"/>
              </w:rPr>
              <w:t>15</w:t>
            </w:r>
          </w:p>
        </w:tc>
        <w:tc>
          <w:tcPr>
            <w:tcW w:w="1142" w:type="dxa"/>
            <w:vAlign w:val="center"/>
          </w:tcPr>
          <w:p w14:paraId="3421B690">
            <w:pPr>
              <w:spacing w:line="420" w:lineRule="exact"/>
              <w:jc w:val="center"/>
              <w:rPr>
                <w:rFonts w:ascii="宋体" w:hAnsi="宋体"/>
                <w:color w:val="auto"/>
                <w:szCs w:val="21"/>
              </w:rPr>
            </w:pPr>
            <w:r>
              <w:rPr>
                <w:rFonts w:hint="eastAsia" w:ascii="宋体" w:hAnsi="宋体"/>
                <w:color w:val="auto"/>
                <w:szCs w:val="21"/>
              </w:rPr>
              <w:t>耦合器</w:t>
            </w:r>
          </w:p>
        </w:tc>
        <w:tc>
          <w:tcPr>
            <w:tcW w:w="5220" w:type="dxa"/>
            <w:vAlign w:val="center"/>
          </w:tcPr>
          <w:p w14:paraId="1343E5A2">
            <w:pPr>
              <w:spacing w:line="420" w:lineRule="exact"/>
              <w:rPr>
                <w:rFonts w:ascii="宋体" w:hAnsi="宋体" w:cs="Helvetica"/>
                <w:color w:val="auto"/>
                <w:szCs w:val="21"/>
                <w:shd w:val="clear" w:color="auto" w:fill="FFFFFF"/>
              </w:rPr>
            </w:pPr>
            <w:r>
              <w:rPr>
                <w:rFonts w:hint="eastAsia" w:ascii="宋体" w:hAnsi="宋体" w:cs="Helvetica"/>
                <w:color w:val="auto"/>
                <w:szCs w:val="21"/>
                <w:shd w:val="clear" w:color="auto" w:fill="FFFFFF"/>
              </w:rPr>
              <w:t>1.L</w:t>
            </w:r>
            <w:r>
              <w:rPr>
                <w:rFonts w:ascii="宋体" w:hAnsi="宋体" w:cs="Helvetica"/>
                <w:color w:val="auto"/>
                <w:szCs w:val="21"/>
                <w:shd w:val="clear" w:color="auto" w:fill="FFFFFF"/>
              </w:rPr>
              <w:t>C-LC</w:t>
            </w:r>
            <w:r>
              <w:rPr>
                <w:rFonts w:hint="eastAsia" w:ascii="宋体" w:hAnsi="宋体" w:cs="Helvetica"/>
                <w:color w:val="auto"/>
                <w:szCs w:val="21"/>
                <w:shd w:val="clear" w:color="auto" w:fill="FFFFFF"/>
              </w:rPr>
              <w:t>；</w:t>
            </w:r>
            <w:r>
              <w:rPr>
                <w:rFonts w:hint="eastAsia" w:ascii="宋体" w:hAnsi="宋体" w:cs="Helvetica"/>
                <w:color w:val="auto"/>
                <w:szCs w:val="21"/>
                <w:shd w:val="clear" w:color="auto" w:fill="FFFFFF"/>
              </w:rPr>
              <w:br w:type="textWrapping"/>
            </w:r>
            <w:r>
              <w:rPr>
                <w:rFonts w:ascii="宋体" w:hAnsi="宋体" w:cs="Helvetica"/>
                <w:color w:val="auto"/>
                <w:szCs w:val="21"/>
                <w:shd w:val="clear" w:color="auto" w:fill="FFFFFF"/>
              </w:rPr>
              <w:t>2</w:t>
            </w:r>
            <w:r>
              <w:rPr>
                <w:rFonts w:hint="eastAsia" w:ascii="宋体" w:hAnsi="宋体" w:cs="Helvetica"/>
                <w:color w:val="auto"/>
                <w:szCs w:val="21"/>
                <w:shd w:val="clear" w:color="auto" w:fill="FFFFFF"/>
              </w:rPr>
              <w:t>.插入损耗≤0.20dB，互换性≤0.20dB，重复性≤0.20dB；</w:t>
            </w:r>
            <w:r>
              <w:rPr>
                <w:rFonts w:hint="eastAsia" w:ascii="宋体" w:hAnsi="宋体" w:cs="Helvetica"/>
                <w:color w:val="auto"/>
                <w:szCs w:val="21"/>
                <w:shd w:val="clear" w:color="auto" w:fill="FFFFFF"/>
              </w:rPr>
              <w:br w:type="textWrapping"/>
            </w:r>
            <w:r>
              <w:rPr>
                <w:rFonts w:ascii="宋体" w:hAnsi="宋体" w:cs="Helvetica"/>
                <w:color w:val="auto"/>
                <w:szCs w:val="21"/>
                <w:shd w:val="clear" w:color="auto" w:fill="FFFFFF"/>
              </w:rPr>
              <w:t>3</w:t>
            </w:r>
            <w:r>
              <w:rPr>
                <w:rFonts w:hint="eastAsia" w:ascii="宋体" w:hAnsi="宋体" w:cs="Helvetica"/>
                <w:color w:val="auto"/>
                <w:szCs w:val="21"/>
                <w:shd w:val="clear" w:color="auto" w:fill="FFFFFF"/>
              </w:rPr>
              <w:t>.符合IEC和Bellcore TA-NWT-001209标准。</w:t>
            </w:r>
          </w:p>
        </w:tc>
        <w:tc>
          <w:tcPr>
            <w:tcW w:w="705" w:type="dxa"/>
            <w:vAlign w:val="center"/>
          </w:tcPr>
          <w:p w14:paraId="75FD0EF0">
            <w:pPr>
              <w:spacing w:line="420" w:lineRule="exact"/>
              <w:jc w:val="center"/>
              <w:rPr>
                <w:rFonts w:ascii="宋体" w:hAnsi="宋体" w:cs="宋体"/>
                <w:b/>
                <w:bCs/>
                <w:color w:val="auto"/>
                <w:szCs w:val="21"/>
              </w:rPr>
            </w:pPr>
            <w:r>
              <w:rPr>
                <w:rFonts w:hint="eastAsia" w:ascii="宋体" w:hAnsi="宋体"/>
                <w:color w:val="auto"/>
                <w:szCs w:val="21"/>
              </w:rPr>
              <w:t>75</w:t>
            </w:r>
          </w:p>
        </w:tc>
        <w:tc>
          <w:tcPr>
            <w:tcW w:w="750" w:type="dxa"/>
            <w:vAlign w:val="center"/>
          </w:tcPr>
          <w:p w14:paraId="2B1692C9">
            <w:pPr>
              <w:spacing w:line="420" w:lineRule="exact"/>
              <w:jc w:val="center"/>
              <w:rPr>
                <w:rFonts w:ascii="宋体" w:hAnsi="宋体" w:cs="宋体"/>
                <w:b/>
                <w:bCs/>
                <w:color w:val="auto"/>
                <w:szCs w:val="21"/>
              </w:rPr>
            </w:pPr>
            <w:r>
              <w:rPr>
                <w:rFonts w:hint="eastAsia" w:ascii="宋体" w:hAnsi="宋体"/>
                <w:color w:val="auto"/>
                <w:szCs w:val="21"/>
              </w:rPr>
              <w:t>个</w:t>
            </w:r>
          </w:p>
        </w:tc>
        <w:tc>
          <w:tcPr>
            <w:tcW w:w="780" w:type="dxa"/>
            <w:vAlign w:val="center"/>
          </w:tcPr>
          <w:p w14:paraId="11CA3BCE">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7071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76710B32">
            <w:pPr>
              <w:jc w:val="center"/>
              <w:rPr>
                <w:rFonts w:ascii="宋体" w:hAnsi="宋体"/>
                <w:color w:val="auto"/>
                <w:szCs w:val="21"/>
              </w:rPr>
            </w:pPr>
            <w:r>
              <w:rPr>
                <w:rFonts w:hint="eastAsia" w:ascii="宋体" w:hAnsi="宋体"/>
                <w:color w:val="auto"/>
                <w:szCs w:val="21"/>
              </w:rPr>
              <w:t>16</w:t>
            </w:r>
          </w:p>
        </w:tc>
        <w:tc>
          <w:tcPr>
            <w:tcW w:w="1142" w:type="dxa"/>
            <w:vAlign w:val="center"/>
          </w:tcPr>
          <w:p w14:paraId="1896E37A">
            <w:pPr>
              <w:spacing w:line="420" w:lineRule="exact"/>
              <w:jc w:val="center"/>
              <w:rPr>
                <w:rFonts w:ascii="宋体" w:hAnsi="宋体"/>
                <w:color w:val="auto"/>
                <w:szCs w:val="21"/>
              </w:rPr>
            </w:pPr>
            <w:r>
              <w:rPr>
                <w:rFonts w:hint="eastAsia" w:ascii="宋体" w:hAnsi="宋体"/>
                <w:color w:val="auto"/>
                <w:szCs w:val="21"/>
              </w:rPr>
              <w:t>单口信息面板</w:t>
            </w:r>
          </w:p>
        </w:tc>
        <w:tc>
          <w:tcPr>
            <w:tcW w:w="5220" w:type="dxa"/>
            <w:vAlign w:val="center"/>
          </w:tcPr>
          <w:p w14:paraId="66B2F30D">
            <w:pPr>
              <w:spacing w:line="420" w:lineRule="exact"/>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单口；</w:t>
            </w:r>
          </w:p>
          <w:p w14:paraId="1901E437">
            <w:pPr>
              <w:spacing w:line="420" w:lineRule="exact"/>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86型弧面面板；</w:t>
            </w:r>
          </w:p>
          <w:p w14:paraId="65A542D6">
            <w:pPr>
              <w:spacing w:line="420" w:lineRule="exact"/>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自带弹压式透明防尘盖，便于辨别模块颜色和LED发光情况区分不同网络应用，方便维护管理；</w:t>
            </w:r>
          </w:p>
          <w:p w14:paraId="3AEDDC40">
            <w:pPr>
              <w:spacing w:line="420" w:lineRule="exact"/>
              <w:rPr>
                <w:rFonts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隐藏式螺钉设计，含标签盖板等附件；</w:t>
            </w:r>
          </w:p>
          <w:p w14:paraId="5BF4A05F">
            <w:pPr>
              <w:spacing w:line="420" w:lineRule="exact"/>
              <w:rPr>
                <w:rFonts w:ascii="宋体" w:hAnsi="宋体"/>
                <w:color w:val="auto"/>
                <w:szCs w:val="21"/>
              </w:rPr>
            </w:pPr>
            <w:r>
              <w:rPr>
                <w:rFonts w:ascii="宋体" w:hAnsi="宋体"/>
                <w:color w:val="auto"/>
                <w:szCs w:val="21"/>
              </w:rPr>
              <w:t>5.</w:t>
            </w:r>
            <w:r>
              <w:rPr>
                <w:rFonts w:hint="eastAsia" w:ascii="宋体" w:hAnsi="宋体"/>
                <w:color w:val="auto"/>
                <w:szCs w:val="21"/>
              </w:rPr>
              <w:t>底盒：明装；</w:t>
            </w:r>
          </w:p>
          <w:p w14:paraId="670015EF">
            <w:pPr>
              <w:spacing w:line="420" w:lineRule="exact"/>
              <w:rPr>
                <w:rFonts w:ascii="宋体" w:hAnsi="宋体"/>
                <w:color w:val="auto"/>
                <w:szCs w:val="21"/>
              </w:rPr>
            </w:pPr>
            <w:r>
              <w:rPr>
                <w:rFonts w:hint="eastAsia" w:ascii="宋体" w:hAnsi="宋体"/>
                <w:color w:val="auto"/>
                <w:szCs w:val="21"/>
              </w:rPr>
              <w:t>6</w:t>
            </w:r>
            <w:r>
              <w:rPr>
                <w:rFonts w:ascii="宋体" w:hAnsi="宋体"/>
                <w:color w:val="auto"/>
                <w:szCs w:val="21"/>
              </w:rPr>
              <w:t>.</w:t>
            </w:r>
            <w:r>
              <w:rPr>
                <w:rFonts w:hint="eastAsia" w:ascii="宋体" w:hAnsi="宋体"/>
                <w:color w:val="auto"/>
                <w:szCs w:val="21"/>
              </w:rPr>
              <w:t>含六类非屏蔽网络模块；</w:t>
            </w:r>
          </w:p>
          <w:p w14:paraId="34CDA302">
            <w:pPr>
              <w:spacing w:line="420" w:lineRule="exact"/>
              <w:rPr>
                <w:rFonts w:ascii="宋体" w:hAnsi="宋体"/>
                <w:color w:val="auto"/>
                <w:szCs w:val="21"/>
              </w:rPr>
            </w:pPr>
            <w:r>
              <w:rPr>
                <w:rFonts w:hint="eastAsia" w:ascii="宋体" w:hAnsi="宋体"/>
                <w:color w:val="auto"/>
                <w:szCs w:val="21"/>
              </w:rPr>
              <w:t>1)满足或超过如TIA/EIA568-C和ISO/IEC11801:2002第二版中所规定的6类关于传输硬件的传输要求，向下与5E、5和3类跳线和电缆兼容；</w:t>
            </w:r>
          </w:p>
          <w:p w14:paraId="22ECAE30">
            <w:pPr>
              <w:spacing w:line="420" w:lineRule="exact"/>
              <w:rPr>
                <w:rFonts w:ascii="宋体" w:hAnsi="宋体"/>
                <w:color w:val="auto"/>
                <w:szCs w:val="21"/>
              </w:rPr>
            </w:pPr>
            <w:r>
              <w:rPr>
                <w:rFonts w:hint="eastAsia" w:ascii="宋体" w:hAnsi="宋体"/>
                <w:color w:val="auto"/>
                <w:szCs w:val="21"/>
              </w:rPr>
              <w:t>2)带宽不少于250Mhz，支持高速、高带宽的应用；</w:t>
            </w:r>
          </w:p>
          <w:p w14:paraId="5014DB3C">
            <w:pPr>
              <w:spacing w:line="420" w:lineRule="exact"/>
              <w:rPr>
                <w:rFonts w:ascii="宋体" w:hAnsi="宋体"/>
                <w:color w:val="auto"/>
                <w:szCs w:val="21"/>
              </w:rPr>
            </w:pPr>
            <w:r>
              <w:rPr>
                <w:rFonts w:hint="eastAsia" w:ascii="宋体" w:hAnsi="宋体"/>
                <w:color w:val="auto"/>
                <w:szCs w:val="21"/>
              </w:rPr>
              <w:t>3)IDC端接采用线对分离设计和更宽的导体导入位置，配有防止污染和确保连接的端接盖帽；</w:t>
            </w:r>
          </w:p>
          <w:p w14:paraId="25185089">
            <w:pPr>
              <w:spacing w:line="420" w:lineRule="exact"/>
              <w:rPr>
                <w:rFonts w:ascii="宋体" w:hAnsi="宋体"/>
                <w:color w:val="auto"/>
                <w:szCs w:val="21"/>
              </w:rPr>
            </w:pPr>
            <w:r>
              <w:rPr>
                <w:rFonts w:hint="eastAsia" w:ascii="宋体" w:hAnsi="宋体"/>
                <w:color w:val="auto"/>
                <w:szCs w:val="21"/>
              </w:rPr>
              <w:t>4)自带彩色的标识标签以确保准确的安装；</w:t>
            </w:r>
          </w:p>
          <w:p w14:paraId="1E9EAA60">
            <w:pPr>
              <w:spacing w:line="420" w:lineRule="exact"/>
              <w:rPr>
                <w:rFonts w:ascii="宋体" w:hAnsi="宋体"/>
                <w:color w:val="auto"/>
                <w:szCs w:val="21"/>
              </w:rPr>
            </w:pPr>
            <w:r>
              <w:rPr>
                <w:rFonts w:hint="eastAsia" w:ascii="宋体" w:hAnsi="宋体"/>
                <w:color w:val="auto"/>
                <w:szCs w:val="21"/>
              </w:rPr>
              <w:t>5)自带双色LED灯，用于常规测试仪快速寻线，方便运维。无需专用工具、专用网线，寻线时，模块LED灯会闪烁，两种不同颜色代表两种状态。正常通信时LED灯不亮，即使LED灯损坏，也不影响链路的性能和正常使用。根据使用需求具有≥2种不同颜色的模块，区分不同网络的应用，方便维护管理；</w:t>
            </w:r>
          </w:p>
          <w:p w14:paraId="3208E690">
            <w:pPr>
              <w:spacing w:line="420" w:lineRule="exact"/>
              <w:rPr>
                <w:rFonts w:ascii="宋体" w:hAnsi="宋体"/>
                <w:color w:val="auto"/>
                <w:szCs w:val="21"/>
              </w:rPr>
            </w:pPr>
            <w:r>
              <w:rPr>
                <w:rFonts w:hint="eastAsia" w:ascii="宋体" w:hAnsi="宋体"/>
                <w:color w:val="auto"/>
                <w:szCs w:val="21"/>
              </w:rPr>
              <w:t>6)无需特殊线路，无需特殊仪器，通过常规测试仪即实现快速寻线功能。</w:t>
            </w:r>
          </w:p>
        </w:tc>
        <w:tc>
          <w:tcPr>
            <w:tcW w:w="705" w:type="dxa"/>
            <w:vAlign w:val="center"/>
          </w:tcPr>
          <w:p w14:paraId="78DFED5A">
            <w:pPr>
              <w:spacing w:line="420" w:lineRule="exact"/>
              <w:jc w:val="center"/>
              <w:rPr>
                <w:rFonts w:ascii="宋体" w:hAnsi="宋体" w:cs="宋体"/>
                <w:b/>
                <w:bCs/>
                <w:color w:val="auto"/>
                <w:szCs w:val="21"/>
              </w:rPr>
            </w:pPr>
            <w:r>
              <w:rPr>
                <w:rFonts w:hint="eastAsia" w:ascii="宋体" w:hAnsi="宋体"/>
                <w:color w:val="auto"/>
                <w:szCs w:val="21"/>
              </w:rPr>
              <w:t>366</w:t>
            </w:r>
          </w:p>
        </w:tc>
        <w:tc>
          <w:tcPr>
            <w:tcW w:w="750" w:type="dxa"/>
            <w:vAlign w:val="center"/>
          </w:tcPr>
          <w:p w14:paraId="1DC8ED10">
            <w:pPr>
              <w:spacing w:line="420" w:lineRule="exact"/>
              <w:jc w:val="center"/>
              <w:rPr>
                <w:rFonts w:ascii="宋体" w:hAnsi="宋体" w:cs="宋体"/>
                <w:b/>
                <w:bCs/>
                <w:color w:val="auto"/>
                <w:szCs w:val="21"/>
              </w:rPr>
            </w:pPr>
            <w:r>
              <w:rPr>
                <w:rFonts w:hint="eastAsia" w:ascii="宋体" w:hAnsi="宋体"/>
                <w:color w:val="auto"/>
                <w:szCs w:val="21"/>
              </w:rPr>
              <w:t>个</w:t>
            </w:r>
          </w:p>
        </w:tc>
        <w:tc>
          <w:tcPr>
            <w:tcW w:w="780" w:type="dxa"/>
            <w:vAlign w:val="center"/>
          </w:tcPr>
          <w:p w14:paraId="51043366">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33F79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17796F9C">
            <w:pPr>
              <w:jc w:val="center"/>
              <w:rPr>
                <w:rFonts w:ascii="宋体" w:hAnsi="宋体"/>
                <w:color w:val="auto"/>
                <w:szCs w:val="21"/>
              </w:rPr>
            </w:pPr>
            <w:r>
              <w:rPr>
                <w:rFonts w:hint="eastAsia" w:ascii="宋体" w:hAnsi="宋体"/>
                <w:color w:val="auto"/>
                <w:szCs w:val="21"/>
              </w:rPr>
              <w:t>17</w:t>
            </w:r>
          </w:p>
        </w:tc>
        <w:tc>
          <w:tcPr>
            <w:tcW w:w="1142" w:type="dxa"/>
            <w:vAlign w:val="center"/>
          </w:tcPr>
          <w:p w14:paraId="1347A4E4">
            <w:pPr>
              <w:spacing w:line="420" w:lineRule="exact"/>
              <w:jc w:val="center"/>
              <w:rPr>
                <w:rFonts w:ascii="宋体" w:hAnsi="宋体"/>
                <w:color w:val="auto"/>
                <w:szCs w:val="21"/>
              </w:rPr>
            </w:pPr>
            <w:r>
              <w:rPr>
                <w:rFonts w:hint="eastAsia" w:ascii="宋体" w:hAnsi="宋体"/>
                <w:color w:val="auto"/>
                <w:szCs w:val="21"/>
              </w:rPr>
              <w:t>六类非屏蔽双绞线</w:t>
            </w:r>
          </w:p>
        </w:tc>
        <w:tc>
          <w:tcPr>
            <w:tcW w:w="5220" w:type="dxa"/>
            <w:vAlign w:val="center"/>
          </w:tcPr>
          <w:p w14:paraId="7847811A">
            <w:pPr>
              <w:spacing w:line="420" w:lineRule="exact"/>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线缆结构要求：单铜芯硬线，中间带十字支撑架，芯径≥0.570mm，305米/箱；</w:t>
            </w:r>
          </w:p>
          <w:p w14:paraId="1AD2A06E">
            <w:pPr>
              <w:spacing w:line="420" w:lineRule="exact"/>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标准：YD/T10196类、ANSI/TIA-568.2-DCat6和ISO/IEC11801ClassE；</w:t>
            </w:r>
          </w:p>
          <w:p w14:paraId="24E9EF7F">
            <w:pPr>
              <w:spacing w:line="420" w:lineRule="exact"/>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单根导体100米最大电阻：≤7.5Ω；</w:t>
            </w:r>
          </w:p>
          <w:p w14:paraId="6C9F027C">
            <w:pPr>
              <w:spacing w:line="420" w:lineRule="exact"/>
              <w:rPr>
                <w:rFonts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多连接电气性能：支持三节点以上90米以内ANSI/TIA-568-2.D-2018标准的Cat6类信道和Cat6类链路；</w:t>
            </w:r>
          </w:p>
          <w:p w14:paraId="7B827274">
            <w:pPr>
              <w:spacing w:line="420" w:lineRule="exact"/>
              <w:rPr>
                <w:rFonts w:ascii="宋体"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工作频率不少于250MHz；</w:t>
            </w:r>
          </w:p>
          <w:p w14:paraId="0C4D2A55">
            <w:pPr>
              <w:spacing w:line="420" w:lineRule="exact"/>
              <w:rPr>
                <w:rFonts w:ascii="宋体" w:hAnsi="宋体"/>
                <w:color w:val="auto"/>
                <w:szCs w:val="21"/>
              </w:rPr>
            </w:pPr>
            <w:r>
              <w:rPr>
                <w:rFonts w:hint="eastAsia" w:ascii="宋体" w:hAnsi="宋体"/>
                <w:color w:val="auto"/>
                <w:szCs w:val="21"/>
              </w:rPr>
              <w:t>6</w:t>
            </w:r>
            <w:r>
              <w:rPr>
                <w:rFonts w:ascii="宋体" w:hAnsi="宋体"/>
                <w:color w:val="auto"/>
                <w:szCs w:val="21"/>
              </w:rPr>
              <w:t>.</w:t>
            </w:r>
            <w:r>
              <w:rPr>
                <w:rFonts w:hint="eastAsia" w:ascii="宋体" w:hAnsi="宋体"/>
                <w:color w:val="auto"/>
                <w:szCs w:val="21"/>
              </w:rPr>
              <w:t>护套材料：PVC；</w:t>
            </w:r>
          </w:p>
          <w:p w14:paraId="569872AE">
            <w:pPr>
              <w:spacing w:line="420" w:lineRule="exact"/>
              <w:rPr>
                <w:rFonts w:ascii="宋体" w:hAnsi="宋体"/>
                <w:color w:val="auto"/>
                <w:szCs w:val="21"/>
              </w:rPr>
            </w:pPr>
            <w:r>
              <w:rPr>
                <w:rFonts w:hint="eastAsia" w:ascii="宋体" w:hAnsi="宋体"/>
                <w:color w:val="auto"/>
                <w:szCs w:val="21"/>
              </w:rPr>
              <w:t>7</w:t>
            </w:r>
            <w:r>
              <w:rPr>
                <w:rFonts w:ascii="宋体" w:hAnsi="宋体"/>
                <w:color w:val="auto"/>
                <w:szCs w:val="21"/>
              </w:rPr>
              <w:t>.</w:t>
            </w:r>
            <w:r>
              <w:rPr>
                <w:rFonts w:hint="eastAsia" w:ascii="宋体" w:hAnsi="宋体"/>
                <w:color w:val="auto"/>
                <w:szCs w:val="21"/>
              </w:rPr>
              <w:t>电磁兼容：满足EN55032 EN55035要求。</w:t>
            </w:r>
            <w:r>
              <w:rPr>
                <w:rFonts w:ascii="宋体" w:hAnsi="宋体"/>
                <w:color w:val="auto"/>
                <w:szCs w:val="21"/>
              </w:rPr>
              <w:t xml:space="preserve"> </w:t>
            </w:r>
          </w:p>
        </w:tc>
        <w:tc>
          <w:tcPr>
            <w:tcW w:w="705" w:type="dxa"/>
            <w:vAlign w:val="center"/>
          </w:tcPr>
          <w:p w14:paraId="7E3BA3BE">
            <w:pPr>
              <w:spacing w:line="420" w:lineRule="exact"/>
              <w:jc w:val="center"/>
              <w:rPr>
                <w:rFonts w:ascii="宋体" w:hAnsi="宋体" w:cs="宋体"/>
                <w:b/>
                <w:bCs/>
                <w:color w:val="auto"/>
                <w:szCs w:val="21"/>
              </w:rPr>
            </w:pPr>
            <w:r>
              <w:rPr>
                <w:rFonts w:hint="eastAsia" w:ascii="宋体" w:hAnsi="宋体"/>
                <w:color w:val="auto"/>
                <w:szCs w:val="21"/>
              </w:rPr>
              <w:t>42</w:t>
            </w:r>
          </w:p>
        </w:tc>
        <w:tc>
          <w:tcPr>
            <w:tcW w:w="750" w:type="dxa"/>
            <w:vAlign w:val="center"/>
          </w:tcPr>
          <w:p w14:paraId="4D2AE623">
            <w:pPr>
              <w:spacing w:line="420" w:lineRule="exact"/>
              <w:jc w:val="center"/>
              <w:rPr>
                <w:rFonts w:ascii="宋体" w:hAnsi="宋体" w:cs="宋体"/>
                <w:b/>
                <w:bCs/>
                <w:color w:val="auto"/>
                <w:szCs w:val="21"/>
              </w:rPr>
            </w:pPr>
            <w:r>
              <w:rPr>
                <w:rFonts w:hint="eastAsia" w:ascii="宋体" w:hAnsi="宋体"/>
                <w:color w:val="auto"/>
                <w:szCs w:val="21"/>
              </w:rPr>
              <w:t>箱</w:t>
            </w:r>
          </w:p>
        </w:tc>
        <w:tc>
          <w:tcPr>
            <w:tcW w:w="780" w:type="dxa"/>
            <w:vAlign w:val="center"/>
          </w:tcPr>
          <w:p w14:paraId="5B8E2D89">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0914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107487B9">
            <w:pPr>
              <w:jc w:val="center"/>
              <w:rPr>
                <w:rFonts w:ascii="宋体" w:hAnsi="宋体"/>
                <w:color w:val="auto"/>
                <w:szCs w:val="21"/>
              </w:rPr>
            </w:pPr>
            <w:r>
              <w:rPr>
                <w:rFonts w:hint="eastAsia" w:ascii="宋体" w:hAnsi="宋体"/>
                <w:color w:val="auto"/>
                <w:szCs w:val="21"/>
              </w:rPr>
              <w:t>18</w:t>
            </w:r>
          </w:p>
        </w:tc>
        <w:tc>
          <w:tcPr>
            <w:tcW w:w="1142" w:type="dxa"/>
            <w:vAlign w:val="center"/>
          </w:tcPr>
          <w:p w14:paraId="59AF1A36">
            <w:pPr>
              <w:spacing w:line="420" w:lineRule="exact"/>
              <w:jc w:val="center"/>
              <w:rPr>
                <w:rFonts w:ascii="宋体" w:hAnsi="宋体"/>
                <w:color w:val="auto"/>
                <w:szCs w:val="21"/>
              </w:rPr>
            </w:pPr>
            <w:r>
              <w:rPr>
                <w:rFonts w:hint="eastAsia" w:ascii="宋体" w:hAnsi="宋体"/>
                <w:color w:val="auto"/>
                <w:szCs w:val="21"/>
              </w:rPr>
              <w:t>弱电线槽</w:t>
            </w:r>
          </w:p>
        </w:tc>
        <w:tc>
          <w:tcPr>
            <w:tcW w:w="5220" w:type="dxa"/>
            <w:vAlign w:val="center"/>
          </w:tcPr>
          <w:p w14:paraId="0B8D4F67">
            <w:pPr>
              <w:spacing w:line="420" w:lineRule="exact"/>
              <w:rPr>
                <w:rFonts w:ascii="宋体" w:hAnsi="宋体"/>
                <w:color w:val="auto"/>
                <w:szCs w:val="21"/>
              </w:rPr>
            </w:pPr>
            <w:r>
              <w:rPr>
                <w:rFonts w:hint="eastAsia" w:ascii="宋体" w:hAnsi="宋体"/>
                <w:color w:val="auto"/>
                <w:szCs w:val="21"/>
              </w:rPr>
              <w:t>1.规格：</w:t>
            </w:r>
            <w:r>
              <w:rPr>
                <w:rFonts w:ascii="宋体" w:hAnsi="宋体"/>
                <w:color w:val="auto"/>
                <w:szCs w:val="21"/>
              </w:rPr>
              <w:t>100mmx50mm</w:t>
            </w:r>
            <w:r>
              <w:rPr>
                <w:rFonts w:hint="eastAsia" w:ascii="宋体" w:hAnsi="宋体"/>
                <w:color w:val="auto"/>
                <w:szCs w:val="21"/>
              </w:rPr>
              <w:t>；</w:t>
            </w:r>
          </w:p>
          <w:p w14:paraId="2E2F433A">
            <w:pPr>
              <w:spacing w:line="420" w:lineRule="exact"/>
              <w:rPr>
                <w:rFonts w:ascii="宋体" w:hAnsi="宋体"/>
                <w:color w:val="auto"/>
                <w:szCs w:val="21"/>
              </w:rPr>
            </w:pPr>
            <w:r>
              <w:rPr>
                <w:rFonts w:hint="eastAsia" w:ascii="宋体" w:hAnsi="宋体"/>
                <w:color w:val="auto"/>
                <w:szCs w:val="21"/>
              </w:rPr>
              <w:t>2.镀锌线槽，厚度≥</w:t>
            </w:r>
            <w:r>
              <w:rPr>
                <w:rFonts w:ascii="宋体" w:hAnsi="宋体"/>
                <w:color w:val="auto"/>
                <w:szCs w:val="21"/>
              </w:rPr>
              <w:t>1mm</w:t>
            </w:r>
            <w:r>
              <w:rPr>
                <w:rFonts w:hint="eastAsia" w:ascii="宋体" w:hAnsi="宋体"/>
                <w:color w:val="auto"/>
                <w:szCs w:val="21"/>
              </w:rPr>
              <w:t>。</w:t>
            </w:r>
          </w:p>
        </w:tc>
        <w:tc>
          <w:tcPr>
            <w:tcW w:w="705" w:type="dxa"/>
            <w:vAlign w:val="center"/>
          </w:tcPr>
          <w:p w14:paraId="78991B1F">
            <w:pPr>
              <w:spacing w:line="420" w:lineRule="exact"/>
              <w:jc w:val="center"/>
              <w:rPr>
                <w:rFonts w:ascii="宋体" w:hAnsi="宋体" w:cs="宋体"/>
                <w:b/>
                <w:bCs/>
                <w:color w:val="auto"/>
                <w:szCs w:val="21"/>
              </w:rPr>
            </w:pPr>
            <w:r>
              <w:rPr>
                <w:rFonts w:hint="eastAsia" w:ascii="宋体" w:hAnsi="宋体"/>
                <w:color w:val="auto"/>
                <w:szCs w:val="21"/>
              </w:rPr>
              <w:t>900</w:t>
            </w:r>
          </w:p>
        </w:tc>
        <w:tc>
          <w:tcPr>
            <w:tcW w:w="750" w:type="dxa"/>
            <w:vAlign w:val="center"/>
          </w:tcPr>
          <w:p w14:paraId="4A6EC284">
            <w:pPr>
              <w:spacing w:line="420" w:lineRule="exact"/>
              <w:jc w:val="center"/>
              <w:rPr>
                <w:rFonts w:ascii="宋体" w:hAnsi="宋体" w:cs="宋体"/>
                <w:b/>
                <w:bCs/>
                <w:color w:val="auto"/>
                <w:szCs w:val="21"/>
              </w:rPr>
            </w:pPr>
            <w:r>
              <w:rPr>
                <w:rFonts w:hint="eastAsia" w:ascii="宋体" w:hAnsi="宋体"/>
                <w:color w:val="auto"/>
                <w:szCs w:val="21"/>
              </w:rPr>
              <w:t>米</w:t>
            </w:r>
          </w:p>
        </w:tc>
        <w:tc>
          <w:tcPr>
            <w:tcW w:w="780" w:type="dxa"/>
            <w:vAlign w:val="center"/>
          </w:tcPr>
          <w:p w14:paraId="2A18F890">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3CFA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57D893C6">
            <w:pPr>
              <w:jc w:val="center"/>
              <w:rPr>
                <w:rFonts w:ascii="宋体" w:hAnsi="宋体"/>
                <w:color w:val="auto"/>
                <w:szCs w:val="21"/>
              </w:rPr>
            </w:pPr>
            <w:r>
              <w:rPr>
                <w:rFonts w:hint="eastAsia" w:ascii="宋体" w:hAnsi="宋体"/>
                <w:color w:val="auto"/>
                <w:szCs w:val="21"/>
              </w:rPr>
              <w:t>19</w:t>
            </w:r>
          </w:p>
        </w:tc>
        <w:tc>
          <w:tcPr>
            <w:tcW w:w="1142" w:type="dxa"/>
            <w:vAlign w:val="center"/>
          </w:tcPr>
          <w:p w14:paraId="0A3D9903">
            <w:pPr>
              <w:spacing w:line="420" w:lineRule="exact"/>
              <w:jc w:val="center"/>
              <w:rPr>
                <w:rFonts w:ascii="宋体" w:hAnsi="宋体"/>
                <w:color w:val="auto"/>
                <w:szCs w:val="21"/>
              </w:rPr>
            </w:pPr>
            <w:r>
              <w:rPr>
                <w:rFonts w:hint="eastAsia" w:ascii="宋体" w:hAnsi="宋体"/>
                <w:color w:val="auto"/>
                <w:szCs w:val="21"/>
              </w:rPr>
              <w:t>布线机柜</w:t>
            </w:r>
          </w:p>
        </w:tc>
        <w:tc>
          <w:tcPr>
            <w:tcW w:w="5220" w:type="dxa"/>
            <w:vAlign w:val="center"/>
          </w:tcPr>
          <w:p w14:paraId="508D78B8">
            <w:pPr>
              <w:spacing w:line="420" w:lineRule="exact"/>
              <w:rPr>
                <w:rFonts w:ascii="宋体" w:hAnsi="宋体"/>
                <w:color w:val="auto"/>
                <w:szCs w:val="21"/>
              </w:rPr>
            </w:pPr>
            <w:r>
              <w:rPr>
                <w:rFonts w:hint="eastAsia" w:ascii="宋体" w:hAnsi="宋体"/>
                <w:color w:val="auto"/>
                <w:szCs w:val="21"/>
              </w:rPr>
              <w:t>1.规格：600mm(W)×</w:t>
            </w:r>
            <w:r>
              <w:rPr>
                <w:rFonts w:ascii="宋体" w:hAnsi="宋体"/>
                <w:color w:val="auto"/>
                <w:szCs w:val="21"/>
              </w:rPr>
              <w:t>6</w:t>
            </w:r>
            <w:r>
              <w:rPr>
                <w:rFonts w:hint="eastAsia" w:ascii="宋体" w:hAnsi="宋体"/>
                <w:color w:val="auto"/>
                <w:szCs w:val="21"/>
              </w:rPr>
              <w:t>00mm(D)×1245mm(H)。24U；</w:t>
            </w:r>
          </w:p>
          <w:p w14:paraId="6986073E">
            <w:pPr>
              <w:spacing w:line="420" w:lineRule="exact"/>
              <w:rPr>
                <w:rFonts w:ascii="宋体" w:hAnsi="宋体"/>
                <w:color w:val="auto"/>
                <w:szCs w:val="21"/>
              </w:rPr>
            </w:pPr>
            <w:r>
              <w:rPr>
                <w:rFonts w:hint="eastAsia" w:ascii="宋体" w:hAnsi="宋体"/>
                <w:color w:val="auto"/>
                <w:szCs w:val="21"/>
              </w:rPr>
              <w:t>2.外观：机柜表面光洁，色泽均匀、无流积、无起泡，无裂纹金属件无毛刺锈蚀，涂覆标志符合</w:t>
            </w:r>
            <w:r>
              <w:rPr>
                <w:rFonts w:ascii="宋体" w:hAnsi="宋体"/>
                <w:color w:val="auto"/>
                <w:szCs w:val="21"/>
              </w:rPr>
              <w:t>GB/T4054-1983</w:t>
            </w:r>
            <w:r>
              <w:rPr>
                <w:rFonts w:hint="eastAsia" w:ascii="宋体" w:hAnsi="宋体"/>
                <w:color w:val="auto"/>
                <w:szCs w:val="21"/>
              </w:rPr>
              <w:t>的要求；</w:t>
            </w:r>
          </w:p>
          <w:p w14:paraId="519B6836">
            <w:pPr>
              <w:spacing w:line="420" w:lineRule="exact"/>
              <w:rPr>
                <w:rFonts w:ascii="宋体" w:hAnsi="宋体"/>
                <w:color w:val="auto"/>
                <w:szCs w:val="21"/>
              </w:rPr>
            </w:pPr>
            <w:r>
              <w:rPr>
                <w:rFonts w:hint="eastAsia" w:ascii="宋体" w:hAnsi="宋体"/>
                <w:color w:val="auto"/>
                <w:szCs w:val="21"/>
              </w:rPr>
              <w:t>3.材料：要求采用高强度的韩钢优质度锌板，主体骨架为2.0mm，其他为1.5mm,机柜要求镶嵌密眼式纤维防尘防潮滤器网，阻挡外界灰尘、潮气及昆虫所带来对内置设备的破坏；</w:t>
            </w:r>
          </w:p>
          <w:p w14:paraId="3C29F3CC">
            <w:pPr>
              <w:spacing w:line="420" w:lineRule="exact"/>
              <w:rPr>
                <w:rFonts w:ascii="宋体" w:hAnsi="宋体"/>
                <w:color w:val="auto"/>
                <w:szCs w:val="21"/>
              </w:rPr>
            </w:pPr>
            <w:r>
              <w:rPr>
                <w:rFonts w:hint="eastAsia" w:ascii="宋体" w:hAnsi="宋体"/>
                <w:color w:val="auto"/>
                <w:szCs w:val="21"/>
              </w:rPr>
              <w:t>结构：19英寸，EIA标准立柱，成型材结构，落地式机柜的结构：框架、底部加固以达到增强机柜强度的效果。机柜立柱标有</w:t>
            </w:r>
            <w:r>
              <w:rPr>
                <w:rFonts w:ascii="宋体" w:hAnsi="宋体"/>
                <w:color w:val="auto"/>
                <w:szCs w:val="21"/>
              </w:rPr>
              <w:t>RMU</w:t>
            </w:r>
            <w:r>
              <w:rPr>
                <w:rFonts w:hint="eastAsia" w:ascii="宋体" w:hAnsi="宋体"/>
                <w:color w:val="auto"/>
                <w:szCs w:val="21"/>
              </w:rPr>
              <w:t>数；</w:t>
            </w:r>
          </w:p>
          <w:p w14:paraId="5F7E9271">
            <w:pPr>
              <w:spacing w:line="420" w:lineRule="exact"/>
              <w:rPr>
                <w:rFonts w:ascii="宋体" w:hAnsi="宋体"/>
                <w:color w:val="auto"/>
                <w:szCs w:val="21"/>
              </w:rPr>
            </w:pPr>
            <w:r>
              <w:rPr>
                <w:rFonts w:hint="eastAsia" w:ascii="宋体" w:hAnsi="宋体"/>
                <w:color w:val="auto"/>
                <w:szCs w:val="21"/>
              </w:rPr>
              <w:t>4.前门：采用高强度钢化玻璃结构：让机柜内设备运行情况能及时清楚掌握；</w:t>
            </w:r>
          </w:p>
          <w:p w14:paraId="2C968ACD">
            <w:pPr>
              <w:spacing w:line="420" w:lineRule="exact"/>
              <w:rPr>
                <w:rFonts w:ascii="宋体" w:hAnsi="宋体"/>
                <w:color w:val="auto"/>
                <w:szCs w:val="21"/>
              </w:rPr>
            </w:pPr>
            <w:r>
              <w:rPr>
                <w:rFonts w:hint="eastAsia" w:ascii="宋体" w:hAnsi="宋体"/>
                <w:color w:val="auto"/>
                <w:szCs w:val="21"/>
              </w:rPr>
              <w:t>5.后门：采用带锁带透风栅钢质后门。机柜具有良好的通风散热能力。</w:t>
            </w:r>
          </w:p>
        </w:tc>
        <w:tc>
          <w:tcPr>
            <w:tcW w:w="705" w:type="dxa"/>
            <w:vAlign w:val="center"/>
          </w:tcPr>
          <w:p w14:paraId="7E41FEB3">
            <w:pPr>
              <w:spacing w:line="420" w:lineRule="exact"/>
              <w:jc w:val="center"/>
              <w:rPr>
                <w:rFonts w:ascii="宋体" w:hAnsi="宋体" w:cs="宋体"/>
                <w:b/>
                <w:bCs/>
                <w:color w:val="auto"/>
                <w:szCs w:val="21"/>
              </w:rPr>
            </w:pPr>
            <w:r>
              <w:rPr>
                <w:rFonts w:hint="eastAsia" w:ascii="宋体" w:hAnsi="宋体"/>
                <w:color w:val="auto"/>
                <w:szCs w:val="21"/>
              </w:rPr>
              <w:t>6</w:t>
            </w:r>
          </w:p>
        </w:tc>
        <w:tc>
          <w:tcPr>
            <w:tcW w:w="750" w:type="dxa"/>
            <w:vAlign w:val="center"/>
          </w:tcPr>
          <w:p w14:paraId="19922DE3">
            <w:pPr>
              <w:spacing w:line="420" w:lineRule="exact"/>
              <w:jc w:val="center"/>
              <w:rPr>
                <w:rFonts w:ascii="宋体" w:hAnsi="宋体" w:cs="宋体"/>
                <w:b/>
                <w:bCs/>
                <w:color w:val="auto"/>
                <w:szCs w:val="21"/>
              </w:rPr>
            </w:pPr>
            <w:r>
              <w:rPr>
                <w:rFonts w:hint="eastAsia" w:ascii="宋体" w:hAnsi="宋体"/>
                <w:color w:val="auto"/>
                <w:szCs w:val="21"/>
              </w:rPr>
              <w:t>个</w:t>
            </w:r>
          </w:p>
        </w:tc>
        <w:tc>
          <w:tcPr>
            <w:tcW w:w="780" w:type="dxa"/>
            <w:vAlign w:val="center"/>
          </w:tcPr>
          <w:p w14:paraId="7A63274F">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50E1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4D9609D2">
            <w:pPr>
              <w:jc w:val="center"/>
              <w:rPr>
                <w:rFonts w:ascii="宋体" w:hAnsi="宋体"/>
                <w:color w:val="auto"/>
                <w:szCs w:val="21"/>
              </w:rPr>
            </w:pPr>
            <w:r>
              <w:rPr>
                <w:rFonts w:hint="eastAsia" w:ascii="宋体" w:hAnsi="宋体"/>
                <w:color w:val="auto"/>
                <w:szCs w:val="21"/>
              </w:rPr>
              <w:t>20</w:t>
            </w:r>
          </w:p>
        </w:tc>
        <w:tc>
          <w:tcPr>
            <w:tcW w:w="1142" w:type="dxa"/>
            <w:vAlign w:val="center"/>
          </w:tcPr>
          <w:p w14:paraId="26A5F6D2">
            <w:pPr>
              <w:spacing w:line="420" w:lineRule="exact"/>
              <w:jc w:val="center"/>
              <w:rPr>
                <w:rFonts w:ascii="宋体" w:hAnsi="宋体"/>
                <w:color w:val="auto"/>
                <w:szCs w:val="21"/>
              </w:rPr>
            </w:pPr>
            <w:r>
              <w:rPr>
                <w:rFonts w:hint="eastAsia" w:ascii="宋体" w:hAnsi="宋体"/>
                <w:color w:val="auto"/>
                <w:szCs w:val="21"/>
              </w:rPr>
              <w:t>24口六类非屏蔽配线架</w:t>
            </w:r>
          </w:p>
        </w:tc>
        <w:tc>
          <w:tcPr>
            <w:tcW w:w="5220" w:type="dxa"/>
            <w:vAlign w:val="center"/>
          </w:tcPr>
          <w:p w14:paraId="455F44C8">
            <w:pPr>
              <w:spacing w:line="420" w:lineRule="exact"/>
              <w:rPr>
                <w:rFonts w:ascii="宋体" w:hAnsi="宋体"/>
                <w:color w:val="auto"/>
                <w:szCs w:val="21"/>
              </w:rPr>
            </w:pPr>
            <w:r>
              <w:rPr>
                <w:rFonts w:ascii="宋体" w:hAnsi="宋体"/>
                <w:color w:val="auto"/>
                <w:szCs w:val="21"/>
              </w:rPr>
              <w:t>1. 前板优质工程塑料，后板优质冷轧钢板制作，防潮、抗冲击设计，机械物理性高，双层框架结构、配备后理线托架，方便固定线缆，防止线缆端接不良</w:t>
            </w:r>
            <w:r>
              <w:rPr>
                <w:rFonts w:hint="eastAsia" w:ascii="宋体" w:hAnsi="宋体"/>
                <w:color w:val="auto"/>
                <w:szCs w:val="21"/>
              </w:rPr>
              <w:t>，接口≥</w:t>
            </w:r>
            <w:r>
              <w:rPr>
                <w:rFonts w:ascii="宋体" w:hAnsi="宋体"/>
                <w:color w:val="auto"/>
                <w:szCs w:val="21"/>
              </w:rPr>
              <w:t>24</w:t>
            </w:r>
            <w:r>
              <w:rPr>
                <w:rFonts w:hint="eastAsia" w:ascii="宋体" w:hAnsi="宋体"/>
                <w:color w:val="auto"/>
                <w:szCs w:val="21"/>
              </w:rPr>
              <w:t>个；</w:t>
            </w:r>
          </w:p>
          <w:p w14:paraId="47290C3E">
            <w:pPr>
              <w:spacing w:line="420" w:lineRule="exact"/>
              <w:rPr>
                <w:rFonts w:ascii="宋体" w:hAnsi="宋体"/>
                <w:color w:val="auto"/>
                <w:szCs w:val="21"/>
              </w:rPr>
            </w:pPr>
            <w:r>
              <w:rPr>
                <w:rFonts w:ascii="宋体" w:hAnsi="宋体"/>
                <w:color w:val="auto"/>
                <w:szCs w:val="21"/>
              </w:rPr>
              <w:t>2. 配线架上</w:t>
            </w:r>
            <w:r>
              <w:rPr>
                <w:rFonts w:hint="eastAsia" w:ascii="宋体" w:hAnsi="宋体"/>
                <w:color w:val="auto"/>
                <w:szCs w:val="21"/>
              </w:rPr>
              <w:t>满配</w:t>
            </w:r>
            <w:r>
              <w:rPr>
                <w:rFonts w:ascii="宋体" w:hAnsi="宋体"/>
                <w:color w:val="auto"/>
                <w:szCs w:val="21"/>
              </w:rPr>
              <w:t>模块</w:t>
            </w:r>
            <w:r>
              <w:rPr>
                <w:rFonts w:hint="eastAsia" w:ascii="宋体" w:hAnsi="宋体"/>
                <w:color w:val="auto"/>
                <w:szCs w:val="21"/>
              </w:rPr>
              <w:t>，</w:t>
            </w:r>
            <w:r>
              <w:rPr>
                <w:rFonts w:ascii="宋体" w:hAnsi="宋体"/>
                <w:color w:val="auto"/>
                <w:szCs w:val="21"/>
              </w:rPr>
              <w:t>阻燃、抗冲击、耐腐蚀材料注塑而成,强化模块固定和端接线缆的可靠性,前面可贴标签方便对端口进行标识管理</w:t>
            </w:r>
            <w:r>
              <w:rPr>
                <w:rFonts w:hint="eastAsia" w:ascii="宋体" w:hAnsi="宋体"/>
                <w:color w:val="auto"/>
                <w:szCs w:val="21"/>
              </w:rPr>
              <w:t>；</w:t>
            </w:r>
          </w:p>
          <w:p w14:paraId="23652059">
            <w:pPr>
              <w:spacing w:line="420" w:lineRule="exact"/>
              <w:rPr>
                <w:rFonts w:ascii="宋体" w:hAnsi="宋体"/>
                <w:color w:val="auto"/>
                <w:szCs w:val="21"/>
              </w:rPr>
            </w:pPr>
            <w:r>
              <w:rPr>
                <w:rFonts w:ascii="宋体" w:hAnsi="宋体"/>
                <w:color w:val="auto"/>
                <w:szCs w:val="21"/>
              </w:rPr>
              <w:t>3. 模块化设计，每个模块能够单独拆卸，安装及维护灵活方便配上六类模块后通过全频段测试，带宽可达到350MHz支持千兆网络应用</w:t>
            </w:r>
            <w:r>
              <w:rPr>
                <w:rFonts w:hint="eastAsia" w:ascii="宋体" w:hAnsi="宋体"/>
                <w:color w:val="auto"/>
                <w:szCs w:val="21"/>
              </w:rPr>
              <w:t>；</w:t>
            </w:r>
          </w:p>
          <w:p w14:paraId="222BA398">
            <w:pPr>
              <w:spacing w:line="420" w:lineRule="exact"/>
              <w:rPr>
                <w:rFonts w:ascii="宋体" w:hAnsi="宋体"/>
                <w:color w:val="auto"/>
                <w:szCs w:val="21"/>
              </w:rPr>
            </w:pPr>
            <w:r>
              <w:rPr>
                <w:rFonts w:ascii="宋体" w:hAnsi="宋体"/>
                <w:color w:val="auto"/>
                <w:szCs w:val="21"/>
              </w:rPr>
              <w:t>4.配线架上的模块必须带防尘门，防微尘入内</w:t>
            </w:r>
            <w:r>
              <w:rPr>
                <w:rFonts w:hint="eastAsia" w:ascii="宋体" w:hAnsi="宋体"/>
                <w:color w:val="auto"/>
                <w:szCs w:val="21"/>
              </w:rPr>
              <w:t>；</w:t>
            </w:r>
          </w:p>
          <w:p w14:paraId="276442ED">
            <w:pPr>
              <w:spacing w:line="420" w:lineRule="exact"/>
              <w:rPr>
                <w:rFonts w:ascii="宋体" w:hAnsi="宋体"/>
                <w:color w:val="auto"/>
                <w:szCs w:val="21"/>
              </w:rPr>
            </w:pPr>
            <w:r>
              <w:rPr>
                <w:rFonts w:ascii="宋体" w:hAnsi="宋体"/>
                <w:color w:val="auto"/>
                <w:szCs w:val="21"/>
              </w:rPr>
              <w:t>5.提供四种不同颜色模块化配线架，区分不同的网络</w:t>
            </w:r>
            <w:r>
              <w:rPr>
                <w:rFonts w:hint="eastAsia" w:ascii="宋体" w:hAnsi="宋体"/>
                <w:color w:val="auto"/>
                <w:szCs w:val="21"/>
              </w:rPr>
              <w:t>；</w:t>
            </w:r>
          </w:p>
          <w:p w14:paraId="3D44859A">
            <w:pPr>
              <w:spacing w:line="420" w:lineRule="exact"/>
              <w:rPr>
                <w:rFonts w:ascii="宋体" w:hAnsi="宋体"/>
                <w:color w:val="auto"/>
                <w:szCs w:val="21"/>
              </w:rPr>
            </w:pPr>
            <w:r>
              <w:rPr>
                <w:rFonts w:ascii="宋体" w:hAnsi="宋体"/>
                <w:color w:val="auto"/>
                <w:szCs w:val="21"/>
              </w:rPr>
              <w:t>6. 模块上有T568A、T568B两种标准打线标识,独特的排列电缆的方法保证了在接触良好,卡锁式的端接帽保证了线缆被完全端接,高弹性保证打线卡接＞350次，重复插拔次数＞1000次</w:t>
            </w:r>
            <w:r>
              <w:rPr>
                <w:rFonts w:hint="eastAsia" w:ascii="宋体" w:hAnsi="宋体"/>
                <w:color w:val="auto"/>
                <w:szCs w:val="21"/>
              </w:rPr>
              <w:t>；</w:t>
            </w:r>
          </w:p>
          <w:p w14:paraId="04115006">
            <w:pPr>
              <w:spacing w:line="420" w:lineRule="exact"/>
              <w:rPr>
                <w:rFonts w:ascii="宋体" w:hAnsi="宋体"/>
                <w:color w:val="auto"/>
                <w:szCs w:val="21"/>
              </w:rPr>
            </w:pPr>
            <w:r>
              <w:rPr>
                <w:rFonts w:ascii="宋体" w:hAnsi="宋体"/>
                <w:color w:val="auto"/>
                <w:szCs w:val="21"/>
              </w:rPr>
              <w:t>7. 符合中国 GB50311-2007 六类标准</w:t>
            </w:r>
            <w:r>
              <w:rPr>
                <w:rFonts w:hint="eastAsia" w:ascii="宋体" w:hAnsi="宋体"/>
                <w:color w:val="auto"/>
                <w:szCs w:val="21"/>
              </w:rPr>
              <w:t>。</w:t>
            </w:r>
          </w:p>
        </w:tc>
        <w:tc>
          <w:tcPr>
            <w:tcW w:w="705" w:type="dxa"/>
            <w:vAlign w:val="center"/>
          </w:tcPr>
          <w:p w14:paraId="5BDF83B0">
            <w:pPr>
              <w:spacing w:line="420" w:lineRule="exact"/>
              <w:jc w:val="center"/>
              <w:rPr>
                <w:rFonts w:ascii="宋体" w:hAnsi="宋体" w:cs="宋体"/>
                <w:b/>
                <w:bCs/>
                <w:color w:val="auto"/>
                <w:szCs w:val="21"/>
              </w:rPr>
            </w:pPr>
            <w:r>
              <w:rPr>
                <w:rFonts w:hint="eastAsia" w:ascii="宋体" w:hAnsi="宋体"/>
                <w:color w:val="auto"/>
                <w:szCs w:val="21"/>
              </w:rPr>
              <w:t>18</w:t>
            </w:r>
          </w:p>
        </w:tc>
        <w:tc>
          <w:tcPr>
            <w:tcW w:w="750" w:type="dxa"/>
            <w:vAlign w:val="center"/>
          </w:tcPr>
          <w:p w14:paraId="048721D4">
            <w:pPr>
              <w:spacing w:line="420" w:lineRule="exact"/>
              <w:jc w:val="center"/>
              <w:rPr>
                <w:rFonts w:ascii="宋体" w:hAnsi="宋体" w:cs="宋体"/>
                <w:b/>
                <w:bCs/>
                <w:color w:val="auto"/>
                <w:szCs w:val="21"/>
              </w:rPr>
            </w:pPr>
            <w:r>
              <w:rPr>
                <w:rFonts w:hint="eastAsia" w:ascii="宋体" w:hAnsi="宋体"/>
                <w:color w:val="auto"/>
                <w:szCs w:val="21"/>
              </w:rPr>
              <w:t>个</w:t>
            </w:r>
          </w:p>
        </w:tc>
        <w:tc>
          <w:tcPr>
            <w:tcW w:w="780" w:type="dxa"/>
            <w:vAlign w:val="center"/>
          </w:tcPr>
          <w:p w14:paraId="2E3FA2B0">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49A9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0CDEF4D0">
            <w:pPr>
              <w:jc w:val="center"/>
              <w:rPr>
                <w:rFonts w:ascii="宋体" w:hAnsi="宋体"/>
                <w:color w:val="auto"/>
                <w:szCs w:val="21"/>
              </w:rPr>
            </w:pPr>
            <w:r>
              <w:rPr>
                <w:rFonts w:hint="eastAsia" w:ascii="宋体" w:hAnsi="宋体"/>
                <w:color w:val="auto"/>
                <w:szCs w:val="21"/>
              </w:rPr>
              <w:t>21</w:t>
            </w:r>
          </w:p>
        </w:tc>
        <w:tc>
          <w:tcPr>
            <w:tcW w:w="1142" w:type="dxa"/>
            <w:vAlign w:val="center"/>
          </w:tcPr>
          <w:p w14:paraId="68E58C4C">
            <w:pPr>
              <w:spacing w:line="420" w:lineRule="exact"/>
              <w:jc w:val="center"/>
              <w:rPr>
                <w:rFonts w:ascii="宋体" w:hAnsi="宋体"/>
                <w:color w:val="auto"/>
                <w:szCs w:val="21"/>
              </w:rPr>
            </w:pPr>
            <w:r>
              <w:rPr>
                <w:rFonts w:hint="eastAsia" w:ascii="宋体" w:hAnsi="宋体"/>
                <w:color w:val="auto"/>
                <w:szCs w:val="21"/>
              </w:rPr>
              <w:t>光纤跳线（单模）</w:t>
            </w:r>
          </w:p>
        </w:tc>
        <w:tc>
          <w:tcPr>
            <w:tcW w:w="5220" w:type="dxa"/>
            <w:vAlign w:val="center"/>
          </w:tcPr>
          <w:p w14:paraId="552D7226">
            <w:pPr>
              <w:spacing w:line="420" w:lineRule="exact"/>
              <w:rPr>
                <w:rFonts w:ascii="宋体" w:hAnsi="宋体"/>
                <w:color w:val="auto"/>
                <w:szCs w:val="21"/>
              </w:rPr>
            </w:pPr>
            <w:r>
              <w:rPr>
                <w:rFonts w:hint="eastAsia" w:ascii="宋体" w:hAnsi="宋体"/>
                <w:color w:val="auto"/>
                <w:szCs w:val="21"/>
              </w:rPr>
              <w:t>1.单模单芯光纤跳线</w:t>
            </w:r>
            <w:r>
              <w:rPr>
                <w:rFonts w:ascii="宋体" w:hAnsi="宋体"/>
                <w:color w:val="auto"/>
                <w:szCs w:val="21"/>
              </w:rPr>
              <w:t>L</w:t>
            </w:r>
            <w:r>
              <w:rPr>
                <w:rFonts w:hint="eastAsia" w:ascii="宋体" w:hAnsi="宋体"/>
                <w:color w:val="auto"/>
                <w:szCs w:val="21"/>
              </w:rPr>
              <w:t>C-LC，3米，陶瓷插针, 确保插件性能；</w:t>
            </w:r>
          </w:p>
          <w:p w14:paraId="5F9ECF10">
            <w:pPr>
              <w:spacing w:line="420" w:lineRule="exact"/>
              <w:rPr>
                <w:rFonts w:ascii="宋体" w:hAnsi="宋体"/>
                <w:color w:val="auto"/>
                <w:szCs w:val="21"/>
              </w:rPr>
            </w:pPr>
            <w:r>
              <w:rPr>
                <w:rFonts w:hint="eastAsia" w:ascii="宋体" w:hAnsi="宋体"/>
                <w:color w:val="auto"/>
                <w:szCs w:val="21"/>
              </w:rPr>
              <w:t>2.低烟无卤阻燃外皮；</w:t>
            </w:r>
          </w:p>
          <w:p w14:paraId="2FBCB14E">
            <w:pPr>
              <w:spacing w:line="420" w:lineRule="exact"/>
              <w:rPr>
                <w:rFonts w:ascii="宋体" w:hAnsi="宋体"/>
                <w:color w:val="auto"/>
                <w:szCs w:val="21"/>
              </w:rPr>
            </w:pPr>
            <w:r>
              <w:rPr>
                <w:rFonts w:hint="eastAsia" w:ascii="宋体" w:hAnsi="宋体"/>
                <w:color w:val="auto"/>
                <w:szCs w:val="21"/>
              </w:rPr>
              <w:t>3. 插入损耗低、回波损耗高、重复性好；</w:t>
            </w:r>
          </w:p>
          <w:p w14:paraId="75E06E77">
            <w:pPr>
              <w:spacing w:line="420" w:lineRule="exact"/>
              <w:rPr>
                <w:rFonts w:ascii="宋体" w:hAnsi="宋体"/>
                <w:color w:val="auto"/>
                <w:szCs w:val="21"/>
              </w:rPr>
            </w:pPr>
            <w:r>
              <w:rPr>
                <w:rFonts w:hint="eastAsia" w:ascii="宋体" w:hAnsi="宋体"/>
                <w:color w:val="auto"/>
                <w:szCs w:val="21"/>
              </w:rPr>
              <w:t>4.插入损耗≤0.20dB；</w:t>
            </w:r>
          </w:p>
          <w:p w14:paraId="4BCDA677">
            <w:pPr>
              <w:spacing w:line="420" w:lineRule="exact"/>
              <w:rPr>
                <w:rFonts w:ascii="宋体" w:hAnsi="宋体"/>
                <w:color w:val="auto"/>
                <w:szCs w:val="21"/>
              </w:rPr>
            </w:pPr>
            <w:r>
              <w:rPr>
                <w:rFonts w:hint="eastAsia" w:ascii="宋体" w:hAnsi="宋体"/>
                <w:color w:val="auto"/>
                <w:szCs w:val="21"/>
              </w:rPr>
              <w:t>5.回波损耗：PC≥45dB UPC≥50dB,APC≥60dB</w:t>
            </w:r>
          </w:p>
        </w:tc>
        <w:tc>
          <w:tcPr>
            <w:tcW w:w="705" w:type="dxa"/>
            <w:vAlign w:val="center"/>
          </w:tcPr>
          <w:p w14:paraId="6C56236A">
            <w:pPr>
              <w:spacing w:line="420" w:lineRule="exact"/>
              <w:jc w:val="center"/>
              <w:rPr>
                <w:rFonts w:ascii="宋体" w:hAnsi="宋体" w:cs="宋体"/>
                <w:b/>
                <w:bCs/>
                <w:color w:val="auto"/>
                <w:szCs w:val="21"/>
              </w:rPr>
            </w:pPr>
            <w:r>
              <w:rPr>
                <w:rFonts w:hint="eastAsia" w:ascii="宋体" w:hAnsi="宋体"/>
                <w:color w:val="auto"/>
                <w:szCs w:val="21"/>
              </w:rPr>
              <w:t>12</w:t>
            </w:r>
          </w:p>
        </w:tc>
        <w:tc>
          <w:tcPr>
            <w:tcW w:w="750" w:type="dxa"/>
            <w:vAlign w:val="center"/>
          </w:tcPr>
          <w:p w14:paraId="7ACA8A37">
            <w:pPr>
              <w:spacing w:line="420" w:lineRule="exact"/>
              <w:jc w:val="center"/>
              <w:rPr>
                <w:rFonts w:ascii="宋体" w:hAnsi="宋体" w:cs="宋体"/>
                <w:b/>
                <w:bCs/>
                <w:color w:val="auto"/>
                <w:szCs w:val="21"/>
              </w:rPr>
            </w:pPr>
            <w:r>
              <w:rPr>
                <w:rFonts w:hint="eastAsia" w:ascii="宋体" w:hAnsi="宋体"/>
                <w:color w:val="auto"/>
                <w:szCs w:val="21"/>
              </w:rPr>
              <w:t>对</w:t>
            </w:r>
          </w:p>
        </w:tc>
        <w:tc>
          <w:tcPr>
            <w:tcW w:w="780" w:type="dxa"/>
            <w:vAlign w:val="center"/>
          </w:tcPr>
          <w:p w14:paraId="5238EA80">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5AABB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357997F9">
            <w:pPr>
              <w:jc w:val="center"/>
              <w:rPr>
                <w:rFonts w:ascii="宋体" w:hAnsi="宋体"/>
                <w:color w:val="auto"/>
                <w:szCs w:val="21"/>
              </w:rPr>
            </w:pPr>
            <w:r>
              <w:rPr>
                <w:rFonts w:hint="eastAsia" w:ascii="宋体" w:hAnsi="宋体"/>
                <w:color w:val="auto"/>
                <w:szCs w:val="21"/>
              </w:rPr>
              <w:t>22</w:t>
            </w:r>
          </w:p>
        </w:tc>
        <w:tc>
          <w:tcPr>
            <w:tcW w:w="1142" w:type="dxa"/>
            <w:vAlign w:val="center"/>
          </w:tcPr>
          <w:p w14:paraId="436646AD">
            <w:pPr>
              <w:spacing w:line="420" w:lineRule="exact"/>
              <w:jc w:val="center"/>
              <w:rPr>
                <w:rFonts w:ascii="宋体" w:hAnsi="宋体"/>
                <w:color w:val="auto"/>
                <w:szCs w:val="21"/>
              </w:rPr>
            </w:pPr>
            <w:r>
              <w:rPr>
                <w:rFonts w:hint="eastAsia" w:ascii="宋体" w:hAnsi="宋体"/>
                <w:color w:val="auto"/>
                <w:szCs w:val="21"/>
              </w:rPr>
              <w:t>尾纤</w:t>
            </w:r>
          </w:p>
        </w:tc>
        <w:tc>
          <w:tcPr>
            <w:tcW w:w="5220" w:type="dxa"/>
            <w:vAlign w:val="center"/>
          </w:tcPr>
          <w:p w14:paraId="69AD803C">
            <w:pPr>
              <w:spacing w:line="420" w:lineRule="exact"/>
              <w:rPr>
                <w:rFonts w:ascii="宋体" w:hAnsi="宋体"/>
                <w:color w:val="auto"/>
                <w:szCs w:val="21"/>
              </w:rPr>
            </w:pPr>
            <w:r>
              <w:rPr>
                <w:rFonts w:hint="eastAsia" w:ascii="宋体" w:hAnsi="宋体"/>
                <w:color w:val="auto"/>
                <w:szCs w:val="21"/>
              </w:rPr>
              <w:t>1.LC单模单芯光纤，1米，陶瓷插针, 确保插件性能；</w:t>
            </w:r>
          </w:p>
          <w:p w14:paraId="46AD7A3B">
            <w:pPr>
              <w:spacing w:line="420" w:lineRule="exact"/>
              <w:rPr>
                <w:rFonts w:ascii="宋体" w:hAnsi="宋体"/>
                <w:color w:val="auto"/>
                <w:szCs w:val="21"/>
              </w:rPr>
            </w:pPr>
            <w:r>
              <w:rPr>
                <w:rFonts w:hint="eastAsia" w:ascii="宋体" w:hAnsi="宋体"/>
                <w:color w:val="auto"/>
                <w:szCs w:val="21"/>
              </w:rPr>
              <w:t>2.低烟无卤阻燃外皮。</w:t>
            </w:r>
          </w:p>
        </w:tc>
        <w:tc>
          <w:tcPr>
            <w:tcW w:w="705" w:type="dxa"/>
            <w:vAlign w:val="center"/>
          </w:tcPr>
          <w:p w14:paraId="0A37B527">
            <w:pPr>
              <w:spacing w:line="420" w:lineRule="exact"/>
              <w:jc w:val="center"/>
              <w:rPr>
                <w:rFonts w:ascii="宋体" w:hAnsi="宋体"/>
                <w:color w:val="auto"/>
                <w:szCs w:val="21"/>
              </w:rPr>
            </w:pPr>
            <w:r>
              <w:rPr>
                <w:rFonts w:hint="eastAsia" w:ascii="宋体" w:hAnsi="宋体"/>
                <w:color w:val="auto"/>
                <w:szCs w:val="21"/>
              </w:rPr>
              <w:t>144</w:t>
            </w:r>
          </w:p>
        </w:tc>
        <w:tc>
          <w:tcPr>
            <w:tcW w:w="750" w:type="dxa"/>
            <w:vAlign w:val="center"/>
          </w:tcPr>
          <w:p w14:paraId="74A9967A">
            <w:pPr>
              <w:spacing w:line="420" w:lineRule="exact"/>
              <w:jc w:val="center"/>
              <w:rPr>
                <w:rFonts w:ascii="宋体" w:hAnsi="宋体" w:cs="宋体"/>
                <w:b/>
                <w:bCs/>
                <w:color w:val="auto"/>
                <w:szCs w:val="21"/>
              </w:rPr>
            </w:pPr>
            <w:r>
              <w:rPr>
                <w:rFonts w:hint="eastAsia" w:ascii="宋体" w:hAnsi="宋体"/>
                <w:color w:val="auto"/>
                <w:szCs w:val="21"/>
              </w:rPr>
              <w:t>条</w:t>
            </w:r>
          </w:p>
        </w:tc>
        <w:tc>
          <w:tcPr>
            <w:tcW w:w="780" w:type="dxa"/>
            <w:vAlign w:val="center"/>
          </w:tcPr>
          <w:p w14:paraId="2880936D">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4E85B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12498542">
            <w:pPr>
              <w:jc w:val="center"/>
              <w:rPr>
                <w:rFonts w:ascii="宋体" w:hAnsi="宋体"/>
                <w:color w:val="auto"/>
                <w:szCs w:val="21"/>
              </w:rPr>
            </w:pPr>
            <w:r>
              <w:rPr>
                <w:rFonts w:hint="eastAsia" w:ascii="宋体" w:hAnsi="宋体"/>
                <w:color w:val="auto"/>
                <w:szCs w:val="21"/>
              </w:rPr>
              <w:t>23</w:t>
            </w:r>
          </w:p>
        </w:tc>
        <w:tc>
          <w:tcPr>
            <w:tcW w:w="1142" w:type="dxa"/>
            <w:vAlign w:val="center"/>
          </w:tcPr>
          <w:p w14:paraId="3558DC49">
            <w:pPr>
              <w:spacing w:line="420" w:lineRule="exact"/>
              <w:jc w:val="center"/>
              <w:rPr>
                <w:rFonts w:ascii="宋体" w:hAnsi="宋体"/>
                <w:color w:val="auto"/>
                <w:szCs w:val="21"/>
              </w:rPr>
            </w:pPr>
            <w:r>
              <w:rPr>
                <w:rFonts w:hint="eastAsia" w:ascii="宋体" w:hAnsi="宋体"/>
                <w:color w:val="auto"/>
                <w:szCs w:val="21"/>
              </w:rPr>
              <w:t>汇聚交换机</w:t>
            </w:r>
          </w:p>
        </w:tc>
        <w:tc>
          <w:tcPr>
            <w:tcW w:w="5220" w:type="dxa"/>
            <w:vAlign w:val="center"/>
          </w:tcPr>
          <w:p w14:paraId="66185C31">
            <w:pPr>
              <w:spacing w:line="420" w:lineRule="exact"/>
              <w:rPr>
                <w:rFonts w:ascii="宋体" w:hAnsi="宋体"/>
                <w:color w:val="auto"/>
                <w:szCs w:val="21"/>
              </w:rPr>
            </w:pPr>
            <w:r>
              <w:rPr>
                <w:rFonts w:hint="eastAsia" w:ascii="宋体" w:hAnsi="宋体"/>
                <w:color w:val="auto"/>
                <w:szCs w:val="21"/>
              </w:rPr>
              <w:t>▲1.≥48个SFP端口，≥4个万兆SFP+口；</w:t>
            </w:r>
            <w:r>
              <w:rPr>
                <w:rFonts w:hint="eastAsia" w:ascii="宋体" w:hAnsi="宋体"/>
                <w:color w:val="auto"/>
                <w:szCs w:val="21"/>
              </w:rPr>
              <w:br w:type="textWrapping"/>
            </w:r>
            <w:r>
              <w:rPr>
                <w:rFonts w:hint="eastAsia" w:ascii="宋体" w:hAnsi="宋体"/>
                <w:color w:val="auto"/>
                <w:szCs w:val="21"/>
              </w:rPr>
              <w:t>▲2.背板带宽：≥598Gbps，包转发率：≥252Mpps；</w:t>
            </w:r>
            <w:r>
              <w:rPr>
                <w:rFonts w:hint="eastAsia" w:ascii="宋体" w:hAnsi="宋体"/>
                <w:color w:val="auto"/>
                <w:szCs w:val="21"/>
              </w:rPr>
              <w:br w:type="textWrapping"/>
            </w:r>
            <w:r>
              <w:rPr>
                <w:rFonts w:hint="eastAsia" w:ascii="宋体" w:hAnsi="宋体"/>
                <w:color w:val="auto"/>
                <w:szCs w:val="21"/>
              </w:rPr>
              <w:t>3.电源：配置单电源，交流供电；</w:t>
            </w:r>
            <w:r>
              <w:rPr>
                <w:rFonts w:hint="eastAsia" w:ascii="宋体" w:hAnsi="宋体"/>
                <w:color w:val="auto"/>
                <w:szCs w:val="21"/>
              </w:rPr>
              <w:br w:type="textWrapping"/>
            </w:r>
            <w:r>
              <w:rPr>
                <w:rFonts w:hint="eastAsia" w:ascii="宋体" w:hAnsi="宋体"/>
                <w:color w:val="auto"/>
                <w:szCs w:val="21"/>
              </w:rPr>
              <w:t>4.原厂质保服务≥3年。</w:t>
            </w:r>
          </w:p>
        </w:tc>
        <w:tc>
          <w:tcPr>
            <w:tcW w:w="705" w:type="dxa"/>
            <w:vAlign w:val="center"/>
          </w:tcPr>
          <w:p w14:paraId="6B5EB6D7">
            <w:pPr>
              <w:spacing w:line="420" w:lineRule="exact"/>
              <w:jc w:val="center"/>
              <w:rPr>
                <w:rFonts w:ascii="宋体" w:hAnsi="宋体"/>
                <w:color w:val="auto"/>
                <w:szCs w:val="21"/>
              </w:rPr>
            </w:pPr>
            <w:r>
              <w:rPr>
                <w:rFonts w:hint="eastAsia" w:ascii="宋体" w:hAnsi="宋体"/>
                <w:color w:val="auto"/>
                <w:szCs w:val="21"/>
              </w:rPr>
              <w:t>2</w:t>
            </w:r>
          </w:p>
        </w:tc>
        <w:tc>
          <w:tcPr>
            <w:tcW w:w="750" w:type="dxa"/>
            <w:vAlign w:val="center"/>
          </w:tcPr>
          <w:p w14:paraId="0F0119F0">
            <w:pPr>
              <w:spacing w:line="420" w:lineRule="exact"/>
              <w:jc w:val="center"/>
              <w:rPr>
                <w:rFonts w:ascii="宋体" w:hAnsi="宋体" w:cs="宋体"/>
                <w:b/>
                <w:bCs/>
                <w:color w:val="auto"/>
                <w:szCs w:val="21"/>
              </w:rPr>
            </w:pPr>
            <w:r>
              <w:rPr>
                <w:rFonts w:hint="eastAsia" w:ascii="宋体" w:hAnsi="宋体"/>
                <w:color w:val="auto"/>
                <w:szCs w:val="21"/>
              </w:rPr>
              <w:t>台</w:t>
            </w:r>
          </w:p>
        </w:tc>
        <w:tc>
          <w:tcPr>
            <w:tcW w:w="780" w:type="dxa"/>
            <w:vAlign w:val="center"/>
          </w:tcPr>
          <w:p w14:paraId="5BB83756">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3C75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484BE1FB">
            <w:pPr>
              <w:jc w:val="center"/>
              <w:rPr>
                <w:rFonts w:ascii="宋体" w:hAnsi="宋体"/>
                <w:color w:val="auto"/>
                <w:szCs w:val="21"/>
              </w:rPr>
            </w:pPr>
            <w:r>
              <w:rPr>
                <w:rFonts w:hint="eastAsia" w:ascii="宋体" w:hAnsi="宋体"/>
                <w:color w:val="auto"/>
                <w:szCs w:val="21"/>
              </w:rPr>
              <w:t>24</w:t>
            </w:r>
          </w:p>
        </w:tc>
        <w:tc>
          <w:tcPr>
            <w:tcW w:w="1142" w:type="dxa"/>
            <w:vAlign w:val="center"/>
          </w:tcPr>
          <w:p w14:paraId="0D820D3D">
            <w:pPr>
              <w:spacing w:line="420" w:lineRule="exact"/>
              <w:jc w:val="center"/>
              <w:rPr>
                <w:rFonts w:ascii="宋体" w:hAnsi="宋体"/>
                <w:color w:val="auto"/>
                <w:szCs w:val="21"/>
              </w:rPr>
            </w:pPr>
            <w:r>
              <w:rPr>
                <w:rFonts w:hint="eastAsia" w:ascii="宋体" w:hAnsi="宋体"/>
                <w:color w:val="auto"/>
                <w:szCs w:val="21"/>
              </w:rPr>
              <w:t>48口终端交换机</w:t>
            </w:r>
          </w:p>
        </w:tc>
        <w:tc>
          <w:tcPr>
            <w:tcW w:w="5220" w:type="dxa"/>
            <w:vAlign w:val="center"/>
          </w:tcPr>
          <w:p w14:paraId="6A3BAF32">
            <w:pPr>
              <w:spacing w:line="420" w:lineRule="exact"/>
              <w:rPr>
                <w:rFonts w:ascii="宋体" w:hAnsi="宋体"/>
                <w:color w:val="auto"/>
                <w:szCs w:val="21"/>
              </w:rPr>
            </w:pPr>
            <w:r>
              <w:rPr>
                <w:rFonts w:hint="eastAsia" w:ascii="宋体" w:hAnsi="宋体"/>
                <w:color w:val="auto"/>
                <w:szCs w:val="21"/>
              </w:rPr>
              <w:t>▲1.≥48个10/100/1000Base-T接口，≥4个1000Base-X SFP接口；</w:t>
            </w:r>
            <w:r>
              <w:rPr>
                <w:rFonts w:hint="eastAsia" w:ascii="宋体" w:hAnsi="宋体"/>
                <w:color w:val="auto"/>
                <w:szCs w:val="21"/>
              </w:rPr>
              <w:br w:type="textWrapping"/>
            </w:r>
            <w:r>
              <w:rPr>
                <w:rFonts w:hint="eastAsia" w:ascii="宋体" w:hAnsi="宋体"/>
                <w:color w:val="auto"/>
                <w:szCs w:val="21"/>
              </w:rPr>
              <w:t>2.交换容量≥432Gbps，转发性能：≥144/166MppsMbps；</w:t>
            </w:r>
            <w:r>
              <w:rPr>
                <w:rFonts w:hint="eastAsia" w:ascii="宋体" w:hAnsi="宋体"/>
                <w:color w:val="auto"/>
                <w:szCs w:val="21"/>
              </w:rPr>
              <w:br w:type="textWrapping"/>
            </w:r>
            <w:r>
              <w:rPr>
                <w:rFonts w:hint="eastAsia" w:ascii="宋体" w:hAnsi="宋体"/>
                <w:color w:val="auto"/>
                <w:szCs w:val="21"/>
              </w:rPr>
              <w:t>3.电源：配置单电源，交流供电；</w:t>
            </w:r>
            <w:r>
              <w:rPr>
                <w:rFonts w:hint="eastAsia" w:ascii="宋体" w:hAnsi="宋体"/>
                <w:color w:val="auto"/>
                <w:szCs w:val="21"/>
              </w:rPr>
              <w:br w:type="textWrapping"/>
            </w:r>
            <w:r>
              <w:rPr>
                <w:rFonts w:hint="eastAsia" w:ascii="宋体" w:hAnsi="宋体"/>
                <w:color w:val="auto"/>
                <w:szCs w:val="21"/>
              </w:rPr>
              <w:t>4.原厂质保服务≥3年。</w:t>
            </w:r>
          </w:p>
        </w:tc>
        <w:tc>
          <w:tcPr>
            <w:tcW w:w="705" w:type="dxa"/>
            <w:vAlign w:val="center"/>
          </w:tcPr>
          <w:p w14:paraId="65A08460">
            <w:pPr>
              <w:spacing w:line="420" w:lineRule="exact"/>
              <w:jc w:val="center"/>
              <w:rPr>
                <w:rFonts w:ascii="宋体" w:hAnsi="宋体"/>
                <w:color w:val="auto"/>
                <w:szCs w:val="21"/>
              </w:rPr>
            </w:pPr>
            <w:r>
              <w:rPr>
                <w:rFonts w:hint="eastAsia" w:ascii="宋体" w:hAnsi="宋体"/>
                <w:color w:val="auto"/>
                <w:szCs w:val="21"/>
              </w:rPr>
              <w:t>6</w:t>
            </w:r>
          </w:p>
        </w:tc>
        <w:tc>
          <w:tcPr>
            <w:tcW w:w="750" w:type="dxa"/>
            <w:vAlign w:val="center"/>
          </w:tcPr>
          <w:p w14:paraId="7FB95F15">
            <w:pPr>
              <w:spacing w:line="420" w:lineRule="exact"/>
              <w:jc w:val="center"/>
              <w:rPr>
                <w:rFonts w:ascii="宋体" w:hAnsi="宋体" w:cs="宋体"/>
                <w:b/>
                <w:bCs/>
                <w:color w:val="auto"/>
                <w:szCs w:val="21"/>
              </w:rPr>
            </w:pPr>
            <w:r>
              <w:rPr>
                <w:rFonts w:hint="eastAsia" w:ascii="宋体" w:hAnsi="宋体"/>
                <w:color w:val="auto"/>
                <w:szCs w:val="21"/>
              </w:rPr>
              <w:t>台</w:t>
            </w:r>
          </w:p>
        </w:tc>
        <w:tc>
          <w:tcPr>
            <w:tcW w:w="780" w:type="dxa"/>
            <w:vAlign w:val="center"/>
          </w:tcPr>
          <w:p w14:paraId="3A0A41DA">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0046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3BF1D9AA">
            <w:pPr>
              <w:jc w:val="center"/>
              <w:rPr>
                <w:rFonts w:ascii="宋体" w:hAnsi="宋体"/>
                <w:color w:val="auto"/>
                <w:szCs w:val="21"/>
              </w:rPr>
            </w:pPr>
            <w:r>
              <w:rPr>
                <w:rFonts w:hint="eastAsia" w:ascii="宋体" w:hAnsi="宋体"/>
                <w:color w:val="auto"/>
                <w:szCs w:val="21"/>
              </w:rPr>
              <w:t>25</w:t>
            </w:r>
          </w:p>
        </w:tc>
        <w:tc>
          <w:tcPr>
            <w:tcW w:w="1142" w:type="dxa"/>
            <w:vAlign w:val="center"/>
          </w:tcPr>
          <w:p w14:paraId="2D4433D7">
            <w:pPr>
              <w:spacing w:line="420" w:lineRule="exact"/>
              <w:jc w:val="center"/>
              <w:rPr>
                <w:rFonts w:ascii="宋体" w:hAnsi="宋体"/>
                <w:color w:val="auto"/>
                <w:szCs w:val="21"/>
              </w:rPr>
            </w:pPr>
            <w:r>
              <w:rPr>
                <w:rFonts w:hint="eastAsia" w:ascii="宋体" w:hAnsi="宋体"/>
                <w:color w:val="auto"/>
                <w:szCs w:val="21"/>
              </w:rPr>
              <w:t>24口终端交换机</w:t>
            </w:r>
          </w:p>
        </w:tc>
        <w:tc>
          <w:tcPr>
            <w:tcW w:w="5220" w:type="dxa"/>
            <w:vAlign w:val="center"/>
          </w:tcPr>
          <w:p w14:paraId="5457961D">
            <w:pPr>
              <w:spacing w:line="420" w:lineRule="exact"/>
              <w:rPr>
                <w:rFonts w:ascii="宋体" w:hAnsi="宋体"/>
                <w:color w:val="auto"/>
                <w:szCs w:val="21"/>
              </w:rPr>
            </w:pPr>
            <w:r>
              <w:rPr>
                <w:rFonts w:hint="eastAsia" w:ascii="宋体" w:hAnsi="宋体"/>
                <w:color w:val="auto"/>
                <w:szCs w:val="21"/>
              </w:rPr>
              <w:t>▲1.≥24个10/100/1000Base-T接口，≥4个1000Base-X SFP接口；</w:t>
            </w:r>
            <w:r>
              <w:rPr>
                <w:rFonts w:hint="eastAsia" w:ascii="宋体" w:hAnsi="宋体"/>
                <w:color w:val="auto"/>
                <w:szCs w:val="21"/>
              </w:rPr>
              <w:br w:type="textWrapping"/>
            </w:r>
            <w:r>
              <w:rPr>
                <w:rFonts w:hint="eastAsia" w:ascii="宋体" w:hAnsi="宋体"/>
                <w:color w:val="auto"/>
                <w:szCs w:val="21"/>
              </w:rPr>
              <w:t>2.交换容量：≥336Gbps，转发性能：≥51Mbps；</w:t>
            </w:r>
            <w:r>
              <w:rPr>
                <w:rFonts w:hint="eastAsia" w:ascii="宋体" w:hAnsi="宋体"/>
                <w:color w:val="auto"/>
                <w:szCs w:val="21"/>
              </w:rPr>
              <w:br w:type="textWrapping"/>
            </w:r>
            <w:r>
              <w:rPr>
                <w:rFonts w:hint="eastAsia" w:ascii="宋体" w:hAnsi="宋体"/>
                <w:color w:val="auto"/>
                <w:szCs w:val="21"/>
              </w:rPr>
              <w:t>3.电源：配置单电源，交流供电；</w:t>
            </w:r>
            <w:r>
              <w:rPr>
                <w:rFonts w:hint="eastAsia" w:ascii="宋体" w:hAnsi="宋体"/>
                <w:color w:val="auto"/>
                <w:szCs w:val="21"/>
              </w:rPr>
              <w:br w:type="textWrapping"/>
            </w:r>
            <w:r>
              <w:rPr>
                <w:rFonts w:hint="eastAsia" w:ascii="宋体" w:hAnsi="宋体"/>
                <w:color w:val="auto"/>
                <w:szCs w:val="21"/>
              </w:rPr>
              <w:t>4.原厂质保服务≥3年。</w:t>
            </w:r>
          </w:p>
        </w:tc>
        <w:tc>
          <w:tcPr>
            <w:tcW w:w="705" w:type="dxa"/>
            <w:vAlign w:val="center"/>
          </w:tcPr>
          <w:p w14:paraId="456EF7A7">
            <w:pPr>
              <w:spacing w:line="420" w:lineRule="exact"/>
              <w:jc w:val="center"/>
              <w:rPr>
                <w:rFonts w:ascii="宋体" w:hAnsi="宋体"/>
                <w:color w:val="auto"/>
                <w:szCs w:val="21"/>
              </w:rPr>
            </w:pPr>
            <w:r>
              <w:rPr>
                <w:rFonts w:hint="eastAsia" w:ascii="宋体" w:hAnsi="宋体"/>
                <w:color w:val="auto"/>
                <w:szCs w:val="21"/>
              </w:rPr>
              <w:t>6</w:t>
            </w:r>
          </w:p>
        </w:tc>
        <w:tc>
          <w:tcPr>
            <w:tcW w:w="750" w:type="dxa"/>
            <w:vAlign w:val="center"/>
          </w:tcPr>
          <w:p w14:paraId="6922A5D2">
            <w:pPr>
              <w:spacing w:line="420" w:lineRule="exact"/>
              <w:jc w:val="center"/>
              <w:rPr>
                <w:rFonts w:ascii="宋体" w:hAnsi="宋体" w:cs="宋体"/>
                <w:b/>
                <w:bCs/>
                <w:color w:val="auto"/>
                <w:szCs w:val="21"/>
              </w:rPr>
            </w:pPr>
            <w:r>
              <w:rPr>
                <w:rFonts w:hint="eastAsia" w:ascii="宋体" w:hAnsi="宋体"/>
                <w:color w:val="auto"/>
                <w:szCs w:val="21"/>
              </w:rPr>
              <w:t>台</w:t>
            </w:r>
          </w:p>
        </w:tc>
        <w:tc>
          <w:tcPr>
            <w:tcW w:w="780" w:type="dxa"/>
            <w:vAlign w:val="center"/>
          </w:tcPr>
          <w:p w14:paraId="01C6F578">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3F1E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28A65089">
            <w:pPr>
              <w:jc w:val="center"/>
              <w:rPr>
                <w:rFonts w:ascii="宋体" w:hAnsi="宋体"/>
                <w:color w:val="auto"/>
                <w:szCs w:val="21"/>
              </w:rPr>
            </w:pPr>
            <w:r>
              <w:rPr>
                <w:rFonts w:hint="eastAsia" w:ascii="宋体" w:hAnsi="宋体"/>
                <w:color w:val="auto"/>
                <w:szCs w:val="21"/>
              </w:rPr>
              <w:t>26</w:t>
            </w:r>
          </w:p>
        </w:tc>
        <w:tc>
          <w:tcPr>
            <w:tcW w:w="1142" w:type="dxa"/>
            <w:vAlign w:val="center"/>
          </w:tcPr>
          <w:p w14:paraId="64EB7CEF">
            <w:pPr>
              <w:spacing w:line="420" w:lineRule="exact"/>
              <w:jc w:val="center"/>
              <w:rPr>
                <w:rFonts w:ascii="宋体" w:hAnsi="宋体"/>
                <w:color w:val="auto"/>
                <w:szCs w:val="21"/>
              </w:rPr>
            </w:pPr>
            <w:r>
              <w:rPr>
                <w:rFonts w:hint="eastAsia" w:ascii="宋体" w:hAnsi="宋体"/>
                <w:color w:val="auto"/>
                <w:szCs w:val="21"/>
              </w:rPr>
              <w:t>万兆光模块</w:t>
            </w:r>
          </w:p>
        </w:tc>
        <w:tc>
          <w:tcPr>
            <w:tcW w:w="5220" w:type="dxa"/>
            <w:vAlign w:val="center"/>
          </w:tcPr>
          <w:p w14:paraId="52645C4B">
            <w:pPr>
              <w:spacing w:line="420" w:lineRule="exact"/>
              <w:rPr>
                <w:rFonts w:ascii="宋体" w:hAnsi="宋体"/>
                <w:color w:val="auto"/>
                <w:szCs w:val="21"/>
              </w:rPr>
            </w:pPr>
            <w:r>
              <w:rPr>
                <w:rFonts w:hint="eastAsia" w:ascii="宋体" w:hAnsi="宋体"/>
                <w:color w:val="auto"/>
                <w:szCs w:val="21"/>
              </w:rPr>
              <w:t>1.SFP+光模块10Gbps；</w:t>
            </w:r>
          </w:p>
          <w:p w14:paraId="0B575DA0">
            <w:pPr>
              <w:spacing w:line="420" w:lineRule="exact"/>
              <w:rPr>
                <w:rFonts w:ascii="宋体" w:hAnsi="宋体"/>
                <w:color w:val="auto"/>
                <w:szCs w:val="21"/>
              </w:rPr>
            </w:pPr>
            <w:r>
              <w:rPr>
                <w:rFonts w:hint="eastAsia" w:ascii="宋体" w:hAnsi="宋体"/>
                <w:color w:val="auto"/>
                <w:szCs w:val="21"/>
              </w:rPr>
              <w:t>2.单模,1310nm,LC,10Km。</w:t>
            </w:r>
          </w:p>
        </w:tc>
        <w:tc>
          <w:tcPr>
            <w:tcW w:w="705" w:type="dxa"/>
            <w:vAlign w:val="center"/>
          </w:tcPr>
          <w:p w14:paraId="0E572CA4">
            <w:pPr>
              <w:spacing w:line="420" w:lineRule="exact"/>
              <w:jc w:val="center"/>
              <w:rPr>
                <w:rFonts w:ascii="宋体" w:hAnsi="宋体"/>
                <w:color w:val="auto"/>
                <w:szCs w:val="21"/>
              </w:rPr>
            </w:pPr>
            <w:r>
              <w:rPr>
                <w:rFonts w:hint="eastAsia" w:ascii="宋体" w:hAnsi="宋体"/>
                <w:color w:val="auto"/>
                <w:szCs w:val="21"/>
              </w:rPr>
              <w:t>12</w:t>
            </w:r>
          </w:p>
        </w:tc>
        <w:tc>
          <w:tcPr>
            <w:tcW w:w="750" w:type="dxa"/>
            <w:vAlign w:val="center"/>
          </w:tcPr>
          <w:p w14:paraId="17641E7B">
            <w:pPr>
              <w:spacing w:line="420" w:lineRule="exact"/>
              <w:jc w:val="center"/>
              <w:rPr>
                <w:rFonts w:ascii="宋体" w:hAnsi="宋体" w:cs="宋体"/>
                <w:b/>
                <w:bCs/>
                <w:color w:val="auto"/>
                <w:szCs w:val="21"/>
              </w:rPr>
            </w:pPr>
            <w:r>
              <w:rPr>
                <w:rFonts w:hint="eastAsia" w:ascii="宋体" w:hAnsi="宋体"/>
                <w:color w:val="auto"/>
                <w:szCs w:val="21"/>
              </w:rPr>
              <w:t>个</w:t>
            </w:r>
          </w:p>
        </w:tc>
        <w:tc>
          <w:tcPr>
            <w:tcW w:w="780" w:type="dxa"/>
            <w:vAlign w:val="center"/>
          </w:tcPr>
          <w:p w14:paraId="7F7C3B19">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6175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090E0112">
            <w:pPr>
              <w:jc w:val="center"/>
              <w:rPr>
                <w:rFonts w:ascii="宋体" w:hAnsi="宋体"/>
                <w:color w:val="auto"/>
                <w:szCs w:val="21"/>
              </w:rPr>
            </w:pPr>
            <w:r>
              <w:rPr>
                <w:rFonts w:hint="eastAsia" w:ascii="宋体" w:hAnsi="宋体"/>
                <w:color w:val="auto"/>
                <w:szCs w:val="21"/>
              </w:rPr>
              <w:t>27</w:t>
            </w:r>
          </w:p>
        </w:tc>
        <w:tc>
          <w:tcPr>
            <w:tcW w:w="1142" w:type="dxa"/>
            <w:vAlign w:val="center"/>
          </w:tcPr>
          <w:p w14:paraId="5D79E4B3">
            <w:pPr>
              <w:spacing w:line="420" w:lineRule="exact"/>
              <w:jc w:val="center"/>
              <w:rPr>
                <w:rFonts w:ascii="宋体" w:hAnsi="宋体"/>
                <w:color w:val="auto"/>
                <w:szCs w:val="21"/>
              </w:rPr>
            </w:pPr>
            <w:r>
              <w:rPr>
                <w:rFonts w:hint="eastAsia" w:ascii="宋体" w:hAnsi="宋体"/>
                <w:color w:val="auto"/>
                <w:szCs w:val="21"/>
              </w:rPr>
              <w:t>电源线</w:t>
            </w:r>
          </w:p>
        </w:tc>
        <w:tc>
          <w:tcPr>
            <w:tcW w:w="5220" w:type="dxa"/>
            <w:vAlign w:val="center"/>
          </w:tcPr>
          <w:p w14:paraId="6F9CA432">
            <w:pPr>
              <w:spacing w:line="420" w:lineRule="exact"/>
              <w:rPr>
                <w:rFonts w:ascii="宋体" w:hAnsi="宋体"/>
                <w:color w:val="auto"/>
                <w:szCs w:val="21"/>
              </w:rPr>
            </w:pPr>
            <w:r>
              <w:rPr>
                <w:rFonts w:ascii="宋体" w:hAnsi="宋体"/>
                <w:color w:val="auto"/>
                <w:szCs w:val="21"/>
              </w:rPr>
              <w:t>WDZB1-BYJ-2.5</w:t>
            </w:r>
          </w:p>
        </w:tc>
        <w:tc>
          <w:tcPr>
            <w:tcW w:w="705" w:type="dxa"/>
            <w:vAlign w:val="center"/>
          </w:tcPr>
          <w:p w14:paraId="265713B2">
            <w:pPr>
              <w:spacing w:line="420" w:lineRule="exact"/>
              <w:jc w:val="center"/>
              <w:rPr>
                <w:rFonts w:ascii="宋体" w:hAnsi="宋体"/>
                <w:color w:val="auto"/>
                <w:szCs w:val="21"/>
              </w:rPr>
            </w:pPr>
            <w:r>
              <w:rPr>
                <w:rFonts w:hint="eastAsia" w:ascii="宋体" w:hAnsi="宋体"/>
                <w:color w:val="auto"/>
                <w:szCs w:val="21"/>
              </w:rPr>
              <w:t>2700</w:t>
            </w:r>
          </w:p>
        </w:tc>
        <w:tc>
          <w:tcPr>
            <w:tcW w:w="750" w:type="dxa"/>
            <w:vAlign w:val="center"/>
          </w:tcPr>
          <w:p w14:paraId="6D96B094">
            <w:pPr>
              <w:spacing w:line="420" w:lineRule="exact"/>
              <w:jc w:val="center"/>
              <w:rPr>
                <w:rFonts w:ascii="宋体" w:hAnsi="宋体" w:cs="宋体"/>
                <w:b/>
                <w:bCs/>
                <w:color w:val="auto"/>
                <w:szCs w:val="21"/>
              </w:rPr>
            </w:pPr>
            <w:r>
              <w:rPr>
                <w:rFonts w:hint="eastAsia" w:ascii="宋体" w:hAnsi="宋体"/>
                <w:color w:val="auto"/>
                <w:szCs w:val="21"/>
              </w:rPr>
              <w:t>米</w:t>
            </w:r>
          </w:p>
        </w:tc>
        <w:tc>
          <w:tcPr>
            <w:tcW w:w="780" w:type="dxa"/>
            <w:vAlign w:val="center"/>
          </w:tcPr>
          <w:p w14:paraId="617872BD">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75B2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675E196C">
            <w:pPr>
              <w:jc w:val="center"/>
              <w:rPr>
                <w:rFonts w:ascii="宋体" w:hAnsi="宋体"/>
                <w:color w:val="auto"/>
                <w:szCs w:val="21"/>
              </w:rPr>
            </w:pPr>
            <w:r>
              <w:rPr>
                <w:rFonts w:hint="eastAsia" w:ascii="宋体" w:hAnsi="宋体"/>
                <w:color w:val="auto"/>
                <w:szCs w:val="21"/>
              </w:rPr>
              <w:t>28</w:t>
            </w:r>
          </w:p>
        </w:tc>
        <w:tc>
          <w:tcPr>
            <w:tcW w:w="1142" w:type="dxa"/>
            <w:vAlign w:val="center"/>
          </w:tcPr>
          <w:p w14:paraId="103C7D69">
            <w:pPr>
              <w:spacing w:line="420" w:lineRule="exact"/>
              <w:jc w:val="center"/>
              <w:rPr>
                <w:rFonts w:ascii="宋体" w:hAnsi="宋体"/>
                <w:color w:val="auto"/>
                <w:szCs w:val="21"/>
              </w:rPr>
            </w:pPr>
            <w:r>
              <w:rPr>
                <w:rFonts w:hint="eastAsia" w:ascii="宋体" w:hAnsi="宋体"/>
                <w:color w:val="auto"/>
                <w:szCs w:val="21"/>
              </w:rPr>
              <w:t>强电线槽</w:t>
            </w:r>
          </w:p>
        </w:tc>
        <w:tc>
          <w:tcPr>
            <w:tcW w:w="5220" w:type="dxa"/>
            <w:vAlign w:val="center"/>
          </w:tcPr>
          <w:p w14:paraId="4F15734A">
            <w:pPr>
              <w:spacing w:line="420" w:lineRule="exact"/>
              <w:rPr>
                <w:rFonts w:ascii="宋体" w:hAnsi="宋体"/>
                <w:color w:val="auto"/>
                <w:szCs w:val="21"/>
              </w:rPr>
            </w:pPr>
            <w:r>
              <w:rPr>
                <w:rFonts w:hint="eastAsia" w:ascii="宋体" w:hAnsi="宋体"/>
                <w:color w:val="auto"/>
                <w:szCs w:val="21"/>
              </w:rPr>
              <w:t>1.规格</w:t>
            </w:r>
            <w:r>
              <w:rPr>
                <w:rFonts w:ascii="宋体" w:hAnsi="宋体"/>
                <w:color w:val="auto"/>
                <w:szCs w:val="21"/>
              </w:rPr>
              <w:t>50mmx50mm</w:t>
            </w:r>
            <w:r>
              <w:rPr>
                <w:rFonts w:hint="eastAsia" w:ascii="宋体" w:hAnsi="宋体"/>
                <w:color w:val="auto"/>
                <w:szCs w:val="21"/>
              </w:rPr>
              <w:t>；</w:t>
            </w:r>
          </w:p>
          <w:p w14:paraId="1F864D4A">
            <w:pPr>
              <w:spacing w:line="420" w:lineRule="exact"/>
              <w:rPr>
                <w:rFonts w:ascii="宋体" w:hAnsi="宋体"/>
                <w:color w:val="auto"/>
                <w:szCs w:val="21"/>
              </w:rPr>
            </w:pPr>
            <w:r>
              <w:rPr>
                <w:rFonts w:hint="eastAsia" w:ascii="宋体" w:hAnsi="宋体"/>
                <w:color w:val="auto"/>
                <w:szCs w:val="21"/>
              </w:rPr>
              <w:t>2.镀锌线槽，厚度≥</w:t>
            </w:r>
            <w:r>
              <w:rPr>
                <w:rFonts w:ascii="宋体" w:hAnsi="宋体"/>
                <w:color w:val="auto"/>
                <w:szCs w:val="21"/>
              </w:rPr>
              <w:t>1mm</w:t>
            </w:r>
            <w:r>
              <w:rPr>
                <w:rFonts w:hint="eastAsia" w:ascii="宋体" w:hAnsi="宋体"/>
                <w:color w:val="auto"/>
                <w:szCs w:val="21"/>
              </w:rPr>
              <w:t>。</w:t>
            </w:r>
          </w:p>
        </w:tc>
        <w:tc>
          <w:tcPr>
            <w:tcW w:w="705" w:type="dxa"/>
            <w:vAlign w:val="center"/>
          </w:tcPr>
          <w:p w14:paraId="1C1E2B94">
            <w:pPr>
              <w:spacing w:line="420" w:lineRule="exact"/>
              <w:jc w:val="center"/>
              <w:rPr>
                <w:rFonts w:ascii="宋体" w:hAnsi="宋体"/>
                <w:color w:val="auto"/>
                <w:szCs w:val="21"/>
              </w:rPr>
            </w:pPr>
            <w:r>
              <w:rPr>
                <w:rFonts w:hint="eastAsia" w:ascii="宋体" w:hAnsi="宋体"/>
                <w:color w:val="auto"/>
                <w:szCs w:val="21"/>
              </w:rPr>
              <w:t>900</w:t>
            </w:r>
          </w:p>
        </w:tc>
        <w:tc>
          <w:tcPr>
            <w:tcW w:w="750" w:type="dxa"/>
            <w:vAlign w:val="center"/>
          </w:tcPr>
          <w:p w14:paraId="135BF66E">
            <w:pPr>
              <w:spacing w:line="420" w:lineRule="exact"/>
              <w:jc w:val="center"/>
              <w:rPr>
                <w:rFonts w:ascii="宋体" w:hAnsi="宋体" w:cs="宋体"/>
                <w:b/>
                <w:bCs/>
                <w:color w:val="auto"/>
                <w:szCs w:val="21"/>
              </w:rPr>
            </w:pPr>
            <w:r>
              <w:rPr>
                <w:rFonts w:hint="eastAsia" w:ascii="宋体" w:hAnsi="宋体"/>
                <w:color w:val="auto"/>
                <w:szCs w:val="21"/>
              </w:rPr>
              <w:t>米</w:t>
            </w:r>
          </w:p>
        </w:tc>
        <w:tc>
          <w:tcPr>
            <w:tcW w:w="780" w:type="dxa"/>
            <w:vAlign w:val="center"/>
          </w:tcPr>
          <w:p w14:paraId="0E41F655">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25FF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36639224">
            <w:pPr>
              <w:jc w:val="center"/>
              <w:rPr>
                <w:rFonts w:ascii="宋体" w:hAnsi="宋体"/>
                <w:color w:val="auto"/>
                <w:szCs w:val="21"/>
              </w:rPr>
            </w:pPr>
            <w:r>
              <w:rPr>
                <w:rFonts w:hint="eastAsia" w:ascii="宋体" w:hAnsi="宋体"/>
                <w:color w:val="auto"/>
                <w:szCs w:val="21"/>
              </w:rPr>
              <w:t>29</w:t>
            </w:r>
          </w:p>
        </w:tc>
        <w:tc>
          <w:tcPr>
            <w:tcW w:w="1142" w:type="dxa"/>
            <w:vAlign w:val="center"/>
          </w:tcPr>
          <w:p w14:paraId="4BD3CA9A">
            <w:pPr>
              <w:spacing w:line="420" w:lineRule="exact"/>
              <w:jc w:val="center"/>
              <w:rPr>
                <w:rFonts w:ascii="宋体" w:hAnsi="宋体"/>
                <w:color w:val="auto"/>
                <w:szCs w:val="21"/>
              </w:rPr>
            </w:pPr>
            <w:r>
              <w:rPr>
                <w:rFonts w:hint="eastAsia" w:ascii="宋体" w:hAnsi="宋体"/>
                <w:color w:val="auto"/>
                <w:szCs w:val="21"/>
              </w:rPr>
              <w:t>配电箱</w:t>
            </w:r>
          </w:p>
        </w:tc>
        <w:tc>
          <w:tcPr>
            <w:tcW w:w="5220" w:type="dxa"/>
            <w:vAlign w:val="center"/>
          </w:tcPr>
          <w:p w14:paraId="13DBAF93">
            <w:pPr>
              <w:spacing w:line="420" w:lineRule="exact"/>
              <w:rPr>
                <w:rFonts w:ascii="宋体" w:hAnsi="宋体"/>
                <w:color w:val="auto"/>
                <w:szCs w:val="21"/>
              </w:rPr>
            </w:pPr>
            <w:r>
              <w:rPr>
                <w:rFonts w:hint="eastAsia" w:ascii="宋体" w:hAnsi="宋体"/>
                <w:color w:val="auto"/>
                <w:szCs w:val="21"/>
              </w:rPr>
              <w:t>1.I</w:t>
            </w:r>
            <w:r>
              <w:rPr>
                <w:rFonts w:ascii="宋体" w:hAnsi="宋体"/>
                <w:color w:val="auto"/>
                <w:szCs w:val="21"/>
              </w:rPr>
              <w:t>P40</w:t>
            </w:r>
            <w:r>
              <w:rPr>
                <w:rFonts w:hint="eastAsia" w:ascii="宋体" w:hAnsi="宋体"/>
                <w:color w:val="auto"/>
                <w:szCs w:val="21"/>
              </w:rPr>
              <w:t>防护等级强电箱；</w:t>
            </w:r>
          </w:p>
          <w:p w14:paraId="0B6173AD">
            <w:pPr>
              <w:spacing w:line="420" w:lineRule="exact"/>
              <w:rPr>
                <w:rFonts w:ascii="宋体" w:hAnsi="宋体"/>
                <w:color w:val="auto"/>
                <w:szCs w:val="21"/>
              </w:rPr>
            </w:pPr>
            <w:r>
              <w:rPr>
                <w:rFonts w:hint="eastAsia" w:ascii="宋体" w:hAnsi="宋体"/>
                <w:color w:val="auto"/>
                <w:szCs w:val="21"/>
              </w:rPr>
              <w:t>2.配置1</w:t>
            </w:r>
            <w:r>
              <w:rPr>
                <w:rFonts w:ascii="宋体" w:hAnsi="宋体"/>
                <w:color w:val="auto"/>
                <w:szCs w:val="21"/>
              </w:rPr>
              <w:t>00A</w:t>
            </w:r>
            <w:r>
              <w:rPr>
                <w:rFonts w:hint="eastAsia" w:ascii="宋体" w:hAnsi="宋体"/>
                <w:color w:val="auto"/>
                <w:szCs w:val="21"/>
              </w:rPr>
              <w:t>漏保开关≥</w:t>
            </w:r>
            <w:r>
              <w:rPr>
                <w:rFonts w:ascii="宋体" w:hAnsi="宋体"/>
                <w:color w:val="auto"/>
                <w:szCs w:val="21"/>
              </w:rPr>
              <w:t>1</w:t>
            </w:r>
            <w:r>
              <w:rPr>
                <w:rFonts w:hint="eastAsia" w:ascii="宋体" w:hAnsi="宋体"/>
                <w:color w:val="auto"/>
                <w:szCs w:val="21"/>
              </w:rPr>
              <w:t>个；</w:t>
            </w:r>
          </w:p>
          <w:p w14:paraId="28C334E3">
            <w:pPr>
              <w:spacing w:line="420" w:lineRule="exact"/>
              <w:rPr>
                <w:rFonts w:ascii="宋体" w:hAnsi="宋体"/>
                <w:color w:val="auto"/>
                <w:szCs w:val="21"/>
              </w:rPr>
            </w:pPr>
            <w:r>
              <w:rPr>
                <w:rFonts w:hint="eastAsia" w:ascii="宋体" w:hAnsi="宋体"/>
                <w:color w:val="auto"/>
                <w:szCs w:val="21"/>
              </w:rPr>
              <w:t>3.配置</w:t>
            </w:r>
            <w:r>
              <w:rPr>
                <w:rFonts w:ascii="宋体" w:hAnsi="宋体"/>
                <w:color w:val="auto"/>
                <w:szCs w:val="21"/>
              </w:rPr>
              <w:t>32A</w:t>
            </w:r>
            <w:r>
              <w:rPr>
                <w:rFonts w:hint="eastAsia" w:ascii="宋体" w:hAnsi="宋体"/>
                <w:color w:val="auto"/>
                <w:szCs w:val="21"/>
              </w:rPr>
              <w:t>开关≥</w:t>
            </w:r>
            <w:r>
              <w:rPr>
                <w:rFonts w:ascii="宋体" w:hAnsi="宋体"/>
                <w:color w:val="auto"/>
                <w:szCs w:val="21"/>
              </w:rPr>
              <w:t>4</w:t>
            </w:r>
            <w:r>
              <w:rPr>
                <w:rFonts w:hint="eastAsia" w:ascii="宋体" w:hAnsi="宋体"/>
                <w:color w:val="auto"/>
                <w:szCs w:val="21"/>
              </w:rPr>
              <w:t>个；</w:t>
            </w:r>
          </w:p>
          <w:p w14:paraId="1FF8109A">
            <w:pPr>
              <w:spacing w:line="420" w:lineRule="exact"/>
              <w:rPr>
                <w:rFonts w:ascii="宋体" w:hAnsi="宋体"/>
                <w:color w:val="auto"/>
                <w:szCs w:val="21"/>
              </w:rPr>
            </w:pPr>
            <w:r>
              <w:rPr>
                <w:rFonts w:hint="eastAsia" w:ascii="宋体" w:hAnsi="宋体"/>
                <w:color w:val="auto"/>
                <w:szCs w:val="21"/>
              </w:rPr>
              <w:t>4.配置空调专用开关≥</w:t>
            </w:r>
            <w:r>
              <w:rPr>
                <w:rFonts w:ascii="宋体" w:hAnsi="宋体"/>
                <w:color w:val="auto"/>
                <w:szCs w:val="21"/>
              </w:rPr>
              <w:t>2</w:t>
            </w:r>
            <w:r>
              <w:rPr>
                <w:rFonts w:hint="eastAsia" w:ascii="宋体" w:hAnsi="宋体"/>
                <w:color w:val="auto"/>
                <w:szCs w:val="21"/>
              </w:rPr>
              <w:t>个；</w:t>
            </w:r>
          </w:p>
          <w:p w14:paraId="2D9CF0AB">
            <w:pPr>
              <w:spacing w:line="420" w:lineRule="exact"/>
              <w:rPr>
                <w:rFonts w:ascii="宋体" w:hAnsi="宋体"/>
                <w:color w:val="auto"/>
                <w:szCs w:val="21"/>
              </w:rPr>
            </w:pPr>
            <w:r>
              <w:rPr>
                <w:rFonts w:hint="eastAsia" w:ascii="宋体" w:hAnsi="宋体"/>
                <w:color w:val="auto"/>
                <w:szCs w:val="21"/>
              </w:rPr>
              <w:t>5.配置其他开关≥</w:t>
            </w:r>
            <w:r>
              <w:rPr>
                <w:rFonts w:ascii="宋体" w:hAnsi="宋体"/>
                <w:color w:val="auto"/>
                <w:szCs w:val="21"/>
              </w:rPr>
              <w:t>2</w:t>
            </w:r>
            <w:r>
              <w:rPr>
                <w:rFonts w:hint="eastAsia" w:ascii="宋体" w:hAnsi="宋体"/>
                <w:color w:val="auto"/>
                <w:szCs w:val="21"/>
              </w:rPr>
              <w:t>个。</w:t>
            </w:r>
          </w:p>
        </w:tc>
        <w:tc>
          <w:tcPr>
            <w:tcW w:w="705" w:type="dxa"/>
            <w:vAlign w:val="center"/>
          </w:tcPr>
          <w:p w14:paraId="5C1C02CA">
            <w:pPr>
              <w:spacing w:line="420" w:lineRule="exact"/>
              <w:jc w:val="center"/>
              <w:rPr>
                <w:rFonts w:ascii="宋体" w:hAnsi="宋体"/>
                <w:color w:val="auto"/>
                <w:szCs w:val="21"/>
              </w:rPr>
            </w:pPr>
            <w:r>
              <w:rPr>
                <w:rFonts w:hint="eastAsia" w:ascii="宋体" w:hAnsi="宋体"/>
                <w:color w:val="auto"/>
                <w:szCs w:val="21"/>
              </w:rPr>
              <w:t>6</w:t>
            </w:r>
          </w:p>
        </w:tc>
        <w:tc>
          <w:tcPr>
            <w:tcW w:w="750" w:type="dxa"/>
            <w:vAlign w:val="center"/>
          </w:tcPr>
          <w:p w14:paraId="67B46AD7">
            <w:pPr>
              <w:spacing w:line="420" w:lineRule="exact"/>
              <w:jc w:val="center"/>
              <w:rPr>
                <w:rFonts w:ascii="宋体" w:hAnsi="宋体" w:cs="宋体"/>
                <w:b/>
                <w:bCs/>
                <w:color w:val="auto"/>
                <w:szCs w:val="21"/>
              </w:rPr>
            </w:pPr>
            <w:r>
              <w:rPr>
                <w:rFonts w:hint="eastAsia" w:ascii="宋体" w:hAnsi="宋体"/>
                <w:color w:val="auto"/>
                <w:szCs w:val="21"/>
              </w:rPr>
              <w:t>个</w:t>
            </w:r>
          </w:p>
        </w:tc>
        <w:tc>
          <w:tcPr>
            <w:tcW w:w="780" w:type="dxa"/>
            <w:vAlign w:val="center"/>
          </w:tcPr>
          <w:p w14:paraId="7234981F">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208A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66BB0B0D">
            <w:pPr>
              <w:jc w:val="center"/>
              <w:rPr>
                <w:rFonts w:ascii="宋体" w:hAnsi="宋体"/>
                <w:color w:val="auto"/>
                <w:szCs w:val="21"/>
              </w:rPr>
            </w:pPr>
            <w:r>
              <w:rPr>
                <w:rFonts w:hint="eastAsia" w:ascii="宋体" w:hAnsi="宋体"/>
                <w:color w:val="auto"/>
                <w:szCs w:val="21"/>
              </w:rPr>
              <w:t>30</w:t>
            </w:r>
          </w:p>
        </w:tc>
        <w:tc>
          <w:tcPr>
            <w:tcW w:w="1142" w:type="dxa"/>
            <w:vAlign w:val="center"/>
          </w:tcPr>
          <w:p w14:paraId="785B4A7F">
            <w:pPr>
              <w:spacing w:line="420" w:lineRule="exact"/>
              <w:jc w:val="center"/>
              <w:rPr>
                <w:rFonts w:ascii="宋体" w:hAnsi="宋体"/>
                <w:color w:val="auto"/>
                <w:szCs w:val="21"/>
              </w:rPr>
            </w:pPr>
            <w:r>
              <w:rPr>
                <w:rFonts w:hint="eastAsia" w:ascii="宋体" w:hAnsi="宋体"/>
                <w:color w:val="auto"/>
                <w:szCs w:val="21"/>
              </w:rPr>
              <w:t>激光投影机</w:t>
            </w:r>
          </w:p>
        </w:tc>
        <w:tc>
          <w:tcPr>
            <w:tcW w:w="5220" w:type="dxa"/>
            <w:vAlign w:val="center"/>
          </w:tcPr>
          <w:p w14:paraId="1D1E8CF0">
            <w:pPr>
              <w:rPr>
                <w:rFonts w:ascii="宋体" w:hAnsi="宋体" w:cstheme="minorBidi"/>
                <w:color w:val="auto"/>
                <w:szCs w:val="22"/>
              </w:rPr>
            </w:pPr>
            <w:r>
              <w:rPr>
                <w:rFonts w:asciiTheme="minorHAnsi" w:hAnsiTheme="minorHAnsi" w:eastAsiaTheme="minorEastAsia" w:cstheme="minorBidi"/>
                <w:color w:val="auto"/>
                <w:szCs w:val="22"/>
              </w:rPr>
              <w:t>▲</w:t>
            </w:r>
            <w:r>
              <w:rPr>
                <w:rFonts w:hint="eastAsia" w:ascii="宋体" w:hAnsi="宋体" w:cstheme="minorBidi"/>
                <w:color w:val="auto"/>
                <w:szCs w:val="22"/>
              </w:rPr>
              <w:t>1.</w:t>
            </w:r>
            <w:r>
              <w:rPr>
                <w:rFonts w:ascii="宋体" w:hAnsi="宋体" w:cstheme="minorBidi"/>
                <w:color w:val="auto"/>
                <w:szCs w:val="22"/>
              </w:rPr>
              <w:t>标称亮度≥5600流明（ISO标准，不接受缩减光源寿命的高亮模式亮度作为标称亮度）</w:t>
            </w:r>
            <w:r>
              <w:rPr>
                <w:rFonts w:hint="eastAsia" w:ascii="宋体" w:hAnsi="宋体" w:cstheme="minorBidi"/>
                <w:color w:val="auto"/>
                <w:szCs w:val="22"/>
              </w:rPr>
              <w:t>；</w:t>
            </w:r>
          </w:p>
          <w:p w14:paraId="1F84421F">
            <w:pPr>
              <w:rPr>
                <w:rFonts w:ascii="宋体" w:hAnsi="宋体" w:cstheme="minorBidi"/>
                <w:color w:val="auto"/>
                <w:szCs w:val="22"/>
              </w:rPr>
            </w:pPr>
            <w:r>
              <w:rPr>
                <w:rFonts w:ascii="宋体" w:hAnsi="宋体" w:cstheme="minorBidi"/>
                <w:color w:val="auto"/>
                <w:szCs w:val="22"/>
              </w:rPr>
              <w:t>▲</w:t>
            </w:r>
            <w:r>
              <w:rPr>
                <w:rFonts w:hint="eastAsia" w:ascii="宋体" w:hAnsi="宋体" w:cstheme="minorBidi"/>
                <w:color w:val="auto"/>
                <w:szCs w:val="22"/>
              </w:rPr>
              <w:t>2.</w:t>
            </w:r>
            <w:r>
              <w:rPr>
                <w:rFonts w:ascii="宋体" w:hAnsi="宋体" w:cstheme="minorBidi"/>
                <w:color w:val="auto"/>
                <w:szCs w:val="22"/>
              </w:rPr>
              <w:t>输出物理分辨率≥1920×1200；</w:t>
            </w:r>
          </w:p>
          <w:p w14:paraId="04188F57">
            <w:pPr>
              <w:rPr>
                <w:rFonts w:ascii="宋体" w:hAnsi="宋体" w:cstheme="minorBidi"/>
                <w:color w:val="auto"/>
                <w:szCs w:val="22"/>
              </w:rPr>
            </w:pPr>
            <w:r>
              <w:rPr>
                <w:rFonts w:ascii="宋体" w:hAnsi="宋体" w:cstheme="minorBidi"/>
                <w:color w:val="auto"/>
                <w:szCs w:val="22"/>
              </w:rPr>
              <w:t>▲</w:t>
            </w:r>
            <w:r>
              <w:rPr>
                <w:rFonts w:hint="eastAsia" w:ascii="宋体" w:hAnsi="宋体" w:cstheme="minorBidi"/>
                <w:color w:val="auto"/>
                <w:szCs w:val="22"/>
              </w:rPr>
              <w:t>3.</w:t>
            </w:r>
            <w:r>
              <w:rPr>
                <w:rFonts w:ascii="宋体" w:hAnsi="宋体" w:cstheme="minorBidi"/>
                <w:color w:val="auto"/>
                <w:szCs w:val="22"/>
              </w:rPr>
              <w:t>对比度≥5,000,000:1；</w:t>
            </w:r>
          </w:p>
          <w:p w14:paraId="7081CAD3">
            <w:pPr>
              <w:rPr>
                <w:rFonts w:ascii="宋体" w:hAnsi="宋体" w:cstheme="minorBidi"/>
                <w:color w:val="auto"/>
                <w:szCs w:val="22"/>
              </w:rPr>
            </w:pPr>
            <w:r>
              <w:rPr>
                <w:rFonts w:ascii="宋体" w:hAnsi="宋体" w:cstheme="minorBidi"/>
                <w:color w:val="auto"/>
                <w:szCs w:val="22"/>
              </w:rPr>
              <w:t>▲</w:t>
            </w:r>
            <w:r>
              <w:rPr>
                <w:rFonts w:hint="eastAsia" w:ascii="宋体" w:hAnsi="宋体" w:cstheme="minorBidi"/>
                <w:color w:val="auto"/>
                <w:szCs w:val="22"/>
              </w:rPr>
              <w:t>4.</w:t>
            </w:r>
            <w:r>
              <w:rPr>
                <w:rFonts w:ascii="宋体" w:hAnsi="宋体" w:cstheme="minorBidi"/>
                <w:color w:val="auto"/>
                <w:szCs w:val="22"/>
              </w:rPr>
              <w:t>显示技术：采用3芯片技术，如3LCD、3DLP等，不接受任何单芯片技术；</w:t>
            </w:r>
          </w:p>
          <w:p w14:paraId="359884C8">
            <w:pPr>
              <w:rPr>
                <w:rFonts w:ascii="宋体" w:hAnsi="宋体" w:cstheme="minorBidi"/>
                <w:color w:val="auto"/>
                <w:szCs w:val="22"/>
              </w:rPr>
            </w:pPr>
            <w:r>
              <w:rPr>
                <w:rFonts w:ascii="宋体" w:hAnsi="宋体" w:cstheme="minorBidi"/>
                <w:color w:val="auto"/>
                <w:szCs w:val="22"/>
              </w:rPr>
              <w:t>▲</w:t>
            </w:r>
            <w:r>
              <w:rPr>
                <w:rFonts w:hint="eastAsia" w:ascii="宋体" w:hAnsi="宋体" w:cstheme="minorBidi"/>
                <w:color w:val="auto"/>
                <w:szCs w:val="22"/>
              </w:rPr>
              <w:t>5.</w:t>
            </w:r>
            <w:r>
              <w:rPr>
                <w:rFonts w:ascii="宋体" w:hAnsi="宋体" w:cstheme="minorBidi"/>
                <w:color w:val="auto"/>
                <w:szCs w:val="22"/>
              </w:rPr>
              <w:t>支持4K信号输入；</w:t>
            </w:r>
          </w:p>
          <w:p w14:paraId="517F86D2">
            <w:pPr>
              <w:rPr>
                <w:rFonts w:ascii="宋体" w:hAnsi="宋体" w:cstheme="minorBidi"/>
                <w:color w:val="auto"/>
                <w:szCs w:val="22"/>
              </w:rPr>
            </w:pPr>
            <w:r>
              <w:rPr>
                <w:rFonts w:hint="eastAsia" w:ascii="宋体" w:hAnsi="宋体" w:cstheme="minorBidi"/>
                <w:color w:val="auto"/>
                <w:szCs w:val="22"/>
              </w:rPr>
              <w:t>6.</w:t>
            </w:r>
            <w:r>
              <w:rPr>
                <w:rFonts w:ascii="宋体" w:hAnsi="宋体" w:cstheme="minorBidi"/>
                <w:color w:val="auto"/>
                <w:szCs w:val="22"/>
              </w:rPr>
              <w:t>机身重量≤5.5公斤；</w:t>
            </w:r>
          </w:p>
          <w:p w14:paraId="7D340124">
            <w:pPr>
              <w:rPr>
                <w:rFonts w:ascii="宋体" w:hAnsi="宋体" w:cstheme="minorBidi"/>
                <w:color w:val="auto"/>
                <w:szCs w:val="22"/>
              </w:rPr>
            </w:pPr>
            <w:r>
              <w:rPr>
                <w:rFonts w:hint="eastAsia" w:ascii="宋体" w:hAnsi="宋体" w:cstheme="minorBidi"/>
                <w:color w:val="auto"/>
                <w:szCs w:val="22"/>
              </w:rPr>
              <w:t>7.</w:t>
            </w:r>
            <w:r>
              <w:rPr>
                <w:rFonts w:ascii="宋体" w:hAnsi="宋体" w:cstheme="minorBidi"/>
                <w:color w:val="auto"/>
                <w:szCs w:val="22"/>
              </w:rPr>
              <w:t>显示芯片尺寸≤0.64英寸；</w:t>
            </w:r>
          </w:p>
          <w:p w14:paraId="3B6624CD">
            <w:pPr>
              <w:rPr>
                <w:rFonts w:ascii="宋体" w:hAnsi="宋体" w:cstheme="minorBidi"/>
                <w:color w:val="auto"/>
                <w:szCs w:val="22"/>
              </w:rPr>
            </w:pPr>
            <w:r>
              <w:rPr>
                <w:rFonts w:ascii="宋体" w:hAnsi="宋体" w:cstheme="minorBidi"/>
                <w:color w:val="auto"/>
                <w:szCs w:val="22"/>
              </w:rPr>
              <w:t>▲</w:t>
            </w:r>
            <w:r>
              <w:rPr>
                <w:rFonts w:hint="eastAsia" w:ascii="宋体" w:hAnsi="宋体" w:cstheme="minorBidi"/>
                <w:color w:val="auto"/>
                <w:szCs w:val="22"/>
              </w:rPr>
              <w:t>8.</w:t>
            </w:r>
            <w:r>
              <w:rPr>
                <w:rFonts w:ascii="宋体" w:hAnsi="宋体" w:cstheme="minorBidi"/>
                <w:color w:val="auto"/>
                <w:szCs w:val="22"/>
              </w:rPr>
              <w:t>标配信号输入接口不少于：HDMI ×2、VGA ×1、Video ×1、USB(B) Display ×1(共用)、LAN(Display) x1(共用)、3.5 毫米（立体声）迷你插孔 ×1、（立体声）RCA x2(L/R)；</w:t>
            </w:r>
          </w:p>
          <w:p w14:paraId="46C923AD">
            <w:pPr>
              <w:rPr>
                <w:rFonts w:ascii="宋体" w:hAnsi="宋体" w:cstheme="minorBidi"/>
                <w:color w:val="auto"/>
                <w:szCs w:val="22"/>
              </w:rPr>
            </w:pPr>
            <w:r>
              <w:rPr>
                <w:rFonts w:ascii="宋体" w:hAnsi="宋体" w:cstheme="minorBidi"/>
                <w:color w:val="auto"/>
                <w:szCs w:val="22"/>
              </w:rPr>
              <w:t>▲</w:t>
            </w:r>
            <w:r>
              <w:rPr>
                <w:rFonts w:hint="eastAsia" w:ascii="宋体" w:hAnsi="宋体" w:cstheme="minorBidi"/>
                <w:color w:val="auto"/>
                <w:szCs w:val="22"/>
              </w:rPr>
              <w:t>9.</w:t>
            </w:r>
            <w:r>
              <w:rPr>
                <w:rFonts w:ascii="宋体" w:hAnsi="宋体" w:cstheme="minorBidi"/>
                <w:color w:val="auto"/>
                <w:szCs w:val="22"/>
              </w:rPr>
              <w:t>标配信号输出接口不少于：VGA×1、3.5 毫米（立体声）迷你插孔 × 1；</w:t>
            </w:r>
          </w:p>
          <w:p w14:paraId="57621104">
            <w:pPr>
              <w:rPr>
                <w:rFonts w:ascii="宋体" w:hAnsi="宋体" w:cstheme="minorBidi"/>
                <w:color w:val="auto"/>
                <w:szCs w:val="22"/>
              </w:rPr>
            </w:pPr>
            <w:r>
              <w:rPr>
                <w:rFonts w:hint="eastAsia" w:ascii="宋体" w:hAnsi="宋体" w:cstheme="minorBidi"/>
                <w:color w:val="auto"/>
                <w:szCs w:val="22"/>
              </w:rPr>
              <w:t>10.</w:t>
            </w:r>
            <w:r>
              <w:rPr>
                <w:rFonts w:ascii="宋体" w:hAnsi="宋体" w:cstheme="minorBidi"/>
                <w:color w:val="auto"/>
                <w:szCs w:val="22"/>
              </w:rPr>
              <w:t>内置扬声器，且扬声器≥16瓦，数量≥1个；</w:t>
            </w:r>
          </w:p>
          <w:p w14:paraId="022C3DE8">
            <w:pPr>
              <w:rPr>
                <w:rFonts w:ascii="宋体" w:hAnsi="宋体" w:cstheme="minorBidi"/>
                <w:color w:val="auto"/>
                <w:szCs w:val="22"/>
              </w:rPr>
            </w:pPr>
            <w:r>
              <w:rPr>
                <w:rFonts w:ascii="宋体" w:hAnsi="宋体" w:cstheme="minorBidi"/>
                <w:color w:val="auto"/>
                <w:szCs w:val="22"/>
              </w:rPr>
              <w:t>▲</w:t>
            </w:r>
            <w:r>
              <w:rPr>
                <w:rFonts w:hint="eastAsia" w:ascii="宋体" w:hAnsi="宋体" w:cstheme="minorBidi"/>
                <w:color w:val="auto"/>
                <w:szCs w:val="22"/>
              </w:rPr>
              <w:t>11.</w:t>
            </w:r>
            <w:r>
              <w:rPr>
                <w:rFonts w:ascii="宋体" w:hAnsi="宋体" w:cstheme="minorBidi"/>
                <w:color w:val="auto"/>
                <w:szCs w:val="22"/>
              </w:rPr>
              <w:t>镜头：投射比最小值≤1.2，投射比最大值≥2.0；</w:t>
            </w:r>
          </w:p>
          <w:p w14:paraId="2C00445F">
            <w:pPr>
              <w:ind w:firstLine="210" w:firstLineChars="100"/>
              <w:rPr>
                <w:rFonts w:ascii="宋体" w:hAnsi="宋体" w:cstheme="minorBidi"/>
                <w:color w:val="auto"/>
                <w:szCs w:val="22"/>
              </w:rPr>
            </w:pPr>
            <w:r>
              <w:rPr>
                <w:rFonts w:hint="eastAsia" w:ascii="宋体" w:hAnsi="宋体" w:cstheme="minorBidi"/>
                <w:color w:val="auto"/>
                <w:szCs w:val="22"/>
              </w:rPr>
              <w:t>12.</w:t>
            </w:r>
            <w:r>
              <w:rPr>
                <w:rFonts w:ascii="宋体" w:hAnsi="宋体" w:cstheme="minorBidi"/>
                <w:color w:val="auto"/>
                <w:szCs w:val="22"/>
              </w:rPr>
              <w:t>光源技术：激光光源；</w:t>
            </w:r>
          </w:p>
          <w:p w14:paraId="45FEEE36">
            <w:pPr>
              <w:ind w:firstLine="210" w:firstLineChars="100"/>
              <w:rPr>
                <w:rFonts w:ascii="宋体" w:hAnsi="宋体" w:cstheme="minorBidi"/>
                <w:color w:val="auto"/>
                <w:szCs w:val="22"/>
              </w:rPr>
            </w:pPr>
            <w:r>
              <w:rPr>
                <w:rFonts w:hint="eastAsia" w:ascii="宋体" w:hAnsi="宋体" w:cstheme="minorBidi"/>
                <w:color w:val="auto"/>
                <w:szCs w:val="22"/>
              </w:rPr>
              <w:t>13.</w:t>
            </w:r>
            <w:r>
              <w:rPr>
                <w:rFonts w:ascii="宋体" w:hAnsi="宋体" w:cstheme="minorBidi"/>
                <w:color w:val="auto"/>
                <w:szCs w:val="22"/>
              </w:rPr>
              <w:t>标配控制接口不少于：9针D-sub端子×1、LAN(Control) x1(共用)、USB(B) Control ×1(共用)；</w:t>
            </w:r>
          </w:p>
          <w:p w14:paraId="552F0ED4">
            <w:pPr>
              <w:rPr>
                <w:rFonts w:ascii="宋体" w:hAnsi="宋体" w:cstheme="minorBidi"/>
                <w:color w:val="auto"/>
                <w:szCs w:val="22"/>
              </w:rPr>
            </w:pPr>
            <w:r>
              <w:rPr>
                <w:rFonts w:ascii="宋体" w:hAnsi="宋体" w:cstheme="minorBidi"/>
                <w:color w:val="auto"/>
                <w:szCs w:val="22"/>
              </w:rPr>
              <w:t>物联网（IoT）功能：支持不少于Crestron RoomView 、AMX Discovery、PJ Link技术</w:t>
            </w:r>
            <w:r>
              <w:rPr>
                <w:rFonts w:hint="eastAsia" w:ascii="宋体" w:hAnsi="宋体" w:cstheme="minorBidi"/>
                <w:color w:val="auto"/>
                <w:szCs w:val="22"/>
              </w:rPr>
              <w:t>；</w:t>
            </w:r>
            <w:r>
              <w:rPr>
                <w:rFonts w:ascii="宋体" w:hAnsi="宋体" w:cstheme="minorBidi"/>
                <w:color w:val="auto"/>
                <w:szCs w:val="22"/>
              </w:rPr>
              <w:t>支持在投影全黑画面时投影机在1秒内立即自动关闭光输出，而当画面再次为非全黑画面时投影机1秒内立即恢复正常显示功能；</w:t>
            </w:r>
          </w:p>
          <w:p w14:paraId="3FE9A446">
            <w:pPr>
              <w:rPr>
                <w:rFonts w:ascii="宋体" w:hAnsi="宋体" w:cstheme="minorBidi"/>
                <w:color w:val="auto"/>
                <w:szCs w:val="22"/>
              </w:rPr>
            </w:pPr>
            <w:r>
              <w:rPr>
                <w:rFonts w:ascii="宋体" w:hAnsi="宋体" w:cstheme="minorBidi"/>
                <w:color w:val="auto"/>
                <w:szCs w:val="22"/>
              </w:rPr>
              <w:t>▲</w:t>
            </w:r>
            <w:r>
              <w:rPr>
                <w:rFonts w:hint="eastAsia" w:ascii="宋体" w:hAnsi="宋体" w:cstheme="minorBidi"/>
                <w:color w:val="auto"/>
                <w:szCs w:val="22"/>
              </w:rPr>
              <w:t>14.</w:t>
            </w:r>
            <w:r>
              <w:rPr>
                <w:rFonts w:ascii="宋体" w:hAnsi="宋体" w:cstheme="minorBidi"/>
                <w:color w:val="auto"/>
                <w:szCs w:val="22"/>
              </w:rPr>
              <w:t>支持HDMI接口线缆设置，自动识别或手动设置信号是通过HDMI线传输还是DVI-D线转换后转输，从而自动匹配投影机的最佳设置显示最优的图像效果（提供菜单截图并加盖供应商公章）；</w:t>
            </w:r>
          </w:p>
          <w:p w14:paraId="77E15C75">
            <w:pPr>
              <w:rPr>
                <w:rFonts w:ascii="宋体" w:hAnsi="宋体" w:cstheme="minorBidi"/>
                <w:color w:val="auto"/>
                <w:szCs w:val="22"/>
              </w:rPr>
            </w:pPr>
            <w:r>
              <w:rPr>
                <w:rFonts w:hint="eastAsia" w:ascii="宋体" w:hAnsi="宋体" w:cstheme="minorBidi"/>
                <w:color w:val="auto"/>
                <w:szCs w:val="22"/>
              </w:rPr>
              <w:t>15.</w:t>
            </w:r>
            <w:r>
              <w:rPr>
                <w:rFonts w:ascii="宋体" w:hAnsi="宋体" w:cstheme="minorBidi"/>
                <w:color w:val="auto"/>
                <w:szCs w:val="22"/>
              </w:rPr>
              <w:t>支持USB显示器功能，只使用USB线连接投影机无需其他连线即可显示电脑图像；</w:t>
            </w:r>
          </w:p>
          <w:p w14:paraId="52935DE9">
            <w:pPr>
              <w:rPr>
                <w:rFonts w:ascii="宋体" w:hAnsi="宋体" w:cstheme="minorBidi"/>
                <w:color w:val="auto"/>
                <w:szCs w:val="22"/>
              </w:rPr>
            </w:pPr>
            <w:r>
              <w:rPr>
                <w:rFonts w:ascii="宋体" w:hAnsi="宋体" w:cstheme="minorBidi"/>
                <w:color w:val="auto"/>
                <w:szCs w:val="22"/>
              </w:rPr>
              <w:t>▲</w:t>
            </w:r>
            <w:r>
              <w:rPr>
                <w:rFonts w:hint="eastAsia" w:ascii="宋体" w:hAnsi="宋体" w:cstheme="minorBidi"/>
                <w:color w:val="auto"/>
                <w:szCs w:val="22"/>
              </w:rPr>
              <w:t>16.</w:t>
            </w:r>
            <w:r>
              <w:rPr>
                <w:rFonts w:ascii="宋体" w:hAnsi="宋体" w:cstheme="minorBidi"/>
                <w:color w:val="auto"/>
                <w:szCs w:val="22"/>
              </w:rPr>
              <w:t>内置动态影像模式的动态模式多选功能，根据图像自动执行光源调整和信号补偿以产生最佳对比度的图像（提供说明书截图和实机的菜单截图并加盖供应商公章）；</w:t>
            </w:r>
          </w:p>
          <w:p w14:paraId="6653E797">
            <w:pPr>
              <w:rPr>
                <w:rFonts w:ascii="宋体" w:hAnsi="宋体" w:cstheme="minorBidi"/>
                <w:color w:val="auto"/>
                <w:szCs w:val="22"/>
              </w:rPr>
            </w:pPr>
            <w:r>
              <w:rPr>
                <w:rFonts w:ascii="宋体" w:hAnsi="宋体" w:cstheme="minorBidi"/>
                <w:color w:val="auto"/>
                <w:szCs w:val="22"/>
              </w:rPr>
              <w:t>▲</w:t>
            </w:r>
            <w:r>
              <w:rPr>
                <w:rFonts w:hint="eastAsia" w:ascii="宋体" w:hAnsi="宋体" w:cstheme="minorBidi"/>
                <w:color w:val="auto"/>
                <w:szCs w:val="22"/>
              </w:rPr>
              <w:t>17.</w:t>
            </w:r>
            <w:r>
              <w:rPr>
                <w:rFonts w:ascii="宋体" w:hAnsi="宋体" w:cstheme="minorBidi"/>
                <w:color w:val="auto"/>
                <w:szCs w:val="22"/>
              </w:rPr>
              <w:t>支持至少三种曲面补正功能：X/Y增益、X补偿、Y补偿，能对图像的线性度不均匀或水平垂直线弯曲变形进行补正（提供菜单截图并加盖供应商公章）；</w:t>
            </w:r>
          </w:p>
          <w:p w14:paraId="242AF1E1">
            <w:pPr>
              <w:rPr>
                <w:rFonts w:ascii="宋体" w:hAnsi="宋体" w:cstheme="minorBidi"/>
                <w:color w:val="auto"/>
                <w:szCs w:val="22"/>
              </w:rPr>
            </w:pPr>
            <w:r>
              <w:rPr>
                <w:rFonts w:hint="eastAsia" w:ascii="宋体" w:hAnsi="宋体" w:cstheme="minorBidi"/>
                <w:color w:val="auto"/>
                <w:szCs w:val="22"/>
              </w:rPr>
              <w:t>18.</w:t>
            </w:r>
            <w:r>
              <w:rPr>
                <w:rFonts w:ascii="宋体" w:hAnsi="宋体" w:cstheme="minorBidi"/>
                <w:color w:val="auto"/>
                <w:szCs w:val="22"/>
              </w:rPr>
              <w:t>支持水平/垂直梯形和四角校正功能；</w:t>
            </w:r>
          </w:p>
          <w:p w14:paraId="54F8E229">
            <w:pPr>
              <w:rPr>
                <w:rFonts w:ascii="宋体" w:hAnsi="宋体" w:cstheme="minorBidi"/>
                <w:color w:val="auto"/>
                <w:szCs w:val="22"/>
              </w:rPr>
            </w:pPr>
            <w:r>
              <w:rPr>
                <w:rFonts w:hint="eastAsia" w:ascii="宋体" w:hAnsi="宋体" w:cstheme="minorBidi"/>
                <w:color w:val="auto"/>
                <w:szCs w:val="22"/>
              </w:rPr>
              <w:t>19.</w:t>
            </w:r>
            <w:r>
              <w:rPr>
                <w:rFonts w:ascii="宋体" w:hAnsi="宋体" w:cstheme="minorBidi"/>
                <w:color w:val="auto"/>
                <w:szCs w:val="22"/>
              </w:rPr>
              <w:t>支持自动梯形校正功能；</w:t>
            </w:r>
          </w:p>
          <w:p w14:paraId="24583156">
            <w:pPr>
              <w:rPr>
                <w:rFonts w:ascii="宋体" w:hAnsi="宋体" w:cstheme="minorBidi"/>
                <w:color w:val="auto"/>
                <w:szCs w:val="22"/>
              </w:rPr>
            </w:pPr>
            <w:r>
              <w:rPr>
                <w:rFonts w:hint="eastAsia" w:ascii="宋体" w:hAnsi="宋体" w:cstheme="minorBidi"/>
                <w:color w:val="auto"/>
                <w:szCs w:val="22"/>
              </w:rPr>
              <w:t>20.</w:t>
            </w:r>
            <w:r>
              <w:rPr>
                <w:rFonts w:ascii="宋体" w:hAnsi="宋体" w:cstheme="minorBidi"/>
                <w:color w:val="auto"/>
                <w:szCs w:val="22"/>
              </w:rPr>
              <w:t>支持自动吊装检测功能；</w:t>
            </w:r>
          </w:p>
          <w:p w14:paraId="7DEDCDD6">
            <w:pPr>
              <w:rPr>
                <w:rFonts w:ascii="宋体" w:hAnsi="宋体" w:cstheme="minorBidi"/>
                <w:color w:val="auto"/>
                <w:szCs w:val="22"/>
              </w:rPr>
            </w:pPr>
            <w:r>
              <w:rPr>
                <w:rFonts w:hint="eastAsia" w:ascii="宋体" w:hAnsi="宋体" w:cstheme="minorBidi"/>
                <w:color w:val="auto"/>
                <w:szCs w:val="22"/>
              </w:rPr>
              <w:t>21.</w:t>
            </w:r>
            <w:r>
              <w:rPr>
                <w:rFonts w:ascii="宋体" w:hAnsi="宋体" w:cstheme="minorBidi"/>
                <w:color w:val="auto"/>
                <w:szCs w:val="22"/>
              </w:rPr>
              <w:t>支持INPUT搜索功能；</w:t>
            </w:r>
          </w:p>
          <w:p w14:paraId="3935A5B2">
            <w:pPr>
              <w:rPr>
                <w:rFonts w:ascii="宋体" w:hAnsi="宋体" w:cstheme="minorBidi"/>
                <w:color w:val="auto"/>
                <w:szCs w:val="22"/>
              </w:rPr>
            </w:pPr>
            <w:r>
              <w:rPr>
                <w:rFonts w:hint="eastAsia" w:ascii="宋体" w:hAnsi="宋体" w:cstheme="minorBidi"/>
                <w:color w:val="auto"/>
                <w:szCs w:val="22"/>
              </w:rPr>
              <w:t>22.</w:t>
            </w:r>
            <w:r>
              <w:rPr>
                <w:rFonts w:ascii="宋体" w:hAnsi="宋体" w:cstheme="minorBidi"/>
                <w:color w:val="auto"/>
                <w:szCs w:val="22"/>
              </w:rPr>
              <w:t>支持自动PC功能；</w:t>
            </w:r>
          </w:p>
          <w:p w14:paraId="4FA34EB1">
            <w:pPr>
              <w:rPr>
                <w:rFonts w:ascii="宋体" w:hAnsi="宋体" w:cstheme="minorBidi"/>
                <w:color w:val="auto"/>
                <w:szCs w:val="22"/>
              </w:rPr>
            </w:pPr>
            <w:r>
              <w:rPr>
                <w:rFonts w:hint="eastAsia" w:ascii="宋体" w:hAnsi="宋体" w:cstheme="minorBidi"/>
                <w:color w:val="auto"/>
                <w:szCs w:val="22"/>
              </w:rPr>
              <w:t>23.</w:t>
            </w:r>
            <w:r>
              <w:rPr>
                <w:rFonts w:ascii="宋体" w:hAnsi="宋体" w:cstheme="minorBidi"/>
                <w:color w:val="auto"/>
                <w:szCs w:val="22"/>
              </w:rPr>
              <w:t>能效等级为1级，未达到1级或未取得能效等级的视为不满足；</w:t>
            </w:r>
          </w:p>
          <w:p w14:paraId="44B4D24C">
            <w:pPr>
              <w:rPr>
                <w:rFonts w:ascii="宋体" w:hAnsi="宋体" w:cstheme="minorBidi"/>
                <w:color w:val="auto"/>
                <w:szCs w:val="22"/>
              </w:rPr>
            </w:pPr>
            <w:r>
              <w:rPr>
                <w:rFonts w:hint="eastAsia" w:ascii="宋体" w:hAnsi="宋体" w:cstheme="minorBidi"/>
                <w:color w:val="auto"/>
                <w:szCs w:val="22"/>
              </w:rPr>
              <w:t>24.</w:t>
            </w:r>
            <w:r>
              <w:rPr>
                <w:rFonts w:ascii="宋体" w:hAnsi="宋体" w:cstheme="minorBidi"/>
                <w:color w:val="auto"/>
                <w:szCs w:val="22"/>
              </w:rPr>
              <w:t>投影机工作环境温度≥45℃</w:t>
            </w:r>
            <w:r>
              <w:rPr>
                <w:rFonts w:hint="eastAsia" w:ascii="宋体" w:hAnsi="宋体" w:cstheme="minorBidi"/>
                <w:color w:val="auto"/>
                <w:szCs w:val="22"/>
              </w:rPr>
              <w:t>；</w:t>
            </w:r>
          </w:p>
          <w:p w14:paraId="23FB7BEF">
            <w:pPr>
              <w:rPr>
                <w:rFonts w:ascii="宋体" w:hAnsi="宋体" w:cstheme="minorBidi"/>
                <w:color w:val="auto"/>
                <w:szCs w:val="22"/>
              </w:rPr>
            </w:pPr>
            <w:r>
              <w:rPr>
                <w:rFonts w:ascii="宋体" w:hAnsi="宋体" w:cstheme="minorBidi"/>
                <w:color w:val="auto"/>
                <w:szCs w:val="22"/>
              </w:rPr>
              <w:t>▲</w:t>
            </w:r>
            <w:r>
              <w:rPr>
                <w:rFonts w:hint="eastAsia" w:ascii="宋体" w:hAnsi="宋体" w:cstheme="minorBidi"/>
                <w:color w:val="auto"/>
                <w:szCs w:val="22"/>
              </w:rPr>
              <w:t>25.</w:t>
            </w:r>
            <w:r>
              <w:rPr>
                <w:rFonts w:hint="eastAsia" w:ascii="宋体" w:hAnsi="宋体" w:cstheme="minorBidi"/>
                <w:color w:val="auto"/>
                <w:szCs w:val="22"/>
                <w:lang w:val="en-US" w:eastAsia="zh-CN"/>
              </w:rPr>
              <w:t>提供</w:t>
            </w:r>
            <w:r>
              <w:rPr>
                <w:rFonts w:ascii="宋体" w:hAnsi="宋体" w:cstheme="minorBidi"/>
                <w:color w:val="auto"/>
                <w:szCs w:val="22"/>
              </w:rPr>
              <w:t>CCC证书、节能产品证书、环保产品证书</w:t>
            </w:r>
            <w:r>
              <w:rPr>
                <w:rFonts w:hint="eastAsia" w:ascii="宋体" w:hAnsi="宋体" w:cstheme="minorBidi"/>
                <w:color w:val="auto"/>
                <w:szCs w:val="22"/>
                <w:lang w:val="en-US" w:eastAsia="zh-CN"/>
              </w:rPr>
              <w:t>复印件</w:t>
            </w:r>
            <w:r>
              <w:rPr>
                <w:rFonts w:hint="eastAsia" w:ascii="宋体" w:hAnsi="宋体"/>
                <w:color w:val="auto"/>
                <w:szCs w:val="21"/>
              </w:rPr>
              <w:t>并加盖竞标人</w:t>
            </w:r>
            <w:r>
              <w:rPr>
                <w:rFonts w:hint="eastAsia" w:ascii="宋体" w:hAnsi="宋体"/>
                <w:color w:val="auto"/>
                <w:szCs w:val="21"/>
                <w:lang w:val="en-US" w:eastAsia="zh-CN"/>
              </w:rPr>
              <w:t>公</w:t>
            </w:r>
            <w:r>
              <w:rPr>
                <w:rFonts w:hint="eastAsia" w:ascii="宋体" w:hAnsi="宋体"/>
                <w:color w:val="auto"/>
                <w:szCs w:val="21"/>
              </w:rPr>
              <w:t>章</w:t>
            </w:r>
            <w:r>
              <w:rPr>
                <w:rFonts w:ascii="宋体" w:hAnsi="宋体" w:cstheme="minorBidi"/>
                <w:color w:val="auto"/>
                <w:szCs w:val="22"/>
              </w:rPr>
              <w:t>；</w:t>
            </w:r>
          </w:p>
          <w:p w14:paraId="464FC095">
            <w:pPr>
              <w:spacing w:line="420" w:lineRule="exact"/>
              <w:rPr>
                <w:rFonts w:ascii="宋体" w:hAnsi="宋体"/>
                <w:color w:val="auto"/>
                <w:szCs w:val="21"/>
              </w:rPr>
            </w:pPr>
            <w:r>
              <w:rPr>
                <w:rFonts w:ascii="宋体" w:hAnsi="宋体" w:cstheme="minorBidi"/>
                <w:color w:val="auto"/>
                <w:szCs w:val="22"/>
              </w:rPr>
              <w:t>▲</w:t>
            </w:r>
            <w:r>
              <w:rPr>
                <w:rFonts w:hint="eastAsia" w:ascii="宋体" w:hAnsi="宋体"/>
                <w:color w:val="auto"/>
                <w:szCs w:val="21"/>
              </w:rPr>
              <w:t>26.提供厂商整机三年质保服务（含光源），供货时提供本项目售后服务承诺书原件并加盖竞标人</w:t>
            </w:r>
            <w:r>
              <w:rPr>
                <w:rFonts w:hint="eastAsia" w:ascii="宋体" w:hAnsi="宋体"/>
                <w:color w:val="auto"/>
                <w:szCs w:val="21"/>
                <w:lang w:val="en-US" w:eastAsia="zh-CN"/>
              </w:rPr>
              <w:t>公</w:t>
            </w:r>
            <w:r>
              <w:rPr>
                <w:rFonts w:hint="eastAsia" w:ascii="宋体" w:hAnsi="宋体"/>
                <w:color w:val="auto"/>
                <w:szCs w:val="21"/>
              </w:rPr>
              <w:t>章。</w:t>
            </w:r>
          </w:p>
        </w:tc>
        <w:tc>
          <w:tcPr>
            <w:tcW w:w="705" w:type="dxa"/>
            <w:vAlign w:val="center"/>
          </w:tcPr>
          <w:p w14:paraId="0FAF899C">
            <w:pPr>
              <w:spacing w:line="420" w:lineRule="exact"/>
              <w:jc w:val="center"/>
              <w:rPr>
                <w:rFonts w:ascii="宋体" w:hAnsi="宋体" w:cs="宋体"/>
                <w:b/>
                <w:bCs/>
                <w:color w:val="auto"/>
                <w:szCs w:val="21"/>
              </w:rPr>
            </w:pPr>
            <w:r>
              <w:rPr>
                <w:rFonts w:hint="eastAsia" w:ascii="宋体" w:hAnsi="宋体"/>
                <w:color w:val="auto"/>
                <w:szCs w:val="21"/>
              </w:rPr>
              <w:t>5</w:t>
            </w:r>
          </w:p>
        </w:tc>
        <w:tc>
          <w:tcPr>
            <w:tcW w:w="750" w:type="dxa"/>
            <w:vAlign w:val="center"/>
          </w:tcPr>
          <w:p w14:paraId="2B470FA9">
            <w:pPr>
              <w:spacing w:line="420" w:lineRule="exact"/>
              <w:jc w:val="center"/>
              <w:rPr>
                <w:rFonts w:ascii="宋体" w:hAnsi="宋体" w:cs="宋体"/>
                <w:b/>
                <w:bCs/>
                <w:color w:val="auto"/>
                <w:szCs w:val="21"/>
              </w:rPr>
            </w:pPr>
            <w:r>
              <w:rPr>
                <w:rFonts w:hint="eastAsia" w:ascii="宋体" w:hAnsi="宋体"/>
                <w:color w:val="auto"/>
                <w:szCs w:val="21"/>
              </w:rPr>
              <w:t>台</w:t>
            </w:r>
          </w:p>
        </w:tc>
        <w:tc>
          <w:tcPr>
            <w:tcW w:w="780" w:type="dxa"/>
            <w:vAlign w:val="center"/>
          </w:tcPr>
          <w:p w14:paraId="37A1EDDD">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6602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1AE6E96B">
            <w:pPr>
              <w:jc w:val="center"/>
              <w:rPr>
                <w:rFonts w:ascii="宋体" w:hAnsi="宋体"/>
                <w:color w:val="auto"/>
                <w:szCs w:val="21"/>
              </w:rPr>
            </w:pPr>
            <w:r>
              <w:rPr>
                <w:rFonts w:hint="eastAsia" w:ascii="宋体" w:hAnsi="宋体"/>
                <w:color w:val="auto"/>
                <w:szCs w:val="21"/>
              </w:rPr>
              <w:t>31</w:t>
            </w:r>
          </w:p>
        </w:tc>
        <w:tc>
          <w:tcPr>
            <w:tcW w:w="1142" w:type="dxa"/>
            <w:vAlign w:val="center"/>
          </w:tcPr>
          <w:p w14:paraId="140230C7">
            <w:pPr>
              <w:spacing w:line="420" w:lineRule="exact"/>
              <w:jc w:val="center"/>
              <w:rPr>
                <w:rFonts w:ascii="宋体" w:hAnsi="宋体"/>
                <w:color w:val="auto"/>
                <w:szCs w:val="21"/>
              </w:rPr>
            </w:pPr>
            <w:r>
              <w:rPr>
                <w:rFonts w:hint="eastAsia" w:ascii="宋体" w:hAnsi="宋体"/>
                <w:color w:val="auto"/>
                <w:szCs w:val="21"/>
              </w:rPr>
              <w:t>投影机幕布</w:t>
            </w:r>
          </w:p>
        </w:tc>
        <w:tc>
          <w:tcPr>
            <w:tcW w:w="5220" w:type="dxa"/>
            <w:vAlign w:val="center"/>
          </w:tcPr>
          <w:p w14:paraId="5355D2DD">
            <w:pPr>
              <w:spacing w:line="420" w:lineRule="exact"/>
              <w:rPr>
                <w:rFonts w:ascii="宋体" w:hAnsi="宋体"/>
                <w:color w:val="auto"/>
                <w:szCs w:val="21"/>
              </w:rPr>
            </w:pPr>
            <w:r>
              <w:rPr>
                <w:rFonts w:hint="eastAsia" w:ascii="宋体" w:hAnsi="宋体"/>
                <w:color w:val="auto"/>
                <w:szCs w:val="21"/>
              </w:rPr>
              <w:t>1.玻珠幕、增益系数达2.5倍；有效散射角2α≥32°</w:t>
            </w:r>
          </w:p>
          <w:p w14:paraId="7EDB3D2B">
            <w:pPr>
              <w:spacing w:line="420" w:lineRule="exact"/>
              <w:rPr>
                <w:rFonts w:ascii="宋体" w:hAnsi="宋体"/>
                <w:color w:val="auto"/>
                <w:szCs w:val="21"/>
              </w:rPr>
            </w:pPr>
            <w:r>
              <w:rPr>
                <w:rFonts w:hint="eastAsia" w:ascii="宋体" w:hAnsi="宋体"/>
                <w:color w:val="auto"/>
                <w:szCs w:val="21"/>
              </w:rPr>
              <w:t>2.外壳由金属板冲压机械加工成型，表面静电喷涂装饰。</w:t>
            </w:r>
          </w:p>
          <w:p w14:paraId="310EDFCC">
            <w:pPr>
              <w:spacing w:line="420" w:lineRule="exact"/>
              <w:rPr>
                <w:rFonts w:ascii="宋体" w:hAnsi="宋体"/>
                <w:color w:val="auto"/>
                <w:szCs w:val="21"/>
              </w:rPr>
            </w:pPr>
            <w:r>
              <w:rPr>
                <w:rFonts w:hint="eastAsia" w:ascii="宋体" w:hAnsi="宋体"/>
                <w:color w:val="auto"/>
                <w:szCs w:val="21"/>
              </w:rPr>
              <w:t>3.幕面采用PVC浆融性机制幕，高亮度、高分辨率、色彩还原性好、白昼成像清晰。</w:t>
            </w:r>
          </w:p>
          <w:p w14:paraId="081FD17A">
            <w:pPr>
              <w:spacing w:line="420" w:lineRule="exact"/>
              <w:rPr>
                <w:rFonts w:ascii="宋体" w:hAnsi="宋体"/>
                <w:color w:val="auto"/>
                <w:szCs w:val="21"/>
              </w:rPr>
            </w:pPr>
            <w:r>
              <w:rPr>
                <w:rFonts w:hint="eastAsia" w:ascii="宋体" w:hAnsi="宋体"/>
                <w:color w:val="auto"/>
                <w:szCs w:val="21"/>
              </w:rPr>
              <w:t>4.银幕表面光反射衰减小，幕面材料无任何气味。防霉、防潮、阻燃等。</w:t>
            </w:r>
          </w:p>
          <w:p w14:paraId="00E18FE0">
            <w:pPr>
              <w:spacing w:line="420" w:lineRule="exact"/>
              <w:rPr>
                <w:rFonts w:ascii="宋体" w:hAnsi="宋体"/>
                <w:color w:val="auto"/>
                <w:szCs w:val="21"/>
              </w:rPr>
            </w:pPr>
            <w:r>
              <w:rPr>
                <w:rFonts w:hint="eastAsia" w:ascii="宋体" w:hAnsi="宋体"/>
                <w:color w:val="auto"/>
                <w:szCs w:val="21"/>
              </w:rPr>
              <w:t>5.货物具有3C、CE认证、甲醛检测；通过ISO9001国际质量体系认证；</w:t>
            </w:r>
          </w:p>
          <w:p w14:paraId="1751EBFA">
            <w:pPr>
              <w:spacing w:line="420" w:lineRule="exact"/>
              <w:rPr>
                <w:rFonts w:ascii="宋体" w:hAnsi="宋体"/>
                <w:color w:val="auto"/>
                <w:szCs w:val="21"/>
              </w:rPr>
            </w:pPr>
            <w:r>
              <w:rPr>
                <w:rFonts w:hint="eastAsia" w:ascii="宋体" w:hAnsi="宋体"/>
                <w:color w:val="auto"/>
                <w:szCs w:val="21"/>
              </w:rPr>
              <w:t>6.尺寸：≥120英寸。</w:t>
            </w:r>
          </w:p>
        </w:tc>
        <w:tc>
          <w:tcPr>
            <w:tcW w:w="705" w:type="dxa"/>
            <w:vAlign w:val="center"/>
          </w:tcPr>
          <w:p w14:paraId="63D7EE27">
            <w:pPr>
              <w:spacing w:line="420" w:lineRule="exact"/>
              <w:jc w:val="center"/>
              <w:rPr>
                <w:rFonts w:ascii="宋体" w:hAnsi="宋体" w:cs="宋体"/>
                <w:b/>
                <w:bCs/>
                <w:color w:val="auto"/>
                <w:szCs w:val="21"/>
              </w:rPr>
            </w:pPr>
            <w:r>
              <w:rPr>
                <w:rFonts w:hint="eastAsia" w:ascii="宋体" w:hAnsi="宋体" w:cs="宋体"/>
                <w:color w:val="auto"/>
                <w:szCs w:val="21"/>
              </w:rPr>
              <w:t>5</w:t>
            </w:r>
          </w:p>
        </w:tc>
        <w:tc>
          <w:tcPr>
            <w:tcW w:w="750" w:type="dxa"/>
            <w:vAlign w:val="center"/>
          </w:tcPr>
          <w:p w14:paraId="1BFF4EC5">
            <w:pPr>
              <w:spacing w:line="420" w:lineRule="exact"/>
              <w:jc w:val="center"/>
              <w:rPr>
                <w:rFonts w:ascii="宋体" w:hAnsi="宋体" w:cs="宋体"/>
                <w:b/>
                <w:bCs/>
                <w:color w:val="auto"/>
                <w:szCs w:val="21"/>
              </w:rPr>
            </w:pPr>
            <w:r>
              <w:rPr>
                <w:rFonts w:hint="eastAsia" w:ascii="宋体" w:hAnsi="宋体"/>
                <w:color w:val="auto"/>
                <w:szCs w:val="21"/>
              </w:rPr>
              <w:t>套</w:t>
            </w:r>
          </w:p>
        </w:tc>
        <w:tc>
          <w:tcPr>
            <w:tcW w:w="780" w:type="dxa"/>
            <w:vAlign w:val="center"/>
          </w:tcPr>
          <w:p w14:paraId="0BF5196D">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6FDA8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16EBAE07">
            <w:pPr>
              <w:jc w:val="center"/>
              <w:rPr>
                <w:rFonts w:ascii="宋体" w:hAnsi="宋体"/>
                <w:color w:val="auto"/>
                <w:szCs w:val="21"/>
              </w:rPr>
            </w:pPr>
            <w:r>
              <w:rPr>
                <w:rFonts w:hint="eastAsia" w:ascii="宋体" w:hAnsi="宋体"/>
                <w:color w:val="auto"/>
                <w:szCs w:val="21"/>
              </w:rPr>
              <w:t>32</w:t>
            </w:r>
          </w:p>
        </w:tc>
        <w:tc>
          <w:tcPr>
            <w:tcW w:w="1142" w:type="dxa"/>
            <w:vAlign w:val="center"/>
          </w:tcPr>
          <w:p w14:paraId="204C227D">
            <w:pPr>
              <w:spacing w:line="420" w:lineRule="exact"/>
              <w:jc w:val="center"/>
              <w:rPr>
                <w:rFonts w:ascii="宋体" w:hAnsi="宋体"/>
                <w:color w:val="auto"/>
                <w:szCs w:val="21"/>
              </w:rPr>
            </w:pPr>
            <w:r>
              <w:rPr>
                <w:rFonts w:hint="eastAsia" w:ascii="宋体" w:hAnsi="宋体"/>
                <w:color w:val="auto"/>
                <w:szCs w:val="21"/>
              </w:rPr>
              <w:t>投影机吊架</w:t>
            </w:r>
          </w:p>
        </w:tc>
        <w:tc>
          <w:tcPr>
            <w:tcW w:w="5220" w:type="dxa"/>
            <w:vAlign w:val="center"/>
          </w:tcPr>
          <w:p w14:paraId="06EC9462">
            <w:pPr>
              <w:spacing w:line="420" w:lineRule="exact"/>
              <w:rPr>
                <w:rFonts w:ascii="宋体" w:hAnsi="宋体"/>
                <w:color w:val="auto"/>
                <w:szCs w:val="21"/>
              </w:rPr>
            </w:pPr>
            <w:r>
              <w:rPr>
                <w:rFonts w:hint="eastAsia" w:ascii="宋体" w:hAnsi="宋体"/>
                <w:color w:val="auto"/>
                <w:szCs w:val="21"/>
              </w:rPr>
              <w:t>1.白色烤漆，钢制圆管设计；</w:t>
            </w:r>
          </w:p>
          <w:p w14:paraId="1BCEFCEF">
            <w:pPr>
              <w:spacing w:line="420" w:lineRule="exact"/>
              <w:rPr>
                <w:rFonts w:ascii="宋体" w:hAnsi="宋体"/>
                <w:color w:val="auto"/>
                <w:szCs w:val="21"/>
              </w:rPr>
            </w:pPr>
            <w:r>
              <w:rPr>
                <w:rFonts w:hint="eastAsia" w:ascii="宋体" w:hAnsi="宋体"/>
                <w:color w:val="auto"/>
                <w:szCs w:val="21"/>
              </w:rPr>
              <w:t>2.产品长度：长度两节伸缩调节，长度不低于150cm（根据现场情况再决定）；</w:t>
            </w:r>
          </w:p>
          <w:p w14:paraId="36C47E6C">
            <w:pPr>
              <w:spacing w:line="420" w:lineRule="exact"/>
              <w:rPr>
                <w:rFonts w:ascii="宋体" w:hAnsi="宋体"/>
                <w:color w:val="auto"/>
                <w:szCs w:val="21"/>
              </w:rPr>
            </w:pPr>
            <w:r>
              <w:rPr>
                <w:rFonts w:hint="eastAsia" w:ascii="宋体" w:hAnsi="宋体"/>
                <w:color w:val="auto"/>
                <w:szCs w:val="21"/>
              </w:rPr>
              <w:t>3.天花板固定孔位：4个，适用8号膨胀螺丝；投影机固定4个爪位，可调节角度±15%；</w:t>
            </w:r>
          </w:p>
          <w:p w14:paraId="7F5B8962">
            <w:pPr>
              <w:spacing w:line="420" w:lineRule="exact"/>
              <w:rPr>
                <w:rFonts w:ascii="宋体" w:hAnsi="宋体"/>
                <w:color w:val="auto"/>
                <w:szCs w:val="21"/>
              </w:rPr>
            </w:pPr>
            <w:r>
              <w:rPr>
                <w:rFonts w:hint="eastAsia" w:ascii="宋体" w:hAnsi="宋体"/>
                <w:color w:val="auto"/>
                <w:szCs w:val="21"/>
              </w:rPr>
              <w:t>4.垂直承重：30kg，投影爪壁不变形。</w:t>
            </w:r>
          </w:p>
        </w:tc>
        <w:tc>
          <w:tcPr>
            <w:tcW w:w="705" w:type="dxa"/>
            <w:vAlign w:val="center"/>
          </w:tcPr>
          <w:p w14:paraId="372635B3">
            <w:pPr>
              <w:spacing w:line="420" w:lineRule="exact"/>
              <w:jc w:val="center"/>
              <w:rPr>
                <w:rFonts w:ascii="宋体" w:hAnsi="宋体" w:cs="宋体"/>
                <w:b/>
                <w:bCs/>
                <w:color w:val="auto"/>
                <w:szCs w:val="21"/>
              </w:rPr>
            </w:pPr>
            <w:r>
              <w:rPr>
                <w:rFonts w:hint="eastAsia" w:ascii="宋体" w:hAnsi="宋体"/>
                <w:color w:val="auto"/>
                <w:szCs w:val="21"/>
              </w:rPr>
              <w:t>5</w:t>
            </w:r>
          </w:p>
        </w:tc>
        <w:tc>
          <w:tcPr>
            <w:tcW w:w="750" w:type="dxa"/>
            <w:vAlign w:val="center"/>
          </w:tcPr>
          <w:p w14:paraId="6E7EC2BC">
            <w:pPr>
              <w:spacing w:line="420" w:lineRule="exact"/>
              <w:jc w:val="center"/>
              <w:rPr>
                <w:rFonts w:ascii="宋体" w:hAnsi="宋体" w:cs="宋体"/>
                <w:b/>
                <w:bCs/>
                <w:color w:val="auto"/>
                <w:szCs w:val="21"/>
              </w:rPr>
            </w:pPr>
            <w:r>
              <w:rPr>
                <w:rFonts w:hint="eastAsia" w:ascii="宋体" w:hAnsi="宋体"/>
                <w:color w:val="auto"/>
                <w:szCs w:val="21"/>
              </w:rPr>
              <w:t>套</w:t>
            </w:r>
          </w:p>
        </w:tc>
        <w:tc>
          <w:tcPr>
            <w:tcW w:w="780" w:type="dxa"/>
            <w:vAlign w:val="center"/>
          </w:tcPr>
          <w:p w14:paraId="77831B97">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337C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4F348E33">
            <w:pPr>
              <w:jc w:val="center"/>
              <w:rPr>
                <w:rFonts w:ascii="宋体" w:hAnsi="宋体"/>
                <w:color w:val="auto"/>
                <w:szCs w:val="21"/>
              </w:rPr>
            </w:pPr>
            <w:r>
              <w:rPr>
                <w:rFonts w:hint="eastAsia" w:ascii="宋体" w:hAnsi="宋体"/>
                <w:color w:val="auto"/>
                <w:szCs w:val="21"/>
              </w:rPr>
              <w:t>33</w:t>
            </w:r>
          </w:p>
        </w:tc>
        <w:tc>
          <w:tcPr>
            <w:tcW w:w="1142" w:type="dxa"/>
            <w:vAlign w:val="center"/>
          </w:tcPr>
          <w:p w14:paraId="41F7E951">
            <w:pPr>
              <w:spacing w:line="420" w:lineRule="exact"/>
              <w:jc w:val="center"/>
              <w:rPr>
                <w:rFonts w:ascii="宋体" w:hAnsi="宋体"/>
                <w:color w:val="auto"/>
                <w:szCs w:val="21"/>
              </w:rPr>
            </w:pPr>
            <w:r>
              <w:rPr>
                <w:rFonts w:hint="eastAsia" w:ascii="宋体" w:hAnsi="宋体"/>
                <w:color w:val="auto"/>
                <w:szCs w:val="21"/>
              </w:rPr>
              <w:t>学生电脑桌椅</w:t>
            </w:r>
          </w:p>
        </w:tc>
        <w:tc>
          <w:tcPr>
            <w:tcW w:w="5220" w:type="dxa"/>
            <w:vAlign w:val="center"/>
          </w:tcPr>
          <w:p w14:paraId="24C0D894">
            <w:pPr>
              <w:spacing w:line="420" w:lineRule="exact"/>
              <w:rPr>
                <w:rFonts w:ascii="宋体" w:hAnsi="宋体"/>
                <w:color w:val="auto"/>
                <w:szCs w:val="21"/>
              </w:rPr>
            </w:pPr>
            <w:r>
              <w:rPr>
                <w:rFonts w:hint="eastAsia" w:ascii="宋体" w:hAnsi="宋体"/>
                <w:color w:val="auto"/>
                <w:szCs w:val="21"/>
              </w:rPr>
              <w:t>一、学生电脑桌</w:t>
            </w:r>
          </w:p>
          <w:p w14:paraId="7B04AAC7">
            <w:pPr>
              <w:spacing w:line="420" w:lineRule="exact"/>
              <w:rPr>
                <w:rFonts w:ascii="宋体" w:hAnsi="宋体"/>
                <w:color w:val="auto"/>
                <w:szCs w:val="21"/>
                <w:u w:val="single"/>
              </w:rPr>
            </w:pPr>
            <w:r>
              <w:rPr>
                <w:rFonts w:hint="eastAsia" w:ascii="宋体" w:hAnsi="宋体"/>
                <w:color w:val="auto"/>
                <w:szCs w:val="21"/>
              </w:rPr>
              <w:t>1.桌子基材：桌面板采用≥25mm厚环保型三聚氰胺颗粒板，板材经过防潮、防虫、防腐等化学处理；有害物质释放限量达到国标要求（</w:t>
            </w:r>
            <w:r>
              <w:rPr>
                <w:rFonts w:hint="eastAsia"/>
                <w:color w:val="auto"/>
              </w:rPr>
              <w:t xml:space="preserve"> GB 18584-2001</w:t>
            </w:r>
            <w:r>
              <w:rPr>
                <w:rFonts w:hint="eastAsia" w:ascii="宋体" w:hAnsi="宋体"/>
                <w:color w:val="auto"/>
                <w:szCs w:val="21"/>
              </w:rPr>
              <w:t>）。</w:t>
            </w:r>
          </w:p>
          <w:p w14:paraId="731319A3">
            <w:pPr>
              <w:spacing w:line="420" w:lineRule="exact"/>
              <w:rPr>
                <w:rFonts w:ascii="宋体" w:hAnsi="宋体"/>
                <w:color w:val="auto"/>
                <w:szCs w:val="21"/>
              </w:rPr>
            </w:pPr>
            <w:r>
              <w:rPr>
                <w:rFonts w:hint="eastAsia" w:ascii="宋体" w:hAnsi="宋体"/>
                <w:color w:val="auto"/>
                <w:szCs w:val="21"/>
              </w:rPr>
              <w:t>2.封边：采用≥1.5mm厚PVC本色直封边，封边工艺采用全自动化机器封边技术，防潮、防晒、耐腐蚀、耐氧化、表面光滑平整，无皱褶无波浪形，防水性能经水滴试验无渗透，经磨边处理；</w:t>
            </w:r>
          </w:p>
          <w:p w14:paraId="0B2A2FA5">
            <w:pPr>
              <w:spacing w:line="420" w:lineRule="exact"/>
              <w:rPr>
                <w:rFonts w:ascii="宋体" w:hAnsi="宋体"/>
                <w:color w:val="auto"/>
                <w:szCs w:val="21"/>
              </w:rPr>
            </w:pPr>
            <w:r>
              <w:rPr>
                <w:rFonts w:hint="eastAsia" w:ascii="宋体" w:hAnsi="宋体"/>
                <w:color w:val="auto"/>
                <w:szCs w:val="21"/>
              </w:rPr>
              <w:t>3.铁架：主台脚架采用约50*15*1.2mm钢管材质，连接横梁采用约40*25*1.2mm厚方管；</w:t>
            </w:r>
          </w:p>
          <w:p w14:paraId="059113BE">
            <w:pPr>
              <w:spacing w:line="420" w:lineRule="exact"/>
              <w:rPr>
                <w:rFonts w:ascii="宋体" w:hAnsi="宋体"/>
                <w:color w:val="auto"/>
                <w:szCs w:val="21"/>
              </w:rPr>
            </w:pPr>
            <w:r>
              <w:rPr>
                <w:rFonts w:hint="eastAsia" w:ascii="宋体" w:hAnsi="宋体"/>
                <w:color w:val="auto"/>
                <w:szCs w:val="21"/>
              </w:rPr>
              <w:t xml:space="preserve">4.前挡板采用≥0.6mm厚冷轧钢板折弯冲压成型，钢板表面冲有9厘圆孔保证机箱散热功能良好； </w:t>
            </w:r>
          </w:p>
          <w:p w14:paraId="1E6328A2">
            <w:pPr>
              <w:spacing w:line="420" w:lineRule="exact"/>
              <w:rPr>
                <w:rFonts w:ascii="宋体" w:hAnsi="宋体"/>
                <w:color w:val="auto"/>
                <w:szCs w:val="21"/>
              </w:rPr>
            </w:pPr>
            <w:r>
              <w:rPr>
                <w:rFonts w:hint="eastAsia" w:ascii="宋体" w:hAnsi="宋体"/>
                <w:color w:val="auto"/>
                <w:szCs w:val="21"/>
              </w:rPr>
              <w:t xml:space="preserve">5.光滑均匀，色泽一致，无流挂，疙瘩，皱皮，飞漆等现象缺陷，焊接件焊接时采用二氧化碳保护焊接，焊接件之间的连接部分全部圈焊接，不允许脱焊，气孔，焊瘤，焊丝头，咬边飞溅，桌架颜色：全部喷涂沙白色，桌子配有走线槽。 </w:t>
            </w:r>
          </w:p>
          <w:p w14:paraId="29D2231E">
            <w:pPr>
              <w:spacing w:line="420" w:lineRule="exact"/>
              <w:rPr>
                <w:rFonts w:ascii="宋体" w:hAnsi="宋体"/>
                <w:color w:val="auto"/>
                <w:szCs w:val="21"/>
              </w:rPr>
            </w:pPr>
            <w:r>
              <w:rPr>
                <w:rFonts w:hint="eastAsia" w:ascii="宋体" w:hAnsi="宋体"/>
                <w:color w:val="auto"/>
                <w:szCs w:val="21"/>
              </w:rPr>
              <w:t>二、学生椅：椅面采用≥25mm厚环保型三聚氰胺颗粒板，甲醛释放量达到国家标准,封边：封边采用≥1.5mm厚PVC本色直封边，凳架用25*25*1.2mm厚的铁管,表面经酸洗除锈，碱洗除油，磷化烘干等工艺，采用静电粉末喷涂（环氧聚脂粉末）,防止生锈和褪色；全部焊接口平直、牢固、无焊疵，焊接处打磨平整，各构件部分平直，横竖条搭接垂直，插口吻合，装配平整、牢靠（每张桌子配两张）。</w:t>
            </w:r>
          </w:p>
        </w:tc>
        <w:tc>
          <w:tcPr>
            <w:tcW w:w="705" w:type="dxa"/>
            <w:vAlign w:val="center"/>
          </w:tcPr>
          <w:p w14:paraId="79754359">
            <w:pPr>
              <w:spacing w:line="420" w:lineRule="exact"/>
              <w:jc w:val="center"/>
              <w:rPr>
                <w:rFonts w:ascii="宋体" w:hAnsi="宋体" w:cs="宋体"/>
                <w:b/>
                <w:bCs/>
                <w:color w:val="auto"/>
                <w:szCs w:val="21"/>
              </w:rPr>
            </w:pPr>
            <w:r>
              <w:rPr>
                <w:rFonts w:hint="eastAsia" w:ascii="宋体" w:hAnsi="宋体"/>
                <w:color w:val="auto"/>
                <w:szCs w:val="21"/>
              </w:rPr>
              <w:t>98</w:t>
            </w:r>
          </w:p>
        </w:tc>
        <w:tc>
          <w:tcPr>
            <w:tcW w:w="750" w:type="dxa"/>
            <w:vAlign w:val="center"/>
          </w:tcPr>
          <w:p w14:paraId="7D2C1CB7">
            <w:pPr>
              <w:spacing w:line="420" w:lineRule="exact"/>
              <w:jc w:val="center"/>
              <w:rPr>
                <w:rFonts w:ascii="宋体" w:hAnsi="宋体" w:cs="宋体"/>
                <w:b/>
                <w:bCs/>
                <w:color w:val="auto"/>
                <w:szCs w:val="21"/>
              </w:rPr>
            </w:pPr>
            <w:r>
              <w:rPr>
                <w:rFonts w:hint="eastAsia" w:ascii="宋体" w:hAnsi="宋体"/>
                <w:color w:val="auto"/>
                <w:szCs w:val="21"/>
              </w:rPr>
              <w:t>套</w:t>
            </w:r>
          </w:p>
        </w:tc>
        <w:tc>
          <w:tcPr>
            <w:tcW w:w="780" w:type="dxa"/>
            <w:vAlign w:val="center"/>
          </w:tcPr>
          <w:p w14:paraId="2A419BC4">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3048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5AAE7F6F">
            <w:pPr>
              <w:jc w:val="center"/>
              <w:rPr>
                <w:rFonts w:ascii="宋体" w:hAnsi="宋体"/>
                <w:color w:val="auto"/>
                <w:szCs w:val="21"/>
              </w:rPr>
            </w:pPr>
            <w:r>
              <w:rPr>
                <w:rFonts w:hint="eastAsia" w:ascii="宋体" w:hAnsi="宋体"/>
                <w:color w:val="auto"/>
                <w:szCs w:val="21"/>
              </w:rPr>
              <w:t>34</w:t>
            </w:r>
          </w:p>
        </w:tc>
        <w:tc>
          <w:tcPr>
            <w:tcW w:w="1142" w:type="dxa"/>
            <w:vAlign w:val="center"/>
          </w:tcPr>
          <w:p w14:paraId="7F102CD0">
            <w:pPr>
              <w:spacing w:line="420" w:lineRule="exact"/>
              <w:jc w:val="center"/>
              <w:rPr>
                <w:rFonts w:ascii="宋体" w:hAnsi="宋体"/>
                <w:color w:val="auto"/>
                <w:szCs w:val="21"/>
              </w:rPr>
            </w:pPr>
            <w:r>
              <w:rPr>
                <w:rFonts w:hint="eastAsia" w:ascii="宋体" w:hAnsi="宋体"/>
                <w:color w:val="auto"/>
                <w:szCs w:val="21"/>
              </w:rPr>
              <w:t>教师教学桌</w:t>
            </w:r>
          </w:p>
        </w:tc>
        <w:tc>
          <w:tcPr>
            <w:tcW w:w="5220" w:type="dxa"/>
            <w:vAlign w:val="center"/>
          </w:tcPr>
          <w:p w14:paraId="216309A6">
            <w:pPr>
              <w:numPr>
                <w:ilvl w:val="0"/>
                <w:numId w:val="5"/>
              </w:numPr>
              <w:spacing w:line="420" w:lineRule="exact"/>
              <w:rPr>
                <w:rFonts w:ascii="宋体" w:hAnsi="宋体"/>
                <w:color w:val="auto"/>
                <w:szCs w:val="21"/>
              </w:rPr>
            </w:pPr>
            <w:r>
              <w:rPr>
                <w:rFonts w:hint="eastAsia" w:ascii="宋体" w:hAnsi="宋体"/>
                <w:color w:val="auto"/>
                <w:szCs w:val="21"/>
              </w:rPr>
              <w:t>桌面板采用高密度纤维板，边缘采用单面封边工艺，采用冷压工艺三聚氰胺贴面；</w:t>
            </w:r>
          </w:p>
          <w:p w14:paraId="44A9EF10">
            <w:pPr>
              <w:spacing w:line="420" w:lineRule="exact"/>
              <w:rPr>
                <w:rFonts w:ascii="宋体" w:hAnsi="宋体"/>
                <w:color w:val="auto"/>
                <w:szCs w:val="21"/>
              </w:rPr>
            </w:pPr>
            <w:r>
              <w:rPr>
                <w:rFonts w:hint="eastAsia" w:ascii="宋体" w:hAnsi="宋体"/>
                <w:color w:val="auto"/>
                <w:szCs w:val="21"/>
              </w:rPr>
              <w:t>2.主体采用 1.0-1.5m 冷轧钢板；</w:t>
            </w:r>
          </w:p>
          <w:p w14:paraId="51653AE1">
            <w:pPr>
              <w:spacing w:line="420" w:lineRule="exact"/>
              <w:rPr>
                <w:rFonts w:ascii="宋体" w:hAnsi="宋体"/>
                <w:color w:val="auto"/>
                <w:szCs w:val="21"/>
              </w:rPr>
            </w:pPr>
            <w:r>
              <w:rPr>
                <w:rFonts w:hint="eastAsia" w:ascii="宋体" w:hAnsi="宋体"/>
                <w:color w:val="auto"/>
                <w:szCs w:val="21"/>
              </w:rPr>
              <w:t>3.翻转显示器安装位；</w:t>
            </w:r>
          </w:p>
          <w:p w14:paraId="63B17DB0">
            <w:pPr>
              <w:spacing w:line="420" w:lineRule="exact"/>
              <w:rPr>
                <w:rFonts w:ascii="宋体" w:hAnsi="宋体"/>
                <w:color w:val="auto"/>
                <w:szCs w:val="21"/>
              </w:rPr>
            </w:pPr>
            <w:r>
              <w:rPr>
                <w:rFonts w:hint="eastAsia" w:ascii="宋体" w:hAnsi="宋体"/>
                <w:color w:val="auto"/>
                <w:szCs w:val="21"/>
              </w:rPr>
              <w:t>4.下层前门对开门设计；</w:t>
            </w:r>
          </w:p>
          <w:p w14:paraId="23D180A1">
            <w:pPr>
              <w:spacing w:line="420" w:lineRule="exact"/>
              <w:rPr>
                <w:rFonts w:ascii="宋体" w:hAnsi="宋体"/>
                <w:color w:val="auto"/>
                <w:szCs w:val="21"/>
              </w:rPr>
            </w:pPr>
            <w:r>
              <w:rPr>
                <w:rFonts w:hint="eastAsia" w:ascii="宋体" w:hAnsi="宋体"/>
                <w:color w:val="auto"/>
                <w:szCs w:val="21"/>
              </w:rPr>
              <w:t>5.含椅子一张</w:t>
            </w:r>
          </w:p>
        </w:tc>
        <w:tc>
          <w:tcPr>
            <w:tcW w:w="705" w:type="dxa"/>
            <w:vAlign w:val="center"/>
          </w:tcPr>
          <w:p w14:paraId="0AC89240">
            <w:pPr>
              <w:spacing w:line="420" w:lineRule="exact"/>
              <w:jc w:val="center"/>
              <w:rPr>
                <w:rFonts w:ascii="宋体" w:hAnsi="宋体" w:cs="宋体"/>
                <w:b/>
                <w:bCs/>
                <w:color w:val="auto"/>
                <w:szCs w:val="21"/>
              </w:rPr>
            </w:pPr>
            <w:r>
              <w:rPr>
                <w:rFonts w:hint="eastAsia" w:ascii="宋体" w:hAnsi="宋体"/>
                <w:color w:val="auto"/>
                <w:szCs w:val="21"/>
              </w:rPr>
              <w:t>6</w:t>
            </w:r>
          </w:p>
        </w:tc>
        <w:tc>
          <w:tcPr>
            <w:tcW w:w="750" w:type="dxa"/>
            <w:vAlign w:val="center"/>
          </w:tcPr>
          <w:p w14:paraId="6932248F">
            <w:pPr>
              <w:spacing w:line="420" w:lineRule="exact"/>
              <w:jc w:val="center"/>
              <w:rPr>
                <w:rFonts w:ascii="宋体" w:hAnsi="宋体" w:cs="宋体"/>
                <w:b/>
                <w:bCs/>
                <w:color w:val="auto"/>
                <w:szCs w:val="21"/>
              </w:rPr>
            </w:pPr>
            <w:r>
              <w:rPr>
                <w:rFonts w:hint="eastAsia" w:ascii="宋体" w:hAnsi="宋体"/>
                <w:color w:val="auto"/>
                <w:szCs w:val="21"/>
              </w:rPr>
              <w:t>套</w:t>
            </w:r>
          </w:p>
        </w:tc>
        <w:tc>
          <w:tcPr>
            <w:tcW w:w="780" w:type="dxa"/>
            <w:vAlign w:val="center"/>
          </w:tcPr>
          <w:p w14:paraId="06A98933">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59B0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75996C92">
            <w:pPr>
              <w:jc w:val="center"/>
              <w:rPr>
                <w:rFonts w:ascii="宋体" w:hAnsi="宋体"/>
                <w:color w:val="auto"/>
                <w:szCs w:val="21"/>
              </w:rPr>
            </w:pPr>
            <w:r>
              <w:rPr>
                <w:rFonts w:hint="eastAsia" w:ascii="宋体" w:hAnsi="宋体"/>
                <w:color w:val="auto"/>
                <w:szCs w:val="21"/>
              </w:rPr>
              <w:t>35</w:t>
            </w:r>
          </w:p>
        </w:tc>
        <w:tc>
          <w:tcPr>
            <w:tcW w:w="1142" w:type="dxa"/>
            <w:vAlign w:val="center"/>
          </w:tcPr>
          <w:p w14:paraId="250575A4">
            <w:pPr>
              <w:spacing w:line="420" w:lineRule="exact"/>
              <w:jc w:val="center"/>
              <w:rPr>
                <w:rFonts w:ascii="宋体" w:hAnsi="宋体"/>
                <w:color w:val="auto"/>
                <w:szCs w:val="21"/>
              </w:rPr>
            </w:pPr>
            <w:r>
              <w:rPr>
                <w:rFonts w:hint="eastAsia" w:ascii="宋体" w:hAnsi="宋体"/>
                <w:color w:val="auto"/>
                <w:szCs w:val="21"/>
              </w:rPr>
              <w:t>空调</w:t>
            </w:r>
          </w:p>
        </w:tc>
        <w:tc>
          <w:tcPr>
            <w:tcW w:w="5220" w:type="dxa"/>
            <w:vAlign w:val="center"/>
          </w:tcPr>
          <w:p w14:paraId="5BD8EAA7">
            <w:pPr>
              <w:spacing w:line="420" w:lineRule="exact"/>
              <w:rPr>
                <w:rFonts w:ascii="宋体" w:hAnsi="宋体"/>
                <w:color w:val="auto"/>
                <w:szCs w:val="21"/>
              </w:rPr>
            </w:pPr>
            <w:r>
              <w:rPr>
                <w:rFonts w:hint="eastAsia" w:ascii="宋体" w:hAnsi="宋体"/>
                <w:color w:val="auto"/>
                <w:szCs w:val="21"/>
              </w:rPr>
              <w:t>1.匹数：≥3P ；</w:t>
            </w:r>
          </w:p>
          <w:p w14:paraId="1AB2826D">
            <w:pPr>
              <w:spacing w:line="420" w:lineRule="exact"/>
              <w:rPr>
                <w:rFonts w:ascii="宋体" w:hAnsi="宋体"/>
                <w:color w:val="auto"/>
                <w:szCs w:val="21"/>
              </w:rPr>
            </w:pPr>
            <w:r>
              <w:rPr>
                <w:rFonts w:hint="eastAsia" w:ascii="宋体" w:hAnsi="宋体"/>
                <w:color w:val="auto"/>
                <w:szCs w:val="21"/>
              </w:rPr>
              <w:t>2.能效等级：二级 ；</w:t>
            </w:r>
          </w:p>
          <w:p w14:paraId="78D8E84A">
            <w:pPr>
              <w:spacing w:line="420" w:lineRule="exact"/>
              <w:rPr>
                <w:rFonts w:ascii="宋体" w:hAnsi="宋体"/>
                <w:color w:val="auto"/>
                <w:szCs w:val="21"/>
              </w:rPr>
            </w:pPr>
            <w:r>
              <w:rPr>
                <w:rFonts w:hint="eastAsia" w:ascii="宋体" w:hAnsi="宋体"/>
                <w:color w:val="auto"/>
                <w:szCs w:val="21"/>
              </w:rPr>
              <w:t xml:space="preserve">3.制冷量(W)：≥7290 ； </w:t>
            </w:r>
          </w:p>
          <w:p w14:paraId="388CF68E">
            <w:pPr>
              <w:spacing w:line="420" w:lineRule="exact"/>
              <w:rPr>
                <w:rFonts w:ascii="宋体" w:hAnsi="宋体"/>
                <w:color w:val="auto"/>
                <w:szCs w:val="21"/>
              </w:rPr>
            </w:pPr>
            <w:r>
              <w:rPr>
                <w:rFonts w:hint="eastAsia" w:ascii="宋体" w:hAnsi="宋体"/>
                <w:color w:val="auto"/>
                <w:szCs w:val="21"/>
              </w:rPr>
              <w:t xml:space="preserve">4.制冷功率(W)：≥2040 ； </w:t>
            </w:r>
          </w:p>
          <w:p w14:paraId="3D42E529">
            <w:pPr>
              <w:spacing w:line="420" w:lineRule="exact"/>
              <w:rPr>
                <w:rFonts w:ascii="宋体" w:hAnsi="宋体"/>
                <w:color w:val="auto"/>
                <w:szCs w:val="21"/>
              </w:rPr>
            </w:pPr>
            <w:r>
              <w:rPr>
                <w:rFonts w:hint="eastAsia" w:ascii="宋体" w:hAnsi="宋体"/>
                <w:color w:val="auto"/>
                <w:szCs w:val="21"/>
              </w:rPr>
              <w:t xml:space="preserve">5.制冷电流(A)：9.4 ； </w:t>
            </w:r>
          </w:p>
          <w:p w14:paraId="3B52D778">
            <w:pPr>
              <w:spacing w:line="420" w:lineRule="exact"/>
              <w:rPr>
                <w:rFonts w:ascii="宋体" w:hAnsi="宋体"/>
                <w:color w:val="auto"/>
                <w:szCs w:val="21"/>
              </w:rPr>
            </w:pPr>
            <w:r>
              <w:rPr>
                <w:rFonts w:hint="eastAsia" w:ascii="宋体" w:hAnsi="宋体"/>
                <w:color w:val="auto"/>
                <w:szCs w:val="21"/>
              </w:rPr>
              <w:t>6.制热量(W)：≥9800 ；</w:t>
            </w:r>
          </w:p>
          <w:p w14:paraId="0B3A2880">
            <w:pPr>
              <w:spacing w:line="420" w:lineRule="exact"/>
              <w:rPr>
                <w:rFonts w:ascii="宋体" w:hAnsi="宋体"/>
                <w:color w:val="auto"/>
                <w:szCs w:val="21"/>
              </w:rPr>
            </w:pPr>
            <w:r>
              <w:rPr>
                <w:rFonts w:hint="eastAsia" w:ascii="宋体" w:hAnsi="宋体"/>
                <w:color w:val="auto"/>
                <w:szCs w:val="21"/>
              </w:rPr>
              <w:t xml:space="preserve">7.制热功率(W)：≥2860 ； </w:t>
            </w:r>
          </w:p>
          <w:p w14:paraId="122804E8">
            <w:pPr>
              <w:spacing w:line="420" w:lineRule="exact"/>
              <w:rPr>
                <w:rFonts w:ascii="宋体" w:hAnsi="宋体"/>
                <w:color w:val="auto"/>
                <w:szCs w:val="21"/>
              </w:rPr>
            </w:pPr>
            <w:r>
              <w:rPr>
                <w:rFonts w:hint="eastAsia" w:ascii="宋体" w:hAnsi="宋体"/>
                <w:color w:val="auto"/>
                <w:szCs w:val="21"/>
              </w:rPr>
              <w:t xml:space="preserve">8.制热电流(A)：13.2 ； </w:t>
            </w:r>
          </w:p>
          <w:p w14:paraId="2EAD8118">
            <w:pPr>
              <w:spacing w:line="420" w:lineRule="exact"/>
              <w:rPr>
                <w:rFonts w:ascii="宋体" w:hAnsi="宋体"/>
                <w:color w:val="auto"/>
                <w:szCs w:val="21"/>
              </w:rPr>
            </w:pPr>
            <w:r>
              <w:rPr>
                <w:rFonts w:hint="eastAsia" w:ascii="宋体" w:hAnsi="宋体"/>
                <w:color w:val="auto"/>
                <w:szCs w:val="21"/>
              </w:rPr>
              <w:t xml:space="preserve">9.循环风量（m³/h): ≥1300 ； </w:t>
            </w:r>
          </w:p>
          <w:p w14:paraId="360C5ED6">
            <w:pPr>
              <w:spacing w:line="420" w:lineRule="exact"/>
              <w:rPr>
                <w:rFonts w:ascii="宋体" w:hAnsi="宋体"/>
                <w:color w:val="auto"/>
                <w:szCs w:val="21"/>
              </w:rPr>
            </w:pPr>
            <w:r>
              <w:rPr>
                <w:rFonts w:hint="eastAsia" w:ascii="宋体" w:hAnsi="宋体"/>
                <w:color w:val="auto"/>
                <w:szCs w:val="21"/>
              </w:rPr>
              <w:t>10.标配铜管4米。</w:t>
            </w:r>
          </w:p>
          <w:p w14:paraId="394395D7">
            <w:pPr>
              <w:spacing w:line="420" w:lineRule="exact"/>
              <w:rPr>
                <w:rFonts w:ascii="宋体" w:hAnsi="宋体"/>
                <w:color w:val="auto"/>
                <w:szCs w:val="21"/>
              </w:rPr>
            </w:pPr>
            <w:r>
              <w:rPr>
                <w:rFonts w:hint="eastAsia" w:ascii="宋体" w:hAnsi="宋体"/>
                <w:b w:val="0"/>
                <w:bCs w:val="0"/>
                <w:color w:val="auto"/>
                <w:szCs w:val="21"/>
              </w:rPr>
              <w:t>▲</w:t>
            </w:r>
            <w:r>
              <w:rPr>
                <w:rFonts w:hint="eastAsia" w:ascii="宋体" w:hAnsi="宋体" w:cs="宋体"/>
                <w:b w:val="0"/>
                <w:bCs w:val="0"/>
                <w:color w:val="auto"/>
                <w:szCs w:val="21"/>
              </w:rPr>
              <w:t>11.提供产品节能认证证书，加盖竞标人公章。</w:t>
            </w:r>
          </w:p>
        </w:tc>
        <w:tc>
          <w:tcPr>
            <w:tcW w:w="705" w:type="dxa"/>
            <w:vAlign w:val="center"/>
          </w:tcPr>
          <w:p w14:paraId="0457D7C9">
            <w:pPr>
              <w:spacing w:line="420" w:lineRule="exact"/>
              <w:jc w:val="center"/>
              <w:rPr>
                <w:rFonts w:ascii="宋体" w:hAnsi="宋体" w:cs="宋体"/>
                <w:b/>
                <w:bCs/>
                <w:color w:val="auto"/>
                <w:szCs w:val="21"/>
              </w:rPr>
            </w:pPr>
            <w:r>
              <w:rPr>
                <w:rFonts w:hint="eastAsia" w:ascii="宋体" w:hAnsi="宋体"/>
                <w:color w:val="auto"/>
                <w:szCs w:val="21"/>
              </w:rPr>
              <w:t>5</w:t>
            </w:r>
          </w:p>
        </w:tc>
        <w:tc>
          <w:tcPr>
            <w:tcW w:w="750" w:type="dxa"/>
            <w:vAlign w:val="center"/>
          </w:tcPr>
          <w:p w14:paraId="112893F1">
            <w:pPr>
              <w:spacing w:line="420" w:lineRule="exact"/>
              <w:jc w:val="center"/>
              <w:rPr>
                <w:rFonts w:ascii="宋体" w:hAnsi="宋体" w:cs="宋体"/>
                <w:b/>
                <w:bCs/>
                <w:color w:val="auto"/>
                <w:szCs w:val="21"/>
              </w:rPr>
            </w:pPr>
            <w:r>
              <w:rPr>
                <w:rFonts w:hint="eastAsia" w:ascii="宋体" w:hAnsi="宋体"/>
                <w:color w:val="auto"/>
                <w:szCs w:val="21"/>
              </w:rPr>
              <w:t>台</w:t>
            </w:r>
          </w:p>
        </w:tc>
        <w:tc>
          <w:tcPr>
            <w:tcW w:w="780" w:type="dxa"/>
            <w:vAlign w:val="center"/>
          </w:tcPr>
          <w:p w14:paraId="6D90B6D9">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45AD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42463411">
            <w:pPr>
              <w:jc w:val="center"/>
              <w:rPr>
                <w:rFonts w:ascii="宋体" w:hAnsi="宋体"/>
                <w:color w:val="auto"/>
                <w:szCs w:val="21"/>
              </w:rPr>
            </w:pPr>
            <w:r>
              <w:rPr>
                <w:rFonts w:hint="eastAsia" w:ascii="宋体" w:hAnsi="宋体"/>
                <w:color w:val="auto"/>
                <w:szCs w:val="21"/>
              </w:rPr>
              <w:t>36</w:t>
            </w:r>
          </w:p>
        </w:tc>
        <w:tc>
          <w:tcPr>
            <w:tcW w:w="1142" w:type="dxa"/>
            <w:vAlign w:val="center"/>
          </w:tcPr>
          <w:p w14:paraId="5246EF38">
            <w:pPr>
              <w:spacing w:line="420" w:lineRule="exact"/>
              <w:jc w:val="center"/>
              <w:rPr>
                <w:rFonts w:ascii="宋体" w:hAnsi="宋体"/>
                <w:color w:val="auto"/>
                <w:szCs w:val="21"/>
              </w:rPr>
            </w:pPr>
            <w:r>
              <w:rPr>
                <w:rFonts w:hint="eastAsia" w:ascii="宋体" w:hAnsi="宋体"/>
                <w:color w:val="auto"/>
                <w:szCs w:val="21"/>
              </w:rPr>
              <w:t>高清液晶拼接屏</w:t>
            </w:r>
          </w:p>
        </w:tc>
        <w:tc>
          <w:tcPr>
            <w:tcW w:w="5220" w:type="dxa"/>
            <w:vAlign w:val="center"/>
          </w:tcPr>
          <w:p w14:paraId="45EBEBCA">
            <w:pPr>
              <w:spacing w:line="420" w:lineRule="exact"/>
              <w:rPr>
                <w:rFonts w:ascii="宋体" w:hAnsi="宋体"/>
                <w:color w:val="auto"/>
                <w:szCs w:val="21"/>
              </w:rPr>
            </w:pPr>
            <w:r>
              <w:rPr>
                <w:rFonts w:hint="eastAsia" w:ascii="宋体" w:hAnsi="宋体"/>
                <w:color w:val="auto"/>
                <w:szCs w:val="21"/>
              </w:rPr>
              <w:t>▲1.配置WLED尺寸≥55英寸，分辨率≥1920×1080，刷新率≥100Hz(HDMI)，VGA接口≥1个，HDMI接口≥1个；</w:t>
            </w:r>
          </w:p>
          <w:p w14:paraId="422A14A0">
            <w:pPr>
              <w:spacing w:line="420" w:lineRule="exact"/>
              <w:rPr>
                <w:rFonts w:ascii="宋体" w:hAnsi="宋体"/>
                <w:color w:val="auto"/>
                <w:szCs w:val="21"/>
              </w:rPr>
            </w:pPr>
            <w:r>
              <w:rPr>
                <w:rFonts w:hint="eastAsia" w:ascii="宋体" w:hAnsi="宋体"/>
                <w:color w:val="auto"/>
                <w:szCs w:val="21"/>
              </w:rPr>
              <w:t>2.硬件形态：IPS屏 ；</w:t>
            </w:r>
          </w:p>
          <w:p w14:paraId="62D0BDF1">
            <w:pPr>
              <w:spacing w:line="420" w:lineRule="exact"/>
              <w:rPr>
                <w:rFonts w:ascii="宋体" w:hAnsi="宋体"/>
                <w:color w:val="auto"/>
                <w:szCs w:val="21"/>
              </w:rPr>
            </w:pPr>
            <w:r>
              <w:rPr>
                <w:rFonts w:hint="eastAsia" w:ascii="宋体" w:hAnsi="宋体"/>
                <w:color w:val="auto"/>
                <w:szCs w:val="21"/>
              </w:rPr>
              <w:t>3.窄边框设计：拼缝≤3.5mm；</w:t>
            </w:r>
          </w:p>
          <w:p w14:paraId="004C22A6">
            <w:pPr>
              <w:spacing w:line="420" w:lineRule="exact"/>
              <w:rPr>
                <w:rFonts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使用寿命：≥60000小时；</w:t>
            </w:r>
          </w:p>
          <w:p w14:paraId="045892BC">
            <w:pPr>
              <w:spacing w:line="420" w:lineRule="exact"/>
              <w:rPr>
                <w:rFonts w:ascii="宋体"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屏幕比例：16:9；</w:t>
            </w:r>
          </w:p>
          <w:p w14:paraId="1BD5F3AC">
            <w:pPr>
              <w:spacing w:line="420" w:lineRule="exact"/>
              <w:rPr>
                <w:rFonts w:ascii="宋体" w:hAnsi="宋体"/>
                <w:color w:val="auto"/>
                <w:szCs w:val="21"/>
              </w:rPr>
            </w:pPr>
            <w:r>
              <w:rPr>
                <w:rFonts w:hint="eastAsia" w:ascii="宋体" w:hAnsi="宋体"/>
                <w:color w:val="auto"/>
                <w:szCs w:val="21"/>
              </w:rPr>
              <w:t>6.亮度: ≥500cd/㎡ ；</w:t>
            </w:r>
          </w:p>
          <w:p w14:paraId="7CA8F3BE">
            <w:pPr>
              <w:spacing w:line="420" w:lineRule="exact"/>
              <w:rPr>
                <w:rFonts w:ascii="宋体" w:hAnsi="宋体"/>
                <w:color w:val="auto"/>
                <w:szCs w:val="21"/>
              </w:rPr>
            </w:pPr>
            <w:r>
              <w:rPr>
                <w:rFonts w:hint="eastAsia" w:ascii="宋体" w:hAnsi="宋体"/>
                <w:color w:val="auto"/>
                <w:szCs w:val="21"/>
              </w:rPr>
              <w:t>7</w:t>
            </w:r>
            <w:r>
              <w:rPr>
                <w:rFonts w:ascii="宋体" w:hAnsi="宋体"/>
                <w:color w:val="auto"/>
                <w:szCs w:val="21"/>
              </w:rPr>
              <w:t>.</w:t>
            </w:r>
            <w:r>
              <w:rPr>
                <w:rFonts w:hint="eastAsia" w:ascii="宋体" w:hAnsi="宋体"/>
                <w:color w:val="auto"/>
                <w:szCs w:val="21"/>
              </w:rPr>
              <w:t>对比度: ≥4000:1；</w:t>
            </w:r>
          </w:p>
          <w:p w14:paraId="5B76340F">
            <w:pPr>
              <w:spacing w:line="420" w:lineRule="exact"/>
              <w:rPr>
                <w:rFonts w:ascii="宋体" w:hAnsi="宋体"/>
                <w:color w:val="auto"/>
                <w:szCs w:val="21"/>
              </w:rPr>
            </w:pPr>
            <w:r>
              <w:rPr>
                <w:rFonts w:hint="eastAsia" w:ascii="宋体" w:hAnsi="宋体"/>
                <w:color w:val="auto"/>
                <w:szCs w:val="21"/>
              </w:rPr>
              <w:t>8</w:t>
            </w:r>
            <w:r>
              <w:rPr>
                <w:rFonts w:ascii="宋体" w:hAnsi="宋体"/>
                <w:color w:val="auto"/>
                <w:szCs w:val="21"/>
              </w:rPr>
              <w:t>.</w:t>
            </w:r>
            <w:r>
              <w:rPr>
                <w:rFonts w:hint="eastAsia" w:ascii="宋体" w:hAnsi="宋体"/>
                <w:color w:val="auto"/>
                <w:szCs w:val="21"/>
              </w:rPr>
              <w:t>可视角度: ≥178°/178°(水平/垂直）；</w:t>
            </w:r>
          </w:p>
          <w:p w14:paraId="237F3AAE">
            <w:pPr>
              <w:spacing w:line="420" w:lineRule="exact"/>
              <w:rPr>
                <w:rFonts w:ascii="宋体" w:hAnsi="宋体"/>
                <w:color w:val="auto"/>
                <w:szCs w:val="21"/>
              </w:rPr>
            </w:pPr>
            <w:r>
              <w:rPr>
                <w:rFonts w:hint="eastAsia" w:ascii="宋体" w:hAnsi="宋体"/>
                <w:color w:val="auto"/>
                <w:szCs w:val="21"/>
              </w:rPr>
              <w:t>9</w:t>
            </w:r>
            <w:r>
              <w:rPr>
                <w:rFonts w:ascii="宋体" w:hAnsi="宋体"/>
                <w:color w:val="auto"/>
                <w:szCs w:val="21"/>
              </w:rPr>
              <w:t>.</w:t>
            </w:r>
            <w:r>
              <w:rPr>
                <w:rFonts w:hint="eastAsia" w:ascii="宋体" w:hAnsi="宋体"/>
                <w:color w:val="auto"/>
                <w:szCs w:val="21"/>
              </w:rPr>
              <w:t>响应时间：≥8ms；</w:t>
            </w:r>
          </w:p>
          <w:p w14:paraId="333B6145">
            <w:pPr>
              <w:spacing w:line="420" w:lineRule="exact"/>
              <w:rPr>
                <w:rFonts w:ascii="宋体" w:hAnsi="宋体"/>
                <w:color w:val="auto"/>
                <w:szCs w:val="21"/>
              </w:rPr>
            </w:pPr>
            <w:r>
              <w:rPr>
                <w:rFonts w:hint="eastAsia" w:ascii="宋体" w:hAnsi="宋体"/>
                <w:color w:val="auto"/>
                <w:szCs w:val="21"/>
              </w:rPr>
              <w:t>1</w:t>
            </w:r>
            <w:r>
              <w:rPr>
                <w:rFonts w:ascii="宋体" w:hAnsi="宋体"/>
                <w:color w:val="auto"/>
                <w:szCs w:val="21"/>
              </w:rPr>
              <w:t>0.</w:t>
            </w:r>
            <w:r>
              <w:rPr>
                <w:rFonts w:hint="eastAsia" w:ascii="宋体" w:hAnsi="宋体"/>
                <w:color w:val="auto"/>
                <w:szCs w:val="21"/>
              </w:rPr>
              <w:t>显示色彩：≥16.7M；</w:t>
            </w:r>
          </w:p>
          <w:p w14:paraId="29066AC7">
            <w:pPr>
              <w:spacing w:line="420" w:lineRule="exact"/>
              <w:rPr>
                <w:rFonts w:ascii="宋体" w:hAnsi="宋体"/>
                <w:color w:val="auto"/>
                <w:szCs w:val="21"/>
              </w:rPr>
            </w:pPr>
            <w:r>
              <w:rPr>
                <w:rFonts w:hint="eastAsia" w:ascii="宋体" w:hAnsi="宋体"/>
                <w:color w:val="auto"/>
                <w:szCs w:val="21"/>
              </w:rPr>
              <w:t>1</w:t>
            </w:r>
            <w:r>
              <w:rPr>
                <w:rFonts w:ascii="宋体" w:hAnsi="宋体"/>
                <w:color w:val="auto"/>
                <w:szCs w:val="21"/>
              </w:rPr>
              <w:t>1.</w:t>
            </w:r>
            <w:r>
              <w:rPr>
                <w:rFonts w:hint="eastAsia" w:ascii="宋体" w:hAnsi="宋体"/>
                <w:color w:val="auto"/>
                <w:szCs w:val="21"/>
              </w:rPr>
              <w:t>信号输入：HDMI,DVI；</w:t>
            </w:r>
          </w:p>
          <w:p w14:paraId="234E3446">
            <w:pPr>
              <w:spacing w:line="420" w:lineRule="exact"/>
              <w:rPr>
                <w:rFonts w:ascii="宋体" w:hAnsi="宋体"/>
                <w:color w:val="auto"/>
                <w:szCs w:val="21"/>
              </w:rPr>
            </w:pPr>
            <w:r>
              <w:rPr>
                <w:rFonts w:hint="eastAsia" w:ascii="宋体" w:hAnsi="宋体"/>
                <w:color w:val="auto"/>
                <w:szCs w:val="21"/>
              </w:rPr>
              <w:t>1</w:t>
            </w:r>
            <w:r>
              <w:rPr>
                <w:rFonts w:ascii="宋体" w:hAnsi="宋体"/>
                <w:color w:val="auto"/>
                <w:szCs w:val="21"/>
              </w:rPr>
              <w:t>2.</w:t>
            </w:r>
            <w:r>
              <w:rPr>
                <w:rFonts w:hint="eastAsia" w:ascii="宋体" w:hAnsi="宋体"/>
                <w:color w:val="auto"/>
                <w:szCs w:val="21"/>
              </w:rPr>
              <w:t>信号输出：CVBS；</w:t>
            </w:r>
          </w:p>
          <w:p w14:paraId="0A27A1C3">
            <w:pPr>
              <w:spacing w:line="420" w:lineRule="exact"/>
              <w:rPr>
                <w:rFonts w:ascii="宋体" w:hAnsi="宋体"/>
                <w:color w:val="auto"/>
                <w:szCs w:val="21"/>
              </w:rPr>
            </w:pPr>
            <w:r>
              <w:rPr>
                <w:rFonts w:hint="eastAsia" w:ascii="宋体" w:hAnsi="宋体"/>
                <w:color w:val="auto"/>
                <w:szCs w:val="21"/>
              </w:rPr>
              <w:t>1</w:t>
            </w:r>
            <w:r>
              <w:rPr>
                <w:rFonts w:ascii="宋体" w:hAnsi="宋体"/>
                <w:color w:val="auto"/>
                <w:szCs w:val="21"/>
              </w:rPr>
              <w:t>3.</w:t>
            </w:r>
            <w:r>
              <w:rPr>
                <w:rFonts w:hint="eastAsia" w:ascii="宋体" w:hAnsi="宋体"/>
                <w:color w:val="auto"/>
                <w:szCs w:val="21"/>
              </w:rPr>
              <w:t>控制输入/输出：RS-232 （RJ45）。</w:t>
            </w:r>
          </w:p>
        </w:tc>
        <w:tc>
          <w:tcPr>
            <w:tcW w:w="705" w:type="dxa"/>
            <w:vAlign w:val="center"/>
          </w:tcPr>
          <w:p w14:paraId="42F1D98F">
            <w:pPr>
              <w:spacing w:line="420" w:lineRule="exact"/>
              <w:jc w:val="center"/>
              <w:rPr>
                <w:rFonts w:ascii="宋体" w:hAnsi="宋体" w:cs="宋体"/>
                <w:b/>
                <w:bCs/>
                <w:color w:val="auto"/>
                <w:szCs w:val="21"/>
              </w:rPr>
            </w:pPr>
            <w:r>
              <w:rPr>
                <w:rFonts w:hint="eastAsia" w:ascii="宋体" w:hAnsi="宋体"/>
                <w:color w:val="auto"/>
                <w:szCs w:val="21"/>
              </w:rPr>
              <w:t>9</w:t>
            </w:r>
          </w:p>
        </w:tc>
        <w:tc>
          <w:tcPr>
            <w:tcW w:w="750" w:type="dxa"/>
            <w:vAlign w:val="center"/>
          </w:tcPr>
          <w:p w14:paraId="12AE42FB">
            <w:pPr>
              <w:spacing w:line="420" w:lineRule="exact"/>
              <w:jc w:val="center"/>
              <w:rPr>
                <w:rFonts w:ascii="宋体" w:hAnsi="宋体" w:cs="宋体"/>
                <w:b/>
                <w:bCs/>
                <w:color w:val="auto"/>
                <w:szCs w:val="21"/>
              </w:rPr>
            </w:pPr>
            <w:r>
              <w:rPr>
                <w:rFonts w:hint="eastAsia" w:ascii="宋体" w:hAnsi="宋体"/>
                <w:color w:val="auto"/>
                <w:szCs w:val="21"/>
              </w:rPr>
              <w:t>套</w:t>
            </w:r>
          </w:p>
        </w:tc>
        <w:tc>
          <w:tcPr>
            <w:tcW w:w="780" w:type="dxa"/>
            <w:vAlign w:val="center"/>
          </w:tcPr>
          <w:p w14:paraId="40A641CF">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050C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3369CCD6">
            <w:pPr>
              <w:jc w:val="center"/>
              <w:rPr>
                <w:rFonts w:ascii="宋体" w:hAnsi="宋体"/>
                <w:color w:val="auto"/>
                <w:szCs w:val="21"/>
              </w:rPr>
            </w:pPr>
            <w:r>
              <w:rPr>
                <w:rFonts w:hint="eastAsia" w:ascii="宋体" w:hAnsi="宋体"/>
                <w:color w:val="auto"/>
                <w:szCs w:val="21"/>
              </w:rPr>
              <w:t>37</w:t>
            </w:r>
          </w:p>
        </w:tc>
        <w:tc>
          <w:tcPr>
            <w:tcW w:w="1142" w:type="dxa"/>
            <w:vAlign w:val="center"/>
          </w:tcPr>
          <w:p w14:paraId="73FEFFED">
            <w:pPr>
              <w:spacing w:line="420" w:lineRule="exact"/>
              <w:jc w:val="center"/>
              <w:rPr>
                <w:rFonts w:ascii="宋体" w:hAnsi="宋体"/>
                <w:color w:val="auto"/>
                <w:szCs w:val="21"/>
              </w:rPr>
            </w:pPr>
            <w:r>
              <w:rPr>
                <w:rFonts w:hint="eastAsia" w:ascii="宋体" w:hAnsi="宋体"/>
                <w:color w:val="auto"/>
                <w:szCs w:val="21"/>
              </w:rPr>
              <w:t>圆形桌（16人位）</w:t>
            </w:r>
          </w:p>
        </w:tc>
        <w:tc>
          <w:tcPr>
            <w:tcW w:w="5220" w:type="dxa"/>
            <w:vAlign w:val="center"/>
          </w:tcPr>
          <w:p w14:paraId="0E1C439F">
            <w:pPr>
              <w:spacing w:line="420" w:lineRule="exact"/>
              <w:rPr>
                <w:rFonts w:ascii="宋体" w:hAnsi="宋体"/>
                <w:color w:val="auto"/>
                <w:szCs w:val="21"/>
              </w:rPr>
            </w:pPr>
            <w:r>
              <w:rPr>
                <w:rFonts w:hint="eastAsia" w:ascii="宋体" w:hAnsi="宋体"/>
                <w:color w:val="auto"/>
                <w:szCs w:val="21"/>
              </w:rPr>
              <w:t>1.16人位圆形桌，直径≥4米；</w:t>
            </w:r>
          </w:p>
          <w:p w14:paraId="75AD25DC">
            <w:pPr>
              <w:spacing w:line="420" w:lineRule="exact"/>
              <w:rPr>
                <w:rFonts w:ascii="宋体" w:hAnsi="宋体"/>
                <w:color w:val="auto"/>
                <w:szCs w:val="21"/>
              </w:rPr>
            </w:pPr>
            <w:r>
              <w:rPr>
                <w:rFonts w:hint="eastAsia" w:ascii="宋体" w:hAnsi="宋体"/>
                <w:color w:val="auto"/>
                <w:szCs w:val="21"/>
              </w:rPr>
              <w:t>2.基材：采用中密度纤维板，其原材料树种一级，防虫、防腐；</w:t>
            </w:r>
          </w:p>
          <w:p w14:paraId="0E889DB6">
            <w:pPr>
              <w:spacing w:line="420" w:lineRule="exact"/>
              <w:rPr>
                <w:rFonts w:ascii="宋体" w:hAnsi="宋体"/>
                <w:color w:val="auto"/>
                <w:szCs w:val="21"/>
              </w:rPr>
            </w:pPr>
            <w:r>
              <w:rPr>
                <w:rFonts w:hint="eastAsia" w:ascii="宋体" w:hAnsi="宋体"/>
                <w:color w:val="auto"/>
                <w:szCs w:val="21"/>
              </w:rPr>
              <w:t>3.表面：采用胡桃色木皮贴面，表面平整，线条均匀整齐，转角过度顺畅，整套产品或同批产品木材纹理，颜色一致；</w:t>
            </w:r>
          </w:p>
          <w:p w14:paraId="2B784A64">
            <w:pPr>
              <w:spacing w:line="420" w:lineRule="exact"/>
              <w:rPr>
                <w:rFonts w:ascii="宋体" w:hAnsi="宋体"/>
                <w:color w:val="auto"/>
                <w:szCs w:val="21"/>
              </w:rPr>
            </w:pPr>
            <w:r>
              <w:rPr>
                <w:rFonts w:hint="eastAsia" w:ascii="宋体" w:hAnsi="宋体"/>
                <w:color w:val="auto"/>
                <w:szCs w:val="21"/>
              </w:rPr>
              <w:t>4.油漆：涂膜硬度≥3H，漆膜表面无尘粒气泡，渣点，边缘及立面无流挂现象；</w:t>
            </w:r>
          </w:p>
          <w:p w14:paraId="6B827BF0">
            <w:pPr>
              <w:spacing w:line="420" w:lineRule="exact"/>
              <w:rPr>
                <w:rFonts w:ascii="宋体" w:hAnsi="宋体"/>
                <w:color w:val="auto"/>
                <w:szCs w:val="21"/>
              </w:rPr>
            </w:pPr>
            <w:r>
              <w:rPr>
                <w:rFonts w:hint="eastAsia" w:ascii="宋体" w:hAnsi="宋体"/>
                <w:color w:val="auto"/>
                <w:szCs w:val="21"/>
              </w:rPr>
              <w:t>5.五金配件：采用优质五金配件。</w:t>
            </w:r>
          </w:p>
        </w:tc>
        <w:tc>
          <w:tcPr>
            <w:tcW w:w="705" w:type="dxa"/>
            <w:vAlign w:val="center"/>
          </w:tcPr>
          <w:p w14:paraId="79CEC327">
            <w:pPr>
              <w:spacing w:line="420" w:lineRule="exact"/>
              <w:jc w:val="center"/>
              <w:rPr>
                <w:rFonts w:ascii="宋体" w:hAnsi="宋体" w:cs="宋体"/>
                <w:b/>
                <w:bCs/>
                <w:color w:val="auto"/>
                <w:szCs w:val="21"/>
              </w:rPr>
            </w:pPr>
            <w:r>
              <w:rPr>
                <w:rFonts w:hint="eastAsia" w:ascii="宋体" w:hAnsi="宋体"/>
                <w:color w:val="auto"/>
                <w:szCs w:val="21"/>
              </w:rPr>
              <w:t>1</w:t>
            </w:r>
          </w:p>
        </w:tc>
        <w:tc>
          <w:tcPr>
            <w:tcW w:w="750" w:type="dxa"/>
            <w:vAlign w:val="center"/>
          </w:tcPr>
          <w:p w14:paraId="7F8B0B96">
            <w:pPr>
              <w:spacing w:line="420" w:lineRule="exact"/>
              <w:jc w:val="center"/>
              <w:rPr>
                <w:rFonts w:ascii="宋体" w:hAnsi="宋体" w:cs="宋体"/>
                <w:b/>
                <w:bCs/>
                <w:color w:val="auto"/>
                <w:szCs w:val="21"/>
              </w:rPr>
            </w:pPr>
            <w:r>
              <w:rPr>
                <w:rFonts w:hint="eastAsia" w:ascii="宋体" w:hAnsi="宋体"/>
                <w:color w:val="auto"/>
                <w:szCs w:val="21"/>
              </w:rPr>
              <w:t>套</w:t>
            </w:r>
          </w:p>
        </w:tc>
        <w:tc>
          <w:tcPr>
            <w:tcW w:w="780" w:type="dxa"/>
            <w:vAlign w:val="center"/>
          </w:tcPr>
          <w:p w14:paraId="7E1E9B8C">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1692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58DDDEF4">
            <w:pPr>
              <w:jc w:val="center"/>
              <w:rPr>
                <w:rFonts w:ascii="宋体" w:hAnsi="宋体"/>
                <w:color w:val="auto"/>
                <w:szCs w:val="21"/>
              </w:rPr>
            </w:pPr>
            <w:r>
              <w:rPr>
                <w:rFonts w:hint="eastAsia" w:ascii="宋体" w:hAnsi="宋体"/>
                <w:color w:val="auto"/>
                <w:szCs w:val="21"/>
              </w:rPr>
              <w:t>38</w:t>
            </w:r>
          </w:p>
        </w:tc>
        <w:tc>
          <w:tcPr>
            <w:tcW w:w="1142" w:type="dxa"/>
            <w:vAlign w:val="center"/>
          </w:tcPr>
          <w:p w14:paraId="7BC0EE5B">
            <w:pPr>
              <w:spacing w:line="420" w:lineRule="exact"/>
              <w:jc w:val="center"/>
              <w:rPr>
                <w:rFonts w:ascii="宋体" w:hAnsi="宋体"/>
                <w:color w:val="auto"/>
                <w:szCs w:val="21"/>
              </w:rPr>
            </w:pPr>
            <w:r>
              <w:rPr>
                <w:rFonts w:hint="eastAsia" w:ascii="宋体" w:hAnsi="宋体"/>
                <w:color w:val="auto"/>
                <w:szCs w:val="21"/>
              </w:rPr>
              <w:t>弧形桌（9人位）</w:t>
            </w:r>
          </w:p>
        </w:tc>
        <w:tc>
          <w:tcPr>
            <w:tcW w:w="5220" w:type="dxa"/>
            <w:vAlign w:val="center"/>
          </w:tcPr>
          <w:p w14:paraId="1408C6DF">
            <w:pPr>
              <w:spacing w:line="420" w:lineRule="exact"/>
              <w:rPr>
                <w:rFonts w:ascii="宋体" w:hAnsi="宋体"/>
                <w:color w:val="auto"/>
                <w:szCs w:val="21"/>
              </w:rPr>
            </w:pPr>
            <w:r>
              <w:rPr>
                <w:rFonts w:hint="eastAsia" w:ascii="宋体" w:hAnsi="宋体"/>
                <w:color w:val="auto"/>
                <w:szCs w:val="21"/>
              </w:rPr>
              <w:t>1.9人位弧形桌，长度≥6.5；</w:t>
            </w:r>
          </w:p>
          <w:p w14:paraId="229988BE">
            <w:pPr>
              <w:spacing w:line="420" w:lineRule="exact"/>
              <w:rPr>
                <w:rFonts w:ascii="宋体" w:hAnsi="宋体"/>
                <w:color w:val="auto"/>
                <w:szCs w:val="21"/>
              </w:rPr>
            </w:pPr>
            <w:r>
              <w:rPr>
                <w:rFonts w:hint="eastAsia" w:ascii="宋体" w:hAnsi="宋体"/>
                <w:color w:val="auto"/>
                <w:szCs w:val="21"/>
              </w:rPr>
              <w:t>2.基材：采用中密度纤维板，其原材料树种一级，防虫、防腐；</w:t>
            </w:r>
          </w:p>
          <w:p w14:paraId="7E571EFC">
            <w:pPr>
              <w:spacing w:line="420" w:lineRule="exact"/>
              <w:rPr>
                <w:rFonts w:ascii="宋体" w:hAnsi="宋体"/>
                <w:color w:val="auto"/>
                <w:szCs w:val="21"/>
              </w:rPr>
            </w:pPr>
            <w:r>
              <w:rPr>
                <w:rFonts w:hint="eastAsia" w:ascii="宋体" w:hAnsi="宋体"/>
                <w:color w:val="auto"/>
                <w:szCs w:val="21"/>
              </w:rPr>
              <w:t>3.表面：采用胡桃色木皮贴面，表面平整，线条均匀整齐，转角过度顺畅，整套产品或同批产品木材纹理，颜色一致；</w:t>
            </w:r>
          </w:p>
          <w:p w14:paraId="594F57EC">
            <w:pPr>
              <w:spacing w:line="420" w:lineRule="exact"/>
              <w:rPr>
                <w:rFonts w:ascii="宋体" w:hAnsi="宋体"/>
                <w:color w:val="auto"/>
                <w:szCs w:val="21"/>
              </w:rPr>
            </w:pPr>
            <w:r>
              <w:rPr>
                <w:rFonts w:hint="eastAsia" w:ascii="宋体" w:hAnsi="宋体"/>
                <w:color w:val="auto"/>
                <w:szCs w:val="21"/>
              </w:rPr>
              <w:t xml:space="preserve">4.油漆：涂膜硬度≥3H，漆膜表面无尘粒气泡，渣点，边缘及立面无流挂现象； </w:t>
            </w:r>
          </w:p>
          <w:p w14:paraId="1641A64E">
            <w:pPr>
              <w:spacing w:line="420" w:lineRule="exact"/>
              <w:rPr>
                <w:rFonts w:ascii="宋体" w:hAnsi="宋体"/>
                <w:color w:val="auto"/>
                <w:szCs w:val="21"/>
              </w:rPr>
            </w:pPr>
            <w:r>
              <w:rPr>
                <w:rFonts w:hint="eastAsia" w:ascii="宋体" w:hAnsi="宋体"/>
                <w:color w:val="auto"/>
                <w:szCs w:val="21"/>
              </w:rPr>
              <w:t>5.五金配件：采用优质五金配件。</w:t>
            </w:r>
          </w:p>
        </w:tc>
        <w:tc>
          <w:tcPr>
            <w:tcW w:w="705" w:type="dxa"/>
            <w:vAlign w:val="center"/>
          </w:tcPr>
          <w:p w14:paraId="5A5C718C">
            <w:pPr>
              <w:spacing w:line="420" w:lineRule="exact"/>
              <w:jc w:val="center"/>
              <w:rPr>
                <w:rFonts w:ascii="宋体" w:hAnsi="宋体" w:cs="宋体"/>
                <w:b/>
                <w:bCs/>
                <w:color w:val="auto"/>
                <w:szCs w:val="21"/>
              </w:rPr>
            </w:pPr>
            <w:r>
              <w:rPr>
                <w:rFonts w:hint="eastAsia" w:ascii="宋体" w:hAnsi="宋体"/>
                <w:color w:val="auto"/>
                <w:szCs w:val="21"/>
              </w:rPr>
              <w:t>2</w:t>
            </w:r>
          </w:p>
        </w:tc>
        <w:tc>
          <w:tcPr>
            <w:tcW w:w="750" w:type="dxa"/>
            <w:vAlign w:val="center"/>
          </w:tcPr>
          <w:p w14:paraId="55D26F37">
            <w:pPr>
              <w:spacing w:line="420" w:lineRule="exact"/>
              <w:jc w:val="center"/>
              <w:rPr>
                <w:rFonts w:ascii="宋体" w:hAnsi="宋体" w:cs="宋体"/>
                <w:b/>
                <w:bCs/>
                <w:color w:val="auto"/>
                <w:szCs w:val="21"/>
              </w:rPr>
            </w:pPr>
            <w:r>
              <w:rPr>
                <w:rFonts w:hint="eastAsia" w:ascii="宋体" w:hAnsi="宋体"/>
                <w:color w:val="auto"/>
                <w:szCs w:val="21"/>
              </w:rPr>
              <w:t>套</w:t>
            </w:r>
          </w:p>
        </w:tc>
        <w:tc>
          <w:tcPr>
            <w:tcW w:w="780" w:type="dxa"/>
            <w:vAlign w:val="center"/>
          </w:tcPr>
          <w:p w14:paraId="7545A269">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164D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1B67D43D">
            <w:pPr>
              <w:jc w:val="center"/>
              <w:rPr>
                <w:rFonts w:ascii="宋体" w:hAnsi="宋体"/>
                <w:color w:val="auto"/>
                <w:szCs w:val="21"/>
              </w:rPr>
            </w:pPr>
            <w:r>
              <w:rPr>
                <w:rFonts w:hint="eastAsia" w:ascii="宋体" w:hAnsi="宋体"/>
                <w:color w:val="auto"/>
                <w:szCs w:val="21"/>
              </w:rPr>
              <w:t>39</w:t>
            </w:r>
          </w:p>
        </w:tc>
        <w:tc>
          <w:tcPr>
            <w:tcW w:w="1142" w:type="dxa"/>
            <w:vAlign w:val="center"/>
          </w:tcPr>
          <w:p w14:paraId="2A8BEF7C">
            <w:pPr>
              <w:spacing w:line="420" w:lineRule="exact"/>
              <w:jc w:val="center"/>
              <w:rPr>
                <w:rFonts w:ascii="宋体" w:hAnsi="宋体"/>
                <w:color w:val="auto"/>
                <w:szCs w:val="21"/>
              </w:rPr>
            </w:pPr>
            <w:r>
              <w:rPr>
                <w:rFonts w:hint="eastAsia" w:ascii="宋体" w:hAnsi="宋体"/>
                <w:color w:val="auto"/>
                <w:szCs w:val="21"/>
              </w:rPr>
              <w:t>弧形桌（13人位）</w:t>
            </w:r>
          </w:p>
        </w:tc>
        <w:tc>
          <w:tcPr>
            <w:tcW w:w="5220" w:type="dxa"/>
            <w:vAlign w:val="center"/>
          </w:tcPr>
          <w:p w14:paraId="37D59705">
            <w:pPr>
              <w:spacing w:line="420" w:lineRule="exact"/>
              <w:rPr>
                <w:rFonts w:ascii="宋体" w:hAnsi="宋体"/>
                <w:color w:val="auto"/>
                <w:szCs w:val="21"/>
              </w:rPr>
            </w:pPr>
            <w:r>
              <w:rPr>
                <w:rFonts w:hint="eastAsia" w:ascii="宋体" w:hAnsi="宋体"/>
                <w:color w:val="auto"/>
                <w:szCs w:val="21"/>
              </w:rPr>
              <w:t>1.13人位弧形桌，长度≥8米；</w:t>
            </w:r>
          </w:p>
          <w:p w14:paraId="2EE4938C">
            <w:pPr>
              <w:spacing w:line="420" w:lineRule="exact"/>
              <w:rPr>
                <w:rFonts w:ascii="宋体" w:hAnsi="宋体"/>
                <w:color w:val="auto"/>
                <w:szCs w:val="21"/>
              </w:rPr>
            </w:pPr>
            <w:r>
              <w:rPr>
                <w:rFonts w:hint="eastAsia" w:ascii="宋体" w:hAnsi="宋体"/>
                <w:color w:val="auto"/>
                <w:szCs w:val="21"/>
              </w:rPr>
              <w:t>2.基材：采用中密度纤维板，其原材料树种一级，防虫、防腐。</w:t>
            </w:r>
          </w:p>
          <w:p w14:paraId="78EE1C36">
            <w:pPr>
              <w:spacing w:line="420" w:lineRule="exact"/>
              <w:rPr>
                <w:rFonts w:ascii="宋体" w:hAnsi="宋体"/>
                <w:color w:val="auto"/>
                <w:szCs w:val="21"/>
              </w:rPr>
            </w:pPr>
            <w:r>
              <w:rPr>
                <w:rFonts w:hint="eastAsia" w:ascii="宋体" w:hAnsi="宋体"/>
                <w:color w:val="auto"/>
                <w:szCs w:val="21"/>
              </w:rPr>
              <w:t>3.表面：采用胡桃色木皮贴面，表面平整，线条均匀整齐，转角过度顺畅，整套产品或同批产品木材纹理，颜色基本一致；</w:t>
            </w:r>
          </w:p>
          <w:p w14:paraId="68E5F6AA">
            <w:pPr>
              <w:spacing w:line="420" w:lineRule="exact"/>
              <w:rPr>
                <w:rFonts w:ascii="宋体" w:hAnsi="宋体"/>
                <w:color w:val="auto"/>
                <w:szCs w:val="21"/>
              </w:rPr>
            </w:pPr>
            <w:r>
              <w:rPr>
                <w:rFonts w:hint="eastAsia" w:ascii="宋体" w:hAnsi="宋体"/>
                <w:color w:val="auto"/>
                <w:szCs w:val="21"/>
              </w:rPr>
              <w:t>4.油漆：涂膜硬度≥3H，漆膜表面无尘粒气泡，渣点，边缘及立面无流挂现象；</w:t>
            </w:r>
          </w:p>
          <w:p w14:paraId="7F072D9F">
            <w:pPr>
              <w:spacing w:line="420" w:lineRule="exact"/>
              <w:rPr>
                <w:rFonts w:ascii="宋体" w:hAnsi="宋体"/>
                <w:color w:val="auto"/>
                <w:szCs w:val="21"/>
              </w:rPr>
            </w:pPr>
            <w:r>
              <w:rPr>
                <w:rFonts w:hint="eastAsia" w:ascii="宋体" w:hAnsi="宋体"/>
                <w:color w:val="auto"/>
                <w:szCs w:val="21"/>
              </w:rPr>
              <w:t>5.五金配件：采用优质五金配件。</w:t>
            </w:r>
          </w:p>
        </w:tc>
        <w:tc>
          <w:tcPr>
            <w:tcW w:w="705" w:type="dxa"/>
            <w:vAlign w:val="center"/>
          </w:tcPr>
          <w:p w14:paraId="7E08DBF7">
            <w:pPr>
              <w:spacing w:line="420" w:lineRule="exact"/>
              <w:jc w:val="center"/>
              <w:rPr>
                <w:rFonts w:ascii="宋体" w:hAnsi="宋体" w:cs="宋体"/>
                <w:b/>
                <w:bCs/>
                <w:color w:val="auto"/>
                <w:szCs w:val="21"/>
              </w:rPr>
            </w:pPr>
            <w:r>
              <w:rPr>
                <w:rFonts w:hint="eastAsia" w:ascii="宋体" w:hAnsi="宋体"/>
                <w:color w:val="auto"/>
                <w:szCs w:val="21"/>
              </w:rPr>
              <w:t>2</w:t>
            </w:r>
          </w:p>
        </w:tc>
        <w:tc>
          <w:tcPr>
            <w:tcW w:w="750" w:type="dxa"/>
            <w:vAlign w:val="center"/>
          </w:tcPr>
          <w:p w14:paraId="6C875A74">
            <w:pPr>
              <w:spacing w:line="420" w:lineRule="exact"/>
              <w:jc w:val="center"/>
              <w:rPr>
                <w:rFonts w:ascii="宋体" w:hAnsi="宋体" w:cs="宋体"/>
                <w:b/>
                <w:bCs/>
                <w:color w:val="auto"/>
                <w:szCs w:val="21"/>
              </w:rPr>
            </w:pPr>
            <w:r>
              <w:rPr>
                <w:rFonts w:hint="eastAsia" w:ascii="宋体" w:hAnsi="宋体"/>
                <w:color w:val="auto"/>
                <w:szCs w:val="21"/>
              </w:rPr>
              <w:t>套</w:t>
            </w:r>
          </w:p>
        </w:tc>
        <w:tc>
          <w:tcPr>
            <w:tcW w:w="780" w:type="dxa"/>
            <w:vAlign w:val="center"/>
          </w:tcPr>
          <w:p w14:paraId="20512917">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4A4F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46595E61">
            <w:pPr>
              <w:jc w:val="center"/>
              <w:rPr>
                <w:rFonts w:ascii="宋体" w:hAnsi="宋体"/>
                <w:color w:val="auto"/>
                <w:szCs w:val="21"/>
              </w:rPr>
            </w:pPr>
            <w:r>
              <w:rPr>
                <w:rFonts w:hint="eastAsia" w:ascii="宋体" w:hAnsi="宋体"/>
                <w:color w:val="auto"/>
                <w:szCs w:val="21"/>
              </w:rPr>
              <w:t>40</w:t>
            </w:r>
          </w:p>
        </w:tc>
        <w:tc>
          <w:tcPr>
            <w:tcW w:w="1142" w:type="dxa"/>
            <w:vAlign w:val="center"/>
          </w:tcPr>
          <w:p w14:paraId="5B7A1A3E">
            <w:pPr>
              <w:spacing w:line="420" w:lineRule="exact"/>
              <w:jc w:val="center"/>
              <w:rPr>
                <w:rFonts w:ascii="宋体" w:hAnsi="宋体"/>
                <w:color w:val="auto"/>
                <w:szCs w:val="21"/>
              </w:rPr>
            </w:pPr>
            <w:r>
              <w:rPr>
                <w:rFonts w:hint="eastAsia" w:ascii="宋体" w:hAnsi="宋体"/>
                <w:color w:val="auto"/>
                <w:szCs w:val="21"/>
              </w:rPr>
              <w:t>弧形桌配套椅子</w:t>
            </w:r>
          </w:p>
        </w:tc>
        <w:tc>
          <w:tcPr>
            <w:tcW w:w="5220" w:type="dxa"/>
            <w:vAlign w:val="center"/>
          </w:tcPr>
          <w:p w14:paraId="3185BE28">
            <w:pPr>
              <w:spacing w:line="420" w:lineRule="exact"/>
              <w:rPr>
                <w:rFonts w:ascii="宋体" w:hAnsi="宋体"/>
                <w:color w:val="auto"/>
                <w:szCs w:val="21"/>
              </w:rPr>
            </w:pPr>
            <w:r>
              <w:rPr>
                <w:rFonts w:hint="eastAsia" w:ascii="宋体" w:hAnsi="宋体"/>
                <w:color w:val="auto"/>
                <w:szCs w:val="21"/>
              </w:rPr>
              <w:t>1.黑色西皮，皮面光泽度好，透气性强，柔软厚度适中。</w:t>
            </w:r>
          </w:p>
          <w:p w14:paraId="2021FE08">
            <w:pPr>
              <w:spacing w:line="420" w:lineRule="exact"/>
              <w:rPr>
                <w:rFonts w:ascii="宋体" w:hAnsi="宋体"/>
                <w:color w:val="auto"/>
                <w:szCs w:val="21"/>
              </w:rPr>
            </w:pPr>
            <w:r>
              <w:rPr>
                <w:rFonts w:hint="eastAsia" w:ascii="宋体" w:hAnsi="宋体"/>
                <w:color w:val="auto"/>
                <w:szCs w:val="21"/>
              </w:rPr>
              <w:t>2.海绵：采用PU成型45#高密度海绵，软硬适中，回弹性能好，抗变形能力强，根椐人体工程学原理设计，坐感舒适；</w:t>
            </w:r>
          </w:p>
          <w:p w14:paraId="51BE6A1A">
            <w:pPr>
              <w:spacing w:line="420" w:lineRule="exact"/>
              <w:rPr>
                <w:rFonts w:ascii="宋体" w:hAnsi="宋体"/>
                <w:color w:val="auto"/>
                <w:szCs w:val="21"/>
              </w:rPr>
            </w:pPr>
            <w:r>
              <w:rPr>
                <w:rFonts w:hint="eastAsia" w:ascii="宋体" w:hAnsi="宋体"/>
                <w:color w:val="auto"/>
                <w:szCs w:val="21"/>
              </w:rPr>
              <w:t>3.座背垫：采用多层垫压成型，经防腐、防虫化学处理。</w:t>
            </w:r>
          </w:p>
          <w:p w14:paraId="153DB20A">
            <w:pPr>
              <w:spacing w:line="420" w:lineRule="exact"/>
              <w:rPr>
                <w:rFonts w:ascii="宋体" w:hAnsi="宋体"/>
                <w:color w:val="auto"/>
                <w:szCs w:val="21"/>
              </w:rPr>
            </w:pPr>
            <w:r>
              <w:rPr>
                <w:rFonts w:hint="eastAsia" w:ascii="宋体" w:hAnsi="宋体"/>
                <w:color w:val="auto"/>
                <w:szCs w:val="21"/>
              </w:rPr>
              <w:t>4.五金：采用优质五金配件，整体五金配件紧密拼接，封边细腻，线条均匀，转角过渡自然，间隙细小且均等；</w:t>
            </w:r>
          </w:p>
          <w:p w14:paraId="7A8516E8">
            <w:pPr>
              <w:spacing w:line="420" w:lineRule="exact"/>
              <w:rPr>
                <w:rFonts w:ascii="宋体" w:hAnsi="宋体"/>
                <w:color w:val="auto"/>
                <w:szCs w:val="21"/>
              </w:rPr>
            </w:pPr>
            <w:r>
              <w:rPr>
                <w:rFonts w:hint="eastAsia" w:ascii="宋体" w:hAnsi="宋体"/>
                <w:color w:val="auto"/>
                <w:szCs w:val="21"/>
              </w:rPr>
              <w:t>5.脚架：优质橡胶木脚架，木纹纹理自然，颜色线条拼合细密；</w:t>
            </w:r>
          </w:p>
          <w:p w14:paraId="77C25F65">
            <w:pPr>
              <w:spacing w:line="420" w:lineRule="exact"/>
              <w:rPr>
                <w:rFonts w:ascii="宋体" w:hAnsi="宋体"/>
                <w:color w:val="auto"/>
                <w:szCs w:val="21"/>
              </w:rPr>
            </w:pPr>
            <w:r>
              <w:rPr>
                <w:rFonts w:hint="eastAsia" w:ascii="宋体" w:hAnsi="宋体"/>
                <w:color w:val="auto"/>
                <w:szCs w:val="21"/>
              </w:rPr>
              <w:t>6.油漆：采用优质油漆，油漆无颗粒、气泡、渣点、附着性强。</w:t>
            </w:r>
          </w:p>
        </w:tc>
        <w:tc>
          <w:tcPr>
            <w:tcW w:w="705" w:type="dxa"/>
            <w:vAlign w:val="center"/>
          </w:tcPr>
          <w:p w14:paraId="5EC91F4F">
            <w:pPr>
              <w:spacing w:line="420" w:lineRule="exact"/>
              <w:jc w:val="center"/>
              <w:rPr>
                <w:rFonts w:ascii="宋体" w:hAnsi="宋体" w:cs="宋体"/>
                <w:b/>
                <w:bCs/>
                <w:color w:val="auto"/>
                <w:szCs w:val="21"/>
              </w:rPr>
            </w:pPr>
            <w:r>
              <w:rPr>
                <w:rFonts w:hint="eastAsia" w:ascii="宋体" w:hAnsi="宋体"/>
                <w:color w:val="auto"/>
                <w:szCs w:val="21"/>
              </w:rPr>
              <w:t>60</w:t>
            </w:r>
          </w:p>
        </w:tc>
        <w:tc>
          <w:tcPr>
            <w:tcW w:w="750" w:type="dxa"/>
            <w:vAlign w:val="center"/>
          </w:tcPr>
          <w:p w14:paraId="36E5F49C">
            <w:pPr>
              <w:spacing w:line="420" w:lineRule="exact"/>
              <w:jc w:val="center"/>
              <w:rPr>
                <w:rFonts w:ascii="宋体" w:hAnsi="宋体" w:cs="宋体"/>
                <w:b/>
                <w:bCs/>
                <w:color w:val="auto"/>
                <w:szCs w:val="21"/>
              </w:rPr>
            </w:pPr>
            <w:r>
              <w:rPr>
                <w:rFonts w:hint="eastAsia" w:ascii="宋体" w:hAnsi="宋体"/>
                <w:color w:val="auto"/>
                <w:szCs w:val="21"/>
              </w:rPr>
              <w:t>张</w:t>
            </w:r>
          </w:p>
        </w:tc>
        <w:tc>
          <w:tcPr>
            <w:tcW w:w="780" w:type="dxa"/>
            <w:vAlign w:val="center"/>
          </w:tcPr>
          <w:p w14:paraId="195F9049">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295E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57DBAED0">
            <w:pPr>
              <w:jc w:val="center"/>
              <w:rPr>
                <w:rFonts w:ascii="宋体" w:hAnsi="宋体"/>
                <w:color w:val="auto"/>
                <w:szCs w:val="21"/>
              </w:rPr>
            </w:pPr>
            <w:r>
              <w:rPr>
                <w:rFonts w:hint="eastAsia" w:ascii="宋体" w:hAnsi="宋体"/>
                <w:color w:val="auto"/>
                <w:szCs w:val="21"/>
              </w:rPr>
              <w:t>41</w:t>
            </w:r>
          </w:p>
        </w:tc>
        <w:tc>
          <w:tcPr>
            <w:tcW w:w="1142" w:type="dxa"/>
            <w:vAlign w:val="center"/>
          </w:tcPr>
          <w:p w14:paraId="2E510939">
            <w:pPr>
              <w:spacing w:line="420" w:lineRule="exact"/>
              <w:jc w:val="center"/>
              <w:rPr>
                <w:rFonts w:ascii="宋体" w:hAnsi="宋体"/>
                <w:color w:val="auto"/>
                <w:szCs w:val="21"/>
              </w:rPr>
            </w:pPr>
            <w:r>
              <w:rPr>
                <w:rFonts w:hint="eastAsia" w:ascii="宋体" w:hAnsi="宋体"/>
                <w:color w:val="auto"/>
                <w:szCs w:val="21"/>
              </w:rPr>
              <w:t>HDMI线缆</w:t>
            </w:r>
          </w:p>
        </w:tc>
        <w:tc>
          <w:tcPr>
            <w:tcW w:w="5220" w:type="dxa"/>
            <w:vAlign w:val="center"/>
          </w:tcPr>
          <w:p w14:paraId="1B5A7BBF">
            <w:pPr>
              <w:spacing w:line="420" w:lineRule="exact"/>
              <w:rPr>
                <w:rFonts w:ascii="宋体" w:hAnsi="宋体"/>
                <w:color w:val="auto"/>
                <w:szCs w:val="21"/>
              </w:rPr>
            </w:pPr>
            <w:r>
              <w:rPr>
                <w:rFonts w:hint="eastAsia" w:ascii="宋体" w:hAnsi="宋体"/>
                <w:color w:val="auto"/>
                <w:szCs w:val="21"/>
              </w:rPr>
              <w:t>1.长度：≥2</w:t>
            </w:r>
            <w:r>
              <w:rPr>
                <w:rFonts w:ascii="宋体" w:hAnsi="宋体"/>
                <w:color w:val="auto"/>
                <w:szCs w:val="21"/>
              </w:rPr>
              <w:t>0</w:t>
            </w:r>
            <w:r>
              <w:rPr>
                <w:rFonts w:hint="eastAsia" w:ascii="宋体" w:hAnsi="宋体"/>
                <w:color w:val="auto"/>
                <w:szCs w:val="21"/>
              </w:rPr>
              <w:t>米；</w:t>
            </w:r>
          </w:p>
          <w:p w14:paraId="1A995983">
            <w:pPr>
              <w:spacing w:line="420" w:lineRule="exact"/>
              <w:rPr>
                <w:rFonts w:ascii="宋体" w:hAnsi="宋体"/>
                <w:color w:val="auto"/>
                <w:szCs w:val="21"/>
              </w:rPr>
            </w:pPr>
            <w:r>
              <w:rPr>
                <w:rFonts w:hint="eastAsia" w:ascii="宋体" w:hAnsi="宋体"/>
                <w:color w:val="auto"/>
                <w:szCs w:val="21"/>
              </w:rPr>
              <w:t>2.支持分辨率：≥</w:t>
            </w:r>
            <w:r>
              <w:rPr>
                <w:rFonts w:ascii="宋体" w:hAnsi="宋体"/>
                <w:color w:val="auto"/>
                <w:szCs w:val="21"/>
              </w:rPr>
              <w:t>1920*1080</w:t>
            </w:r>
            <w:r>
              <w:rPr>
                <w:rFonts w:hint="eastAsia" w:ascii="宋体" w:hAnsi="宋体"/>
                <w:color w:val="auto"/>
                <w:szCs w:val="21"/>
              </w:rPr>
              <w:t>；</w:t>
            </w:r>
          </w:p>
          <w:p w14:paraId="3A1C597B">
            <w:pPr>
              <w:spacing w:line="420" w:lineRule="exact"/>
              <w:rPr>
                <w:rFonts w:ascii="宋体" w:hAnsi="宋体"/>
                <w:color w:val="auto"/>
                <w:szCs w:val="21"/>
              </w:rPr>
            </w:pPr>
            <w:r>
              <w:rPr>
                <w:rFonts w:hint="eastAsia" w:ascii="宋体" w:hAnsi="宋体"/>
                <w:color w:val="auto"/>
                <w:szCs w:val="21"/>
              </w:rPr>
              <w:t>3.连接器材质：铜壳镀金。</w:t>
            </w:r>
          </w:p>
        </w:tc>
        <w:tc>
          <w:tcPr>
            <w:tcW w:w="705" w:type="dxa"/>
            <w:vAlign w:val="center"/>
          </w:tcPr>
          <w:p w14:paraId="4BC01193">
            <w:pPr>
              <w:spacing w:line="420" w:lineRule="exact"/>
              <w:jc w:val="center"/>
              <w:rPr>
                <w:rFonts w:ascii="宋体" w:hAnsi="宋体" w:cs="宋体"/>
                <w:b/>
                <w:bCs/>
                <w:color w:val="auto"/>
                <w:szCs w:val="21"/>
              </w:rPr>
            </w:pPr>
            <w:r>
              <w:rPr>
                <w:rFonts w:hint="eastAsia" w:ascii="宋体" w:hAnsi="宋体"/>
                <w:color w:val="auto"/>
                <w:szCs w:val="21"/>
              </w:rPr>
              <w:t>2</w:t>
            </w:r>
          </w:p>
        </w:tc>
        <w:tc>
          <w:tcPr>
            <w:tcW w:w="750" w:type="dxa"/>
            <w:vAlign w:val="center"/>
          </w:tcPr>
          <w:p w14:paraId="7CFC8933">
            <w:pPr>
              <w:spacing w:line="420" w:lineRule="exact"/>
              <w:jc w:val="center"/>
              <w:rPr>
                <w:rFonts w:ascii="宋体" w:hAnsi="宋体" w:cs="宋体"/>
                <w:b/>
                <w:bCs/>
                <w:color w:val="auto"/>
                <w:szCs w:val="21"/>
              </w:rPr>
            </w:pPr>
            <w:r>
              <w:rPr>
                <w:rFonts w:hint="eastAsia" w:ascii="宋体" w:hAnsi="宋体"/>
                <w:color w:val="auto"/>
                <w:szCs w:val="21"/>
              </w:rPr>
              <w:t>根</w:t>
            </w:r>
          </w:p>
        </w:tc>
        <w:tc>
          <w:tcPr>
            <w:tcW w:w="780" w:type="dxa"/>
            <w:vAlign w:val="center"/>
          </w:tcPr>
          <w:p w14:paraId="4264FDA9">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7C080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4839169D">
            <w:pPr>
              <w:jc w:val="center"/>
              <w:rPr>
                <w:rFonts w:ascii="宋体" w:hAnsi="宋体"/>
                <w:color w:val="auto"/>
                <w:szCs w:val="21"/>
              </w:rPr>
            </w:pPr>
            <w:r>
              <w:rPr>
                <w:rFonts w:hint="eastAsia" w:ascii="宋体" w:hAnsi="宋体"/>
                <w:color w:val="auto"/>
                <w:szCs w:val="21"/>
              </w:rPr>
              <w:t>42</w:t>
            </w:r>
          </w:p>
        </w:tc>
        <w:tc>
          <w:tcPr>
            <w:tcW w:w="1142" w:type="dxa"/>
            <w:vAlign w:val="center"/>
          </w:tcPr>
          <w:p w14:paraId="213C4B7F">
            <w:pPr>
              <w:spacing w:line="420" w:lineRule="exact"/>
              <w:jc w:val="center"/>
              <w:rPr>
                <w:rFonts w:ascii="宋体" w:hAnsi="宋体"/>
                <w:color w:val="auto"/>
                <w:szCs w:val="21"/>
              </w:rPr>
            </w:pPr>
            <w:r>
              <w:rPr>
                <w:rFonts w:hint="eastAsia" w:ascii="宋体" w:hAnsi="宋体"/>
                <w:color w:val="auto"/>
                <w:szCs w:val="21"/>
              </w:rPr>
              <w:t>86寸交互屏</w:t>
            </w:r>
          </w:p>
        </w:tc>
        <w:tc>
          <w:tcPr>
            <w:tcW w:w="5220" w:type="dxa"/>
            <w:vAlign w:val="center"/>
          </w:tcPr>
          <w:p w14:paraId="04EDA111">
            <w:pPr>
              <w:spacing w:line="420" w:lineRule="exact"/>
              <w:rPr>
                <w:rFonts w:ascii="宋体" w:hAnsi="宋体"/>
                <w:color w:val="auto"/>
                <w:szCs w:val="21"/>
              </w:rPr>
            </w:pPr>
            <w:r>
              <w:rPr>
                <w:rFonts w:hint="eastAsia" w:ascii="宋体" w:hAnsi="宋体"/>
                <w:color w:val="auto"/>
                <w:szCs w:val="21"/>
              </w:rPr>
              <w:t>一、整体设计</w:t>
            </w:r>
          </w:p>
          <w:p w14:paraId="3FA22224">
            <w:pPr>
              <w:spacing w:line="420" w:lineRule="exact"/>
              <w:rPr>
                <w:rFonts w:ascii="宋体" w:hAnsi="宋体"/>
                <w:color w:val="auto"/>
                <w:szCs w:val="21"/>
              </w:rPr>
            </w:pPr>
            <w:r>
              <w:rPr>
                <w:rFonts w:hint="eastAsia" w:ascii="宋体" w:hAnsi="宋体"/>
                <w:color w:val="auto"/>
                <w:szCs w:val="21"/>
              </w:rPr>
              <w:t>▲1.整机显示尺寸≥86寸，采用一体化全包裹铝合金机身设计。</w:t>
            </w:r>
          </w:p>
          <w:p w14:paraId="7F836834">
            <w:pPr>
              <w:spacing w:line="420" w:lineRule="exact"/>
              <w:rPr>
                <w:rFonts w:ascii="宋体" w:hAnsi="宋体"/>
                <w:color w:val="auto"/>
                <w:szCs w:val="21"/>
              </w:rPr>
            </w:pPr>
            <w:r>
              <w:rPr>
                <w:rFonts w:hint="eastAsia" w:ascii="宋体" w:hAnsi="宋体"/>
                <w:color w:val="auto"/>
                <w:szCs w:val="21"/>
              </w:rPr>
              <w:t>2. CPU核数≥8核，ROM≥64GB，RAM≥6GB。</w:t>
            </w:r>
          </w:p>
          <w:p w14:paraId="2686F40D">
            <w:pPr>
              <w:spacing w:line="420" w:lineRule="exact"/>
              <w:rPr>
                <w:rFonts w:ascii="宋体" w:hAnsi="宋体"/>
                <w:color w:val="auto"/>
                <w:szCs w:val="21"/>
              </w:rPr>
            </w:pPr>
            <w:r>
              <w:rPr>
                <w:rFonts w:hint="eastAsia" w:ascii="宋体" w:hAnsi="宋体"/>
                <w:color w:val="auto"/>
                <w:szCs w:val="21"/>
              </w:rPr>
              <w:t>3.采用多声道组合音响，提供≥4个喇叭单元，包含≥2个高音喇叭单元及2个全频喇叭单元。总功率≥30W，频响范围100-20KHz。</w:t>
            </w:r>
          </w:p>
          <w:p w14:paraId="4CA9447A">
            <w:pPr>
              <w:spacing w:line="420" w:lineRule="exact"/>
              <w:rPr>
                <w:rFonts w:ascii="宋体" w:hAnsi="宋体"/>
                <w:color w:val="auto"/>
                <w:szCs w:val="21"/>
              </w:rPr>
            </w:pPr>
            <w:r>
              <w:rPr>
                <w:rFonts w:hint="eastAsia" w:ascii="宋体" w:hAnsi="宋体"/>
                <w:color w:val="auto"/>
                <w:szCs w:val="21"/>
              </w:rPr>
              <w:t>4.整机内置≥6个非独立外扩展的麦克风，拾音距离大于8米，前向180度拾音。</w:t>
            </w:r>
          </w:p>
          <w:p w14:paraId="73FD4B4A">
            <w:pPr>
              <w:spacing w:line="420" w:lineRule="exact"/>
              <w:rPr>
                <w:rFonts w:ascii="宋体" w:hAnsi="宋体"/>
                <w:color w:val="auto"/>
                <w:szCs w:val="21"/>
              </w:rPr>
            </w:pPr>
            <w:r>
              <w:rPr>
                <w:rFonts w:hint="eastAsia" w:ascii="宋体" w:hAnsi="宋体"/>
                <w:color w:val="auto"/>
                <w:szCs w:val="21"/>
              </w:rPr>
              <w:t>5.整机内置无线网卡，支持WiFi6，支持在嵌入式系统下接入2.4G/5G双频无线网络，支持802.11 a/b/g/n/ac/ax无线网络协议。</w:t>
            </w:r>
          </w:p>
          <w:p w14:paraId="6694114A">
            <w:pPr>
              <w:spacing w:line="420" w:lineRule="exact"/>
              <w:rPr>
                <w:rFonts w:ascii="宋体" w:hAnsi="宋体"/>
                <w:color w:val="auto"/>
                <w:szCs w:val="21"/>
              </w:rPr>
            </w:pPr>
            <w:r>
              <w:rPr>
                <w:rFonts w:hint="eastAsia" w:ascii="宋体" w:hAnsi="宋体"/>
                <w:color w:val="auto"/>
                <w:szCs w:val="21"/>
              </w:rPr>
              <w:t>6.整机内置无线网卡须提供AP、STA工作模式，且支持AP&amp;STA两种工作模式同时工作，在接入到无线网络的同时，也可以作为热点允许其他设备连接，工作距离≥20米。</w:t>
            </w:r>
          </w:p>
          <w:p w14:paraId="730071B8">
            <w:pPr>
              <w:spacing w:line="420" w:lineRule="exact"/>
              <w:rPr>
                <w:rFonts w:ascii="宋体" w:hAnsi="宋体"/>
                <w:color w:val="auto"/>
                <w:szCs w:val="21"/>
              </w:rPr>
            </w:pPr>
            <w:r>
              <w:rPr>
                <w:rFonts w:hint="eastAsia" w:ascii="宋体" w:hAnsi="宋体"/>
                <w:color w:val="auto"/>
                <w:szCs w:val="21"/>
              </w:rPr>
              <w:t>7.内置一体化摄像机。视频像素≥800万。</w:t>
            </w:r>
          </w:p>
          <w:p w14:paraId="10ECAC29">
            <w:pPr>
              <w:spacing w:line="420" w:lineRule="exact"/>
              <w:rPr>
                <w:rFonts w:hint="eastAsia" w:ascii="宋体" w:hAnsi="宋体"/>
                <w:color w:val="auto"/>
                <w:szCs w:val="21"/>
              </w:rPr>
            </w:pPr>
            <w:r>
              <w:rPr>
                <w:rFonts w:hint="eastAsia" w:ascii="宋体" w:hAnsi="宋体"/>
                <w:color w:val="auto"/>
                <w:szCs w:val="21"/>
              </w:rPr>
              <w:t>▲8.采用国产化操作系统和国产化元器件：主要元器件包括但不限于视频编解码单元、音频编解码单元、CPU处理单元、可编程逻辑芯片、视频输入输出芯片、主板、摄像机镜头、麦克风、扬声器、液晶面板、红外触控模组等。</w:t>
            </w:r>
          </w:p>
          <w:p w14:paraId="2FF7950C">
            <w:pPr>
              <w:spacing w:line="420" w:lineRule="exact"/>
              <w:rPr>
                <w:rFonts w:ascii="宋体" w:hAnsi="宋体"/>
                <w:color w:val="auto"/>
                <w:szCs w:val="21"/>
              </w:rPr>
            </w:pPr>
            <w:r>
              <w:rPr>
                <w:rFonts w:hint="eastAsia" w:ascii="宋体" w:hAnsi="宋体"/>
                <w:color w:val="auto"/>
                <w:szCs w:val="21"/>
              </w:rPr>
              <w:t>9.整机采用简洁化设计，前面板独立物理按钮数量≤1，可实现开机、息屏、唤醒、关机功能，并具备状态指示灯功能。</w:t>
            </w:r>
          </w:p>
          <w:p w14:paraId="6F61D69A">
            <w:pPr>
              <w:spacing w:line="420" w:lineRule="exact"/>
              <w:rPr>
                <w:rFonts w:ascii="宋体" w:hAnsi="宋体"/>
                <w:color w:val="auto"/>
                <w:szCs w:val="21"/>
              </w:rPr>
            </w:pPr>
            <w:r>
              <w:rPr>
                <w:rFonts w:hint="eastAsia" w:ascii="宋体" w:hAnsi="宋体"/>
                <w:color w:val="auto"/>
                <w:szCs w:val="21"/>
              </w:rPr>
              <w:t>10.支持智能会议，支持远程会议办公，远程互动教学，支持快速回声消除、自动噪声抑制、语音增强、混响抑制和唇音同步等人工智能辅助功能。</w:t>
            </w:r>
          </w:p>
          <w:p w14:paraId="0AB96371">
            <w:pPr>
              <w:spacing w:line="420" w:lineRule="exact"/>
              <w:rPr>
                <w:rFonts w:ascii="宋体" w:hAnsi="宋体"/>
                <w:color w:val="auto"/>
                <w:szCs w:val="21"/>
              </w:rPr>
            </w:pPr>
            <w:r>
              <w:rPr>
                <w:rFonts w:hint="eastAsia" w:ascii="宋体" w:hAnsi="宋体"/>
                <w:color w:val="auto"/>
                <w:szCs w:val="21"/>
              </w:rPr>
              <w:t>▲11.支持语音及人脸图像跟踪功能， 自动切换发言人特写画面，无需人工干预等人工智能辅助功能。</w:t>
            </w:r>
          </w:p>
          <w:p w14:paraId="2EAC20EB">
            <w:pPr>
              <w:spacing w:line="420" w:lineRule="exact"/>
              <w:rPr>
                <w:rFonts w:ascii="宋体" w:hAnsi="宋体"/>
                <w:color w:val="auto"/>
                <w:szCs w:val="21"/>
              </w:rPr>
            </w:pPr>
            <w:r>
              <w:rPr>
                <w:rFonts w:hint="eastAsia" w:ascii="宋体" w:hAnsi="宋体"/>
                <w:color w:val="auto"/>
                <w:szCs w:val="21"/>
              </w:rPr>
              <w:t>二、屏幕要求</w:t>
            </w:r>
          </w:p>
          <w:p w14:paraId="18F25ED5">
            <w:pPr>
              <w:spacing w:line="420" w:lineRule="exact"/>
              <w:rPr>
                <w:rFonts w:ascii="宋体" w:hAnsi="宋体"/>
                <w:color w:val="auto"/>
                <w:szCs w:val="21"/>
              </w:rPr>
            </w:pPr>
            <w:r>
              <w:rPr>
                <w:rFonts w:hint="eastAsia" w:ascii="宋体" w:hAnsi="宋体"/>
                <w:color w:val="auto"/>
                <w:szCs w:val="21"/>
              </w:rPr>
              <w:t>▲1.屏幕采用A规屏；显示比例16:9；分辨率≥3840*2160，可视角度≥178°，屏幕显示灰度分辨率等级达到256级以上灰阶。</w:t>
            </w:r>
          </w:p>
          <w:p w14:paraId="1CAB8BED">
            <w:pPr>
              <w:spacing w:line="420" w:lineRule="exact"/>
              <w:rPr>
                <w:rFonts w:ascii="宋体" w:hAnsi="宋体"/>
                <w:color w:val="auto"/>
                <w:szCs w:val="21"/>
              </w:rPr>
            </w:pPr>
            <w:r>
              <w:rPr>
                <w:rFonts w:hint="eastAsia" w:ascii="宋体" w:hAnsi="宋体"/>
                <w:color w:val="auto"/>
                <w:szCs w:val="21"/>
              </w:rPr>
              <w:t>2.采用红外感应技术，支持≥20点触控，触摸分辨率≥32768（W）*32768（D）；触摸精度≤±1mm；触摸高度≤2mm；最小识别直径≤2mm。</w:t>
            </w:r>
          </w:p>
          <w:p w14:paraId="24586CCE">
            <w:pPr>
              <w:spacing w:line="420" w:lineRule="exact"/>
              <w:rPr>
                <w:rFonts w:ascii="宋体" w:hAnsi="宋体"/>
                <w:color w:val="auto"/>
                <w:szCs w:val="21"/>
              </w:rPr>
            </w:pPr>
            <w:r>
              <w:rPr>
                <w:rFonts w:hint="eastAsia" w:ascii="宋体" w:hAnsi="宋体"/>
                <w:color w:val="auto"/>
                <w:szCs w:val="21"/>
              </w:rPr>
              <w:t>3.屏幕贴合方式：采用零贴合技术，钢化玻璃和液晶显示层间隙＜1mm。屏幕表面采用高品质≥3.2mm厚防眩光钢化玻璃，透光率≥88%，表面硬度≥9H。</w:t>
            </w:r>
          </w:p>
          <w:p w14:paraId="2FC23CBD">
            <w:pPr>
              <w:spacing w:line="420" w:lineRule="exact"/>
              <w:rPr>
                <w:rFonts w:ascii="宋体" w:hAnsi="宋体"/>
                <w:color w:val="auto"/>
                <w:szCs w:val="21"/>
              </w:rPr>
            </w:pPr>
            <w:r>
              <w:rPr>
                <w:rFonts w:hint="eastAsia" w:ascii="宋体" w:hAnsi="宋体"/>
                <w:color w:val="auto"/>
                <w:szCs w:val="21"/>
              </w:rPr>
              <w:t>三、接口要求</w:t>
            </w:r>
          </w:p>
          <w:p w14:paraId="2B75827A">
            <w:pPr>
              <w:spacing w:line="420" w:lineRule="exact"/>
              <w:rPr>
                <w:rFonts w:ascii="宋体" w:hAnsi="宋体"/>
                <w:color w:val="auto"/>
                <w:szCs w:val="21"/>
              </w:rPr>
            </w:pPr>
            <w:r>
              <w:rPr>
                <w:rFonts w:hint="eastAsia" w:ascii="宋体" w:hAnsi="宋体"/>
                <w:color w:val="auto"/>
                <w:szCs w:val="21"/>
              </w:rPr>
              <w:t>1.为充分满足用户实际使用需求，设备前置面板需具有以下无转接接口：≥1*Type-C、≥2*USB Type-A。侧置需具有以下无转接接口：≥2*HDMI IN、≥1*HDMI OUT、≥1*LINE IN（MIC IN）、≥1*LINE OUT (MIC OUT)、≥1*RJ45.≥1*控制串口、≥1*USB Type-A。</w:t>
            </w:r>
          </w:p>
          <w:p w14:paraId="7E889F55">
            <w:pPr>
              <w:spacing w:line="420" w:lineRule="exact"/>
              <w:rPr>
                <w:rFonts w:ascii="宋体" w:hAnsi="宋体"/>
                <w:color w:val="auto"/>
                <w:szCs w:val="21"/>
              </w:rPr>
            </w:pPr>
            <w:r>
              <w:rPr>
                <w:rFonts w:hint="eastAsia" w:ascii="宋体" w:hAnsi="宋体"/>
                <w:color w:val="auto"/>
                <w:szCs w:val="21"/>
              </w:rPr>
              <w:t>2.设备前置面板接口支持双系统跟随使用，也可以根据学校的实际管理需要全部禁止或开启某一个系统的使用权限。</w:t>
            </w:r>
          </w:p>
          <w:p w14:paraId="23F97F47">
            <w:pPr>
              <w:spacing w:line="420" w:lineRule="exact"/>
              <w:rPr>
                <w:rFonts w:ascii="宋体" w:hAnsi="宋体"/>
                <w:color w:val="auto"/>
                <w:szCs w:val="21"/>
              </w:rPr>
            </w:pPr>
            <w:r>
              <w:rPr>
                <w:rFonts w:hint="eastAsia" w:ascii="宋体" w:hAnsi="宋体"/>
                <w:color w:val="auto"/>
                <w:szCs w:val="21"/>
              </w:rPr>
              <w:t>3.前置Type-C接口满足数据传输、音视频信号传输、反向触控、充电功能，从而满足教师多样化的使用需求。</w:t>
            </w:r>
          </w:p>
          <w:p w14:paraId="2F9D0389">
            <w:pPr>
              <w:spacing w:line="420" w:lineRule="exact"/>
              <w:rPr>
                <w:rFonts w:ascii="宋体" w:hAnsi="宋体"/>
                <w:color w:val="auto"/>
                <w:szCs w:val="21"/>
              </w:rPr>
            </w:pPr>
            <w:r>
              <w:rPr>
                <w:rFonts w:hint="eastAsia" w:ascii="宋体" w:hAnsi="宋体"/>
                <w:color w:val="auto"/>
                <w:szCs w:val="21"/>
              </w:rPr>
              <w:t>四、操作系统</w:t>
            </w:r>
          </w:p>
          <w:p w14:paraId="0013FA2C">
            <w:pPr>
              <w:spacing w:line="420" w:lineRule="exact"/>
              <w:rPr>
                <w:rFonts w:ascii="宋体" w:hAnsi="宋体"/>
                <w:color w:val="auto"/>
                <w:szCs w:val="21"/>
              </w:rPr>
            </w:pPr>
            <w:r>
              <w:rPr>
                <w:rFonts w:hint="eastAsia" w:ascii="宋体" w:hAnsi="宋体"/>
                <w:color w:val="auto"/>
                <w:szCs w:val="21"/>
              </w:rPr>
              <w:t>▲1.嵌入式操作系统下，须支持多应用分屏功能，系统中可同时分屏显示不少于两个APP，支持通过拖拉改变窗口大小。如一侧白板，一侧打开网页，可以通过拖拉调节分割线以改变窗口大小，方便一边书写一边查看资料。</w:t>
            </w:r>
          </w:p>
          <w:p w14:paraId="0E7CB011">
            <w:pPr>
              <w:spacing w:line="420" w:lineRule="exact"/>
              <w:rPr>
                <w:rFonts w:ascii="宋体" w:hAnsi="宋体"/>
                <w:color w:val="auto"/>
                <w:szCs w:val="21"/>
              </w:rPr>
            </w:pPr>
            <w:r>
              <w:rPr>
                <w:rFonts w:hint="eastAsia" w:ascii="宋体" w:hAnsi="宋体"/>
                <w:color w:val="auto"/>
                <w:szCs w:val="21"/>
              </w:rPr>
              <w:t>2.支持设备休眠功能，可自定义休眠时间，设备在休眠时可自动清理白板、批注和应用的内容。</w:t>
            </w:r>
          </w:p>
          <w:p w14:paraId="7581BD03">
            <w:pPr>
              <w:spacing w:line="420" w:lineRule="exact"/>
              <w:rPr>
                <w:rFonts w:ascii="宋体" w:hAnsi="宋体"/>
                <w:color w:val="auto"/>
                <w:szCs w:val="21"/>
              </w:rPr>
            </w:pPr>
            <w:r>
              <w:rPr>
                <w:rFonts w:hint="eastAsia" w:ascii="宋体" w:hAnsi="宋体"/>
                <w:color w:val="auto"/>
                <w:szCs w:val="21"/>
              </w:rPr>
              <w:t>3.嵌入式操作系统下内置信息窗功能，无需打开APP即可实现图片的滚动播放。</w:t>
            </w:r>
          </w:p>
          <w:p w14:paraId="48E3FBE3">
            <w:pPr>
              <w:spacing w:line="420" w:lineRule="exact"/>
              <w:rPr>
                <w:rFonts w:ascii="宋体" w:hAnsi="宋体"/>
                <w:color w:val="auto"/>
                <w:szCs w:val="21"/>
              </w:rPr>
            </w:pPr>
            <w:r>
              <w:rPr>
                <w:rFonts w:hint="eastAsia" w:ascii="宋体" w:hAnsi="宋体"/>
                <w:color w:val="auto"/>
                <w:szCs w:val="21"/>
              </w:rPr>
              <w:t>4.嵌入式操作系统下内置壁纸功能，可选动态壁纸和静态壁纸，自带壁纸总数量≥10张，也可以根据实际需要导入自定义壁纸。</w:t>
            </w:r>
          </w:p>
          <w:p w14:paraId="2A681CF9">
            <w:pPr>
              <w:spacing w:line="420" w:lineRule="exact"/>
              <w:rPr>
                <w:rFonts w:ascii="宋体" w:hAnsi="宋体"/>
                <w:color w:val="auto"/>
                <w:szCs w:val="21"/>
              </w:rPr>
            </w:pPr>
            <w:r>
              <w:rPr>
                <w:rFonts w:hint="eastAsia" w:ascii="宋体" w:hAnsi="宋体"/>
                <w:color w:val="auto"/>
                <w:szCs w:val="21"/>
              </w:rPr>
              <w:t>5.支持显示调节功能，师生可根据播放素材或实际使用需要设置视频模式、文本模式、柔和模式、自动模式等，兼顾师生视力保护与使用习惯。</w:t>
            </w:r>
          </w:p>
          <w:p w14:paraId="42F7C20D">
            <w:pPr>
              <w:spacing w:line="420" w:lineRule="exact"/>
              <w:rPr>
                <w:rFonts w:ascii="宋体" w:hAnsi="宋体"/>
                <w:color w:val="auto"/>
                <w:szCs w:val="21"/>
              </w:rPr>
            </w:pPr>
            <w:r>
              <w:rPr>
                <w:rFonts w:hint="eastAsia" w:ascii="宋体" w:hAnsi="宋体"/>
                <w:color w:val="auto"/>
                <w:szCs w:val="21"/>
              </w:rPr>
              <w:t>6.支持断点续传功能，终端升级过程中发生网络中断、断电重启，恢复后可断点续传，避免升级失败。</w:t>
            </w:r>
          </w:p>
          <w:p w14:paraId="6AD4B6CB">
            <w:pPr>
              <w:spacing w:line="420" w:lineRule="exact"/>
              <w:rPr>
                <w:rFonts w:ascii="宋体" w:hAnsi="宋体"/>
                <w:color w:val="auto"/>
                <w:szCs w:val="21"/>
              </w:rPr>
            </w:pPr>
            <w:r>
              <w:rPr>
                <w:rFonts w:hint="eastAsia" w:ascii="宋体" w:hAnsi="宋体"/>
                <w:color w:val="auto"/>
                <w:szCs w:val="21"/>
              </w:rPr>
              <w:t>五、嵌入式系统内置软件</w:t>
            </w:r>
          </w:p>
          <w:p w14:paraId="4ECF29F4">
            <w:pPr>
              <w:spacing w:line="420" w:lineRule="exact"/>
              <w:rPr>
                <w:rFonts w:ascii="宋体" w:hAnsi="宋体"/>
                <w:color w:val="auto"/>
                <w:szCs w:val="21"/>
              </w:rPr>
            </w:pPr>
            <w:r>
              <w:rPr>
                <w:rFonts w:hint="eastAsia" w:ascii="宋体" w:hAnsi="宋体"/>
                <w:color w:val="auto"/>
                <w:szCs w:val="21"/>
              </w:rPr>
              <w:t>1.在无外接OPS模块状态下，嵌入式操作系统下可实现windows系统中常用的教学应用功能，如白板书写、投屏功能、办公软件、网页浏览、图片浏览、视音频播放等。</w:t>
            </w:r>
          </w:p>
          <w:p w14:paraId="3B5D5A7D">
            <w:pPr>
              <w:spacing w:line="420" w:lineRule="exact"/>
              <w:rPr>
                <w:rFonts w:hint="eastAsia" w:ascii="宋体" w:hAnsi="宋体"/>
                <w:color w:val="auto"/>
                <w:szCs w:val="21"/>
              </w:rPr>
            </w:pPr>
            <w:r>
              <w:rPr>
                <w:rFonts w:hint="eastAsia" w:ascii="宋体" w:hAnsi="宋体"/>
                <w:color w:val="auto"/>
                <w:szCs w:val="21"/>
              </w:rPr>
              <w:t>▲2.内置互动白板须支持2种以上书写笔头，书写延时≤16ms，使用者可对书写内容进行选择，移动，缩放，删除。</w:t>
            </w:r>
          </w:p>
          <w:p w14:paraId="403EDB11">
            <w:pPr>
              <w:spacing w:line="420" w:lineRule="exact"/>
              <w:rPr>
                <w:rFonts w:ascii="宋体" w:hAnsi="宋体"/>
                <w:color w:val="auto"/>
                <w:szCs w:val="21"/>
              </w:rPr>
            </w:pPr>
            <w:r>
              <w:rPr>
                <w:rFonts w:hint="eastAsia" w:ascii="宋体" w:hAnsi="宋体"/>
                <w:color w:val="auto"/>
                <w:szCs w:val="21"/>
              </w:rPr>
              <w:t>3.内置互动白板书写完成后须支持本地保存、邮件分享、微信等主流应用扫码带走功能，方便老师实时保存课堂书写内容。</w:t>
            </w:r>
          </w:p>
          <w:p w14:paraId="2D3AEF7F">
            <w:pPr>
              <w:spacing w:line="420" w:lineRule="exact"/>
              <w:rPr>
                <w:rFonts w:ascii="宋体" w:hAnsi="宋体"/>
                <w:color w:val="auto"/>
                <w:szCs w:val="21"/>
              </w:rPr>
            </w:pPr>
            <w:r>
              <w:rPr>
                <w:rFonts w:hint="eastAsia" w:ascii="宋体" w:hAnsi="宋体"/>
                <w:color w:val="auto"/>
                <w:szCs w:val="21"/>
              </w:rPr>
              <w:t>4.内置互动白板支持无网络状态的文字和图形智能识别，可将手写体识别为标准打印体，支持中英文识别。整机自带上述识别能力，可在断网状态下实现上述操作。</w:t>
            </w:r>
          </w:p>
          <w:p w14:paraId="530AE6F1">
            <w:pPr>
              <w:spacing w:line="420" w:lineRule="exact"/>
              <w:rPr>
                <w:rFonts w:ascii="宋体" w:hAnsi="宋体"/>
                <w:color w:val="auto"/>
                <w:szCs w:val="21"/>
              </w:rPr>
            </w:pPr>
            <w:r>
              <w:rPr>
                <w:rFonts w:hint="eastAsia" w:ascii="宋体" w:hAnsi="宋体"/>
                <w:color w:val="auto"/>
                <w:szCs w:val="21"/>
              </w:rPr>
              <w:t>▲5.支持通过投屏软件进行视频音投屏共享。支持跨网投屏，无需输入终端IP地址或无需设备在同一局域网中，可直接通过输入投屏码实现投屏。</w:t>
            </w:r>
          </w:p>
          <w:p w14:paraId="38DFF5E1">
            <w:pPr>
              <w:spacing w:line="420" w:lineRule="exact"/>
              <w:rPr>
                <w:rFonts w:ascii="宋体" w:hAnsi="宋体"/>
                <w:color w:val="auto"/>
                <w:szCs w:val="21"/>
              </w:rPr>
            </w:pPr>
            <w:r>
              <w:rPr>
                <w:rFonts w:hint="eastAsia" w:ascii="宋体" w:hAnsi="宋体"/>
                <w:color w:val="auto"/>
                <w:szCs w:val="21"/>
              </w:rPr>
              <w:t>6.支持手机NFC一碰投屏，通过手机背部的NFC区域直接触碰终端的NFC区域，可实现视音频投屏，投屏后支持打开勿扰模式，避免微信或其他APP弹窗消息投屏到终端上。</w:t>
            </w:r>
          </w:p>
          <w:p w14:paraId="7DD367BE">
            <w:pPr>
              <w:spacing w:line="420" w:lineRule="exact"/>
              <w:rPr>
                <w:rFonts w:ascii="宋体" w:hAnsi="宋体"/>
                <w:color w:val="auto"/>
                <w:szCs w:val="21"/>
              </w:rPr>
            </w:pPr>
            <w:r>
              <w:rPr>
                <w:rFonts w:hint="eastAsia" w:ascii="宋体" w:hAnsi="宋体"/>
                <w:color w:val="auto"/>
                <w:szCs w:val="21"/>
              </w:rPr>
              <w:t>7.整机内置自检维护工具，可一键进行快速自检，也可以对硬件类、投屏类、白板类、应用类、公共类等单个模块进行检测，针对不同模块给出问题原因提示，检测完成后支持导出诊断报告。为保证软件兼容性，所提供的检测工具须与硬件设备为同一品牌。</w:t>
            </w:r>
          </w:p>
          <w:p w14:paraId="5301FAAF">
            <w:pPr>
              <w:spacing w:line="420" w:lineRule="exact"/>
              <w:rPr>
                <w:rFonts w:ascii="宋体" w:hAnsi="宋体"/>
                <w:strike/>
                <w:color w:val="auto"/>
                <w:szCs w:val="21"/>
              </w:rPr>
            </w:pPr>
            <w:r>
              <w:rPr>
                <w:rFonts w:hint="eastAsia" w:ascii="宋体" w:hAnsi="宋体"/>
                <w:color w:val="auto"/>
                <w:szCs w:val="21"/>
              </w:rPr>
              <w:t>8.整机内置应用市场，操作者可直接打开应用市场自主安装应用，应用市场内须配置不少于40个第三方应用。为保证应用市场及提供第三方应用的兼容性，所提供的应用市场须与硬件设备为同一品牌。</w:t>
            </w:r>
          </w:p>
          <w:p w14:paraId="35A79426">
            <w:pPr>
              <w:spacing w:line="420" w:lineRule="exact"/>
              <w:rPr>
                <w:rFonts w:ascii="宋体" w:hAnsi="宋体"/>
                <w:color w:val="auto"/>
                <w:szCs w:val="21"/>
              </w:rPr>
            </w:pPr>
            <w:r>
              <w:rPr>
                <w:rFonts w:hint="eastAsia" w:ascii="宋体" w:hAnsi="宋体"/>
                <w:color w:val="auto"/>
                <w:szCs w:val="21"/>
              </w:rPr>
              <w:t>六、远程互动能力</w:t>
            </w:r>
          </w:p>
          <w:p w14:paraId="661C3F64">
            <w:pPr>
              <w:spacing w:line="420" w:lineRule="exact"/>
              <w:rPr>
                <w:rFonts w:ascii="宋体" w:hAnsi="宋体"/>
                <w:color w:val="auto"/>
                <w:szCs w:val="21"/>
              </w:rPr>
            </w:pPr>
            <w:r>
              <w:rPr>
                <w:rFonts w:hint="eastAsia" w:ascii="宋体" w:hAnsi="宋体"/>
                <w:color w:val="auto"/>
                <w:szCs w:val="21"/>
              </w:rPr>
              <w:t>1.支持音视频远程互动能力，支持不低于1080P 30fps的画面质量要求，稳定可靠。具备视频清晰度自适应能力。当带宽降低，画质降低；带宽升高，画质恢复。</w:t>
            </w:r>
          </w:p>
          <w:p w14:paraId="63582AB7">
            <w:pPr>
              <w:spacing w:line="420" w:lineRule="exact"/>
              <w:rPr>
                <w:rFonts w:ascii="宋体" w:hAnsi="宋体"/>
                <w:color w:val="auto"/>
                <w:szCs w:val="21"/>
              </w:rPr>
            </w:pPr>
            <w:r>
              <w:rPr>
                <w:rFonts w:hint="eastAsia" w:ascii="宋体" w:hAnsi="宋体"/>
                <w:color w:val="auto"/>
                <w:szCs w:val="21"/>
              </w:rPr>
              <w:t>▲2.须具有较好的数据共享抗网损能力，在施加50%网络丢包时，桌面操作、PPT共享仍清晰。</w:t>
            </w:r>
          </w:p>
          <w:p w14:paraId="042C4A43">
            <w:pPr>
              <w:spacing w:line="420" w:lineRule="exact"/>
              <w:rPr>
                <w:rFonts w:ascii="宋体" w:hAnsi="宋体"/>
                <w:color w:val="auto"/>
                <w:szCs w:val="21"/>
              </w:rPr>
            </w:pPr>
            <w:r>
              <w:rPr>
                <w:rFonts w:hint="eastAsia" w:ascii="宋体" w:hAnsi="宋体"/>
                <w:color w:val="auto"/>
                <w:szCs w:val="21"/>
              </w:rPr>
              <w:t>3.支持共享、程序共享、白板共享，支持主动发起标注，可实现双向协作标注，例如手写、绘制、擦除、标注、画笔颜色切换、标注保存等。</w:t>
            </w:r>
          </w:p>
          <w:p w14:paraId="5BA8D8DB">
            <w:pPr>
              <w:spacing w:line="420" w:lineRule="exact"/>
              <w:rPr>
                <w:rFonts w:ascii="宋体" w:hAnsi="宋体"/>
                <w:color w:val="auto"/>
                <w:szCs w:val="21"/>
              </w:rPr>
            </w:pPr>
            <w:r>
              <w:rPr>
                <w:rFonts w:hint="eastAsia" w:ascii="宋体" w:hAnsi="宋体"/>
                <w:color w:val="auto"/>
                <w:szCs w:val="21"/>
              </w:rPr>
              <w:t>▲4.须具备音视频抗丢包能力。音频在80%的网络丢包时，仍可实现声音清晰流畅、可准确理解。视频在2M以下的带宽、30%网络丢包时，仍可实现图像流畅、唇音同步、运动区域稍微有马赛克，但可恢复。</w:t>
            </w:r>
          </w:p>
          <w:p w14:paraId="71D0BBE6">
            <w:pPr>
              <w:spacing w:line="420" w:lineRule="exact"/>
              <w:rPr>
                <w:rFonts w:ascii="宋体" w:hAnsi="宋体"/>
                <w:color w:val="auto"/>
                <w:szCs w:val="21"/>
              </w:rPr>
            </w:pPr>
            <w:r>
              <w:rPr>
                <w:rFonts w:hint="eastAsia" w:ascii="宋体" w:hAnsi="宋体"/>
                <w:color w:val="auto"/>
                <w:szCs w:val="21"/>
              </w:rPr>
              <w:t>七、其他配件</w:t>
            </w:r>
          </w:p>
          <w:p w14:paraId="44DD6D2A">
            <w:pPr>
              <w:spacing w:line="420" w:lineRule="exact"/>
              <w:rPr>
                <w:rFonts w:ascii="宋体" w:hAnsi="宋体"/>
                <w:color w:val="auto"/>
                <w:szCs w:val="21"/>
              </w:rPr>
            </w:pPr>
            <w:r>
              <w:rPr>
                <w:rFonts w:hint="eastAsia" w:ascii="宋体" w:hAnsi="宋体"/>
                <w:color w:val="auto"/>
                <w:szCs w:val="21"/>
              </w:rPr>
              <w:t>提供1台OPS模块；</w:t>
            </w:r>
          </w:p>
          <w:p w14:paraId="41A32FDD">
            <w:pPr>
              <w:spacing w:line="420" w:lineRule="exact"/>
              <w:rPr>
                <w:rFonts w:ascii="宋体" w:hAnsi="宋体"/>
                <w:color w:val="auto"/>
                <w:szCs w:val="21"/>
              </w:rPr>
            </w:pPr>
            <w:r>
              <w:rPr>
                <w:rFonts w:hint="eastAsia" w:ascii="宋体" w:hAnsi="宋体"/>
                <w:color w:val="auto"/>
                <w:szCs w:val="21"/>
              </w:rPr>
              <w:t>1.CPU:i5-11代或以上配置；</w:t>
            </w:r>
          </w:p>
          <w:p w14:paraId="609188C6">
            <w:pPr>
              <w:spacing w:line="420" w:lineRule="exact"/>
              <w:rPr>
                <w:rFonts w:ascii="宋体" w:hAnsi="宋体"/>
                <w:color w:val="auto"/>
                <w:szCs w:val="21"/>
              </w:rPr>
            </w:pPr>
            <w:r>
              <w:rPr>
                <w:rFonts w:hint="eastAsia" w:ascii="宋体" w:hAnsi="宋体"/>
                <w:color w:val="auto"/>
                <w:szCs w:val="21"/>
              </w:rPr>
              <w:t>2.内存：16GB或以上配置；</w:t>
            </w:r>
          </w:p>
          <w:p w14:paraId="3E2E956E">
            <w:pPr>
              <w:spacing w:line="420" w:lineRule="exact"/>
              <w:rPr>
                <w:rFonts w:ascii="宋体" w:hAnsi="宋体"/>
                <w:color w:val="auto"/>
                <w:szCs w:val="21"/>
              </w:rPr>
            </w:pPr>
            <w:r>
              <w:rPr>
                <w:rFonts w:hint="eastAsia" w:ascii="宋体" w:hAnsi="宋体"/>
                <w:color w:val="auto"/>
                <w:szCs w:val="21"/>
              </w:rPr>
              <w:t>3.硬盘：256GB或以上配置。</w:t>
            </w:r>
          </w:p>
        </w:tc>
        <w:tc>
          <w:tcPr>
            <w:tcW w:w="705" w:type="dxa"/>
            <w:vAlign w:val="center"/>
          </w:tcPr>
          <w:p w14:paraId="3CB157DC">
            <w:pPr>
              <w:spacing w:line="420" w:lineRule="exact"/>
              <w:jc w:val="center"/>
              <w:rPr>
                <w:rFonts w:ascii="宋体" w:hAnsi="宋体" w:cs="宋体"/>
                <w:b/>
                <w:bCs/>
                <w:color w:val="auto"/>
                <w:szCs w:val="21"/>
              </w:rPr>
            </w:pPr>
            <w:r>
              <w:rPr>
                <w:rFonts w:hint="eastAsia" w:ascii="宋体" w:hAnsi="宋体"/>
                <w:color w:val="auto"/>
                <w:szCs w:val="21"/>
              </w:rPr>
              <w:t>2</w:t>
            </w:r>
          </w:p>
        </w:tc>
        <w:tc>
          <w:tcPr>
            <w:tcW w:w="750" w:type="dxa"/>
            <w:vAlign w:val="center"/>
          </w:tcPr>
          <w:p w14:paraId="6249C9AD">
            <w:pPr>
              <w:spacing w:line="420" w:lineRule="exact"/>
              <w:jc w:val="center"/>
              <w:rPr>
                <w:rFonts w:ascii="宋体" w:hAnsi="宋体" w:cs="宋体"/>
                <w:b/>
                <w:bCs/>
                <w:color w:val="auto"/>
                <w:szCs w:val="21"/>
              </w:rPr>
            </w:pPr>
            <w:r>
              <w:rPr>
                <w:rFonts w:hint="eastAsia" w:ascii="宋体" w:hAnsi="宋体"/>
                <w:color w:val="auto"/>
                <w:szCs w:val="21"/>
              </w:rPr>
              <w:t>台</w:t>
            </w:r>
          </w:p>
        </w:tc>
        <w:tc>
          <w:tcPr>
            <w:tcW w:w="780" w:type="dxa"/>
            <w:vAlign w:val="center"/>
          </w:tcPr>
          <w:p w14:paraId="4AC020A4">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476F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3B4C5105">
            <w:pPr>
              <w:jc w:val="center"/>
              <w:rPr>
                <w:rFonts w:ascii="宋体" w:hAnsi="宋体"/>
                <w:color w:val="auto"/>
                <w:szCs w:val="21"/>
              </w:rPr>
            </w:pPr>
            <w:r>
              <w:rPr>
                <w:rFonts w:hint="eastAsia" w:ascii="宋体" w:hAnsi="宋体"/>
                <w:color w:val="auto"/>
                <w:szCs w:val="21"/>
              </w:rPr>
              <w:t>43</w:t>
            </w:r>
          </w:p>
        </w:tc>
        <w:tc>
          <w:tcPr>
            <w:tcW w:w="1142" w:type="dxa"/>
            <w:vAlign w:val="center"/>
          </w:tcPr>
          <w:p w14:paraId="47DEA48C">
            <w:pPr>
              <w:spacing w:line="420" w:lineRule="exact"/>
              <w:jc w:val="center"/>
              <w:rPr>
                <w:rFonts w:ascii="宋体" w:hAnsi="宋体"/>
                <w:color w:val="auto"/>
                <w:szCs w:val="21"/>
              </w:rPr>
            </w:pPr>
            <w:r>
              <w:rPr>
                <w:rFonts w:hint="eastAsia" w:ascii="宋体" w:hAnsi="宋体"/>
                <w:color w:val="auto"/>
                <w:szCs w:val="21"/>
              </w:rPr>
              <w:t>无线传屏器</w:t>
            </w:r>
          </w:p>
        </w:tc>
        <w:tc>
          <w:tcPr>
            <w:tcW w:w="5220" w:type="dxa"/>
            <w:vAlign w:val="center"/>
          </w:tcPr>
          <w:p w14:paraId="7249A5A1">
            <w:pPr>
              <w:spacing w:line="420" w:lineRule="exact"/>
              <w:rPr>
                <w:rFonts w:ascii="宋体" w:hAnsi="宋体"/>
                <w:color w:val="auto"/>
                <w:szCs w:val="21"/>
              </w:rPr>
            </w:pPr>
            <w:r>
              <w:rPr>
                <w:rFonts w:hint="eastAsia" w:ascii="宋体" w:hAnsi="宋体"/>
                <w:color w:val="auto"/>
                <w:szCs w:val="21"/>
              </w:rPr>
              <w:t>支持1个USB2.0接口，支持一键传屏，工作电压：5V DC，支持本地观看MAX支持4Kp15fps，会议MAX支持1080p30fps。</w:t>
            </w:r>
          </w:p>
        </w:tc>
        <w:tc>
          <w:tcPr>
            <w:tcW w:w="705" w:type="dxa"/>
            <w:vAlign w:val="center"/>
          </w:tcPr>
          <w:p w14:paraId="296E65B4">
            <w:pPr>
              <w:spacing w:line="420" w:lineRule="exact"/>
              <w:jc w:val="center"/>
              <w:rPr>
                <w:rFonts w:ascii="宋体" w:hAnsi="宋体" w:cs="宋体"/>
                <w:b/>
                <w:bCs/>
                <w:color w:val="auto"/>
                <w:szCs w:val="21"/>
              </w:rPr>
            </w:pPr>
            <w:r>
              <w:rPr>
                <w:rFonts w:hint="eastAsia" w:ascii="宋体" w:hAnsi="宋体"/>
                <w:color w:val="auto"/>
                <w:szCs w:val="21"/>
              </w:rPr>
              <w:t>2</w:t>
            </w:r>
          </w:p>
        </w:tc>
        <w:tc>
          <w:tcPr>
            <w:tcW w:w="750" w:type="dxa"/>
            <w:vAlign w:val="center"/>
          </w:tcPr>
          <w:p w14:paraId="5192A445">
            <w:pPr>
              <w:spacing w:line="420" w:lineRule="exact"/>
              <w:ind w:firstLine="210" w:firstLineChars="100"/>
              <w:rPr>
                <w:rFonts w:ascii="宋体" w:hAnsi="宋体" w:cs="宋体"/>
                <w:b/>
                <w:bCs/>
                <w:color w:val="auto"/>
                <w:szCs w:val="21"/>
              </w:rPr>
            </w:pPr>
            <w:r>
              <w:rPr>
                <w:rFonts w:hint="eastAsia" w:ascii="宋体" w:hAnsi="宋体"/>
                <w:color w:val="auto"/>
                <w:szCs w:val="21"/>
              </w:rPr>
              <w:t>台</w:t>
            </w:r>
          </w:p>
        </w:tc>
        <w:tc>
          <w:tcPr>
            <w:tcW w:w="780" w:type="dxa"/>
            <w:vAlign w:val="center"/>
          </w:tcPr>
          <w:p w14:paraId="75EE610B">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0C5B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20377EEF">
            <w:pPr>
              <w:jc w:val="center"/>
              <w:rPr>
                <w:rFonts w:ascii="宋体" w:hAnsi="宋体"/>
                <w:color w:val="auto"/>
                <w:szCs w:val="21"/>
              </w:rPr>
            </w:pPr>
            <w:r>
              <w:rPr>
                <w:rFonts w:ascii="宋体" w:hAnsi="宋体"/>
                <w:color w:val="auto"/>
                <w:szCs w:val="21"/>
              </w:rPr>
              <w:t>4</w:t>
            </w:r>
            <w:r>
              <w:rPr>
                <w:rFonts w:hint="eastAsia" w:ascii="宋体" w:hAnsi="宋体"/>
                <w:color w:val="auto"/>
                <w:szCs w:val="21"/>
              </w:rPr>
              <w:t>4</w:t>
            </w:r>
          </w:p>
        </w:tc>
        <w:tc>
          <w:tcPr>
            <w:tcW w:w="1142" w:type="dxa"/>
            <w:vAlign w:val="center"/>
          </w:tcPr>
          <w:p w14:paraId="57303CEA">
            <w:pPr>
              <w:spacing w:line="420" w:lineRule="exact"/>
              <w:jc w:val="center"/>
              <w:rPr>
                <w:rFonts w:ascii="宋体" w:hAnsi="宋体"/>
                <w:color w:val="auto"/>
                <w:szCs w:val="21"/>
              </w:rPr>
            </w:pPr>
            <w:r>
              <w:rPr>
                <w:rFonts w:hint="eastAsia" w:ascii="宋体" w:hAnsi="宋体"/>
                <w:color w:val="auto"/>
                <w:szCs w:val="21"/>
              </w:rPr>
              <w:t>移动支架</w:t>
            </w:r>
          </w:p>
        </w:tc>
        <w:tc>
          <w:tcPr>
            <w:tcW w:w="5220" w:type="dxa"/>
            <w:vAlign w:val="center"/>
          </w:tcPr>
          <w:p w14:paraId="5CB2C6CC">
            <w:pPr>
              <w:spacing w:line="420" w:lineRule="exact"/>
              <w:rPr>
                <w:rFonts w:ascii="宋体" w:hAnsi="宋体"/>
                <w:color w:val="auto"/>
                <w:szCs w:val="21"/>
              </w:rPr>
            </w:pPr>
            <w:r>
              <w:rPr>
                <w:rFonts w:hint="eastAsia" w:ascii="宋体" w:hAnsi="宋体"/>
                <w:color w:val="auto"/>
                <w:szCs w:val="21"/>
              </w:rPr>
              <w:t>1.适配86寸、98寸平板；</w:t>
            </w:r>
          </w:p>
          <w:p w14:paraId="5170182F">
            <w:pPr>
              <w:spacing w:line="420" w:lineRule="exact"/>
              <w:rPr>
                <w:rFonts w:ascii="宋体" w:hAnsi="宋体"/>
                <w:color w:val="auto"/>
                <w:szCs w:val="21"/>
              </w:rPr>
            </w:pPr>
            <w:r>
              <w:rPr>
                <w:rFonts w:hint="eastAsia" w:ascii="宋体" w:hAnsi="宋体"/>
                <w:color w:val="auto"/>
                <w:szCs w:val="21"/>
              </w:rPr>
              <w:t>2.材质：冷轧钢板；</w:t>
            </w:r>
          </w:p>
          <w:p w14:paraId="08FAB376">
            <w:pPr>
              <w:spacing w:line="420" w:lineRule="exact"/>
              <w:rPr>
                <w:rFonts w:ascii="宋体" w:hAnsi="宋体"/>
                <w:color w:val="auto"/>
                <w:szCs w:val="21"/>
              </w:rPr>
            </w:pPr>
            <w:r>
              <w:rPr>
                <w:rFonts w:hint="eastAsia" w:ascii="宋体" w:hAnsi="宋体"/>
                <w:color w:val="auto"/>
                <w:szCs w:val="21"/>
              </w:rPr>
              <w:t>3.承重：≥</w:t>
            </w:r>
            <w:r>
              <w:rPr>
                <w:rFonts w:ascii="宋体" w:hAnsi="宋体"/>
                <w:color w:val="auto"/>
                <w:szCs w:val="21"/>
              </w:rPr>
              <w:t>50</w:t>
            </w:r>
            <w:r>
              <w:rPr>
                <w:rFonts w:hint="eastAsia" w:ascii="宋体" w:hAnsi="宋体"/>
                <w:color w:val="auto"/>
                <w:szCs w:val="21"/>
              </w:rPr>
              <w:t>kg。</w:t>
            </w:r>
          </w:p>
        </w:tc>
        <w:tc>
          <w:tcPr>
            <w:tcW w:w="705" w:type="dxa"/>
            <w:vAlign w:val="center"/>
          </w:tcPr>
          <w:p w14:paraId="59365393">
            <w:pPr>
              <w:spacing w:line="420" w:lineRule="exact"/>
              <w:jc w:val="center"/>
              <w:rPr>
                <w:rFonts w:ascii="宋体" w:hAnsi="宋体" w:cs="宋体"/>
                <w:b/>
                <w:bCs/>
                <w:color w:val="auto"/>
                <w:szCs w:val="21"/>
              </w:rPr>
            </w:pPr>
            <w:r>
              <w:rPr>
                <w:rFonts w:hint="eastAsia" w:ascii="宋体" w:hAnsi="宋体"/>
                <w:color w:val="auto"/>
                <w:szCs w:val="21"/>
              </w:rPr>
              <w:t>2</w:t>
            </w:r>
          </w:p>
        </w:tc>
        <w:tc>
          <w:tcPr>
            <w:tcW w:w="750" w:type="dxa"/>
            <w:vAlign w:val="center"/>
          </w:tcPr>
          <w:p w14:paraId="69FE332E">
            <w:pPr>
              <w:spacing w:line="420" w:lineRule="exact"/>
              <w:jc w:val="center"/>
              <w:rPr>
                <w:rFonts w:ascii="宋体" w:hAnsi="宋体" w:cs="宋体"/>
                <w:b/>
                <w:bCs/>
                <w:color w:val="auto"/>
                <w:szCs w:val="21"/>
              </w:rPr>
            </w:pPr>
            <w:r>
              <w:rPr>
                <w:rFonts w:hint="eastAsia" w:ascii="宋体" w:hAnsi="宋体"/>
                <w:color w:val="auto"/>
                <w:szCs w:val="21"/>
              </w:rPr>
              <w:t>套</w:t>
            </w:r>
          </w:p>
        </w:tc>
        <w:tc>
          <w:tcPr>
            <w:tcW w:w="780" w:type="dxa"/>
            <w:vAlign w:val="center"/>
          </w:tcPr>
          <w:p w14:paraId="43E0F743">
            <w:pPr>
              <w:spacing w:line="420" w:lineRule="exact"/>
              <w:jc w:val="center"/>
              <w:rPr>
                <w:rFonts w:ascii="宋体" w:hAnsi="宋体" w:cs="宋体"/>
                <w:b/>
                <w:bCs/>
                <w:color w:val="auto"/>
                <w:szCs w:val="21"/>
              </w:rPr>
            </w:pPr>
            <w:r>
              <w:rPr>
                <w:rFonts w:hint="eastAsia" w:ascii="宋体" w:hAnsi="宋体" w:cs="宋体"/>
                <w:b w:val="0"/>
                <w:bCs w:val="0"/>
                <w:color w:val="auto"/>
                <w:szCs w:val="21"/>
                <w:lang w:val="en-US" w:eastAsia="zh-CN"/>
              </w:rPr>
              <w:t>工业</w:t>
            </w:r>
          </w:p>
        </w:tc>
      </w:tr>
      <w:tr w14:paraId="5B21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17" w:type="dxa"/>
            <w:vAlign w:val="center"/>
          </w:tcPr>
          <w:p w14:paraId="68F45190">
            <w:pPr>
              <w:jc w:val="center"/>
              <w:rPr>
                <w:rFonts w:ascii="宋体" w:hAnsi="宋体"/>
                <w:color w:val="auto"/>
                <w:szCs w:val="21"/>
              </w:rPr>
            </w:pPr>
            <w:r>
              <w:rPr>
                <w:rFonts w:ascii="宋体" w:hAnsi="宋体"/>
                <w:color w:val="auto"/>
                <w:szCs w:val="21"/>
              </w:rPr>
              <w:t>4</w:t>
            </w:r>
            <w:r>
              <w:rPr>
                <w:rFonts w:hint="eastAsia" w:ascii="宋体" w:hAnsi="宋体"/>
                <w:color w:val="auto"/>
                <w:szCs w:val="21"/>
              </w:rPr>
              <w:t>5</w:t>
            </w:r>
          </w:p>
        </w:tc>
        <w:tc>
          <w:tcPr>
            <w:tcW w:w="1142" w:type="dxa"/>
            <w:vAlign w:val="center"/>
          </w:tcPr>
          <w:p w14:paraId="7C9D4F1F">
            <w:pPr>
              <w:spacing w:line="420" w:lineRule="exact"/>
              <w:jc w:val="center"/>
              <w:rPr>
                <w:rFonts w:ascii="宋体" w:hAnsi="宋体"/>
                <w:color w:val="auto"/>
                <w:szCs w:val="21"/>
              </w:rPr>
            </w:pPr>
            <w:r>
              <w:rPr>
                <w:rFonts w:hint="eastAsia" w:ascii="宋体" w:hAnsi="宋体"/>
                <w:color w:val="auto"/>
                <w:szCs w:val="21"/>
              </w:rPr>
              <w:t>施工</w:t>
            </w:r>
          </w:p>
        </w:tc>
        <w:tc>
          <w:tcPr>
            <w:tcW w:w="5220" w:type="dxa"/>
            <w:vAlign w:val="center"/>
          </w:tcPr>
          <w:p w14:paraId="2D136662">
            <w:pPr>
              <w:spacing w:line="420" w:lineRule="exact"/>
              <w:rPr>
                <w:rFonts w:ascii="宋体" w:hAnsi="宋体"/>
                <w:color w:val="auto"/>
                <w:szCs w:val="21"/>
              </w:rPr>
            </w:pPr>
            <w:r>
              <w:rPr>
                <w:rFonts w:hint="eastAsia" w:ascii="宋体" w:hAnsi="宋体"/>
                <w:color w:val="auto"/>
                <w:szCs w:val="21"/>
              </w:rPr>
              <w:t>1.含以上所有设备的安装、综合布线、系统调试等；</w:t>
            </w:r>
          </w:p>
          <w:p w14:paraId="686661C2">
            <w:pPr>
              <w:spacing w:line="420" w:lineRule="exact"/>
              <w:rPr>
                <w:rFonts w:ascii="宋体" w:hAnsi="宋体"/>
                <w:color w:val="auto"/>
                <w:szCs w:val="21"/>
              </w:rPr>
            </w:pPr>
            <w:r>
              <w:rPr>
                <w:rFonts w:hint="eastAsia" w:ascii="宋体" w:hAnsi="宋体"/>
                <w:color w:val="auto"/>
                <w:szCs w:val="21"/>
              </w:rPr>
              <w:t>2.综合布线要求：</w:t>
            </w:r>
          </w:p>
          <w:p w14:paraId="42F43742">
            <w:pPr>
              <w:spacing w:line="420" w:lineRule="exact"/>
              <w:rPr>
                <w:rFonts w:ascii="宋体" w:hAnsi="宋体"/>
                <w:color w:val="auto"/>
                <w:szCs w:val="21"/>
              </w:rPr>
            </w:pPr>
            <w:r>
              <w:rPr>
                <w:rFonts w:hint="eastAsia" w:ascii="宋体" w:hAnsi="宋体"/>
                <w:color w:val="auto"/>
                <w:szCs w:val="21"/>
              </w:rPr>
              <w:t>（1）包含以上项未提及但实际设备安装和正常使用中所需要的线缆及零配件（各线缆端接头、设备用电插座、线缆标签等必须使用的设备跳线或转接线等）；</w:t>
            </w:r>
          </w:p>
          <w:p w14:paraId="08E9C24E">
            <w:pPr>
              <w:spacing w:line="420" w:lineRule="exact"/>
              <w:rPr>
                <w:rFonts w:ascii="宋体" w:hAnsi="宋体"/>
                <w:color w:val="auto"/>
                <w:szCs w:val="21"/>
              </w:rPr>
            </w:pPr>
            <w:r>
              <w:rPr>
                <w:rFonts w:hint="eastAsia" w:ascii="宋体" w:hAnsi="宋体"/>
                <w:color w:val="auto"/>
                <w:szCs w:val="21"/>
              </w:rPr>
              <w:t>（2）满足布线需求所使用的PVC线槽、线管等；</w:t>
            </w:r>
          </w:p>
          <w:p w14:paraId="170633AA">
            <w:pPr>
              <w:spacing w:line="420" w:lineRule="exact"/>
              <w:rPr>
                <w:rFonts w:ascii="宋体" w:hAnsi="宋体"/>
                <w:color w:val="auto"/>
                <w:szCs w:val="21"/>
              </w:rPr>
            </w:pPr>
            <w:r>
              <w:rPr>
                <w:rFonts w:hint="eastAsia" w:ascii="宋体" w:hAnsi="宋体"/>
                <w:color w:val="auto"/>
                <w:szCs w:val="21"/>
              </w:rPr>
              <w:t>（3）设备电路所使用的空气开关、配电箱等配套电气装置；</w:t>
            </w:r>
          </w:p>
          <w:p w14:paraId="79BF3BE1">
            <w:pPr>
              <w:spacing w:line="420" w:lineRule="exact"/>
              <w:rPr>
                <w:rFonts w:ascii="宋体" w:hAnsi="宋体"/>
                <w:color w:val="auto"/>
                <w:szCs w:val="21"/>
              </w:rPr>
            </w:pPr>
            <w:r>
              <w:rPr>
                <w:rFonts w:hint="eastAsia" w:ascii="宋体" w:hAnsi="宋体"/>
                <w:color w:val="auto"/>
                <w:szCs w:val="21"/>
              </w:rPr>
              <w:t>（4）强弱电综合布线、含电源线、网络通讯线缆、音视频线缆的布设施工；</w:t>
            </w:r>
          </w:p>
          <w:p w14:paraId="464DE1DA">
            <w:pPr>
              <w:spacing w:line="420" w:lineRule="exact"/>
              <w:rPr>
                <w:rFonts w:ascii="宋体" w:hAnsi="宋体"/>
                <w:color w:val="auto"/>
                <w:szCs w:val="21"/>
              </w:rPr>
            </w:pPr>
            <w:r>
              <w:rPr>
                <w:rFonts w:hint="eastAsia" w:ascii="宋体" w:hAnsi="宋体"/>
                <w:color w:val="auto"/>
                <w:szCs w:val="21"/>
              </w:rPr>
              <w:t>（5）设备安装调试，含本项目所有软件和硬件的安装调试服务。</w:t>
            </w:r>
          </w:p>
        </w:tc>
        <w:tc>
          <w:tcPr>
            <w:tcW w:w="705" w:type="dxa"/>
            <w:vAlign w:val="center"/>
          </w:tcPr>
          <w:p w14:paraId="6E38F8DB">
            <w:pPr>
              <w:spacing w:line="420" w:lineRule="exact"/>
              <w:jc w:val="center"/>
              <w:rPr>
                <w:rFonts w:ascii="宋体" w:hAnsi="宋体" w:cs="宋体"/>
                <w:b/>
                <w:bCs/>
                <w:color w:val="auto"/>
                <w:szCs w:val="21"/>
              </w:rPr>
            </w:pPr>
            <w:r>
              <w:rPr>
                <w:rFonts w:hint="eastAsia" w:ascii="宋体" w:hAnsi="宋体"/>
                <w:color w:val="auto"/>
                <w:szCs w:val="21"/>
              </w:rPr>
              <w:t>6</w:t>
            </w:r>
          </w:p>
        </w:tc>
        <w:tc>
          <w:tcPr>
            <w:tcW w:w="750" w:type="dxa"/>
            <w:vAlign w:val="center"/>
          </w:tcPr>
          <w:p w14:paraId="25E17896">
            <w:pPr>
              <w:spacing w:line="420" w:lineRule="exact"/>
              <w:jc w:val="center"/>
              <w:rPr>
                <w:rFonts w:ascii="宋体" w:hAnsi="宋体" w:cs="宋体"/>
                <w:b/>
                <w:bCs/>
                <w:color w:val="auto"/>
                <w:szCs w:val="21"/>
              </w:rPr>
            </w:pPr>
            <w:r>
              <w:rPr>
                <w:rFonts w:hint="eastAsia" w:ascii="宋体" w:hAnsi="宋体"/>
                <w:color w:val="auto"/>
                <w:szCs w:val="21"/>
              </w:rPr>
              <w:t>间</w:t>
            </w:r>
          </w:p>
        </w:tc>
        <w:tc>
          <w:tcPr>
            <w:tcW w:w="780" w:type="dxa"/>
            <w:vAlign w:val="center"/>
          </w:tcPr>
          <w:p w14:paraId="72861558">
            <w:pPr>
              <w:spacing w:line="420" w:lineRule="exact"/>
              <w:jc w:val="center"/>
              <w:rPr>
                <w:rFonts w:hint="default" w:ascii="宋体" w:hAnsi="宋体" w:eastAsia="宋体" w:cs="宋体"/>
                <w:b/>
                <w:bCs/>
                <w:color w:val="auto"/>
                <w:szCs w:val="21"/>
                <w:lang w:val="en-US" w:eastAsia="zh-CN"/>
              </w:rPr>
            </w:pPr>
            <w:r>
              <w:rPr>
                <w:rFonts w:hint="eastAsia" w:ascii="宋体" w:hAnsi="宋体" w:cs="宋体"/>
                <w:b w:val="0"/>
                <w:bCs w:val="0"/>
                <w:color w:val="auto"/>
                <w:szCs w:val="21"/>
                <w:lang w:val="en-US" w:eastAsia="zh-CN"/>
              </w:rPr>
              <w:t>/</w:t>
            </w:r>
          </w:p>
        </w:tc>
      </w:tr>
    </w:tbl>
    <w:p w14:paraId="519F6B08">
      <w:pPr>
        <w:pStyle w:val="4"/>
        <w:spacing w:line="400" w:lineRule="exact"/>
        <w:jc w:val="both"/>
        <w:rPr>
          <w:rFonts w:ascii="方正小标宋简体" w:eastAsia="方正小标宋简体"/>
          <w:color w:val="auto"/>
        </w:rPr>
      </w:pPr>
    </w:p>
    <w:tbl>
      <w:tblPr>
        <w:tblStyle w:val="41"/>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413"/>
      </w:tblGrid>
      <w:tr w14:paraId="50DB0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26" w:type="dxa"/>
            <w:gridSpan w:val="2"/>
            <w:noWrap/>
            <w:vAlign w:val="center"/>
          </w:tcPr>
          <w:p w14:paraId="373F8EA7">
            <w:pPr>
              <w:pStyle w:val="128"/>
              <w:tabs>
                <w:tab w:val="left" w:pos="-1800"/>
                <w:tab w:val="left" w:pos="420"/>
              </w:tabs>
              <w:spacing w:line="360" w:lineRule="auto"/>
              <w:ind w:firstLine="0" w:firstLineChars="0"/>
              <w:rPr>
                <w:rFonts w:ascii="宋体" w:hAnsi="宋体" w:cs="宋体"/>
                <w:b/>
                <w:bCs/>
                <w:color w:val="auto"/>
                <w:szCs w:val="21"/>
              </w:rPr>
            </w:pPr>
            <w:r>
              <w:rPr>
                <w:rFonts w:hint="eastAsia" w:ascii="宋体" w:hAnsi="宋体" w:cs="宋体"/>
                <w:b/>
                <w:bCs/>
                <w:color w:val="auto"/>
                <w:szCs w:val="21"/>
              </w:rPr>
              <w:t>二、商务要求</w:t>
            </w:r>
          </w:p>
        </w:tc>
      </w:tr>
      <w:tr w14:paraId="47EF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3" w:type="dxa"/>
            <w:noWrap/>
            <w:vAlign w:val="center"/>
          </w:tcPr>
          <w:p w14:paraId="46AE0DE6">
            <w:pPr>
              <w:spacing w:line="360" w:lineRule="auto"/>
              <w:jc w:val="center"/>
              <w:rPr>
                <w:rFonts w:ascii="宋体" w:hAnsi="宋体" w:cs="宋体"/>
                <w:color w:val="auto"/>
                <w:szCs w:val="21"/>
              </w:rPr>
            </w:pPr>
            <w:r>
              <w:rPr>
                <w:rFonts w:hint="eastAsia" w:ascii="宋体" w:hAnsi="宋体" w:cs="宋体"/>
                <w:color w:val="auto"/>
                <w:szCs w:val="21"/>
              </w:rPr>
              <w:t>交货期及交货地点、交货方式</w:t>
            </w:r>
          </w:p>
        </w:tc>
        <w:tc>
          <w:tcPr>
            <w:tcW w:w="8413" w:type="dxa"/>
            <w:noWrap/>
            <w:vAlign w:val="center"/>
          </w:tcPr>
          <w:p w14:paraId="4320E8FC">
            <w:pPr>
              <w:spacing w:line="420" w:lineRule="exact"/>
              <w:rPr>
                <w:rFonts w:hint="eastAsia" w:ascii="宋体" w:hAnsi="宋体"/>
                <w:color w:val="auto"/>
                <w:szCs w:val="21"/>
              </w:rPr>
            </w:pPr>
            <w:r>
              <w:rPr>
                <w:rFonts w:hint="eastAsia" w:ascii="宋体" w:hAnsi="宋体"/>
                <w:color w:val="auto"/>
                <w:szCs w:val="21"/>
              </w:rPr>
              <w:t>1.交货期：合同签订之日起45日内全部安装调试完毕并交付使用。</w:t>
            </w:r>
          </w:p>
          <w:p w14:paraId="7CC7433A">
            <w:pPr>
              <w:spacing w:line="420" w:lineRule="exact"/>
              <w:rPr>
                <w:rFonts w:hint="eastAsia" w:ascii="宋体" w:hAnsi="宋体"/>
                <w:color w:val="auto"/>
                <w:szCs w:val="21"/>
              </w:rPr>
            </w:pPr>
            <w:r>
              <w:rPr>
                <w:rFonts w:hint="eastAsia" w:ascii="宋体" w:hAnsi="宋体"/>
                <w:color w:val="auto"/>
                <w:szCs w:val="21"/>
              </w:rPr>
              <w:t>2.交付地点：钦州市采购人指定地点。</w:t>
            </w:r>
          </w:p>
          <w:p w14:paraId="114298A2">
            <w:pPr>
              <w:spacing w:line="420" w:lineRule="exact"/>
              <w:rPr>
                <w:rFonts w:hint="eastAsia" w:ascii="宋体" w:hAnsi="宋体" w:eastAsia="宋体" w:cs="宋体"/>
                <w:color w:val="auto"/>
                <w:szCs w:val="21"/>
                <w:lang w:val="en-US" w:eastAsia="zh-CN"/>
              </w:rPr>
            </w:pPr>
            <w:r>
              <w:rPr>
                <w:rFonts w:hint="eastAsia" w:ascii="宋体" w:hAnsi="宋体"/>
                <w:color w:val="auto"/>
                <w:szCs w:val="21"/>
              </w:rPr>
              <w:t>3.交货方式：现场验收交货</w:t>
            </w:r>
            <w:r>
              <w:rPr>
                <w:rFonts w:hint="eastAsia" w:ascii="宋体" w:hAnsi="宋体"/>
                <w:color w:val="auto"/>
                <w:szCs w:val="21"/>
                <w:lang w:eastAsia="zh-CN"/>
              </w:rPr>
              <w:t>。</w:t>
            </w:r>
          </w:p>
        </w:tc>
      </w:tr>
      <w:tr w14:paraId="5942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3" w:type="dxa"/>
            <w:noWrap/>
            <w:vAlign w:val="center"/>
          </w:tcPr>
          <w:p w14:paraId="689BEEFF">
            <w:pPr>
              <w:spacing w:line="360" w:lineRule="auto"/>
              <w:jc w:val="left"/>
              <w:rPr>
                <w:rFonts w:ascii="宋体" w:hAnsi="宋体" w:cs="宋体"/>
                <w:color w:val="auto"/>
                <w:szCs w:val="21"/>
              </w:rPr>
            </w:pPr>
            <w:r>
              <w:rPr>
                <w:rFonts w:hint="eastAsia" w:ascii="宋体" w:hAnsi="宋体" w:cs="宋体"/>
                <w:color w:val="auto"/>
                <w:szCs w:val="21"/>
              </w:rPr>
              <w:t>售后服务要求</w:t>
            </w:r>
          </w:p>
        </w:tc>
        <w:tc>
          <w:tcPr>
            <w:tcW w:w="8413" w:type="dxa"/>
            <w:noWrap/>
            <w:vAlign w:val="center"/>
          </w:tcPr>
          <w:p w14:paraId="40BE632B">
            <w:pPr>
              <w:spacing w:line="440" w:lineRule="exact"/>
              <w:rPr>
                <w:rFonts w:ascii="宋体" w:hAnsi="宋体" w:cs="宋体"/>
                <w:color w:val="auto"/>
                <w:szCs w:val="21"/>
              </w:rPr>
            </w:pPr>
            <w:r>
              <w:rPr>
                <w:rFonts w:hint="eastAsia" w:ascii="宋体" w:hAnsi="宋体" w:cs="宋体"/>
                <w:color w:val="auto"/>
                <w:szCs w:val="21"/>
                <w:lang w:val="zh-CN"/>
              </w:rPr>
              <w:t>1.</w:t>
            </w:r>
            <w:r>
              <w:rPr>
                <w:rFonts w:hint="eastAsia" w:ascii="宋体" w:hAnsi="宋体" w:cs="宋体"/>
                <w:color w:val="auto"/>
                <w:szCs w:val="21"/>
              </w:rPr>
              <w:t>免费</w:t>
            </w:r>
            <w:r>
              <w:rPr>
                <w:rFonts w:hint="eastAsia" w:ascii="宋体" w:hAnsi="宋体" w:cs="宋体"/>
                <w:color w:val="auto"/>
                <w:szCs w:val="21"/>
                <w:lang w:val="zh-CN"/>
              </w:rPr>
              <w:t>保修期：按国家有关产品“三包”规定执行“三包”，免费保修期不得少于</w:t>
            </w:r>
            <w:r>
              <w:rPr>
                <w:rFonts w:hint="eastAsia" w:ascii="宋体" w:hAnsi="宋体" w:cs="宋体"/>
                <w:color w:val="auto"/>
                <w:szCs w:val="21"/>
              </w:rPr>
              <w:t>1</w:t>
            </w:r>
            <w:r>
              <w:rPr>
                <w:rFonts w:hint="eastAsia" w:ascii="宋体" w:hAnsi="宋体" w:cs="宋体"/>
                <w:color w:val="auto"/>
                <w:szCs w:val="21"/>
                <w:lang w:val="zh-CN"/>
              </w:rPr>
              <w:t>年（免费保修期从设备验收合格之日起计算）。</w:t>
            </w:r>
          </w:p>
          <w:p w14:paraId="744075E6">
            <w:pPr>
              <w:spacing w:line="440" w:lineRule="exact"/>
              <w:rPr>
                <w:rFonts w:ascii="宋体" w:hAnsi="宋体" w:cs="宋体"/>
                <w:color w:val="auto"/>
                <w:szCs w:val="21"/>
                <w:lang w:val="zh-CN"/>
              </w:rPr>
            </w:pPr>
            <w:r>
              <w:rPr>
                <w:rFonts w:hint="eastAsia" w:ascii="宋体" w:hAnsi="宋体" w:cs="宋体"/>
                <w:color w:val="auto"/>
                <w:szCs w:val="21"/>
              </w:rPr>
              <w:t>2</w:t>
            </w:r>
            <w:r>
              <w:rPr>
                <w:rFonts w:hint="eastAsia" w:ascii="宋体" w:hAnsi="宋体" w:cs="宋体"/>
                <w:color w:val="auto"/>
                <w:szCs w:val="21"/>
                <w:lang w:val="zh-CN"/>
              </w:rPr>
              <w:t>.售后服务</w:t>
            </w:r>
            <w:r>
              <w:rPr>
                <w:rFonts w:hint="eastAsia" w:ascii="宋体" w:hAnsi="宋体" w:cs="宋体"/>
                <w:color w:val="auto"/>
                <w:szCs w:val="21"/>
              </w:rPr>
              <w:t>其他</w:t>
            </w:r>
            <w:r>
              <w:rPr>
                <w:rFonts w:hint="eastAsia" w:ascii="宋体" w:hAnsi="宋体" w:cs="宋体"/>
                <w:color w:val="auto"/>
                <w:szCs w:val="21"/>
                <w:lang w:val="zh-CN"/>
              </w:rPr>
              <w:t xml:space="preserve">要求： </w:t>
            </w:r>
          </w:p>
          <w:p w14:paraId="0C1BDF3C">
            <w:pPr>
              <w:spacing w:line="440" w:lineRule="exact"/>
              <w:rPr>
                <w:rFonts w:ascii="宋体" w:hAnsi="宋体" w:cs="宋体"/>
                <w:color w:val="auto"/>
                <w:szCs w:val="21"/>
                <w:lang w:val="zh-CN"/>
              </w:rPr>
            </w:pPr>
            <w:r>
              <w:rPr>
                <w:rFonts w:hint="eastAsia" w:ascii="宋体" w:hAnsi="宋体" w:cs="宋体"/>
                <w:color w:val="auto"/>
                <w:szCs w:val="21"/>
                <w:lang w:val="zh-CN"/>
              </w:rPr>
              <w:t>（1）送货上门、按现场条件全程负责安装调试，直至最终验收前产生的所有费用由成交人承担、</w:t>
            </w:r>
            <w:r>
              <w:rPr>
                <w:rFonts w:hint="eastAsia" w:ascii="宋体" w:hAnsi="宋体" w:cs="宋体"/>
                <w:color w:val="auto"/>
                <w:szCs w:val="21"/>
              </w:rPr>
              <w:t>直到</w:t>
            </w:r>
            <w:r>
              <w:rPr>
                <w:rFonts w:hint="eastAsia" w:ascii="宋体" w:hAnsi="宋体" w:cs="宋体"/>
                <w:color w:val="auto"/>
                <w:szCs w:val="21"/>
                <w:lang w:val="zh-CN"/>
              </w:rPr>
              <w:t>调试合格。</w:t>
            </w:r>
          </w:p>
          <w:p w14:paraId="370BC4CA">
            <w:pPr>
              <w:spacing w:line="440" w:lineRule="exact"/>
              <w:rPr>
                <w:rFonts w:ascii="宋体" w:hAnsi="宋体" w:cs="宋体"/>
                <w:color w:val="auto"/>
                <w:szCs w:val="21"/>
                <w:lang w:val="zh-CN"/>
              </w:rPr>
            </w:pPr>
            <w:r>
              <w:rPr>
                <w:rFonts w:hint="eastAsia" w:ascii="宋体" w:hAnsi="宋体" w:cs="宋体"/>
                <w:color w:val="auto"/>
                <w:szCs w:val="21"/>
                <w:lang w:val="zh-CN"/>
              </w:rPr>
              <w:t>（2）按采购人要求进行</w:t>
            </w:r>
            <w:r>
              <w:rPr>
                <w:rFonts w:hint="eastAsia" w:ascii="宋体" w:hAnsi="宋体" w:cs="宋体"/>
                <w:color w:val="auto"/>
                <w:szCs w:val="21"/>
              </w:rPr>
              <w:t>不少于2次</w:t>
            </w:r>
            <w:r>
              <w:rPr>
                <w:rFonts w:hint="eastAsia" w:ascii="宋体" w:hAnsi="宋体" w:cs="宋体"/>
                <w:color w:val="auto"/>
                <w:szCs w:val="21"/>
                <w:lang w:val="zh-CN"/>
              </w:rPr>
              <w:t xml:space="preserve">技术培训，直至操作人员熟练操作产品的各项功能。 </w:t>
            </w:r>
          </w:p>
          <w:p w14:paraId="4F100437">
            <w:pPr>
              <w:spacing w:line="440" w:lineRule="exact"/>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3</w:t>
            </w:r>
            <w:r>
              <w:rPr>
                <w:rFonts w:hint="eastAsia" w:ascii="宋体" w:hAnsi="宋体" w:cs="宋体"/>
                <w:color w:val="auto"/>
                <w:szCs w:val="21"/>
                <w:lang w:val="zh-CN"/>
              </w:rPr>
              <w:t>）故障为响应时间：在设备发生故障时在接到采购人通知后2小时内到达现场处理，一般故障处理时限不超过8小时，2个工作日</w:t>
            </w:r>
            <w:r>
              <w:rPr>
                <w:rFonts w:hint="eastAsia" w:ascii="宋体" w:hAnsi="宋体" w:cs="宋体"/>
                <w:color w:val="auto"/>
                <w:szCs w:val="21"/>
              </w:rPr>
              <w:t>内</w:t>
            </w:r>
            <w:r>
              <w:rPr>
                <w:rFonts w:hint="eastAsia" w:ascii="宋体" w:hAnsi="宋体" w:cs="宋体"/>
                <w:color w:val="auto"/>
                <w:szCs w:val="21"/>
                <w:lang w:val="zh-CN"/>
              </w:rPr>
              <w:t>对于未能解决的问题和故障，应提供可行的升级方案，并提供周转设备。</w:t>
            </w:r>
          </w:p>
          <w:p w14:paraId="4C5535B6">
            <w:pPr>
              <w:spacing w:line="440" w:lineRule="exact"/>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4</w:t>
            </w:r>
            <w:r>
              <w:rPr>
                <w:rFonts w:hint="eastAsia" w:ascii="宋体" w:hAnsi="宋体" w:cs="宋体"/>
                <w:color w:val="auto"/>
                <w:szCs w:val="21"/>
                <w:lang w:val="zh-CN"/>
              </w:rPr>
              <w:t>）保修期内免费定期上门检查、</w:t>
            </w:r>
            <w:r>
              <w:rPr>
                <w:rFonts w:hint="eastAsia" w:ascii="宋体" w:hAnsi="宋体" w:cs="宋体"/>
                <w:color w:val="auto"/>
                <w:szCs w:val="21"/>
              </w:rPr>
              <w:t>调试，</w:t>
            </w:r>
            <w:r>
              <w:rPr>
                <w:rFonts w:hint="eastAsia" w:ascii="宋体" w:hAnsi="宋体" w:cs="宋体"/>
                <w:color w:val="auto"/>
                <w:szCs w:val="21"/>
                <w:lang w:val="zh-CN"/>
              </w:rPr>
              <w:t>免费上门维修服务（免收维修费和元器件费）。维修中如需要更换配件的，要求更换的配件应跟被更换的品牌、类型相一致或者是同类同档次的替代品，后者需提供相应证明文件并征得采购方管理人员同意。</w:t>
            </w:r>
          </w:p>
          <w:p w14:paraId="39DC1684">
            <w:pPr>
              <w:spacing w:line="440" w:lineRule="exact"/>
              <w:rPr>
                <w:rFonts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5）</w:t>
            </w:r>
            <w:r>
              <w:rPr>
                <w:rFonts w:hint="eastAsia" w:ascii="宋体" w:hAnsi="宋体" w:cs="宋体"/>
                <w:color w:val="auto"/>
                <w:szCs w:val="21"/>
                <w:lang w:val="zh-CN"/>
              </w:rPr>
              <w:t>验收所需工具、器材由成交人自理。</w:t>
            </w:r>
          </w:p>
          <w:p w14:paraId="33DAF6FF">
            <w:pPr>
              <w:spacing w:line="440" w:lineRule="exact"/>
              <w:rPr>
                <w:rFonts w:ascii="宋体" w:hAnsi="宋体" w:cs="宋体"/>
                <w:color w:val="auto"/>
                <w:szCs w:val="21"/>
                <w:lang w:val="zh-CN"/>
              </w:rPr>
            </w:pPr>
            <w:r>
              <w:rPr>
                <w:rFonts w:hint="eastAsia" w:ascii="宋体" w:hAnsi="宋体" w:cs="宋体"/>
                <w:color w:val="auto"/>
                <w:szCs w:val="21"/>
                <w:lang w:val="zh-CN"/>
              </w:rPr>
              <w:t>（</w:t>
            </w:r>
            <w:r>
              <w:rPr>
                <w:rFonts w:hint="eastAsia" w:ascii="宋体" w:hAnsi="宋体" w:cs="宋体"/>
                <w:color w:val="auto"/>
                <w:szCs w:val="21"/>
              </w:rPr>
              <w:t>6）</w:t>
            </w:r>
            <w:r>
              <w:rPr>
                <w:rFonts w:hint="eastAsia" w:ascii="宋体" w:hAnsi="宋体" w:cs="宋体"/>
                <w:color w:val="auto"/>
                <w:szCs w:val="21"/>
                <w:lang w:val="zh-CN"/>
              </w:rPr>
              <w:t>成交人负责处理解决货物出现的质量及安全问题并承担一切费用，所有非故意性损坏以及正常使用范围内造成的损坏均要免费维修。因人为因素出现的故障不在免费保修范围内，但成交人也要积极帮助采购人修理，并提供优惠价格的配件和服务。</w:t>
            </w:r>
          </w:p>
          <w:p w14:paraId="046F8A6D">
            <w:pPr>
              <w:spacing w:line="440" w:lineRule="exact"/>
              <w:rPr>
                <w:rFonts w:ascii="宋体" w:hAnsi="宋体" w:cs="宋体"/>
                <w:color w:val="auto"/>
                <w:szCs w:val="21"/>
              </w:rPr>
            </w:pPr>
            <w:r>
              <w:rPr>
                <w:rFonts w:hint="eastAsia" w:ascii="宋体" w:hAnsi="宋体" w:cs="宋体"/>
                <w:color w:val="auto"/>
                <w:szCs w:val="21"/>
                <w:lang w:val="zh-CN"/>
              </w:rPr>
              <w:t>（</w:t>
            </w:r>
            <w:r>
              <w:rPr>
                <w:rFonts w:hint="eastAsia" w:ascii="宋体" w:hAnsi="宋体" w:cs="宋体"/>
                <w:color w:val="auto"/>
                <w:szCs w:val="21"/>
              </w:rPr>
              <w:t>7</w:t>
            </w:r>
            <w:r>
              <w:rPr>
                <w:rFonts w:hint="eastAsia" w:ascii="宋体" w:hAnsi="宋体" w:cs="宋体"/>
                <w:color w:val="auto"/>
                <w:szCs w:val="21"/>
                <w:lang w:val="zh-CN"/>
              </w:rPr>
              <w:t>）</w:t>
            </w:r>
            <w:r>
              <w:rPr>
                <w:rFonts w:hint="eastAsia"/>
                <w:color w:val="auto"/>
              </w:rPr>
              <w:t>新设备采购后更换旧设备，成交人</w:t>
            </w:r>
            <w:r>
              <w:rPr>
                <w:color w:val="auto"/>
              </w:rPr>
              <w:t>负责把拆下来的</w:t>
            </w:r>
            <w:r>
              <w:rPr>
                <w:rFonts w:hint="eastAsia"/>
                <w:color w:val="auto"/>
              </w:rPr>
              <w:t>旧</w:t>
            </w:r>
            <w:r>
              <w:rPr>
                <w:color w:val="auto"/>
              </w:rPr>
              <w:t>设备和</w:t>
            </w:r>
            <w:r>
              <w:rPr>
                <w:rFonts w:hint="eastAsia"/>
                <w:color w:val="auto"/>
              </w:rPr>
              <w:t>因此产生的</w:t>
            </w:r>
            <w:r>
              <w:rPr>
                <w:color w:val="auto"/>
              </w:rPr>
              <w:t>垃圾放到采购人指定的存放地点</w:t>
            </w:r>
            <w:r>
              <w:rPr>
                <w:rFonts w:hint="eastAsia"/>
                <w:color w:val="auto"/>
              </w:rPr>
              <w:t>（北部湾大学校内）。</w:t>
            </w:r>
          </w:p>
        </w:tc>
      </w:tr>
      <w:tr w14:paraId="6EF7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3" w:type="dxa"/>
            <w:noWrap/>
            <w:vAlign w:val="center"/>
          </w:tcPr>
          <w:p w14:paraId="7680BB8A">
            <w:pPr>
              <w:snapToGrid w:val="0"/>
              <w:spacing w:line="360" w:lineRule="auto"/>
              <w:jc w:val="center"/>
              <w:rPr>
                <w:rFonts w:ascii="宋体" w:hAnsi="宋体" w:cs="宋体"/>
                <w:color w:val="auto"/>
                <w:szCs w:val="21"/>
              </w:rPr>
            </w:pPr>
            <w:r>
              <w:rPr>
                <w:rFonts w:hint="eastAsia" w:ascii="宋体" w:hAnsi="宋体" w:cs="宋体"/>
                <w:color w:val="auto"/>
                <w:szCs w:val="21"/>
              </w:rPr>
              <w:t>竞标报价</w:t>
            </w:r>
          </w:p>
        </w:tc>
        <w:tc>
          <w:tcPr>
            <w:tcW w:w="8413" w:type="dxa"/>
            <w:noWrap/>
            <w:vAlign w:val="center"/>
          </w:tcPr>
          <w:p w14:paraId="002D43C5">
            <w:pPr>
              <w:snapToGrid w:val="0"/>
              <w:spacing w:line="360" w:lineRule="auto"/>
              <w:rPr>
                <w:rFonts w:ascii="宋体" w:hAnsi="宋体" w:cs="宋体"/>
                <w:color w:val="auto"/>
                <w:szCs w:val="21"/>
              </w:rPr>
            </w:pPr>
            <w:r>
              <w:rPr>
                <w:rFonts w:hint="eastAsia" w:ascii="宋体" w:hAnsi="宋体" w:cs="宋体"/>
                <w:color w:val="auto"/>
                <w:szCs w:val="21"/>
              </w:rPr>
              <w:t>投标报价为采购人指定地点的现场交货价，包括：</w:t>
            </w:r>
          </w:p>
          <w:p w14:paraId="66CE2870">
            <w:pPr>
              <w:snapToGrid w:val="0"/>
              <w:spacing w:line="360" w:lineRule="auto"/>
              <w:rPr>
                <w:rFonts w:ascii="宋体" w:hAnsi="宋体" w:cs="宋体"/>
                <w:color w:val="auto"/>
                <w:szCs w:val="21"/>
              </w:rPr>
            </w:pPr>
            <w:r>
              <w:rPr>
                <w:rFonts w:hint="eastAsia" w:ascii="宋体" w:hAnsi="宋体" w:cs="宋体"/>
                <w:color w:val="auto"/>
                <w:szCs w:val="21"/>
              </w:rPr>
              <w:t>1.完全满足技术参数要求的货物主体及货物所需附加品的价格、线路与网络安装；</w:t>
            </w:r>
          </w:p>
          <w:p w14:paraId="7BFC7F16">
            <w:pPr>
              <w:snapToGrid w:val="0"/>
              <w:spacing w:line="360" w:lineRule="auto"/>
              <w:rPr>
                <w:rFonts w:ascii="宋体" w:hAnsi="宋体" w:cs="宋体"/>
                <w:color w:val="auto"/>
                <w:szCs w:val="21"/>
              </w:rPr>
            </w:pPr>
            <w:r>
              <w:rPr>
                <w:rFonts w:hint="eastAsia" w:ascii="宋体" w:hAnsi="宋体" w:cs="宋体"/>
                <w:color w:val="auto"/>
                <w:szCs w:val="21"/>
              </w:rPr>
              <w:t>2.货物的包装、标准附件、备品备件、专用工具的价格；</w:t>
            </w:r>
          </w:p>
          <w:p w14:paraId="314221D9">
            <w:pPr>
              <w:snapToGrid w:val="0"/>
              <w:spacing w:line="360" w:lineRule="auto"/>
              <w:rPr>
                <w:rFonts w:ascii="宋体" w:hAnsi="宋体" w:cs="宋体"/>
                <w:color w:val="auto"/>
                <w:szCs w:val="21"/>
              </w:rPr>
            </w:pPr>
            <w:r>
              <w:rPr>
                <w:rFonts w:hint="eastAsia" w:ascii="宋体" w:hAnsi="宋体" w:cs="宋体"/>
                <w:color w:val="auto"/>
                <w:szCs w:val="21"/>
              </w:rPr>
              <w:t>3.运输、装卸、安装、调试、技术支持、售后服务等费用；</w:t>
            </w:r>
          </w:p>
          <w:p w14:paraId="2CE56EF9">
            <w:pPr>
              <w:snapToGrid w:val="0"/>
              <w:spacing w:line="360" w:lineRule="auto"/>
              <w:rPr>
                <w:rFonts w:ascii="宋体" w:hAnsi="宋体" w:cs="宋体"/>
                <w:color w:val="auto"/>
                <w:szCs w:val="21"/>
              </w:rPr>
            </w:pPr>
            <w:r>
              <w:rPr>
                <w:rFonts w:hint="eastAsia" w:ascii="宋体" w:hAnsi="宋体" w:cs="宋体"/>
                <w:color w:val="auto"/>
                <w:szCs w:val="21"/>
              </w:rPr>
              <w:t>4.必要的保险费用和各项税费；</w:t>
            </w:r>
          </w:p>
          <w:p w14:paraId="66F1DDEC">
            <w:pPr>
              <w:snapToGrid w:val="0"/>
              <w:spacing w:line="360" w:lineRule="auto"/>
              <w:rPr>
                <w:rFonts w:ascii="宋体" w:hAnsi="宋体" w:cs="宋体"/>
                <w:color w:val="auto"/>
                <w:szCs w:val="21"/>
              </w:rPr>
            </w:pPr>
            <w:r>
              <w:rPr>
                <w:rFonts w:hint="eastAsia" w:ascii="宋体" w:hAnsi="宋体" w:cs="宋体"/>
                <w:color w:val="auto"/>
                <w:szCs w:val="21"/>
              </w:rPr>
              <w:t>5.竞标人报价需包括本招标采购需求表中所需货物安装的安装费用；</w:t>
            </w:r>
          </w:p>
          <w:p w14:paraId="789F0E78">
            <w:pPr>
              <w:snapToGrid w:val="0"/>
              <w:spacing w:line="360" w:lineRule="auto"/>
              <w:rPr>
                <w:rFonts w:ascii="宋体" w:hAnsi="宋体" w:cs="宋体"/>
                <w:color w:val="auto"/>
                <w:szCs w:val="21"/>
              </w:rPr>
            </w:pPr>
            <w:r>
              <w:rPr>
                <w:rFonts w:hint="eastAsia" w:ascii="宋体" w:hAnsi="宋体" w:cs="宋体"/>
                <w:color w:val="auto"/>
                <w:szCs w:val="21"/>
              </w:rPr>
              <w:t>6.安装过程中产生的所有费用都由成交人承担。</w:t>
            </w:r>
          </w:p>
        </w:tc>
      </w:tr>
      <w:tr w14:paraId="1E10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3" w:type="dxa"/>
            <w:noWrap/>
            <w:vAlign w:val="center"/>
          </w:tcPr>
          <w:p w14:paraId="004782AA">
            <w:pPr>
              <w:spacing w:line="360" w:lineRule="auto"/>
              <w:jc w:val="center"/>
              <w:rPr>
                <w:rFonts w:ascii="宋体" w:hAnsi="宋体" w:cs="宋体"/>
                <w:color w:val="auto"/>
                <w:szCs w:val="21"/>
              </w:rPr>
            </w:pPr>
            <w:r>
              <w:rPr>
                <w:rFonts w:hint="eastAsia" w:ascii="宋体" w:hAnsi="宋体" w:cs="宋体"/>
                <w:color w:val="auto"/>
                <w:szCs w:val="21"/>
              </w:rPr>
              <w:t>付款方式</w:t>
            </w:r>
          </w:p>
        </w:tc>
        <w:tc>
          <w:tcPr>
            <w:tcW w:w="8413" w:type="dxa"/>
            <w:noWrap/>
            <w:vAlign w:val="center"/>
          </w:tcPr>
          <w:p w14:paraId="269052F5">
            <w:pPr>
              <w:snapToGrid w:val="0"/>
              <w:spacing w:line="360" w:lineRule="auto"/>
              <w:rPr>
                <w:rFonts w:ascii="宋体" w:hAnsi="宋体" w:cs="宋体"/>
                <w:color w:val="auto"/>
                <w:szCs w:val="21"/>
              </w:rPr>
            </w:pPr>
            <w:r>
              <w:rPr>
                <w:rFonts w:hint="eastAsia" w:ascii="宋体" w:hAnsi="宋体" w:cs="宋体"/>
                <w:color w:val="auto"/>
                <w:szCs w:val="21"/>
              </w:rPr>
              <w:t>1.项目签订合同后10个工作日内由成交人开出合同总金额30%的增值税发票，采购人自收到齐全的付款材料之日起十个工作日内预付给成交人合同总金额的30%。</w:t>
            </w:r>
          </w:p>
          <w:p w14:paraId="2FB86991">
            <w:pPr>
              <w:snapToGrid w:val="0"/>
              <w:spacing w:line="360" w:lineRule="auto"/>
              <w:rPr>
                <w:rFonts w:ascii="宋体" w:hAnsi="宋体" w:cs="宋体"/>
                <w:color w:val="auto"/>
                <w:szCs w:val="21"/>
              </w:rPr>
            </w:pPr>
            <w:r>
              <w:rPr>
                <w:rFonts w:hint="eastAsia" w:ascii="宋体" w:hAnsi="宋体" w:cs="宋体"/>
                <w:color w:val="auto"/>
                <w:szCs w:val="21"/>
              </w:rPr>
              <w:t xml:space="preserve">2.成交人将所有设备及配套设施安装调试完毕，并正常运转，且为采购人培训结束，采购人无疑问后，经采购人最终验收合格，由成交人开出合同总金额的70%增值税发票，采购人自收到齐全的付款材料之日起二十个工作日内支付给成交人合同总金额的70%。 </w:t>
            </w:r>
          </w:p>
          <w:p w14:paraId="551EB74E">
            <w:pPr>
              <w:snapToGrid w:val="0"/>
              <w:spacing w:line="360" w:lineRule="auto"/>
              <w:rPr>
                <w:rFonts w:ascii="宋体" w:hAnsi="宋体" w:cs="宋体"/>
                <w:color w:val="auto"/>
                <w:szCs w:val="21"/>
              </w:rPr>
            </w:pPr>
            <w:r>
              <w:rPr>
                <w:rFonts w:hint="eastAsia" w:ascii="宋体" w:hAnsi="宋体" w:cs="宋体"/>
                <w:color w:val="auto"/>
                <w:szCs w:val="21"/>
              </w:rPr>
              <w:t>3.履约保证金：</w:t>
            </w:r>
          </w:p>
          <w:p w14:paraId="65E3C94B">
            <w:pPr>
              <w:snapToGrid w:val="0"/>
              <w:spacing w:line="360" w:lineRule="auto"/>
              <w:rPr>
                <w:rFonts w:ascii="宋体" w:hAnsi="宋体" w:cs="宋体"/>
                <w:color w:val="auto"/>
                <w:szCs w:val="21"/>
              </w:rPr>
            </w:pPr>
            <w:r>
              <w:rPr>
                <w:rFonts w:hint="eastAsia" w:ascii="宋体" w:hAnsi="宋体" w:cs="宋体"/>
                <w:color w:val="auto"/>
                <w:szCs w:val="21"/>
              </w:rPr>
              <w:t xml:space="preserve">（1）成交人应在合同签订前向采购人交纳履约保证金，履约保证金额为合同总价款的5%（成交人被评委认定为中小微企业的收取2%）。 </w:t>
            </w:r>
          </w:p>
          <w:p w14:paraId="5A645687">
            <w:pPr>
              <w:snapToGrid w:val="0"/>
              <w:spacing w:line="360" w:lineRule="auto"/>
              <w:rPr>
                <w:rFonts w:ascii="宋体" w:hAnsi="宋体" w:cs="宋体"/>
                <w:color w:val="auto"/>
                <w:szCs w:val="21"/>
              </w:rPr>
            </w:pPr>
            <w:r>
              <w:rPr>
                <w:rFonts w:hint="eastAsia" w:ascii="宋体" w:hAnsi="宋体" w:cs="宋体"/>
                <w:color w:val="auto"/>
                <w:szCs w:val="21"/>
              </w:rPr>
              <w:t>（2）合同签订后，如成交人按合同履约的，并按照售后服务要求履行承诺且无质量问题的，自最终验收合格之日起，项目履约完成后由成交人向采购人发出付款函，采购人自收到函件之日起二十个工作日内向成交人支付（无息）。如成交人不按双方签订的合同履约的，履约保证金不予退还，造成采购人损失的，按实际损失赔偿。</w:t>
            </w:r>
          </w:p>
          <w:p w14:paraId="40886306">
            <w:pPr>
              <w:snapToGrid w:val="0"/>
              <w:spacing w:line="360" w:lineRule="auto"/>
              <w:rPr>
                <w:rFonts w:ascii="宋体" w:hAnsi="宋体" w:cs="宋体"/>
                <w:color w:val="auto"/>
                <w:szCs w:val="21"/>
              </w:rPr>
            </w:pPr>
            <w:r>
              <w:rPr>
                <w:rFonts w:hint="eastAsia" w:ascii="宋体" w:hAnsi="宋体" w:cs="宋体"/>
                <w:color w:val="auto"/>
                <w:szCs w:val="21"/>
              </w:rPr>
              <w:t>（3）在履约保证金到期退还日期前，若成交人的开户名称、开户银行、帐号有变动的，请以书面形式通知采购人，否则由此产生的后果由成交人承担。</w:t>
            </w:r>
          </w:p>
        </w:tc>
      </w:tr>
      <w:tr w14:paraId="0A3F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3" w:type="dxa"/>
            <w:noWrap/>
            <w:vAlign w:val="center"/>
          </w:tcPr>
          <w:p w14:paraId="1308691C">
            <w:pPr>
              <w:snapToGrid w:val="0"/>
              <w:spacing w:line="360" w:lineRule="auto"/>
              <w:jc w:val="center"/>
              <w:rPr>
                <w:rFonts w:ascii="宋体" w:hAnsi="宋体" w:cs="宋体"/>
                <w:color w:val="auto"/>
                <w:szCs w:val="21"/>
              </w:rPr>
            </w:pPr>
            <w:r>
              <w:rPr>
                <w:rFonts w:hint="eastAsia" w:ascii="宋体" w:hAnsi="宋体" w:cs="宋体"/>
                <w:color w:val="auto"/>
                <w:szCs w:val="21"/>
              </w:rPr>
              <w:t>验收标准及条件要求</w:t>
            </w:r>
          </w:p>
        </w:tc>
        <w:tc>
          <w:tcPr>
            <w:tcW w:w="8413" w:type="dxa"/>
            <w:noWrap/>
            <w:vAlign w:val="center"/>
          </w:tcPr>
          <w:p w14:paraId="3BC4B9EB">
            <w:pPr>
              <w:snapToGrid w:val="0"/>
              <w:spacing w:line="360" w:lineRule="auto"/>
              <w:rPr>
                <w:rFonts w:ascii="宋体" w:hAnsi="宋体" w:cs="宋体"/>
                <w:color w:val="auto"/>
                <w:szCs w:val="21"/>
              </w:rPr>
            </w:pPr>
            <w:r>
              <w:rPr>
                <w:rFonts w:hint="eastAsia" w:ascii="宋体" w:hAnsi="宋体" w:cs="宋体"/>
                <w:color w:val="auto"/>
                <w:szCs w:val="21"/>
              </w:rPr>
              <w:t>1.交付验收标准依次序对照适用标准为：①符合中华人民共和国国家安全质量标准、环保标准或行业标准；②符合采购文件和响应文件承诺中采购人认可的合理最佳配置、参数及各项要求；③货物符合国家官方合格标准。</w:t>
            </w:r>
          </w:p>
          <w:p w14:paraId="79B5C3F4">
            <w:pPr>
              <w:snapToGrid w:val="0"/>
              <w:spacing w:line="360" w:lineRule="auto"/>
              <w:rPr>
                <w:rFonts w:ascii="宋体" w:hAnsi="宋体" w:cs="宋体"/>
                <w:color w:val="auto"/>
                <w:szCs w:val="21"/>
              </w:rPr>
            </w:pPr>
            <w:r>
              <w:rPr>
                <w:rFonts w:hint="eastAsia" w:ascii="宋体" w:hAnsi="宋体" w:cs="宋体"/>
                <w:color w:val="auto"/>
                <w:szCs w:val="21"/>
              </w:rPr>
              <w:t>2.成交供应商须确保货物为原制造商制造的全新产品，无污染，无侵权行为、表面无划损、无任何缺陷隐患，在中国境内可依常规安全合法使用。</w:t>
            </w:r>
          </w:p>
          <w:p w14:paraId="1895055B">
            <w:pPr>
              <w:snapToGrid w:val="0"/>
              <w:spacing w:line="360" w:lineRule="auto"/>
              <w:rPr>
                <w:rFonts w:ascii="宋体" w:hAnsi="宋体" w:cs="宋体"/>
                <w:color w:val="auto"/>
                <w:szCs w:val="21"/>
              </w:rPr>
            </w:pPr>
            <w:r>
              <w:rPr>
                <w:rFonts w:hint="eastAsia" w:ascii="宋体" w:hAnsi="宋体" w:cs="宋体"/>
                <w:color w:val="auto"/>
                <w:szCs w:val="21"/>
              </w:rPr>
              <w:t>3.采购人组成验收小组按国家有关规定、规范进行验收，必要时邀请相关的专业人员或机构参与验收。因货物质量问题发生争议时，由相关部门鉴定。鉴定费由成交供应商承担。</w:t>
            </w:r>
          </w:p>
          <w:p w14:paraId="20C6974A">
            <w:pPr>
              <w:snapToGrid w:val="0"/>
              <w:spacing w:line="360" w:lineRule="auto"/>
              <w:rPr>
                <w:rFonts w:ascii="宋体" w:hAnsi="宋体" w:cs="宋体"/>
                <w:color w:val="auto"/>
                <w:szCs w:val="21"/>
              </w:rPr>
            </w:pPr>
            <w:r>
              <w:rPr>
                <w:rFonts w:hint="eastAsia" w:ascii="宋体" w:hAnsi="宋体" w:cs="宋体"/>
                <w:color w:val="auto"/>
                <w:szCs w:val="21"/>
              </w:rPr>
              <w:t>4.验收产生的所有费用皆由成交供应商承担。</w:t>
            </w:r>
          </w:p>
          <w:p w14:paraId="55CAC97B">
            <w:pPr>
              <w:snapToGrid w:val="0"/>
              <w:spacing w:line="360" w:lineRule="auto"/>
              <w:rPr>
                <w:rFonts w:ascii="宋体" w:hAnsi="宋体" w:cs="宋体"/>
                <w:color w:val="auto"/>
                <w:szCs w:val="21"/>
              </w:rPr>
            </w:pPr>
            <w:r>
              <w:rPr>
                <w:rFonts w:hint="eastAsia" w:ascii="宋体" w:hAnsi="宋体" w:cs="宋体"/>
                <w:color w:val="auto"/>
                <w:szCs w:val="21"/>
              </w:rPr>
              <w:t>5.成交供应商提供的货物或服务未达到招标文件规定要求，且对采购人造成损失的，由中标供应商承担一切责任，并赔偿所造成的损失。为尽可能消除因成交供应商不能按合同规定要求供货所造成的影响和损失，采购单位可采取以下两项补救措施：</w:t>
            </w:r>
          </w:p>
          <w:p w14:paraId="62F91C36">
            <w:pPr>
              <w:snapToGrid w:val="0"/>
              <w:spacing w:line="360" w:lineRule="auto"/>
              <w:rPr>
                <w:rFonts w:ascii="宋体" w:hAnsi="宋体" w:cs="宋体"/>
                <w:color w:val="auto"/>
                <w:szCs w:val="21"/>
              </w:rPr>
            </w:pPr>
            <w:r>
              <w:rPr>
                <w:rFonts w:hint="eastAsia" w:ascii="宋体" w:hAnsi="宋体" w:cs="宋体"/>
                <w:color w:val="auto"/>
                <w:szCs w:val="21"/>
              </w:rPr>
              <w:t>（1）随时终止供货合同。该合同终止后，采购单位有权根据法律规定另行确定中标供应商履行该合同。</w:t>
            </w:r>
          </w:p>
          <w:p w14:paraId="28DCE824">
            <w:pPr>
              <w:snapToGrid w:val="0"/>
              <w:spacing w:line="360" w:lineRule="auto"/>
              <w:rPr>
                <w:rFonts w:ascii="宋体" w:hAnsi="宋体" w:cs="宋体"/>
                <w:color w:val="auto"/>
                <w:szCs w:val="21"/>
              </w:rPr>
            </w:pPr>
            <w:r>
              <w:rPr>
                <w:rFonts w:hint="eastAsia" w:ascii="宋体" w:hAnsi="宋体" w:cs="宋体"/>
                <w:color w:val="auto"/>
                <w:szCs w:val="21"/>
              </w:rPr>
              <w:t>（2）随时终止供货合同后，采购人有权不支付该中标供应商已发货到采购单位的货款。</w:t>
            </w:r>
          </w:p>
        </w:tc>
      </w:tr>
      <w:tr w14:paraId="349F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3" w:type="dxa"/>
            <w:noWrap/>
            <w:vAlign w:val="center"/>
          </w:tcPr>
          <w:p w14:paraId="58475126">
            <w:pPr>
              <w:snapToGrid w:val="0"/>
              <w:spacing w:line="360" w:lineRule="auto"/>
              <w:jc w:val="center"/>
              <w:rPr>
                <w:rFonts w:ascii="宋体" w:hAnsi="宋体" w:cs="宋体"/>
                <w:color w:val="auto"/>
                <w:szCs w:val="21"/>
              </w:rPr>
            </w:pPr>
            <w:r>
              <w:rPr>
                <w:rFonts w:hint="eastAsia" w:ascii="宋体" w:hAnsi="宋体"/>
                <w:color w:val="auto"/>
                <w:szCs w:val="21"/>
              </w:rPr>
              <w:t>谈判内容</w:t>
            </w:r>
          </w:p>
        </w:tc>
        <w:tc>
          <w:tcPr>
            <w:tcW w:w="8413" w:type="dxa"/>
            <w:noWrap/>
            <w:vAlign w:val="center"/>
          </w:tcPr>
          <w:p w14:paraId="1CD84BA2">
            <w:pPr>
              <w:spacing w:line="430" w:lineRule="exact"/>
              <w:ind w:firstLine="420" w:firstLineChars="200"/>
              <w:rPr>
                <w:rFonts w:ascii="宋体" w:hAnsi="宋体" w:cs="宋体"/>
                <w:color w:val="auto"/>
                <w:szCs w:val="21"/>
              </w:rPr>
            </w:pPr>
            <w:r>
              <w:rPr>
                <w:rFonts w:hint="eastAsia" w:ascii="宋体" w:hAnsi="宋体" w:cs="宋体"/>
                <w:color w:val="auto"/>
                <w:szCs w:val="21"/>
              </w:rPr>
              <w:t>谈判小组根据与供应商谈判情况可能实质性变动的内容为</w:t>
            </w:r>
            <w:r>
              <w:rPr>
                <w:rFonts w:hint="eastAsia" w:ascii="宋体" w:hAnsi="宋体" w:cs="宋体"/>
                <w:color w:val="auto"/>
                <w:kern w:val="0"/>
                <w:szCs w:val="21"/>
              </w:rPr>
              <w:t>采购需求的技术、服务要求以及合同草案条款中</w:t>
            </w:r>
            <w:r>
              <w:rPr>
                <w:rFonts w:hint="eastAsia" w:ascii="宋体" w:hAnsi="宋体" w:cs="宋体"/>
                <w:color w:val="auto"/>
                <w:szCs w:val="21"/>
              </w:rPr>
              <w:t>未标明“</w:t>
            </w:r>
            <w:r>
              <w:rPr>
                <w:rFonts w:hint="eastAsia" w:ascii="宋体" w:hAnsi="宋体"/>
                <w:b/>
                <w:bCs/>
                <w:color w:val="auto"/>
                <w:kern w:val="0"/>
                <w:szCs w:val="21"/>
              </w:rPr>
              <w:t>▲</w:t>
            </w:r>
            <w:r>
              <w:rPr>
                <w:rFonts w:hint="eastAsia" w:ascii="宋体" w:hAnsi="宋体" w:cs="宋体"/>
                <w:color w:val="auto"/>
                <w:szCs w:val="21"/>
              </w:rPr>
              <w:t>”号的参数。</w:t>
            </w:r>
          </w:p>
        </w:tc>
      </w:tr>
      <w:tr w14:paraId="51A71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26" w:type="dxa"/>
            <w:gridSpan w:val="2"/>
            <w:noWrap/>
            <w:vAlign w:val="center"/>
          </w:tcPr>
          <w:p w14:paraId="2154EFCE">
            <w:pPr>
              <w:rPr>
                <w:rFonts w:ascii="宋体" w:hAnsi="宋体" w:cs="宋体"/>
                <w:color w:val="auto"/>
                <w:kern w:val="0"/>
                <w:szCs w:val="21"/>
                <w:lang w:bidi="ar"/>
              </w:rPr>
            </w:pPr>
            <w:r>
              <w:rPr>
                <w:rFonts w:hint="eastAsia" w:ascii="宋体" w:hAnsi="宋体" w:cs="仿宋"/>
                <w:b/>
                <w:bCs/>
                <w:color w:val="auto"/>
                <w:szCs w:val="21"/>
              </w:rPr>
              <w:t>三、现场踏勘</w:t>
            </w:r>
          </w:p>
        </w:tc>
      </w:tr>
      <w:tr w14:paraId="7EE0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26" w:type="dxa"/>
            <w:gridSpan w:val="2"/>
            <w:noWrap/>
            <w:vAlign w:val="center"/>
          </w:tcPr>
          <w:p w14:paraId="739E48CD">
            <w:pPr>
              <w:spacing w:line="440" w:lineRule="exact"/>
              <w:ind w:firstLine="420"/>
              <w:rPr>
                <w:rFonts w:ascii="宋体" w:hAnsi="宋体" w:cs="宋体"/>
                <w:color w:val="auto"/>
                <w:kern w:val="0"/>
                <w:szCs w:val="21"/>
                <w:lang w:bidi="ar"/>
              </w:rPr>
            </w:pPr>
            <w:r>
              <w:rPr>
                <w:rFonts w:hint="eastAsia" w:ascii="宋体" w:hAnsi="宋体" w:cs="宋体"/>
                <w:color w:val="auto"/>
                <w:szCs w:val="21"/>
              </w:rPr>
              <w:t>为保证项目质量，竞标人应对项目有全面的了解，采购人和钦州市政府采购中心将组织竞标人统一实地踏勘，以便能做出合理报价。否则由于项目了解不透切导致投标失误的后果由竞标人自行承担，现场踏勘所发生的一切费用均由竞标人自行承担。现场勘查须携带的资料：竞标人代表持获取采购文件回执函、单位介绍信原件或授权委托书、个人身份证原件。现场踏勘集中时间：2025年</w:t>
            </w:r>
            <w:r>
              <w:rPr>
                <w:rFonts w:hint="eastAsia" w:ascii="宋体" w:hAnsi="宋体" w:cs="宋体"/>
                <w:color w:val="auto"/>
                <w:szCs w:val="21"/>
                <w:lang w:val="en-US" w:eastAsia="zh-CN"/>
              </w:rPr>
              <w:t>4</w:t>
            </w:r>
            <w:r>
              <w:rPr>
                <w:rFonts w:hint="eastAsia" w:ascii="宋体" w:hAnsi="宋体" w:cs="宋体"/>
                <w:color w:val="auto"/>
                <w:szCs w:val="21"/>
              </w:rPr>
              <w:t>月</w:t>
            </w:r>
            <w:r>
              <w:rPr>
                <w:rFonts w:hint="eastAsia" w:ascii="宋体" w:hAnsi="宋体" w:cs="宋体"/>
                <w:color w:val="auto"/>
                <w:szCs w:val="21"/>
                <w:lang w:val="en-US" w:eastAsia="zh-CN"/>
              </w:rPr>
              <w:t>22</w:t>
            </w:r>
            <w:r>
              <w:rPr>
                <w:rFonts w:hint="eastAsia" w:ascii="宋体" w:hAnsi="宋体" w:cs="宋体"/>
                <w:color w:val="auto"/>
                <w:szCs w:val="21"/>
              </w:rPr>
              <w:t>日</w:t>
            </w:r>
            <w:r>
              <w:rPr>
                <w:rFonts w:hint="eastAsia" w:ascii="宋体" w:hAnsi="宋体" w:cs="宋体"/>
                <w:color w:val="auto"/>
                <w:szCs w:val="21"/>
                <w:lang w:val="en-US" w:eastAsia="zh-CN"/>
              </w:rPr>
              <w:t>下</w:t>
            </w:r>
            <w:r>
              <w:rPr>
                <w:rFonts w:hint="eastAsia" w:ascii="宋体" w:hAnsi="宋体" w:cs="宋体"/>
                <w:color w:val="auto"/>
                <w:szCs w:val="21"/>
              </w:rPr>
              <w:t>午</w:t>
            </w:r>
            <w:r>
              <w:rPr>
                <w:rFonts w:hint="eastAsia" w:ascii="宋体" w:hAnsi="宋体" w:cs="宋体"/>
                <w:color w:val="auto"/>
                <w:szCs w:val="21"/>
                <w:lang w:val="en-US" w:eastAsia="zh-CN"/>
              </w:rPr>
              <w:t>3</w:t>
            </w:r>
            <w:r>
              <w:rPr>
                <w:rFonts w:hint="eastAsia" w:ascii="宋体" w:hAnsi="宋体" w:cs="宋体"/>
                <w:color w:val="auto"/>
                <w:szCs w:val="21"/>
              </w:rPr>
              <w:t>时00分，过期不候。集中地点：北部湾大学12栋教学楼一楼大厅；联系人：覃老师；联系电话：18977737701。</w:t>
            </w:r>
          </w:p>
        </w:tc>
      </w:tr>
    </w:tbl>
    <w:p w14:paraId="26C816C5">
      <w:pPr>
        <w:pStyle w:val="50"/>
        <w:ind w:firstLine="413" w:firstLineChars="196"/>
        <w:rPr>
          <w:rFonts w:hAnsi="宋体"/>
          <w:b/>
          <w:color w:val="auto"/>
          <w:kern w:val="2"/>
          <w:sz w:val="21"/>
          <w:szCs w:val="22"/>
        </w:rPr>
      </w:pPr>
    </w:p>
    <w:p w14:paraId="5AB5A4DD">
      <w:pPr>
        <w:rPr>
          <w:rFonts w:ascii="方正小标宋简体" w:eastAsia="方正小标宋简体"/>
          <w:color w:val="auto"/>
        </w:rPr>
      </w:pPr>
    </w:p>
    <w:p w14:paraId="1B554A03">
      <w:pPr>
        <w:rPr>
          <w:rFonts w:ascii="方正小标宋简体" w:eastAsia="方正小标宋简体"/>
          <w:color w:val="auto"/>
        </w:rPr>
      </w:pPr>
    </w:p>
    <w:p w14:paraId="1EECA2AC">
      <w:pPr>
        <w:rPr>
          <w:rFonts w:ascii="方正小标宋简体" w:eastAsia="方正小标宋简体"/>
          <w:color w:val="auto"/>
        </w:rPr>
      </w:pPr>
    </w:p>
    <w:p w14:paraId="4FF61838">
      <w:pPr>
        <w:rPr>
          <w:rFonts w:ascii="方正小标宋简体" w:eastAsia="方正小标宋简体"/>
          <w:color w:val="auto"/>
        </w:rPr>
      </w:pPr>
    </w:p>
    <w:p w14:paraId="71769ECA">
      <w:pPr>
        <w:rPr>
          <w:rFonts w:ascii="方正小标宋简体" w:eastAsia="方正小标宋简体"/>
          <w:color w:val="auto"/>
        </w:rPr>
      </w:pPr>
    </w:p>
    <w:p w14:paraId="766343B6">
      <w:pPr>
        <w:rPr>
          <w:rFonts w:ascii="方正小标宋简体" w:eastAsia="方正小标宋简体"/>
          <w:color w:val="auto"/>
        </w:rPr>
      </w:pPr>
    </w:p>
    <w:p w14:paraId="19982FD4">
      <w:pPr>
        <w:rPr>
          <w:rFonts w:ascii="方正小标宋简体" w:eastAsia="方正小标宋简体"/>
          <w:color w:val="auto"/>
        </w:rPr>
      </w:pPr>
    </w:p>
    <w:p w14:paraId="42F2A785">
      <w:pPr>
        <w:rPr>
          <w:rFonts w:ascii="方正小标宋简体" w:eastAsia="方正小标宋简体"/>
          <w:color w:val="auto"/>
        </w:rPr>
      </w:pPr>
    </w:p>
    <w:p w14:paraId="6294440B">
      <w:pPr>
        <w:rPr>
          <w:rFonts w:ascii="方正小标宋简体" w:eastAsia="方正小标宋简体"/>
          <w:color w:val="auto"/>
        </w:rPr>
      </w:pPr>
    </w:p>
    <w:p w14:paraId="2BE74FDF">
      <w:pPr>
        <w:pStyle w:val="4"/>
        <w:spacing w:line="400" w:lineRule="exact"/>
        <w:rPr>
          <w:rFonts w:ascii="方正小标宋简体" w:eastAsia="方正小标宋简体"/>
          <w:color w:val="auto"/>
        </w:rPr>
      </w:pPr>
    </w:p>
    <w:p w14:paraId="2C1C60E7">
      <w:pPr>
        <w:pStyle w:val="4"/>
        <w:spacing w:line="400" w:lineRule="exact"/>
        <w:rPr>
          <w:rFonts w:ascii="方正小标宋简体" w:eastAsia="方正小标宋简体"/>
          <w:color w:val="auto"/>
        </w:rPr>
      </w:pPr>
    </w:p>
    <w:p w14:paraId="23465327">
      <w:pPr>
        <w:pStyle w:val="4"/>
        <w:spacing w:line="400" w:lineRule="exact"/>
        <w:rPr>
          <w:rFonts w:ascii="方正小标宋简体" w:eastAsia="方正小标宋简体"/>
          <w:color w:val="auto"/>
        </w:rPr>
      </w:pPr>
      <w:r>
        <w:rPr>
          <w:rFonts w:hint="eastAsia" w:ascii="方正小标宋简体" w:eastAsia="方正小标宋简体"/>
          <w:color w:val="auto"/>
        </w:rPr>
        <w:t>第三章  供应商须知</w:t>
      </w:r>
      <w:bookmarkEnd w:id="38"/>
      <w:bookmarkEnd w:id="39"/>
      <w:bookmarkEnd w:id="40"/>
    </w:p>
    <w:p w14:paraId="260485C0">
      <w:pPr>
        <w:jc w:val="center"/>
        <w:rPr>
          <w:color w:val="auto"/>
        </w:rPr>
      </w:pPr>
      <w:bookmarkStart w:id="41" w:name="_Toc354479499"/>
      <w:bookmarkStart w:id="42" w:name="_Toc357157408"/>
      <w:bookmarkStart w:id="43" w:name="_Toc358477281"/>
      <w:bookmarkStart w:id="44" w:name="_Toc350325671"/>
      <w:r>
        <w:rPr>
          <w:rFonts w:ascii="仿宋_GB2312" w:hAnsi="宋体" w:eastAsia="仿宋_GB2312"/>
          <w:b/>
          <w:color w:val="auto"/>
          <w:sz w:val="32"/>
          <w:szCs w:val="32"/>
        </w:rPr>
        <w:br w:type="page"/>
      </w:r>
    </w:p>
    <w:p w14:paraId="7560904F">
      <w:pPr>
        <w:jc w:val="center"/>
        <w:rPr>
          <w:rFonts w:ascii="黑体" w:hAnsi="黑体" w:eastAsia="黑体"/>
          <w:b/>
          <w:color w:val="auto"/>
          <w:sz w:val="32"/>
          <w:szCs w:val="32"/>
        </w:rPr>
      </w:pPr>
      <w:r>
        <w:rPr>
          <w:rFonts w:hint="eastAsia" w:ascii="黑体" w:hAnsi="黑体" w:eastAsia="黑体"/>
          <w:b/>
          <w:color w:val="auto"/>
          <w:sz w:val="32"/>
          <w:szCs w:val="32"/>
        </w:rPr>
        <w:t>一、供应商须知前附表</w:t>
      </w:r>
    </w:p>
    <w:tbl>
      <w:tblPr>
        <w:tblStyle w:val="41"/>
        <w:tblW w:w="9351" w:type="dxa"/>
        <w:jc w:val="center"/>
        <w:tblLayout w:type="fixed"/>
        <w:tblCellMar>
          <w:top w:w="0" w:type="dxa"/>
          <w:left w:w="108" w:type="dxa"/>
          <w:bottom w:w="0" w:type="dxa"/>
          <w:right w:w="108" w:type="dxa"/>
        </w:tblCellMar>
      </w:tblPr>
      <w:tblGrid>
        <w:gridCol w:w="704"/>
        <w:gridCol w:w="8647"/>
      </w:tblGrid>
      <w:tr w14:paraId="5095EFD7">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A56D241">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序号</w:t>
            </w:r>
          </w:p>
        </w:tc>
        <w:tc>
          <w:tcPr>
            <w:tcW w:w="8647" w:type="dxa"/>
            <w:tcBorders>
              <w:top w:val="single" w:color="000000" w:sz="4" w:space="0"/>
              <w:left w:val="nil"/>
              <w:bottom w:val="single" w:color="000000" w:sz="4" w:space="0"/>
              <w:right w:val="single" w:color="000000" w:sz="4" w:space="0"/>
            </w:tcBorders>
            <w:vAlign w:val="center"/>
          </w:tcPr>
          <w:p w14:paraId="56C618A9">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内    容</w:t>
            </w:r>
          </w:p>
        </w:tc>
      </w:tr>
      <w:tr w14:paraId="577EC18B">
        <w:tblPrEx>
          <w:tblCellMar>
            <w:top w:w="0" w:type="dxa"/>
            <w:left w:w="108" w:type="dxa"/>
            <w:bottom w:w="0" w:type="dxa"/>
            <w:right w:w="108" w:type="dxa"/>
          </w:tblCellMar>
        </w:tblPrEx>
        <w:trPr>
          <w:trHeight w:val="94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0EF77F57">
            <w:pPr>
              <w:widowControl/>
              <w:spacing w:line="440" w:lineRule="exact"/>
              <w:jc w:val="center"/>
              <w:rPr>
                <w:rFonts w:ascii="宋体" w:hAnsi="宋体" w:cs="宋体"/>
                <w:color w:val="auto"/>
                <w:kern w:val="0"/>
                <w:szCs w:val="21"/>
              </w:rPr>
            </w:pPr>
            <w:r>
              <w:rPr>
                <w:rFonts w:hint="eastAsia" w:ascii="宋体" w:hAnsi="宋体" w:cs="宋体"/>
                <w:color w:val="auto"/>
                <w:kern w:val="0"/>
                <w:szCs w:val="21"/>
              </w:rPr>
              <w:t>1</w:t>
            </w:r>
          </w:p>
        </w:tc>
        <w:tc>
          <w:tcPr>
            <w:tcW w:w="8647" w:type="dxa"/>
            <w:tcBorders>
              <w:top w:val="single" w:color="000000" w:sz="4" w:space="0"/>
              <w:left w:val="nil"/>
              <w:bottom w:val="single" w:color="000000" w:sz="4" w:space="0"/>
              <w:right w:val="single" w:color="000000" w:sz="4" w:space="0"/>
            </w:tcBorders>
            <w:vAlign w:val="center"/>
          </w:tcPr>
          <w:p w14:paraId="46870A81">
            <w:pPr>
              <w:spacing w:line="440" w:lineRule="exact"/>
              <w:ind w:right="-334" w:rightChars="-159"/>
              <w:rPr>
                <w:rStyle w:val="48"/>
                <w:color w:val="auto"/>
                <w:szCs w:val="21"/>
                <w:u w:val="none"/>
              </w:rPr>
            </w:pPr>
            <w:r>
              <w:rPr>
                <w:rFonts w:ascii="宋体" w:hAnsi="宋体" w:cs="宋体"/>
                <w:color w:val="auto"/>
                <w:kern w:val="0"/>
                <w:szCs w:val="21"/>
              </w:rPr>
              <w:fldChar w:fldCharType="begin"/>
            </w:r>
            <w:r>
              <w:rPr>
                <w:rFonts w:ascii="宋体" w:hAnsi="宋体" w:cs="宋体"/>
                <w:color w:val="auto"/>
                <w:kern w:val="0"/>
                <w:szCs w:val="21"/>
              </w:rPr>
              <w:instrText xml:space="preserve"> </w:instrText>
            </w:r>
            <w:r>
              <w:rPr>
                <w:rFonts w:hint="eastAsia" w:ascii="宋体" w:hAnsi="宋体" w:cs="宋体"/>
                <w:color w:val="auto"/>
                <w:kern w:val="0"/>
                <w:szCs w:val="21"/>
              </w:rPr>
              <w:instrText xml:space="preserve">HYPERLINK </w:instrText>
            </w:r>
            <w:r>
              <w:rPr>
                <w:rFonts w:ascii="宋体" w:hAnsi="宋体" w:cs="宋体"/>
                <w:color w:val="auto"/>
                <w:kern w:val="0"/>
                <w:szCs w:val="21"/>
              </w:rPr>
              <w:instrText xml:space="preserve"> \l "_一、总_则" </w:instrText>
            </w:r>
            <w:r>
              <w:rPr>
                <w:rFonts w:ascii="宋体" w:hAnsi="宋体" w:cs="宋体"/>
                <w:color w:val="auto"/>
                <w:kern w:val="0"/>
                <w:szCs w:val="21"/>
              </w:rPr>
              <w:fldChar w:fldCharType="separate"/>
            </w:r>
            <w:r>
              <w:rPr>
                <w:rStyle w:val="48"/>
                <w:rFonts w:hint="eastAsia" w:ascii="宋体" w:hAnsi="宋体" w:cs="宋体"/>
                <w:color w:val="auto"/>
                <w:kern w:val="0"/>
                <w:szCs w:val="21"/>
                <w:u w:val="none"/>
              </w:rPr>
              <w:t>项目名称：</w:t>
            </w:r>
            <w:r>
              <w:rPr>
                <w:rFonts w:hint="eastAsia"/>
                <w:color w:val="auto"/>
              </w:rPr>
              <w:t>北部湾大学公共计算机房建设项目</w:t>
            </w:r>
          </w:p>
          <w:p w14:paraId="098292A7">
            <w:pPr>
              <w:widowControl/>
              <w:spacing w:line="440" w:lineRule="exact"/>
              <w:rPr>
                <w:rFonts w:ascii="宋体" w:hAnsi="宋体"/>
                <w:color w:val="auto"/>
                <w:szCs w:val="21"/>
              </w:rPr>
            </w:pPr>
            <w:r>
              <w:rPr>
                <w:rStyle w:val="48"/>
                <w:rFonts w:hint="eastAsia" w:ascii="宋体" w:hAnsi="宋体"/>
                <w:color w:val="auto"/>
                <w:szCs w:val="21"/>
                <w:u w:val="none"/>
              </w:rPr>
              <w:t>项目编号：</w:t>
            </w:r>
            <w:r>
              <w:rPr>
                <w:rFonts w:ascii="宋体" w:hAnsi="宋体" w:cs="宋体"/>
                <w:color w:val="auto"/>
                <w:kern w:val="0"/>
                <w:szCs w:val="21"/>
              </w:rPr>
              <w:fldChar w:fldCharType="end"/>
            </w:r>
            <w:r>
              <w:rPr>
                <w:rFonts w:hint="eastAsia"/>
                <w:color w:val="auto"/>
              </w:rPr>
              <w:t>GXZC2025-J1-000126-QZSZ</w:t>
            </w:r>
          </w:p>
        </w:tc>
      </w:tr>
      <w:tr w14:paraId="2C511A66">
        <w:tblPrEx>
          <w:tblCellMar>
            <w:top w:w="0" w:type="dxa"/>
            <w:left w:w="108" w:type="dxa"/>
            <w:bottom w:w="0" w:type="dxa"/>
            <w:right w:w="108" w:type="dxa"/>
          </w:tblCellMar>
        </w:tblPrEx>
        <w:trPr>
          <w:trHeight w:val="133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5F6F4E0">
            <w:pPr>
              <w:widowControl/>
              <w:spacing w:line="440" w:lineRule="exact"/>
              <w:jc w:val="center"/>
              <w:rPr>
                <w:rFonts w:ascii="宋体" w:hAnsi="宋体" w:cs="宋体"/>
                <w:color w:val="auto"/>
                <w:kern w:val="0"/>
                <w:szCs w:val="21"/>
              </w:rPr>
            </w:pPr>
            <w:r>
              <w:rPr>
                <w:rFonts w:hint="eastAsia" w:ascii="宋体" w:hAnsi="宋体" w:cs="宋体"/>
                <w:color w:val="auto"/>
                <w:kern w:val="0"/>
                <w:szCs w:val="21"/>
              </w:rPr>
              <w:t>2</w:t>
            </w:r>
          </w:p>
        </w:tc>
        <w:tc>
          <w:tcPr>
            <w:tcW w:w="8647" w:type="dxa"/>
            <w:tcBorders>
              <w:top w:val="single" w:color="000000" w:sz="4" w:space="0"/>
              <w:left w:val="nil"/>
              <w:bottom w:val="single" w:color="000000" w:sz="4" w:space="0"/>
              <w:right w:val="single" w:color="000000" w:sz="4" w:space="0"/>
            </w:tcBorders>
            <w:vAlign w:val="center"/>
          </w:tcPr>
          <w:p w14:paraId="2EBAEF5A">
            <w:pPr>
              <w:spacing w:line="440" w:lineRule="exact"/>
              <w:rPr>
                <w:rStyle w:val="48"/>
                <w:rFonts w:ascii="宋体" w:hAnsi="宋体"/>
                <w:color w:val="auto"/>
                <w:u w:val="none"/>
              </w:rPr>
            </w:pP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HYPERLINK </w:instrText>
            </w:r>
            <w:r>
              <w:rPr>
                <w:rFonts w:ascii="宋体" w:hAnsi="宋体"/>
                <w:color w:val="auto"/>
              </w:rPr>
              <w:instrText xml:space="preserve"> \l "_一、总_则" </w:instrText>
            </w:r>
            <w:r>
              <w:rPr>
                <w:rFonts w:ascii="宋体" w:hAnsi="宋体"/>
                <w:color w:val="auto"/>
              </w:rPr>
              <w:fldChar w:fldCharType="separate"/>
            </w:r>
            <w:r>
              <w:rPr>
                <w:rStyle w:val="48"/>
                <w:rFonts w:hint="eastAsia" w:ascii="宋体" w:hAnsi="宋体"/>
                <w:color w:val="auto"/>
                <w:u w:val="none"/>
              </w:rPr>
              <w:t>供应商资格：</w:t>
            </w:r>
          </w:p>
          <w:p w14:paraId="5C981B0D">
            <w:pPr>
              <w:spacing w:line="400" w:lineRule="exact"/>
              <w:ind w:firstLine="420"/>
              <w:rPr>
                <w:b/>
                <w:color w:val="auto"/>
              </w:rPr>
            </w:pPr>
            <w:r>
              <w:rPr>
                <w:rFonts w:ascii="宋体" w:hAnsi="宋体"/>
                <w:color w:val="auto"/>
              </w:rPr>
              <w:fldChar w:fldCharType="end"/>
            </w:r>
            <w:r>
              <w:rPr>
                <w:rFonts w:hint="eastAsia"/>
                <w:color w:val="auto"/>
              </w:rPr>
              <w:t>1.满足《中华人民共和国政府采购法》第二十二条规定</w:t>
            </w:r>
          </w:p>
          <w:p w14:paraId="5E1A646A">
            <w:pPr>
              <w:spacing w:line="400" w:lineRule="exact"/>
              <w:ind w:firstLine="420"/>
              <w:rPr>
                <w:color w:val="auto"/>
              </w:rPr>
            </w:pPr>
            <w:r>
              <w:rPr>
                <w:rFonts w:hint="eastAsia"/>
                <w:color w:val="auto"/>
              </w:rPr>
              <w:t>2.落实政府采购政策需满足的资格要求：无 </w:t>
            </w:r>
          </w:p>
          <w:p w14:paraId="26DB8106">
            <w:pPr>
              <w:spacing w:line="400" w:lineRule="exact"/>
              <w:ind w:firstLine="435"/>
              <w:rPr>
                <w:rFonts w:ascii="宋体" w:hAnsi="宋体"/>
                <w:color w:val="auto"/>
              </w:rPr>
            </w:pPr>
            <w:r>
              <w:rPr>
                <w:rFonts w:hint="eastAsia"/>
                <w:color w:val="auto"/>
              </w:rPr>
              <w:t>3.本项目的特定资格要求：无</w:t>
            </w:r>
          </w:p>
        </w:tc>
      </w:tr>
      <w:tr w14:paraId="4F2FB6DB">
        <w:tblPrEx>
          <w:tblCellMar>
            <w:top w:w="0" w:type="dxa"/>
            <w:left w:w="108" w:type="dxa"/>
            <w:bottom w:w="0" w:type="dxa"/>
            <w:right w:w="108" w:type="dxa"/>
          </w:tblCellMar>
        </w:tblPrEx>
        <w:trPr>
          <w:trHeight w:val="95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5EAF8EC0">
            <w:pPr>
              <w:widowControl/>
              <w:spacing w:line="440" w:lineRule="exact"/>
              <w:jc w:val="center"/>
              <w:rPr>
                <w:rFonts w:ascii="宋体" w:hAnsi="宋体" w:cs="宋体"/>
                <w:color w:val="auto"/>
                <w:kern w:val="0"/>
                <w:szCs w:val="21"/>
              </w:rPr>
            </w:pPr>
            <w:r>
              <w:rPr>
                <w:rFonts w:ascii="宋体" w:hAnsi="宋体" w:cs="宋体"/>
                <w:color w:val="auto"/>
                <w:kern w:val="0"/>
                <w:szCs w:val="21"/>
              </w:rPr>
              <w:t>3</w:t>
            </w:r>
          </w:p>
        </w:tc>
        <w:tc>
          <w:tcPr>
            <w:tcW w:w="8647" w:type="dxa"/>
            <w:tcBorders>
              <w:top w:val="single" w:color="000000" w:sz="4" w:space="0"/>
              <w:left w:val="nil"/>
              <w:bottom w:val="single" w:color="000000" w:sz="4" w:space="0"/>
              <w:right w:val="single" w:color="000000" w:sz="4" w:space="0"/>
            </w:tcBorders>
            <w:vAlign w:val="center"/>
          </w:tcPr>
          <w:p w14:paraId="69B162B3">
            <w:pPr>
              <w:spacing w:line="440" w:lineRule="exact"/>
              <w:rPr>
                <w:rFonts w:ascii="宋体" w:hAnsi="宋体"/>
                <w:color w:val="auto"/>
              </w:rPr>
            </w:pPr>
            <w:r>
              <w:rPr>
                <w:color w:val="auto"/>
              </w:rPr>
              <w:fldChar w:fldCharType="begin"/>
            </w:r>
            <w:r>
              <w:rPr>
                <w:color w:val="auto"/>
              </w:rPr>
              <w:instrText xml:space="preserve"> HYPERLINK \l "_（五）报价" </w:instrText>
            </w:r>
            <w:r>
              <w:rPr>
                <w:color w:val="auto"/>
              </w:rPr>
              <w:fldChar w:fldCharType="separate"/>
            </w:r>
            <w:r>
              <w:rPr>
                <w:rStyle w:val="48"/>
                <w:rFonts w:hint="eastAsia" w:ascii="宋体" w:hAnsi="宋体" w:cs="宋体"/>
                <w:color w:val="auto"/>
                <w:kern w:val="0"/>
                <w:szCs w:val="21"/>
                <w:u w:val="none"/>
              </w:rPr>
              <w:t>报价：供应商的报价必须按采购文件或广西政府采购云平台规定的格式填写，并在规定时间内提交最后报价。</w:t>
            </w:r>
            <w:r>
              <w:rPr>
                <w:rStyle w:val="48"/>
                <w:rFonts w:hint="eastAsia" w:ascii="宋体" w:hAnsi="宋体" w:cs="宋体"/>
                <w:color w:val="auto"/>
                <w:kern w:val="0"/>
                <w:szCs w:val="21"/>
                <w:u w:val="none"/>
              </w:rPr>
              <w:fldChar w:fldCharType="end"/>
            </w:r>
          </w:p>
        </w:tc>
      </w:tr>
      <w:tr w14:paraId="28D8C58F">
        <w:tblPrEx>
          <w:tblCellMar>
            <w:top w:w="0" w:type="dxa"/>
            <w:left w:w="108" w:type="dxa"/>
            <w:bottom w:w="0" w:type="dxa"/>
            <w:right w:w="108" w:type="dxa"/>
          </w:tblCellMar>
        </w:tblPrEx>
        <w:trPr>
          <w:trHeight w:val="196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5B7CF78">
            <w:pPr>
              <w:widowControl/>
              <w:spacing w:line="440" w:lineRule="exact"/>
              <w:jc w:val="center"/>
              <w:rPr>
                <w:rFonts w:ascii="宋体" w:hAnsi="宋体" w:cs="宋体"/>
                <w:color w:val="auto"/>
                <w:kern w:val="0"/>
                <w:szCs w:val="21"/>
              </w:rPr>
            </w:pPr>
            <w:r>
              <w:rPr>
                <w:rFonts w:hint="eastAsia" w:ascii="宋体" w:hAnsi="宋体" w:cs="宋体"/>
                <w:color w:val="auto"/>
                <w:kern w:val="0"/>
                <w:szCs w:val="21"/>
              </w:rPr>
              <w:t>4</w:t>
            </w:r>
          </w:p>
        </w:tc>
        <w:tc>
          <w:tcPr>
            <w:tcW w:w="8647" w:type="dxa"/>
            <w:tcBorders>
              <w:top w:val="single" w:color="000000" w:sz="4" w:space="0"/>
              <w:left w:val="nil"/>
              <w:bottom w:val="single" w:color="000000" w:sz="4" w:space="0"/>
              <w:right w:val="single" w:color="000000" w:sz="4" w:space="0"/>
            </w:tcBorders>
            <w:vAlign w:val="center"/>
          </w:tcPr>
          <w:p w14:paraId="319A4B86">
            <w:pPr>
              <w:widowControl/>
              <w:spacing w:line="440" w:lineRule="exact"/>
              <w:rPr>
                <w:rStyle w:val="48"/>
                <w:rFonts w:ascii="宋体" w:hAnsi="宋体"/>
                <w:color w:val="auto"/>
                <w:szCs w:val="21"/>
                <w:u w:val="none"/>
              </w:rPr>
            </w:pPr>
            <w:r>
              <w:rPr>
                <w:rFonts w:ascii="宋体" w:hAnsi="宋体" w:cs="宋体"/>
                <w:color w:val="auto"/>
                <w:kern w:val="0"/>
                <w:szCs w:val="21"/>
              </w:rPr>
              <w:fldChar w:fldCharType="begin"/>
            </w:r>
            <w:r>
              <w:rPr>
                <w:rFonts w:ascii="宋体" w:hAnsi="宋体" w:cs="宋体"/>
                <w:color w:val="auto"/>
                <w:kern w:val="0"/>
                <w:szCs w:val="21"/>
              </w:rPr>
              <w:instrText xml:space="preserve"> </w:instrText>
            </w:r>
            <w:r>
              <w:rPr>
                <w:rFonts w:hint="eastAsia" w:ascii="宋体" w:hAnsi="宋体" w:cs="宋体"/>
                <w:color w:val="auto"/>
                <w:kern w:val="0"/>
                <w:szCs w:val="21"/>
              </w:rPr>
              <w:instrText xml:space="preserve">HYPERLINK </w:instrText>
            </w:r>
            <w:r>
              <w:rPr>
                <w:rFonts w:ascii="宋体" w:hAnsi="宋体" w:cs="宋体"/>
                <w:color w:val="auto"/>
                <w:kern w:val="0"/>
                <w:szCs w:val="21"/>
              </w:rPr>
              <w:instrText xml:space="preserve"> \l "_四、响应文件开启" </w:instrText>
            </w:r>
            <w:r>
              <w:rPr>
                <w:rFonts w:ascii="宋体" w:hAnsi="宋体" w:cs="宋体"/>
                <w:color w:val="auto"/>
                <w:kern w:val="0"/>
                <w:szCs w:val="21"/>
              </w:rPr>
              <w:fldChar w:fldCharType="separate"/>
            </w:r>
            <w:r>
              <w:rPr>
                <w:rStyle w:val="48"/>
                <w:rFonts w:hint="eastAsia" w:ascii="宋体" w:hAnsi="宋体" w:cs="宋体"/>
                <w:color w:val="auto"/>
                <w:kern w:val="0"/>
                <w:szCs w:val="21"/>
                <w:u w:val="none"/>
              </w:rPr>
              <w:t>响应文件提交截止时间及开启时间：</w:t>
            </w:r>
            <w:r>
              <w:rPr>
                <w:rFonts w:hint="eastAsia" w:ascii="宋体" w:hAnsi="宋体"/>
                <w:color w:val="auto"/>
                <w:szCs w:val="21"/>
              </w:rPr>
              <w:t>2025</w:t>
            </w:r>
            <w:r>
              <w:rPr>
                <w:rFonts w:hint="eastAsia" w:ascii="宋体" w:hAnsi="宋体"/>
                <w:bCs/>
                <w:color w:val="auto"/>
                <w:szCs w:val="21"/>
              </w:rPr>
              <w:t>年</w:t>
            </w:r>
            <w:r>
              <w:rPr>
                <w:rFonts w:hint="eastAsia" w:ascii="宋体" w:hAnsi="宋体"/>
                <w:bCs/>
                <w:color w:val="auto"/>
                <w:szCs w:val="21"/>
                <w:lang w:val="en-US" w:eastAsia="zh-CN"/>
              </w:rPr>
              <w:t>4</w:t>
            </w:r>
            <w:r>
              <w:rPr>
                <w:rFonts w:hint="eastAsia" w:ascii="宋体" w:hAnsi="宋体"/>
                <w:bCs/>
                <w:color w:val="auto"/>
                <w:szCs w:val="21"/>
              </w:rPr>
              <w:t>月</w:t>
            </w:r>
            <w:r>
              <w:rPr>
                <w:rFonts w:hint="eastAsia" w:ascii="宋体" w:hAnsi="宋体"/>
                <w:bCs/>
                <w:color w:val="auto"/>
                <w:szCs w:val="21"/>
                <w:lang w:val="en-US" w:eastAsia="zh-CN"/>
              </w:rPr>
              <w:t>25</w:t>
            </w:r>
            <w:r>
              <w:rPr>
                <w:rFonts w:hint="eastAsia" w:ascii="宋体" w:hAnsi="宋体"/>
                <w:bCs/>
                <w:color w:val="auto"/>
                <w:szCs w:val="21"/>
              </w:rPr>
              <w:t>日</w:t>
            </w:r>
            <w:r>
              <w:rPr>
                <w:rFonts w:hint="eastAsia"/>
                <w:color w:val="auto"/>
              </w:rPr>
              <w:t>10</w:t>
            </w:r>
            <w:r>
              <w:rPr>
                <w:color w:val="auto"/>
              </w:rPr>
              <w:t>:</w:t>
            </w:r>
            <w:r>
              <w:rPr>
                <w:rFonts w:hint="eastAsia"/>
                <w:color w:val="auto"/>
              </w:rPr>
              <w:t>00（北京时间）</w:t>
            </w:r>
          </w:p>
          <w:p w14:paraId="269B15E9">
            <w:pPr>
              <w:widowControl/>
              <w:spacing w:line="440" w:lineRule="exact"/>
              <w:rPr>
                <w:color w:val="auto"/>
              </w:rPr>
            </w:pPr>
            <w:r>
              <w:rPr>
                <w:rStyle w:val="48"/>
                <w:rFonts w:hint="eastAsia"/>
                <w:b/>
                <w:color w:val="auto"/>
                <w:szCs w:val="21"/>
                <w:u w:val="none"/>
              </w:rPr>
              <w:t>注意事项：</w:t>
            </w:r>
            <w:r>
              <w:rPr>
                <w:rStyle w:val="48"/>
                <w:rFonts w:hint="eastAsia"/>
                <w:bCs/>
                <w:color w:val="auto"/>
                <w:u w:val="none"/>
              </w:rPr>
              <w:t>供应商法定代表人或委托代理人须按时登录广西政采云远程开标大厅，保持全程在线并关注评审谈判进度，评审期间谈判小组提出澄清等要求时，供应商须在规定时间内进行在线应答，否则按采购文件或广西政采云平台的相关规定执行。</w:t>
            </w:r>
            <w:r>
              <w:rPr>
                <w:rFonts w:ascii="宋体" w:hAnsi="宋体" w:cs="宋体"/>
                <w:color w:val="auto"/>
                <w:kern w:val="0"/>
                <w:szCs w:val="21"/>
              </w:rPr>
              <w:fldChar w:fldCharType="end"/>
            </w:r>
          </w:p>
        </w:tc>
      </w:tr>
      <w:tr w14:paraId="05E1F3F2">
        <w:tblPrEx>
          <w:tblCellMar>
            <w:top w:w="0" w:type="dxa"/>
            <w:left w:w="108" w:type="dxa"/>
            <w:bottom w:w="0" w:type="dxa"/>
            <w:right w:w="108" w:type="dxa"/>
          </w:tblCellMar>
        </w:tblPrEx>
        <w:trPr>
          <w:trHeight w:val="140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4CA615F9">
            <w:pPr>
              <w:widowControl/>
              <w:spacing w:line="440" w:lineRule="exact"/>
              <w:jc w:val="center"/>
              <w:rPr>
                <w:rFonts w:ascii="宋体" w:hAnsi="宋体" w:cs="宋体"/>
                <w:color w:val="auto"/>
                <w:kern w:val="0"/>
                <w:szCs w:val="21"/>
              </w:rPr>
            </w:pPr>
            <w:r>
              <w:rPr>
                <w:rFonts w:hint="eastAsia" w:ascii="宋体" w:hAnsi="宋体" w:cs="宋体"/>
                <w:color w:val="auto"/>
                <w:kern w:val="0"/>
                <w:szCs w:val="21"/>
              </w:rPr>
              <w:t>5</w:t>
            </w:r>
          </w:p>
        </w:tc>
        <w:tc>
          <w:tcPr>
            <w:tcW w:w="8647" w:type="dxa"/>
            <w:tcBorders>
              <w:top w:val="single" w:color="000000" w:sz="4" w:space="0"/>
              <w:left w:val="nil"/>
              <w:bottom w:val="single" w:color="000000" w:sz="4" w:space="0"/>
              <w:right w:val="single" w:color="000000" w:sz="4" w:space="0"/>
            </w:tcBorders>
            <w:vAlign w:val="center"/>
          </w:tcPr>
          <w:p w14:paraId="01A166FC">
            <w:pPr>
              <w:spacing w:line="440" w:lineRule="exact"/>
              <w:rPr>
                <w:rStyle w:val="48"/>
                <w:color w:val="auto"/>
                <w:u w:val="none"/>
              </w:rPr>
            </w:pPr>
            <w:r>
              <w:rPr>
                <w:color w:val="auto"/>
              </w:rPr>
              <w:fldChar w:fldCharType="begin"/>
            </w:r>
            <w:r>
              <w:rPr>
                <w:color w:val="auto"/>
              </w:rPr>
              <w:instrText xml:space="preserve"> </w:instrText>
            </w:r>
            <w:r>
              <w:rPr>
                <w:rFonts w:hint="eastAsia"/>
                <w:color w:val="auto"/>
              </w:rPr>
              <w:instrText xml:space="preserve">HYPERLINK </w:instrText>
            </w:r>
            <w:r>
              <w:rPr>
                <w:color w:val="auto"/>
              </w:rPr>
              <w:instrText xml:space="preserve"> \l "</w:instrText>
            </w:r>
            <w:r>
              <w:rPr>
                <w:rFonts w:hint="eastAsia"/>
                <w:color w:val="auto"/>
              </w:rPr>
              <w:instrText xml:space="preserve">_五、评审与谈判</w:instrText>
            </w:r>
            <w:r>
              <w:rPr>
                <w:color w:val="auto"/>
              </w:rPr>
              <w:instrText xml:space="preserve">" </w:instrText>
            </w:r>
            <w:r>
              <w:rPr>
                <w:color w:val="auto"/>
              </w:rPr>
              <w:fldChar w:fldCharType="separate"/>
            </w:r>
            <w:r>
              <w:rPr>
                <w:rStyle w:val="48"/>
                <w:color w:val="auto"/>
                <w:u w:val="none"/>
              </w:rPr>
              <w:t>评审及谈判：</w:t>
            </w:r>
          </w:p>
          <w:p w14:paraId="5DD0212E">
            <w:pPr>
              <w:spacing w:line="440" w:lineRule="exact"/>
              <w:rPr>
                <w:color w:val="auto"/>
              </w:rPr>
            </w:pPr>
            <w:r>
              <w:rPr>
                <w:rStyle w:val="48"/>
                <w:rFonts w:hint="eastAsia"/>
                <w:color w:val="auto"/>
                <w:u w:val="none"/>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w:t>
            </w:r>
            <w:r>
              <w:rPr>
                <w:color w:val="auto"/>
              </w:rPr>
              <w:fldChar w:fldCharType="end"/>
            </w:r>
          </w:p>
        </w:tc>
      </w:tr>
      <w:tr w14:paraId="7A29A161">
        <w:tblPrEx>
          <w:tblCellMar>
            <w:top w:w="0" w:type="dxa"/>
            <w:left w:w="108" w:type="dxa"/>
            <w:bottom w:w="0" w:type="dxa"/>
            <w:right w:w="108" w:type="dxa"/>
          </w:tblCellMar>
        </w:tblPrEx>
        <w:trPr>
          <w:trHeight w:val="744"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1A78208D">
            <w:pPr>
              <w:widowControl/>
              <w:spacing w:line="440" w:lineRule="exact"/>
              <w:jc w:val="center"/>
              <w:rPr>
                <w:rFonts w:ascii="宋体" w:hAnsi="宋体" w:cs="宋体"/>
                <w:color w:val="auto"/>
                <w:kern w:val="0"/>
                <w:szCs w:val="21"/>
              </w:rPr>
            </w:pPr>
            <w:r>
              <w:rPr>
                <w:rFonts w:hint="eastAsia" w:ascii="宋体" w:hAnsi="宋体" w:cs="宋体"/>
                <w:color w:val="auto"/>
                <w:kern w:val="0"/>
                <w:szCs w:val="21"/>
              </w:rPr>
              <w:t>6</w:t>
            </w:r>
          </w:p>
        </w:tc>
        <w:tc>
          <w:tcPr>
            <w:tcW w:w="8647" w:type="dxa"/>
            <w:tcBorders>
              <w:top w:val="single" w:color="000000" w:sz="4" w:space="0"/>
              <w:left w:val="nil"/>
              <w:bottom w:val="single" w:color="000000" w:sz="4" w:space="0"/>
              <w:right w:val="single" w:color="000000" w:sz="4" w:space="0"/>
            </w:tcBorders>
            <w:vAlign w:val="center"/>
          </w:tcPr>
          <w:p w14:paraId="74BD26F4">
            <w:pPr>
              <w:widowControl/>
              <w:spacing w:line="440" w:lineRule="exact"/>
              <w:rPr>
                <w:rFonts w:ascii="宋体" w:hAnsi="宋体" w:cs="宋体"/>
                <w:color w:val="auto"/>
                <w:kern w:val="0"/>
                <w:szCs w:val="21"/>
              </w:rPr>
            </w:pPr>
            <w:r>
              <w:rPr>
                <w:color w:val="auto"/>
              </w:rPr>
              <w:fldChar w:fldCharType="begin"/>
            </w:r>
            <w:r>
              <w:rPr>
                <w:color w:val="auto"/>
              </w:rPr>
              <w:instrText xml:space="preserve"> HYPERLINK \l "_第四章__评定标准及推荐原则" </w:instrText>
            </w:r>
            <w:r>
              <w:rPr>
                <w:color w:val="auto"/>
              </w:rPr>
              <w:fldChar w:fldCharType="separate"/>
            </w:r>
            <w:r>
              <w:rPr>
                <w:rStyle w:val="48"/>
                <w:rFonts w:hint="eastAsia" w:ascii="宋体" w:hAnsi="宋体" w:cs="宋体"/>
                <w:color w:val="auto"/>
                <w:kern w:val="0"/>
                <w:szCs w:val="21"/>
                <w:u w:val="none"/>
              </w:rPr>
              <w:t>评定方法：</w:t>
            </w:r>
            <w:r>
              <w:rPr>
                <w:rStyle w:val="48"/>
                <w:rFonts w:hint="eastAsia"/>
                <w:color w:val="auto"/>
                <w:u w:val="none"/>
              </w:rPr>
              <w:t>详见第四章《评定标准及推荐原则》。</w:t>
            </w:r>
            <w:r>
              <w:rPr>
                <w:rStyle w:val="48"/>
                <w:rFonts w:hint="eastAsia"/>
                <w:color w:val="auto"/>
                <w:u w:val="none"/>
              </w:rPr>
              <w:fldChar w:fldCharType="end"/>
            </w:r>
          </w:p>
        </w:tc>
      </w:tr>
      <w:tr w14:paraId="311F04D5">
        <w:tblPrEx>
          <w:tblCellMar>
            <w:top w:w="0" w:type="dxa"/>
            <w:left w:w="108" w:type="dxa"/>
            <w:bottom w:w="0" w:type="dxa"/>
            <w:right w:w="108" w:type="dxa"/>
          </w:tblCellMar>
        </w:tblPrEx>
        <w:trPr>
          <w:trHeight w:val="107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14:paraId="353B3D5C">
            <w:pPr>
              <w:widowControl/>
              <w:spacing w:line="440" w:lineRule="exact"/>
              <w:jc w:val="center"/>
              <w:rPr>
                <w:rFonts w:ascii="宋体" w:hAnsi="宋体" w:cs="宋体"/>
                <w:color w:val="auto"/>
                <w:kern w:val="0"/>
                <w:szCs w:val="21"/>
              </w:rPr>
            </w:pPr>
            <w:r>
              <w:rPr>
                <w:rFonts w:hint="eastAsia" w:ascii="宋体" w:hAnsi="宋体" w:cs="宋体"/>
                <w:color w:val="auto"/>
                <w:kern w:val="0"/>
                <w:szCs w:val="21"/>
              </w:rPr>
              <w:t>7</w:t>
            </w:r>
          </w:p>
        </w:tc>
        <w:tc>
          <w:tcPr>
            <w:tcW w:w="8647" w:type="dxa"/>
            <w:tcBorders>
              <w:top w:val="single" w:color="000000" w:sz="4" w:space="0"/>
              <w:left w:val="nil"/>
              <w:bottom w:val="single" w:color="000000" w:sz="4" w:space="0"/>
              <w:right w:val="single" w:color="000000" w:sz="4" w:space="0"/>
            </w:tcBorders>
            <w:vAlign w:val="center"/>
          </w:tcPr>
          <w:p w14:paraId="06B0F121">
            <w:pPr>
              <w:widowControl/>
              <w:spacing w:line="440" w:lineRule="exact"/>
              <w:rPr>
                <w:rFonts w:ascii="宋体" w:hAnsi="宋体" w:cs="宋体"/>
                <w:color w:val="auto"/>
                <w:kern w:val="0"/>
                <w:szCs w:val="21"/>
              </w:rPr>
            </w:pPr>
            <w:r>
              <w:rPr>
                <w:color w:val="auto"/>
              </w:rPr>
              <w:fldChar w:fldCharType="begin"/>
            </w:r>
            <w:r>
              <w:rPr>
                <w:color w:val="auto"/>
              </w:rPr>
              <w:instrText xml:space="preserve"> HYPERLINK \l "_十、其他事项" </w:instrText>
            </w:r>
            <w:r>
              <w:rPr>
                <w:color w:val="auto"/>
              </w:rPr>
              <w:fldChar w:fldCharType="separate"/>
            </w:r>
            <w:r>
              <w:rPr>
                <w:rStyle w:val="48"/>
                <w:rFonts w:hint="eastAsia" w:ascii="宋体" w:hAnsi="宋体" w:cs="宋体"/>
                <w:color w:val="auto"/>
                <w:kern w:val="0"/>
                <w:szCs w:val="21"/>
                <w:u w:val="none"/>
              </w:rPr>
              <w:t>代理服务费：按钦州市物价局“钦市价费﹝2013﹞4号”文件，以差额定率累进法计算。成交供应商须按成交金额缴纳相应的代理服务费。</w:t>
            </w:r>
            <w:r>
              <w:rPr>
                <w:rStyle w:val="48"/>
                <w:rFonts w:hint="eastAsia" w:ascii="宋体" w:hAnsi="宋体" w:cs="宋体"/>
                <w:color w:val="auto"/>
                <w:kern w:val="0"/>
                <w:szCs w:val="21"/>
                <w:u w:val="none"/>
              </w:rPr>
              <w:fldChar w:fldCharType="end"/>
            </w:r>
          </w:p>
        </w:tc>
      </w:tr>
    </w:tbl>
    <w:p w14:paraId="4962DA48">
      <w:pPr>
        <w:pStyle w:val="5"/>
        <w:jc w:val="center"/>
        <w:rPr>
          <w:color w:val="auto"/>
        </w:rPr>
      </w:pPr>
      <w:bookmarkStart w:id="45" w:name="_Toc420505403"/>
      <w:r>
        <w:rPr>
          <w:color w:val="auto"/>
        </w:rPr>
        <w:br w:type="page"/>
      </w:r>
    </w:p>
    <w:p w14:paraId="5D84CA02">
      <w:pPr>
        <w:jc w:val="center"/>
        <w:rPr>
          <w:rFonts w:ascii="黑体" w:hAnsi="黑体" w:eastAsia="黑体"/>
          <w:b/>
          <w:bCs/>
          <w:color w:val="auto"/>
          <w:sz w:val="32"/>
          <w:szCs w:val="32"/>
        </w:rPr>
      </w:pPr>
      <w:r>
        <w:rPr>
          <w:rFonts w:hint="eastAsia" w:ascii="黑体" w:hAnsi="黑体" w:eastAsia="黑体"/>
          <w:b/>
          <w:bCs/>
          <w:color w:val="auto"/>
          <w:sz w:val="32"/>
          <w:szCs w:val="32"/>
        </w:rPr>
        <w:t>二、供应商须知</w:t>
      </w:r>
      <w:bookmarkEnd w:id="45"/>
    </w:p>
    <w:p w14:paraId="382AC609">
      <w:pPr>
        <w:pStyle w:val="5"/>
        <w:spacing w:line="420" w:lineRule="exact"/>
        <w:rPr>
          <w:color w:val="auto"/>
        </w:rPr>
      </w:pPr>
      <w:bookmarkStart w:id="46" w:name="_一、总_则"/>
      <w:bookmarkEnd w:id="46"/>
      <w:r>
        <w:rPr>
          <w:rFonts w:hint="eastAsia"/>
          <w:color w:val="auto"/>
        </w:rPr>
        <w:t>一、总　则</w:t>
      </w:r>
    </w:p>
    <w:p w14:paraId="01A7310D">
      <w:pPr>
        <w:spacing w:line="420" w:lineRule="exact"/>
        <w:ind w:firstLine="210" w:firstLineChars="100"/>
        <w:rPr>
          <w:rFonts w:ascii="宋体" w:hAnsi="宋体"/>
          <w:color w:val="auto"/>
          <w:szCs w:val="21"/>
        </w:rPr>
      </w:pPr>
      <w:r>
        <w:rPr>
          <w:rFonts w:hint="eastAsia" w:ascii="宋体" w:hAnsi="宋体"/>
          <w:color w:val="auto"/>
          <w:szCs w:val="21"/>
        </w:rPr>
        <w:t>（一）适用范围</w:t>
      </w:r>
    </w:p>
    <w:p w14:paraId="6B3E6DC3">
      <w:pPr>
        <w:spacing w:line="420" w:lineRule="exact"/>
        <w:ind w:right="-334" w:rightChars="-159" w:firstLine="420"/>
        <w:rPr>
          <w:rFonts w:hAnsi="宋体"/>
          <w:color w:val="auto"/>
        </w:rPr>
      </w:pPr>
      <w:r>
        <w:rPr>
          <w:rFonts w:hAnsi="宋体"/>
          <w:color w:val="auto"/>
        </w:rPr>
        <w:t>1.</w:t>
      </w:r>
      <w:r>
        <w:rPr>
          <w:rFonts w:hint="eastAsia" w:hAnsi="宋体"/>
          <w:color w:val="auto"/>
        </w:rPr>
        <w:t>项目名称：</w:t>
      </w:r>
      <w:r>
        <w:rPr>
          <w:rFonts w:hint="eastAsia"/>
          <w:color w:val="auto"/>
        </w:rPr>
        <w:t>北部湾大学公共计算机房建设项目</w:t>
      </w:r>
    </w:p>
    <w:p w14:paraId="234A35FB">
      <w:pPr>
        <w:spacing w:line="420" w:lineRule="exact"/>
        <w:ind w:right="-334" w:rightChars="-159" w:firstLine="420"/>
        <w:rPr>
          <w:rFonts w:hAnsi="宋体"/>
          <w:color w:val="auto"/>
        </w:rPr>
      </w:pPr>
      <w:r>
        <w:rPr>
          <w:rFonts w:hAnsi="宋体"/>
          <w:color w:val="auto"/>
        </w:rPr>
        <w:t>2</w:t>
      </w:r>
      <w:r>
        <w:rPr>
          <w:rFonts w:hint="eastAsia" w:hAnsi="宋体"/>
          <w:color w:val="auto"/>
        </w:rPr>
        <w:t>.项目编号：GXZC2025-J1-000126-QZSZ</w:t>
      </w:r>
    </w:p>
    <w:p w14:paraId="3A4DD8DD">
      <w:pPr>
        <w:spacing w:line="420" w:lineRule="exact"/>
        <w:ind w:right="-334" w:rightChars="-159" w:firstLine="420"/>
        <w:rPr>
          <w:color w:val="auto"/>
          <w:szCs w:val="21"/>
        </w:rPr>
      </w:pPr>
      <w:r>
        <w:rPr>
          <w:rFonts w:hint="eastAsia" w:hAnsi="宋体"/>
          <w:color w:val="auto"/>
        </w:rPr>
        <w:t>本文件仅适用于本文件中所叙述的货物、服务类政府采购项目。</w:t>
      </w:r>
    </w:p>
    <w:p w14:paraId="727FCF1D">
      <w:pPr>
        <w:spacing w:line="420" w:lineRule="exact"/>
        <w:ind w:firstLine="210" w:firstLineChars="100"/>
        <w:rPr>
          <w:rFonts w:ascii="宋体" w:hAnsi="宋体"/>
          <w:color w:val="auto"/>
          <w:szCs w:val="21"/>
        </w:rPr>
      </w:pPr>
      <w:r>
        <w:rPr>
          <w:rFonts w:hint="eastAsia" w:ascii="宋体" w:hAnsi="宋体"/>
          <w:color w:val="auto"/>
          <w:szCs w:val="21"/>
        </w:rPr>
        <w:t>（二）定义</w:t>
      </w:r>
    </w:p>
    <w:p w14:paraId="083264E3">
      <w:pPr>
        <w:spacing w:line="42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w:t>
      </w:r>
      <w:r>
        <w:rPr>
          <w:rFonts w:ascii="宋体" w:hAnsi="宋体"/>
          <w:color w:val="auto"/>
          <w:szCs w:val="21"/>
        </w:rPr>
        <w:t>采购人</w:t>
      </w:r>
      <w:r>
        <w:rPr>
          <w:rFonts w:hint="eastAsia" w:ascii="宋体" w:hAnsi="宋体"/>
          <w:color w:val="auto"/>
          <w:szCs w:val="21"/>
        </w:rPr>
        <w:t>”</w:t>
      </w:r>
      <w:r>
        <w:rPr>
          <w:rFonts w:ascii="宋体" w:hAnsi="宋体"/>
          <w:color w:val="auto"/>
          <w:szCs w:val="21"/>
        </w:rPr>
        <w:t>是指依法进行政府采购的国家机关、事业单位、团体组织。</w:t>
      </w:r>
    </w:p>
    <w:p w14:paraId="781E2041">
      <w:pPr>
        <w:spacing w:line="420" w:lineRule="exact"/>
        <w:ind w:firstLine="420" w:firstLineChars="200"/>
        <w:rPr>
          <w:rFonts w:ascii="宋体" w:hAnsi="宋体"/>
          <w:color w:val="auto"/>
          <w:szCs w:val="21"/>
        </w:rPr>
      </w:pPr>
      <w:r>
        <w:rPr>
          <w:rFonts w:hint="eastAsia" w:ascii="宋体" w:hAnsi="宋体"/>
          <w:color w:val="auto"/>
          <w:szCs w:val="21"/>
        </w:rPr>
        <w:t>2.“供应商”是指响应本文件要求，参加谈判的法人或其他组织。如果该供应商在本次采购项目中成交,即成为“成交供应商”。</w:t>
      </w:r>
    </w:p>
    <w:p w14:paraId="0E6BED59">
      <w:pPr>
        <w:spacing w:line="420" w:lineRule="exact"/>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“采购代理机构”是指</w:t>
      </w:r>
      <w:r>
        <w:rPr>
          <w:rFonts w:hint="eastAsia" w:ascii="宋体" w:hAnsi="宋体"/>
          <w:color w:val="auto"/>
        </w:rPr>
        <w:t>钦州市政府采购中心。</w:t>
      </w:r>
    </w:p>
    <w:p w14:paraId="5EFF859D">
      <w:pPr>
        <w:spacing w:line="420" w:lineRule="exact"/>
        <w:ind w:firstLine="420" w:firstLineChars="200"/>
        <w:rPr>
          <w:rFonts w:ascii="宋体" w:hAnsi="宋体"/>
          <w:color w:val="auto"/>
          <w:szCs w:val="21"/>
        </w:rPr>
      </w:pPr>
      <w:r>
        <w:rPr>
          <w:rFonts w:hint="eastAsia" w:ascii="宋体" w:hAnsi="宋体"/>
          <w:color w:val="auto"/>
          <w:szCs w:val="21"/>
        </w:rPr>
        <w:t>4</w:t>
      </w:r>
      <w:r>
        <w:rPr>
          <w:rFonts w:ascii="宋体" w:hAnsi="宋体"/>
          <w:color w:val="auto"/>
          <w:szCs w:val="21"/>
        </w:rPr>
        <w:t>.</w:t>
      </w:r>
      <w:r>
        <w:rPr>
          <w:rFonts w:hint="eastAsia" w:ascii="宋体" w:hAnsi="宋体"/>
          <w:color w:val="auto"/>
          <w:szCs w:val="21"/>
        </w:rPr>
        <w:t>“货物和服务”是指本次采购文件中所采购的各种形态和种类的产品以及其提供的服务。</w:t>
      </w:r>
    </w:p>
    <w:p w14:paraId="4465F2C6">
      <w:pPr>
        <w:spacing w:line="420" w:lineRule="exact"/>
        <w:ind w:firstLine="420" w:firstLineChars="200"/>
        <w:rPr>
          <w:rFonts w:ascii="宋体"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“竞争性谈判采购文件”是指采用竞争性谈判方式进行政府采购的指导文件，简称“谈判文件”或“采购文件”。</w:t>
      </w:r>
    </w:p>
    <w:p w14:paraId="3137619F">
      <w:pPr>
        <w:spacing w:line="420" w:lineRule="exact"/>
        <w:ind w:firstLine="420" w:firstLineChars="200"/>
        <w:rPr>
          <w:rFonts w:ascii="宋体" w:hAnsi="宋体"/>
          <w:color w:val="auto"/>
          <w:szCs w:val="21"/>
        </w:rPr>
      </w:pPr>
      <w:r>
        <w:rPr>
          <w:rFonts w:ascii="宋体" w:hAnsi="宋体"/>
          <w:color w:val="auto"/>
          <w:szCs w:val="21"/>
        </w:rPr>
        <w:t>6.</w:t>
      </w:r>
      <w:r>
        <w:rPr>
          <w:rFonts w:hint="eastAsia" w:ascii="宋体" w:hAnsi="宋体"/>
          <w:color w:val="auto"/>
          <w:szCs w:val="21"/>
        </w:rPr>
        <w:t>“响应文件”是指供应商根据采购文件要求，编制包含技术、服务和报价等所有内容的响应文件。</w:t>
      </w:r>
    </w:p>
    <w:p w14:paraId="4321C9C4">
      <w:pPr>
        <w:spacing w:line="420" w:lineRule="exact"/>
        <w:ind w:firstLine="420" w:firstLineChars="200"/>
        <w:rPr>
          <w:rFonts w:ascii="宋体" w:hAnsi="宋体"/>
          <w:color w:val="auto"/>
          <w:szCs w:val="21"/>
        </w:rPr>
      </w:pPr>
      <w:r>
        <w:rPr>
          <w:rFonts w:ascii="宋体" w:hAnsi="宋体"/>
          <w:color w:val="auto"/>
          <w:szCs w:val="21"/>
        </w:rPr>
        <w:t>7.</w:t>
      </w:r>
      <w:r>
        <w:rPr>
          <w:rFonts w:hint="eastAsia" w:ascii="宋体" w:hAnsi="宋体"/>
          <w:color w:val="auto"/>
          <w:szCs w:val="21"/>
        </w:rPr>
        <w:t>“书面形式”</w:t>
      </w:r>
      <w:r>
        <w:rPr>
          <w:rFonts w:ascii="Helvetica" w:hAnsi="Helvetica"/>
          <w:color w:val="auto"/>
          <w:szCs w:val="21"/>
          <w:shd w:val="clear" w:color="auto" w:fill="FFFFFF"/>
        </w:rPr>
        <w:t>是</w:t>
      </w:r>
      <w:r>
        <w:rPr>
          <w:rFonts w:hint="eastAsia" w:ascii="Helvetica" w:hAnsi="Helvetica"/>
          <w:color w:val="auto"/>
          <w:szCs w:val="21"/>
          <w:shd w:val="clear" w:color="auto" w:fill="FFFFFF"/>
        </w:rPr>
        <w:t>指</w:t>
      </w:r>
      <w:r>
        <w:rPr>
          <w:rFonts w:ascii="Helvetica" w:hAnsi="Helvetica"/>
          <w:color w:val="auto"/>
          <w:szCs w:val="21"/>
          <w:shd w:val="clear" w:color="auto" w:fill="FFFFFF"/>
        </w:rPr>
        <w:t>合同书、信件、电报、电传、传真等可以有形地表现所载内容的形式。</w:t>
      </w:r>
    </w:p>
    <w:p w14:paraId="3CAF7119">
      <w:pPr>
        <w:spacing w:line="420" w:lineRule="exact"/>
        <w:ind w:firstLine="211" w:firstLineChars="100"/>
        <w:rPr>
          <w:rFonts w:ascii="宋体" w:hAnsi="宋体"/>
          <w:b/>
          <w:color w:val="auto"/>
          <w:szCs w:val="21"/>
        </w:rPr>
      </w:pPr>
      <w:r>
        <w:rPr>
          <w:rFonts w:hint="eastAsia" w:ascii="宋体" w:hAnsi="宋体"/>
          <w:b/>
          <w:color w:val="auto"/>
          <w:szCs w:val="21"/>
        </w:rPr>
        <w:t>（三）供应商资格</w:t>
      </w:r>
    </w:p>
    <w:p w14:paraId="43EE562D">
      <w:pPr>
        <w:spacing w:line="420" w:lineRule="exact"/>
        <w:ind w:firstLine="420" w:firstLineChars="200"/>
        <w:rPr>
          <w:color w:val="auto"/>
        </w:rPr>
      </w:pPr>
      <w:r>
        <w:rPr>
          <w:rFonts w:hint="eastAsia"/>
          <w:color w:val="auto"/>
        </w:rPr>
        <w:t>供应商的资格要求详见“供应商须知前附表”。</w:t>
      </w:r>
    </w:p>
    <w:p w14:paraId="47A1BD15">
      <w:pPr>
        <w:spacing w:line="420" w:lineRule="exact"/>
        <w:ind w:firstLine="211" w:firstLineChars="100"/>
        <w:rPr>
          <w:b/>
          <w:bCs/>
          <w:color w:val="auto"/>
        </w:rPr>
      </w:pPr>
      <w:r>
        <w:rPr>
          <w:rFonts w:hint="eastAsia"/>
          <w:b/>
          <w:bCs/>
          <w:color w:val="auto"/>
        </w:rPr>
        <w:t>（四）采购方式</w:t>
      </w:r>
    </w:p>
    <w:p w14:paraId="362DB561">
      <w:pPr>
        <w:snapToGrid w:val="0"/>
        <w:spacing w:line="420" w:lineRule="exact"/>
        <w:ind w:firstLine="420" w:firstLineChars="200"/>
        <w:rPr>
          <w:rFonts w:ascii="宋体" w:hAnsi="宋体"/>
          <w:color w:val="auto"/>
          <w:szCs w:val="21"/>
        </w:rPr>
      </w:pPr>
      <w:r>
        <w:rPr>
          <w:rFonts w:hint="eastAsia" w:ascii="宋体" w:hAnsi="宋体"/>
          <w:color w:val="auto"/>
          <w:szCs w:val="21"/>
        </w:rPr>
        <w:t>竞争性谈判</w:t>
      </w:r>
    </w:p>
    <w:p w14:paraId="3BAE96B0">
      <w:pPr>
        <w:spacing w:line="420" w:lineRule="exact"/>
        <w:ind w:firstLine="211" w:firstLineChars="100"/>
        <w:rPr>
          <w:b/>
          <w:bCs/>
          <w:color w:val="auto"/>
        </w:rPr>
      </w:pPr>
      <w:bookmarkStart w:id="47" w:name="_Toc254970530"/>
      <w:bookmarkStart w:id="48" w:name="_Toc254970671"/>
      <w:bookmarkStart w:id="49" w:name="_Toc352700410"/>
      <w:bookmarkStart w:id="50" w:name="_Toc353785281"/>
      <w:r>
        <w:rPr>
          <w:rFonts w:hint="eastAsia"/>
          <w:b/>
          <w:bCs/>
          <w:color w:val="auto"/>
        </w:rPr>
        <w:t>（五）代理委托</w:t>
      </w:r>
      <w:bookmarkEnd w:id="47"/>
      <w:bookmarkEnd w:id="48"/>
      <w:bookmarkEnd w:id="49"/>
      <w:bookmarkEnd w:id="50"/>
    </w:p>
    <w:p w14:paraId="056AEDF0">
      <w:pPr>
        <w:snapToGrid w:val="0"/>
        <w:spacing w:line="420" w:lineRule="exact"/>
        <w:ind w:firstLine="420" w:firstLineChars="200"/>
        <w:rPr>
          <w:rFonts w:ascii="宋体" w:hAnsi="宋体" w:cs="Courier New"/>
          <w:bCs/>
          <w:color w:val="auto"/>
          <w:szCs w:val="21"/>
        </w:rPr>
      </w:pPr>
      <w:r>
        <w:rPr>
          <w:rFonts w:hint="eastAsia" w:ascii="宋体" w:hAnsi="宋体" w:cs="Courier New"/>
          <w:bCs/>
          <w:color w:val="auto"/>
          <w:szCs w:val="21"/>
        </w:rPr>
        <w:t>委托谈判的供应商须提供授权委托书（格式见第六章）。</w:t>
      </w:r>
    </w:p>
    <w:p w14:paraId="55F52AD0">
      <w:pPr>
        <w:spacing w:line="420" w:lineRule="exact"/>
        <w:ind w:firstLine="211" w:firstLineChars="100"/>
        <w:rPr>
          <w:b/>
          <w:bCs/>
          <w:color w:val="auto"/>
        </w:rPr>
      </w:pPr>
      <w:bookmarkStart w:id="51" w:name="_Toc254970531"/>
      <w:bookmarkStart w:id="52" w:name="_Toc352700411"/>
      <w:bookmarkStart w:id="53" w:name="_Toc353785282"/>
      <w:bookmarkStart w:id="54" w:name="_Toc254970672"/>
      <w:r>
        <w:rPr>
          <w:rFonts w:hint="eastAsia"/>
          <w:b/>
          <w:bCs/>
          <w:color w:val="auto"/>
        </w:rPr>
        <w:t>（六）谈判费用</w:t>
      </w:r>
      <w:bookmarkEnd w:id="51"/>
      <w:bookmarkEnd w:id="52"/>
      <w:bookmarkEnd w:id="53"/>
      <w:bookmarkEnd w:id="54"/>
    </w:p>
    <w:p w14:paraId="511C6FB6">
      <w:pPr>
        <w:snapToGrid w:val="0"/>
        <w:spacing w:line="420" w:lineRule="exact"/>
        <w:ind w:firstLine="420" w:firstLineChars="200"/>
        <w:rPr>
          <w:rFonts w:ascii="宋体" w:hAnsi="宋体"/>
          <w:color w:val="auto"/>
          <w:szCs w:val="21"/>
        </w:rPr>
      </w:pPr>
      <w:r>
        <w:rPr>
          <w:rFonts w:hint="eastAsia" w:ascii="宋体" w:hAnsi="宋体"/>
          <w:color w:val="auto"/>
          <w:szCs w:val="21"/>
        </w:rPr>
        <w:t>供应商自行承担所有与谈判有关的全部费用。</w:t>
      </w:r>
    </w:p>
    <w:p w14:paraId="1DA7AFFD">
      <w:pPr>
        <w:spacing w:line="420" w:lineRule="exact"/>
        <w:ind w:firstLine="211" w:firstLineChars="100"/>
        <w:rPr>
          <w:b/>
          <w:bCs/>
          <w:color w:val="auto"/>
        </w:rPr>
      </w:pPr>
      <w:bookmarkStart w:id="55" w:name="_Toc352700413"/>
      <w:bookmarkStart w:id="56" w:name="_Toc353785283"/>
      <w:r>
        <w:rPr>
          <w:rFonts w:hint="eastAsia"/>
          <w:b/>
          <w:bCs/>
          <w:color w:val="auto"/>
        </w:rPr>
        <w:t>（七）转包与分包</w:t>
      </w:r>
      <w:bookmarkEnd w:id="55"/>
      <w:bookmarkEnd w:id="56"/>
    </w:p>
    <w:p w14:paraId="6D9A9423">
      <w:pPr>
        <w:snapToGrid w:val="0"/>
        <w:spacing w:line="420" w:lineRule="exact"/>
        <w:ind w:firstLine="420" w:firstLineChars="200"/>
        <w:rPr>
          <w:rFonts w:ascii="宋体" w:hAns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本项目不允许转包。</w:t>
      </w:r>
    </w:p>
    <w:p w14:paraId="78AB3C04">
      <w:pPr>
        <w:snapToGrid w:val="0"/>
        <w:spacing w:line="420" w:lineRule="exact"/>
        <w:ind w:firstLine="420" w:firstLineChars="200"/>
        <w:rPr>
          <w:rFonts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采购人允许采用分包方式履行合同的，应当在采购文件中明确可以分包履行的具体内容、金额或者比例。</w:t>
      </w:r>
    </w:p>
    <w:p w14:paraId="1B617FB7">
      <w:pPr>
        <w:snapToGrid w:val="0"/>
        <w:spacing w:line="420" w:lineRule="exact"/>
        <w:ind w:firstLine="420" w:firstLineChars="200"/>
        <w:rPr>
          <w:rFonts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依据《政府采购促进中小企业发展管理办法》规定享受扶持政策获得政府采购合同的，小微企业不得将合同分包给大中型企业，中型企业不得将合同分包给大型企业。</w:t>
      </w:r>
    </w:p>
    <w:p w14:paraId="41195D89">
      <w:pPr>
        <w:spacing w:line="420" w:lineRule="exact"/>
        <w:ind w:firstLine="211" w:firstLineChars="100"/>
        <w:rPr>
          <w:b/>
          <w:bCs/>
          <w:color w:val="auto"/>
        </w:rPr>
      </w:pPr>
      <w:bookmarkStart w:id="57" w:name="_Toc353785284"/>
      <w:bookmarkStart w:id="58" w:name="_Toc254970532"/>
      <w:bookmarkStart w:id="59" w:name="_Toc352700414"/>
      <w:bookmarkStart w:id="60" w:name="_Toc254970673"/>
      <w:r>
        <w:rPr>
          <w:rFonts w:hint="eastAsia"/>
          <w:b/>
          <w:bCs/>
          <w:color w:val="auto"/>
        </w:rPr>
        <w:t>（八）特别说明</w:t>
      </w:r>
      <w:bookmarkEnd w:id="57"/>
      <w:bookmarkEnd w:id="58"/>
      <w:bookmarkEnd w:id="59"/>
      <w:bookmarkEnd w:id="60"/>
    </w:p>
    <w:p w14:paraId="5B1B1F60">
      <w:pPr>
        <w:pStyle w:val="23"/>
        <w:snapToGrid w:val="0"/>
        <w:spacing w:line="420" w:lineRule="exact"/>
        <w:ind w:firstLine="420"/>
        <w:rPr>
          <w:rFonts w:hAnsi="宋体"/>
          <w:color w:val="auto"/>
        </w:rPr>
      </w:pPr>
      <w:r>
        <w:rPr>
          <w:rFonts w:hAnsi="宋体"/>
          <w:color w:val="auto"/>
        </w:rPr>
        <w:t>1.</w:t>
      </w:r>
      <w:r>
        <w:rPr>
          <w:rFonts w:hint="eastAsia" w:hAnsi="宋体"/>
          <w:color w:val="auto"/>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14:paraId="1A2453D2">
      <w:pPr>
        <w:pStyle w:val="23"/>
        <w:snapToGrid w:val="0"/>
        <w:spacing w:line="420" w:lineRule="exact"/>
        <w:ind w:firstLine="420"/>
        <w:rPr>
          <w:rFonts w:hAnsi="宋体"/>
          <w:color w:val="auto"/>
        </w:rPr>
      </w:pPr>
      <w:r>
        <w:rPr>
          <w:rFonts w:hAnsi="宋体"/>
          <w:color w:val="auto"/>
        </w:rPr>
        <w:t>2.</w:t>
      </w:r>
      <w:r>
        <w:rPr>
          <w:rFonts w:hint="eastAsia" w:hAnsi="宋体"/>
          <w:color w:val="auto"/>
        </w:rPr>
        <w:t>公开招标的货物、服务采购项目，招标过程中提交响应文件或者经评审实质性响应招标文件要求的供应商只有两家时，采购人、采购代理机构按照规定经本级财政部门批准后可以与该两家供应商进行竞争性谈判采购。符合本款情形的，供应商最低数量可以为两家。</w:t>
      </w:r>
    </w:p>
    <w:p w14:paraId="58705D59">
      <w:pPr>
        <w:spacing w:line="420" w:lineRule="exact"/>
        <w:ind w:firstLine="211" w:firstLineChars="100"/>
        <w:rPr>
          <w:b/>
          <w:bCs/>
          <w:color w:val="auto"/>
        </w:rPr>
      </w:pPr>
      <w:bookmarkStart w:id="61" w:name="_Toc352700415"/>
      <w:bookmarkStart w:id="62" w:name="_Toc353785285"/>
      <w:bookmarkStart w:id="63" w:name="_Toc254970533"/>
      <w:bookmarkStart w:id="64" w:name="_Toc254970674"/>
      <w:r>
        <w:rPr>
          <w:rFonts w:hint="eastAsia"/>
          <w:b/>
          <w:bCs/>
          <w:color w:val="auto"/>
        </w:rPr>
        <w:t>（九）询问、质疑和投诉</w:t>
      </w:r>
      <w:bookmarkEnd w:id="61"/>
      <w:bookmarkEnd w:id="62"/>
      <w:bookmarkEnd w:id="63"/>
      <w:bookmarkEnd w:id="64"/>
    </w:p>
    <w:p w14:paraId="35C6DFBC">
      <w:pPr>
        <w:pStyle w:val="23"/>
        <w:snapToGrid w:val="0"/>
        <w:spacing w:line="420" w:lineRule="exact"/>
        <w:ind w:firstLine="420"/>
        <w:rPr>
          <w:rFonts w:hAnsi="宋体"/>
          <w:bCs/>
          <w:color w:val="auto"/>
        </w:rPr>
      </w:pPr>
      <w:r>
        <w:rPr>
          <w:rFonts w:hAnsi="宋体"/>
          <w:bCs/>
          <w:color w:val="auto"/>
        </w:rPr>
        <w:t>1.</w:t>
      </w:r>
      <w:r>
        <w:rPr>
          <w:rFonts w:hint="eastAsia" w:ascii="Arial" w:hAnsi="Arial" w:cs="Arial"/>
          <w:color w:val="auto"/>
          <w:kern w:val="0"/>
        </w:rPr>
        <w:t>供应商</w:t>
      </w:r>
      <w:r>
        <w:rPr>
          <w:rFonts w:ascii="Arial" w:hAnsi="Arial" w:cs="Arial"/>
          <w:color w:val="auto"/>
          <w:kern w:val="0"/>
        </w:rPr>
        <w:t>对政府采购活动事项有疑问的，可以向采购人</w:t>
      </w:r>
      <w:r>
        <w:rPr>
          <w:rFonts w:hint="eastAsia" w:ascii="Arial" w:hAnsi="Arial" w:cs="Arial"/>
          <w:color w:val="auto"/>
          <w:kern w:val="0"/>
        </w:rPr>
        <w:t>或本中心</w:t>
      </w:r>
      <w:r>
        <w:rPr>
          <w:rFonts w:ascii="Arial" w:hAnsi="Arial" w:cs="Arial"/>
          <w:color w:val="auto"/>
          <w:kern w:val="0"/>
        </w:rPr>
        <w:t>提出询问，采购人</w:t>
      </w:r>
      <w:r>
        <w:rPr>
          <w:rFonts w:hint="eastAsia" w:ascii="Arial" w:hAnsi="Arial" w:cs="Arial"/>
          <w:color w:val="auto"/>
          <w:kern w:val="0"/>
        </w:rPr>
        <w:t>或本中心当在3个工作日内对供应商依法提出的询问作出答复</w:t>
      </w:r>
      <w:r>
        <w:rPr>
          <w:rFonts w:ascii="Arial" w:hAnsi="Arial" w:cs="Arial"/>
          <w:color w:val="auto"/>
          <w:kern w:val="0"/>
        </w:rPr>
        <w:t>，但答复的内容不得涉及商业秘密。</w:t>
      </w:r>
    </w:p>
    <w:p w14:paraId="51475D2E">
      <w:pPr>
        <w:pStyle w:val="23"/>
        <w:snapToGrid w:val="0"/>
        <w:spacing w:line="420" w:lineRule="exact"/>
        <w:ind w:firstLine="420"/>
        <w:rPr>
          <w:rFonts w:hAnsi="宋体"/>
          <w:bCs/>
          <w:color w:val="auto"/>
        </w:rPr>
      </w:pPr>
      <w:r>
        <w:rPr>
          <w:rFonts w:hAnsi="宋体"/>
          <w:bCs/>
          <w:color w:val="auto"/>
        </w:rPr>
        <w:t>2.</w:t>
      </w:r>
      <w:r>
        <w:rPr>
          <w:rFonts w:hint="eastAsia" w:hAnsi="宋体"/>
          <w:bCs/>
          <w:color w:val="auto"/>
        </w:rPr>
        <w:t>供应商认为采购文件、采购过程或成交结果使自己的合法权益受到损害的，</w:t>
      </w:r>
      <w:r>
        <w:rPr>
          <w:rFonts w:hAnsi="宋体"/>
          <w:bCs/>
          <w:color w:val="auto"/>
        </w:rPr>
        <w:t>可以在知道或者应知其权益受到损害之日起7个工作日内</w:t>
      </w:r>
      <w:r>
        <w:rPr>
          <w:rFonts w:hint="eastAsia" w:hAnsi="宋体"/>
          <w:bCs/>
          <w:color w:val="auto"/>
        </w:rPr>
        <w:t>，</w:t>
      </w:r>
      <w:r>
        <w:rPr>
          <w:rFonts w:cs="Arial"/>
          <w:color w:val="auto"/>
        </w:rPr>
        <w:t>以书面形式</w:t>
      </w:r>
      <w:r>
        <w:rPr>
          <w:rFonts w:hint="eastAsia" w:cs="Arial"/>
          <w:color w:val="auto"/>
        </w:rPr>
        <w:t>（广西政采云平台）</w:t>
      </w:r>
      <w:r>
        <w:rPr>
          <w:rFonts w:cs="Arial"/>
          <w:color w:val="auto"/>
        </w:rPr>
        <w:t>向采购人、</w:t>
      </w:r>
      <w:r>
        <w:rPr>
          <w:rFonts w:hint="eastAsia" w:cs="Arial"/>
          <w:color w:val="auto"/>
        </w:rPr>
        <w:t>本中心</w:t>
      </w:r>
      <w:r>
        <w:rPr>
          <w:rFonts w:cs="Arial"/>
          <w:color w:val="auto"/>
        </w:rPr>
        <w:t>提出质疑。</w:t>
      </w:r>
      <w:r>
        <w:rPr>
          <w:rFonts w:hint="eastAsia" w:hAnsi="宋体"/>
          <w:bCs/>
          <w:color w:val="auto"/>
        </w:rPr>
        <w:t>供应商必须在法定质疑期内一次性提出针对同一采购程序环节的质疑。</w:t>
      </w:r>
      <w:r>
        <w:rPr>
          <w:rFonts w:hint="eastAsia" w:hAnsi="宋体" w:cs="宋体"/>
          <w:color w:val="auto"/>
        </w:rPr>
        <w:t>供应商应知其权益受到损害之日，是指：</w:t>
      </w:r>
    </w:p>
    <w:p w14:paraId="1285AF46">
      <w:pPr>
        <w:pStyle w:val="23"/>
        <w:adjustRightInd w:val="0"/>
        <w:snapToGrid w:val="0"/>
        <w:spacing w:line="420" w:lineRule="exact"/>
        <w:ind w:firstLine="308" w:firstLineChars="147"/>
        <w:rPr>
          <w:rFonts w:hAnsi="宋体"/>
          <w:bCs/>
          <w:color w:val="auto"/>
        </w:rPr>
      </w:pPr>
      <w:r>
        <w:rPr>
          <w:rFonts w:hint="eastAsia" w:hAnsi="宋体"/>
          <w:bCs/>
          <w:color w:val="auto"/>
        </w:rPr>
        <w:t>(</w:t>
      </w:r>
      <w:r>
        <w:rPr>
          <w:rFonts w:hAnsi="宋体"/>
          <w:bCs/>
          <w:color w:val="auto"/>
        </w:rPr>
        <w:t>1)</w:t>
      </w:r>
      <w:r>
        <w:rPr>
          <w:rFonts w:hint="eastAsia" w:hAnsi="宋体"/>
          <w:bCs/>
          <w:color w:val="auto"/>
        </w:rPr>
        <w:t>对采购文件提出质疑的，为获取采购文件之日；</w:t>
      </w:r>
    </w:p>
    <w:p w14:paraId="244105A2">
      <w:pPr>
        <w:pStyle w:val="23"/>
        <w:adjustRightInd w:val="0"/>
        <w:snapToGrid w:val="0"/>
        <w:spacing w:line="420" w:lineRule="exact"/>
        <w:ind w:firstLine="308" w:firstLineChars="147"/>
        <w:rPr>
          <w:rFonts w:hAnsi="宋体"/>
          <w:bCs/>
          <w:color w:val="auto"/>
        </w:rPr>
      </w:pPr>
      <w:r>
        <w:rPr>
          <w:rFonts w:hint="eastAsia" w:hAnsi="宋体"/>
          <w:bCs/>
          <w:color w:val="auto"/>
        </w:rPr>
        <w:t>(</w:t>
      </w:r>
      <w:r>
        <w:rPr>
          <w:rFonts w:hAnsi="宋体"/>
          <w:bCs/>
          <w:color w:val="auto"/>
        </w:rPr>
        <w:t>2)</w:t>
      </w:r>
      <w:r>
        <w:rPr>
          <w:rFonts w:hint="eastAsia" w:hAnsi="宋体"/>
          <w:bCs/>
          <w:color w:val="auto"/>
        </w:rPr>
        <w:t>对采购过程提出质疑的，为各采购程序环节结束之日；</w:t>
      </w:r>
    </w:p>
    <w:p w14:paraId="5169FCC2">
      <w:pPr>
        <w:widowControl/>
        <w:adjustRightInd w:val="0"/>
        <w:snapToGrid w:val="0"/>
        <w:spacing w:line="420" w:lineRule="exact"/>
        <w:ind w:firstLine="102" w:firstLineChars="49"/>
        <w:jc w:val="left"/>
        <w:rPr>
          <w:rFonts w:ascii="宋体" w:hAnsi="宋体" w:cs="Courier New"/>
          <w:bCs/>
          <w:color w:val="auto"/>
          <w:szCs w:val="21"/>
        </w:rPr>
      </w:pPr>
      <w:r>
        <w:rPr>
          <w:rFonts w:hint="eastAsia" w:ascii="宋体" w:hAnsi="宋体" w:cs="Courier New"/>
          <w:bCs/>
          <w:color w:val="auto"/>
          <w:szCs w:val="21"/>
        </w:rPr>
        <w:t xml:space="preserve">  (</w:t>
      </w:r>
      <w:r>
        <w:rPr>
          <w:rFonts w:ascii="宋体" w:hAnsi="宋体" w:cs="Courier New"/>
          <w:bCs/>
          <w:color w:val="auto"/>
          <w:szCs w:val="21"/>
        </w:rPr>
        <w:t>3)</w:t>
      </w:r>
      <w:r>
        <w:rPr>
          <w:rFonts w:hint="eastAsia" w:ascii="宋体" w:hAnsi="宋体" w:cs="Courier New"/>
          <w:bCs/>
          <w:color w:val="auto"/>
          <w:szCs w:val="21"/>
        </w:rPr>
        <w:t>对成交结果提出质疑的，为成交结果公告期限届满之日。</w:t>
      </w:r>
    </w:p>
    <w:p w14:paraId="5580976C">
      <w:pPr>
        <w:widowControl/>
        <w:adjustRightInd w:val="0"/>
        <w:snapToGrid w:val="0"/>
        <w:spacing w:line="420" w:lineRule="exact"/>
        <w:ind w:firstLine="420"/>
        <w:jc w:val="left"/>
        <w:rPr>
          <w:rFonts w:ascii="宋体" w:hAnsi="宋体" w:cs="Courier New"/>
          <w:bCs/>
          <w:color w:val="auto"/>
          <w:szCs w:val="21"/>
        </w:rPr>
      </w:pPr>
      <w:r>
        <w:rPr>
          <w:rFonts w:ascii="宋体" w:hAnsi="宋体" w:cs="Courier New"/>
          <w:bCs/>
          <w:color w:val="auto"/>
          <w:szCs w:val="21"/>
        </w:rPr>
        <w:t>3.</w:t>
      </w:r>
      <w:r>
        <w:rPr>
          <w:rFonts w:hint="eastAsia" w:hAnsi="宋体"/>
          <w:color w:val="auto"/>
        </w:rPr>
        <w:t>供应商对采购人、本中心质疑答复不满意或者采购人、本中心未在规定时间内作出答复的，可以在答复期满后十五个工作日内向同级采购监管部门投诉。</w:t>
      </w:r>
    </w:p>
    <w:p w14:paraId="5B7F1C72">
      <w:pPr>
        <w:pStyle w:val="23"/>
        <w:snapToGrid w:val="0"/>
        <w:spacing w:line="420" w:lineRule="exact"/>
        <w:ind w:firstLine="420"/>
        <w:rPr>
          <w:rFonts w:hAnsi="宋体"/>
          <w:bCs/>
          <w:color w:val="auto"/>
        </w:rPr>
      </w:pPr>
      <w:r>
        <w:rPr>
          <w:rFonts w:hAnsi="宋体"/>
          <w:bCs/>
          <w:color w:val="auto"/>
        </w:rPr>
        <w:t>4.</w:t>
      </w:r>
      <w:r>
        <w:rPr>
          <w:rFonts w:hint="eastAsia" w:hAnsi="宋体"/>
          <w:bCs/>
          <w:color w:val="auto"/>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14:paraId="6FA814EB">
      <w:pPr>
        <w:pStyle w:val="23"/>
        <w:snapToGrid w:val="0"/>
        <w:spacing w:line="420" w:lineRule="exact"/>
        <w:ind w:firstLine="420"/>
        <w:rPr>
          <w:rFonts w:hAnsi="宋体"/>
          <w:bCs/>
          <w:color w:val="auto"/>
        </w:rPr>
      </w:pPr>
      <w:r>
        <w:rPr>
          <w:rFonts w:hint="eastAsia" w:hAnsi="宋体"/>
          <w:bCs/>
          <w:color w:val="auto"/>
        </w:rPr>
        <w:t>质疑部门联系方式：钦州市政府采购中心    0777-2886002</w:t>
      </w:r>
    </w:p>
    <w:p w14:paraId="5C4C6179">
      <w:pPr>
        <w:pStyle w:val="23"/>
        <w:snapToGrid w:val="0"/>
        <w:spacing w:line="420" w:lineRule="exact"/>
        <w:ind w:firstLine="420"/>
        <w:rPr>
          <w:rFonts w:hAnsi="宋体"/>
          <w:bCs/>
          <w:color w:val="auto"/>
        </w:rPr>
      </w:pPr>
      <w:r>
        <w:rPr>
          <w:rFonts w:hint="eastAsia" w:hAnsi="宋体"/>
          <w:bCs/>
          <w:color w:val="auto"/>
        </w:rPr>
        <w:t>采购监管部门联系方式：</w:t>
      </w:r>
      <w:r>
        <w:rPr>
          <w:rFonts w:hint="eastAsia"/>
          <w:color w:val="auto"/>
        </w:rPr>
        <w:t>广西壮族自治区财政厅政府采购监督管理处   0771-5339851</w:t>
      </w:r>
    </w:p>
    <w:p w14:paraId="1B6A7ED1">
      <w:pPr>
        <w:spacing w:line="400" w:lineRule="exact"/>
        <w:ind w:firstLine="211" w:firstLineChars="100"/>
        <w:rPr>
          <w:b/>
          <w:bCs/>
          <w:color w:val="auto"/>
        </w:rPr>
      </w:pPr>
      <w:r>
        <w:rPr>
          <w:rFonts w:hint="eastAsia"/>
          <w:b/>
          <w:bCs/>
          <w:color w:val="auto"/>
        </w:rPr>
        <w:t xml:space="preserve">（十）查询媒体 </w:t>
      </w:r>
      <w:r>
        <w:rPr>
          <w:rFonts w:hint="eastAsia" w:hAnsi="宋体"/>
          <w:color w:val="auto"/>
        </w:rPr>
        <w:t>中国政府采购网、</w:t>
      </w:r>
      <w:r>
        <w:rPr>
          <w:color w:val="auto"/>
        </w:rPr>
        <w:fldChar w:fldCharType="begin"/>
      </w:r>
      <w:r>
        <w:rPr>
          <w:color w:val="auto"/>
        </w:rPr>
        <w:instrText xml:space="preserve"> HYPERLINK "http://zfcg.gxzf.gov.cn/" </w:instrText>
      </w:r>
      <w:r>
        <w:rPr>
          <w:color w:val="auto"/>
        </w:rPr>
        <w:fldChar w:fldCharType="separate"/>
      </w:r>
      <w:r>
        <w:rPr>
          <w:rStyle w:val="48"/>
          <w:rFonts w:hint="eastAsia" w:hAnsi="宋体"/>
          <w:color w:val="auto"/>
          <w:u w:val="none"/>
        </w:rPr>
        <w:t>广西政府采购网</w:t>
      </w:r>
      <w:r>
        <w:rPr>
          <w:rStyle w:val="48"/>
          <w:rFonts w:hint="eastAsia" w:hAnsi="宋体"/>
          <w:color w:val="auto"/>
          <w:u w:val="none"/>
        </w:rPr>
        <w:fldChar w:fldCharType="end"/>
      </w:r>
      <w:r>
        <w:rPr>
          <w:rFonts w:hint="eastAsia" w:hAnsi="宋体"/>
          <w:color w:val="auto"/>
        </w:rPr>
        <w:t>。</w:t>
      </w:r>
    </w:p>
    <w:p w14:paraId="3A0D7CA7">
      <w:pPr>
        <w:pStyle w:val="5"/>
        <w:spacing w:line="420" w:lineRule="exact"/>
        <w:rPr>
          <w:color w:val="auto"/>
        </w:rPr>
      </w:pPr>
      <w:bookmarkStart w:id="65" w:name="_Toc352700416"/>
      <w:bookmarkStart w:id="66" w:name="_Toc353785286"/>
      <w:r>
        <w:rPr>
          <w:rFonts w:hint="eastAsia"/>
          <w:color w:val="auto"/>
        </w:rPr>
        <w:t>二、竞争性谈判采购文件</w:t>
      </w:r>
      <w:bookmarkEnd w:id="65"/>
      <w:bookmarkEnd w:id="66"/>
    </w:p>
    <w:p w14:paraId="785A23AC">
      <w:pPr>
        <w:spacing w:line="420" w:lineRule="exact"/>
        <w:ind w:firstLine="211" w:firstLineChars="100"/>
        <w:rPr>
          <w:b/>
          <w:bCs/>
          <w:color w:val="auto"/>
        </w:rPr>
      </w:pPr>
      <w:bookmarkStart w:id="67" w:name="_Toc352700417"/>
      <w:bookmarkStart w:id="68" w:name="_Toc353785287"/>
      <w:r>
        <w:rPr>
          <w:rFonts w:hint="eastAsia"/>
          <w:b/>
          <w:bCs/>
          <w:color w:val="auto"/>
        </w:rPr>
        <w:t>（一）竞争性谈判采购文件的组成</w:t>
      </w:r>
      <w:bookmarkEnd w:id="67"/>
      <w:bookmarkEnd w:id="68"/>
    </w:p>
    <w:p w14:paraId="62D21211">
      <w:pPr>
        <w:pStyle w:val="23"/>
        <w:snapToGrid w:val="0"/>
        <w:spacing w:line="420" w:lineRule="exact"/>
        <w:ind w:firstLine="420" w:firstLineChars="200"/>
        <w:rPr>
          <w:rFonts w:hAnsi="宋体"/>
          <w:color w:val="auto"/>
        </w:rPr>
      </w:pPr>
      <w:r>
        <w:rPr>
          <w:rFonts w:hint="eastAsia" w:hAnsi="宋体"/>
          <w:color w:val="auto"/>
        </w:rPr>
        <w:t>第一章 竞争性谈判公告</w:t>
      </w:r>
    </w:p>
    <w:p w14:paraId="3AE32787">
      <w:pPr>
        <w:pStyle w:val="23"/>
        <w:snapToGrid w:val="0"/>
        <w:spacing w:line="420" w:lineRule="exact"/>
        <w:ind w:firstLine="420" w:firstLineChars="200"/>
        <w:rPr>
          <w:rFonts w:hAnsi="宋体"/>
          <w:color w:val="auto"/>
        </w:rPr>
      </w:pPr>
      <w:r>
        <w:rPr>
          <w:rFonts w:hint="eastAsia" w:hAnsi="宋体"/>
          <w:color w:val="auto"/>
        </w:rPr>
        <w:t>第二章 项目需求</w:t>
      </w:r>
    </w:p>
    <w:p w14:paraId="6411BC5B">
      <w:pPr>
        <w:pStyle w:val="23"/>
        <w:snapToGrid w:val="0"/>
        <w:spacing w:line="420" w:lineRule="exact"/>
        <w:ind w:firstLine="420" w:firstLineChars="200"/>
        <w:rPr>
          <w:rFonts w:hAnsi="宋体"/>
          <w:color w:val="auto"/>
        </w:rPr>
      </w:pPr>
      <w:r>
        <w:rPr>
          <w:rFonts w:hint="eastAsia" w:hAnsi="宋体"/>
          <w:color w:val="auto"/>
        </w:rPr>
        <w:t>第三章 供应商须知</w:t>
      </w:r>
    </w:p>
    <w:p w14:paraId="2537DD5E">
      <w:pPr>
        <w:pStyle w:val="23"/>
        <w:snapToGrid w:val="0"/>
        <w:spacing w:line="420" w:lineRule="exact"/>
        <w:ind w:firstLine="420" w:firstLineChars="200"/>
        <w:rPr>
          <w:rFonts w:hAnsi="宋体"/>
          <w:color w:val="auto"/>
        </w:rPr>
      </w:pPr>
      <w:r>
        <w:rPr>
          <w:rFonts w:hint="eastAsia" w:hAnsi="宋体"/>
          <w:color w:val="auto"/>
        </w:rPr>
        <w:t>第四章 评定标准及推荐原则</w:t>
      </w:r>
    </w:p>
    <w:p w14:paraId="20424138">
      <w:pPr>
        <w:pStyle w:val="23"/>
        <w:snapToGrid w:val="0"/>
        <w:spacing w:line="420" w:lineRule="exact"/>
        <w:ind w:firstLine="420" w:firstLineChars="200"/>
        <w:rPr>
          <w:rFonts w:hAnsi="宋体"/>
          <w:color w:val="auto"/>
        </w:rPr>
      </w:pPr>
      <w:r>
        <w:rPr>
          <w:rFonts w:hint="eastAsia" w:hAnsi="宋体"/>
          <w:color w:val="auto"/>
        </w:rPr>
        <w:t>第五章 合同文本</w:t>
      </w:r>
    </w:p>
    <w:p w14:paraId="76BC0743">
      <w:pPr>
        <w:pStyle w:val="23"/>
        <w:snapToGrid w:val="0"/>
        <w:spacing w:line="420" w:lineRule="exact"/>
        <w:ind w:firstLine="420" w:firstLineChars="200"/>
        <w:rPr>
          <w:rFonts w:hAnsi="宋体"/>
          <w:color w:val="auto"/>
        </w:rPr>
      </w:pPr>
      <w:r>
        <w:rPr>
          <w:rFonts w:hint="eastAsia" w:hAnsi="宋体"/>
          <w:color w:val="auto"/>
        </w:rPr>
        <w:t>第六章 响应文件格式</w:t>
      </w:r>
    </w:p>
    <w:p w14:paraId="53257168">
      <w:pPr>
        <w:spacing w:line="420" w:lineRule="exact"/>
        <w:ind w:firstLine="211" w:firstLineChars="100"/>
        <w:rPr>
          <w:b/>
          <w:bCs/>
          <w:color w:val="auto"/>
        </w:rPr>
      </w:pPr>
      <w:bookmarkStart w:id="69" w:name="_Toc352700419"/>
      <w:bookmarkStart w:id="70" w:name="_Toc353785289"/>
      <w:r>
        <w:rPr>
          <w:rFonts w:hint="eastAsia"/>
          <w:b/>
          <w:bCs/>
          <w:color w:val="auto"/>
        </w:rPr>
        <w:t>（二）竞争性谈判采购文件的澄清与修改</w:t>
      </w:r>
      <w:bookmarkEnd w:id="69"/>
      <w:bookmarkEnd w:id="70"/>
    </w:p>
    <w:p w14:paraId="20E1B305">
      <w:pPr>
        <w:pStyle w:val="23"/>
        <w:snapToGrid w:val="0"/>
        <w:spacing w:line="420" w:lineRule="exact"/>
        <w:ind w:firstLine="420"/>
        <w:jc w:val="left"/>
        <w:rPr>
          <w:rFonts w:hAnsi="宋体"/>
          <w:color w:val="auto"/>
        </w:rPr>
      </w:pPr>
      <w:r>
        <w:rPr>
          <w:rFonts w:hint="eastAsia" w:hAnsi="宋体"/>
          <w:color w:val="auto"/>
        </w:rPr>
        <w:t>1</w:t>
      </w:r>
      <w:r>
        <w:rPr>
          <w:rFonts w:hAnsi="宋体"/>
          <w:color w:val="auto"/>
        </w:rPr>
        <w:t>.</w:t>
      </w:r>
      <w:r>
        <w:rPr>
          <w:rFonts w:hint="eastAsia" w:hAnsi="宋体"/>
          <w:color w:val="auto"/>
        </w:rPr>
        <w:t>提交首次响应文件截止之日前，采购人、本中心或者谈判小组可以对已发出的谈判文件进行必要的澄清或者修改，澄清或者修改的内容作为谈判文件的组成部分。澄清或者修改应当在原公告发布媒体上发布澄清公告。澄清或者修改的内容可能影响响应文件编制的，采购人、本中心或者谈判小组应当在提交首次响应文件截止之日3个工作日前，以书面形式通知所有依法接收谈判文件的供应商，不足3个工作日的，应当顺延提交首次响应文件截止之日。</w:t>
      </w:r>
    </w:p>
    <w:p w14:paraId="15173D5C">
      <w:pPr>
        <w:pStyle w:val="23"/>
        <w:snapToGrid w:val="0"/>
        <w:spacing w:line="420" w:lineRule="exact"/>
        <w:ind w:firstLine="420"/>
        <w:jc w:val="left"/>
        <w:rPr>
          <w:rFonts w:hAnsi="宋体"/>
          <w:color w:val="auto"/>
        </w:rPr>
      </w:pPr>
      <w:r>
        <w:rPr>
          <w:rFonts w:hint="eastAsia" w:hAnsi="宋体"/>
          <w:color w:val="auto"/>
        </w:rPr>
        <w:t>2</w:t>
      </w:r>
      <w:r>
        <w:rPr>
          <w:rFonts w:hAnsi="宋体"/>
          <w:color w:val="auto"/>
        </w:rPr>
        <w:t>.</w:t>
      </w:r>
      <w:r>
        <w:rPr>
          <w:rFonts w:hint="eastAsia" w:hAnsi="宋体"/>
          <w:color w:val="auto"/>
        </w:rPr>
        <w:t>提供期限届满后，获取谈判文件的供应商不足3家的，本中心可以顺延提供期限，并予公告。</w:t>
      </w:r>
    </w:p>
    <w:p w14:paraId="4BE3BC75">
      <w:pPr>
        <w:pStyle w:val="5"/>
        <w:spacing w:line="420" w:lineRule="exact"/>
        <w:rPr>
          <w:color w:val="auto"/>
        </w:rPr>
      </w:pPr>
      <w:r>
        <w:rPr>
          <w:rFonts w:hint="eastAsia"/>
          <w:color w:val="auto"/>
        </w:rPr>
        <w:t>三、响应文件</w:t>
      </w:r>
    </w:p>
    <w:p w14:paraId="78C8B30D">
      <w:pPr>
        <w:spacing w:line="420" w:lineRule="exact"/>
        <w:ind w:firstLine="211" w:firstLineChars="100"/>
        <w:rPr>
          <w:rFonts w:hAnsi="宋体"/>
          <w:b/>
          <w:bCs/>
          <w:color w:val="auto"/>
        </w:rPr>
      </w:pPr>
      <w:r>
        <w:rPr>
          <w:rFonts w:hint="eastAsia" w:hAnsi="宋体"/>
          <w:b/>
          <w:bCs/>
          <w:color w:val="auto"/>
        </w:rPr>
        <w:t>（一）供应商的风险</w:t>
      </w:r>
    </w:p>
    <w:p w14:paraId="557929F8">
      <w:pPr>
        <w:spacing w:line="420" w:lineRule="exact"/>
        <w:ind w:firstLine="420"/>
        <w:rPr>
          <w:rFonts w:hAnsi="宋体"/>
          <w:color w:val="auto"/>
        </w:rPr>
      </w:pPr>
      <w:r>
        <w:rPr>
          <w:rFonts w:hAnsi="宋体"/>
          <w:color w:val="auto"/>
        </w:rPr>
        <w:t>1.</w:t>
      </w:r>
      <w:r>
        <w:rPr>
          <w:rFonts w:hint="eastAsia" w:hAnsi="宋体"/>
          <w:color w:val="auto"/>
        </w:rPr>
        <w:t>供应商应当按照谈判文件的要求编制响应文件，并对其提交的响应文件的真实性、合法性承担法律责任。</w:t>
      </w:r>
    </w:p>
    <w:p w14:paraId="3C220C26">
      <w:pPr>
        <w:spacing w:line="420" w:lineRule="exact"/>
        <w:ind w:firstLine="420"/>
        <w:rPr>
          <w:rFonts w:hAnsi="宋体"/>
          <w:color w:val="auto"/>
        </w:rPr>
      </w:pPr>
      <w:r>
        <w:rPr>
          <w:rFonts w:hAnsi="宋体"/>
          <w:color w:val="auto"/>
        </w:rPr>
        <w:t>2.</w:t>
      </w:r>
      <w:r>
        <w:rPr>
          <w:rFonts w:hint="eastAsia" w:hAnsi="宋体"/>
          <w:color w:val="auto"/>
        </w:rPr>
        <w:t>供应商在采购活动中提供任何虚假材料的，谈判小组将报财政部门查处。</w:t>
      </w:r>
    </w:p>
    <w:p w14:paraId="6BBF4ABB">
      <w:pPr>
        <w:snapToGrid w:val="0"/>
        <w:spacing w:line="420" w:lineRule="exact"/>
        <w:ind w:firstLine="211" w:firstLineChars="100"/>
        <w:rPr>
          <w:rFonts w:ascii="宋体" w:hAnsi="宋体"/>
          <w:b/>
          <w:color w:val="auto"/>
          <w:szCs w:val="21"/>
        </w:rPr>
      </w:pPr>
      <w:r>
        <w:rPr>
          <w:rFonts w:hint="eastAsia" w:hAnsi="宋体"/>
          <w:b/>
          <w:bCs/>
          <w:color w:val="auto"/>
        </w:rPr>
        <w:t>（二）</w:t>
      </w:r>
      <w:r>
        <w:rPr>
          <w:rFonts w:hint="eastAsia" w:ascii="宋体" w:hAnsi="宋体"/>
          <w:b/>
          <w:color w:val="auto"/>
          <w:szCs w:val="21"/>
        </w:rPr>
        <w:t>响应文件的组成</w:t>
      </w:r>
    </w:p>
    <w:p w14:paraId="5C9BE666">
      <w:pPr>
        <w:snapToGrid w:val="0"/>
        <w:spacing w:line="420" w:lineRule="exact"/>
        <w:ind w:firstLine="422"/>
        <w:rPr>
          <w:rFonts w:ascii="宋体" w:hAnsi="宋体"/>
          <w:b/>
          <w:color w:val="auto"/>
          <w:szCs w:val="21"/>
        </w:rPr>
      </w:pPr>
      <w:bookmarkStart w:id="71" w:name="_Hlk92285760"/>
      <w:r>
        <w:rPr>
          <w:rFonts w:ascii="宋体" w:hAnsi="宋体"/>
          <w:b/>
          <w:color w:val="auto"/>
          <w:szCs w:val="21"/>
        </w:rPr>
        <w:t>1.</w:t>
      </w:r>
      <w:r>
        <w:rPr>
          <w:rFonts w:hint="eastAsia" w:ascii="宋体" w:hAnsi="宋体"/>
          <w:b/>
          <w:color w:val="auto"/>
          <w:szCs w:val="21"/>
        </w:rPr>
        <w:t>资格文件：</w:t>
      </w:r>
    </w:p>
    <w:p w14:paraId="5EC6E99B">
      <w:pPr>
        <w:tabs>
          <w:tab w:val="left" w:pos="3870"/>
          <w:tab w:val="left" w:pos="4085"/>
        </w:tabs>
        <w:snapToGrid w:val="0"/>
        <w:spacing w:line="420" w:lineRule="exact"/>
        <w:ind w:firstLine="420"/>
        <w:rPr>
          <w:rFonts w:ascii="宋体" w:hAnsi="宋体"/>
          <w:color w:val="auto"/>
          <w:szCs w:val="21"/>
        </w:rPr>
      </w:pPr>
      <w:r>
        <w:rPr>
          <w:rFonts w:hint="eastAsia" w:ascii="宋体" w:hAnsi="宋体" w:cs="宋体"/>
          <w:bCs/>
          <w:color w:val="auto"/>
          <w:kern w:val="0"/>
          <w:szCs w:val="21"/>
        </w:rPr>
        <w:t>★</w:t>
      </w:r>
      <w:bookmarkStart w:id="72" w:name="_Hlk90369149"/>
      <w:r>
        <w:rPr>
          <w:rFonts w:hint="eastAsia" w:ascii="宋体" w:hAnsi="宋体"/>
          <w:color w:val="auto"/>
          <w:szCs w:val="21"/>
        </w:rPr>
        <w:t>(</w:t>
      </w:r>
      <w:r>
        <w:rPr>
          <w:rFonts w:ascii="宋体" w:hAnsi="宋体"/>
          <w:color w:val="auto"/>
          <w:szCs w:val="21"/>
        </w:rPr>
        <w:t>1)</w:t>
      </w:r>
      <w:r>
        <w:rPr>
          <w:rFonts w:hint="eastAsia" w:ascii="宋体" w:hAnsi="宋体"/>
          <w:color w:val="auto"/>
          <w:szCs w:val="21"/>
        </w:rPr>
        <w:t>法人或者其他组织的营业执照等证明文件</w:t>
      </w:r>
    </w:p>
    <w:bookmarkEnd w:id="72"/>
    <w:p w14:paraId="38617618">
      <w:pPr>
        <w:tabs>
          <w:tab w:val="left" w:pos="3870"/>
          <w:tab w:val="left" w:pos="4085"/>
        </w:tabs>
        <w:snapToGrid w:val="0"/>
        <w:spacing w:line="420" w:lineRule="exact"/>
        <w:ind w:firstLine="420"/>
        <w:rPr>
          <w:rFonts w:ascii="宋体" w:hAnsi="宋体" w:cs="宋体"/>
          <w:color w:val="auto"/>
          <w:szCs w:val="21"/>
        </w:rPr>
      </w:pPr>
      <w:r>
        <w:rPr>
          <w:rFonts w:hint="eastAsia" w:ascii="宋体" w:hAnsi="宋体" w:cs="宋体"/>
          <w:bCs/>
          <w:color w:val="auto"/>
          <w:kern w:val="0"/>
          <w:szCs w:val="21"/>
        </w:rPr>
        <w:t>★(</w:t>
      </w:r>
      <w:r>
        <w:rPr>
          <w:rFonts w:ascii="宋体" w:hAnsi="宋体" w:cs="宋体"/>
          <w:bCs/>
          <w:color w:val="auto"/>
          <w:kern w:val="0"/>
          <w:szCs w:val="21"/>
        </w:rPr>
        <w:t>2)</w:t>
      </w:r>
      <w:bookmarkStart w:id="73" w:name="_Hlk147761368"/>
      <w:r>
        <w:rPr>
          <w:rFonts w:hint="eastAsia" w:ascii="宋体" w:hAnsi="宋体"/>
          <w:color w:val="auto"/>
          <w:szCs w:val="21"/>
        </w:rPr>
        <w:t>供应商具备参加政府采购活动条件的承诺书</w:t>
      </w:r>
      <w:r>
        <w:rPr>
          <w:rFonts w:hint="eastAsia" w:ascii="宋体" w:hAnsi="宋体" w:cs="宋体"/>
          <w:color w:val="auto"/>
          <w:szCs w:val="21"/>
        </w:rPr>
        <w:t>(格式见第六章</w:t>
      </w:r>
      <w:r>
        <w:rPr>
          <w:rFonts w:ascii="宋体" w:hAnsi="宋体" w:cs="宋体"/>
          <w:color w:val="auto"/>
          <w:szCs w:val="21"/>
        </w:rPr>
        <w:t>）</w:t>
      </w:r>
      <w:bookmarkEnd w:id="73"/>
    </w:p>
    <w:p w14:paraId="7AB51E8F">
      <w:pPr>
        <w:tabs>
          <w:tab w:val="left" w:pos="3870"/>
          <w:tab w:val="left" w:pos="4085"/>
        </w:tabs>
        <w:snapToGrid w:val="0"/>
        <w:spacing w:line="420" w:lineRule="exact"/>
        <w:ind w:firstLine="420"/>
        <w:rPr>
          <w:rFonts w:hAnsi="宋体"/>
          <w:color w:val="auto"/>
          <w:spacing w:val="-4"/>
        </w:rPr>
      </w:pPr>
      <w:r>
        <w:rPr>
          <w:rFonts w:hint="eastAsia" w:ascii="宋体" w:hAnsi="宋体" w:cs="宋体"/>
          <w:bCs/>
          <w:color w:val="auto"/>
          <w:kern w:val="0"/>
          <w:szCs w:val="21"/>
        </w:rPr>
        <w:t>★(</w:t>
      </w:r>
      <w:r>
        <w:rPr>
          <w:rFonts w:ascii="宋体" w:hAnsi="宋体" w:cs="宋体"/>
          <w:bCs/>
          <w:color w:val="auto"/>
          <w:kern w:val="0"/>
          <w:szCs w:val="21"/>
        </w:rPr>
        <w:t>3)</w:t>
      </w:r>
      <w:r>
        <w:rPr>
          <w:rFonts w:hint="eastAsia" w:hAnsi="宋体"/>
          <w:color w:val="auto"/>
          <w:spacing w:val="-4"/>
        </w:rPr>
        <w:t>参加政府采购活动前3年内在经营活动中没有重大违法记录的书面声明(格式见第六章)</w:t>
      </w:r>
    </w:p>
    <w:p w14:paraId="5E014AD1">
      <w:pPr>
        <w:snapToGrid w:val="0"/>
        <w:spacing w:line="420" w:lineRule="exact"/>
        <w:ind w:firstLine="422"/>
        <w:rPr>
          <w:rFonts w:ascii="宋体" w:hAnsi="宋体"/>
          <w:color w:val="auto"/>
          <w:szCs w:val="21"/>
        </w:rPr>
      </w:pPr>
      <w:r>
        <w:rPr>
          <w:rFonts w:ascii="宋体" w:hAnsi="宋体"/>
          <w:b/>
          <w:color w:val="auto"/>
          <w:szCs w:val="21"/>
        </w:rPr>
        <w:t>2.</w:t>
      </w:r>
      <w:r>
        <w:rPr>
          <w:rFonts w:hint="eastAsia" w:ascii="宋体" w:hAnsi="宋体"/>
          <w:b/>
          <w:color w:val="auto"/>
          <w:szCs w:val="21"/>
        </w:rPr>
        <w:t>商务技术文件：</w:t>
      </w:r>
    </w:p>
    <w:p w14:paraId="705779D7">
      <w:pPr>
        <w:tabs>
          <w:tab w:val="left" w:pos="3870"/>
          <w:tab w:val="left" w:pos="4085"/>
        </w:tabs>
        <w:snapToGrid w:val="0"/>
        <w:spacing w:line="420" w:lineRule="exact"/>
        <w:ind w:firstLine="420" w:firstLineChars="200"/>
        <w:rPr>
          <w:rFonts w:ascii="宋体" w:hAnsi="宋体"/>
          <w:color w:val="auto"/>
          <w:szCs w:val="21"/>
        </w:rPr>
      </w:pPr>
      <w:r>
        <w:rPr>
          <w:rFonts w:hint="eastAsia" w:ascii="宋体" w:hAnsi="宋体" w:cs="宋体"/>
          <w:bCs/>
          <w:color w:val="auto"/>
          <w:kern w:val="0"/>
          <w:szCs w:val="21"/>
        </w:rPr>
        <w:t>★</w:t>
      </w:r>
      <w:r>
        <w:rPr>
          <w:rFonts w:hint="eastAsia" w:ascii="宋体" w:hAnsi="宋体"/>
          <w:color w:val="auto"/>
          <w:szCs w:val="21"/>
        </w:rPr>
        <w:t>(1</w:t>
      </w:r>
      <w:r>
        <w:rPr>
          <w:rFonts w:ascii="宋体" w:hAnsi="宋体"/>
          <w:color w:val="auto"/>
          <w:szCs w:val="21"/>
        </w:rPr>
        <w:t>)</w:t>
      </w:r>
      <w:r>
        <w:rPr>
          <w:rFonts w:hint="eastAsia" w:ascii="宋体" w:hAnsi="宋体"/>
          <w:color w:val="auto"/>
          <w:szCs w:val="21"/>
        </w:rPr>
        <w:t>谈判函（格式见第六章）</w:t>
      </w:r>
    </w:p>
    <w:p w14:paraId="554776D1">
      <w:pPr>
        <w:tabs>
          <w:tab w:val="left" w:pos="3870"/>
          <w:tab w:val="left" w:pos="4085"/>
        </w:tabs>
        <w:snapToGrid w:val="0"/>
        <w:spacing w:line="420" w:lineRule="exact"/>
        <w:ind w:firstLine="420" w:firstLineChars="200"/>
        <w:rPr>
          <w:rFonts w:ascii="宋体" w:hAnsi="宋体"/>
          <w:color w:val="auto"/>
          <w:szCs w:val="21"/>
        </w:rPr>
      </w:pPr>
      <w:r>
        <w:rPr>
          <w:rFonts w:hint="eastAsia" w:ascii="宋体" w:hAnsi="宋体" w:cs="宋体"/>
          <w:bCs/>
          <w:color w:val="auto"/>
          <w:kern w:val="0"/>
          <w:szCs w:val="21"/>
        </w:rPr>
        <w:t>★</w:t>
      </w:r>
      <w:r>
        <w:rPr>
          <w:rFonts w:hint="eastAsia" w:ascii="宋体" w:hAnsi="宋体"/>
          <w:color w:val="auto"/>
          <w:szCs w:val="21"/>
        </w:rPr>
        <w:t>(2</w:t>
      </w:r>
      <w:r>
        <w:rPr>
          <w:rFonts w:ascii="宋体" w:hAnsi="宋体"/>
          <w:color w:val="auto"/>
          <w:szCs w:val="21"/>
        </w:rPr>
        <w:t>)</w:t>
      </w:r>
      <w:r>
        <w:rPr>
          <w:rFonts w:hint="eastAsia" w:ascii="宋体" w:hAnsi="宋体"/>
          <w:color w:val="auto"/>
          <w:szCs w:val="21"/>
        </w:rPr>
        <w:t>法定代表人身份证</w:t>
      </w:r>
    </w:p>
    <w:p w14:paraId="1D0507C4">
      <w:pPr>
        <w:snapToGrid w:val="0"/>
        <w:spacing w:line="420" w:lineRule="exact"/>
        <w:ind w:firstLine="420" w:firstLineChars="200"/>
        <w:rPr>
          <w:rFonts w:ascii="宋体" w:hAnsi="宋体"/>
          <w:color w:val="auto"/>
          <w:szCs w:val="21"/>
        </w:rPr>
      </w:pPr>
      <w:r>
        <w:rPr>
          <w:rFonts w:hint="eastAsia" w:ascii="宋体" w:hAnsi="宋体"/>
          <w:color w:val="auto"/>
          <w:szCs w:val="21"/>
        </w:rPr>
        <w:t>★(3</w:t>
      </w:r>
      <w:r>
        <w:rPr>
          <w:rFonts w:ascii="宋体" w:hAnsi="宋体"/>
          <w:color w:val="auto"/>
          <w:szCs w:val="21"/>
        </w:rPr>
        <w:t>)</w:t>
      </w:r>
      <w:r>
        <w:rPr>
          <w:rFonts w:hint="eastAsia" w:ascii="宋体" w:hAnsi="宋体"/>
          <w:color w:val="auto"/>
          <w:szCs w:val="21"/>
        </w:rPr>
        <w:t>法定代表人授权委托书和代理人身份证（委托代理时必须提供，格式见第六章）</w:t>
      </w:r>
    </w:p>
    <w:p w14:paraId="0D7FFA57">
      <w:pPr>
        <w:snapToGrid w:val="0"/>
        <w:spacing w:line="420" w:lineRule="exact"/>
        <w:ind w:firstLine="422" w:firstLineChars="200"/>
        <w:rPr>
          <w:rFonts w:ascii="宋体" w:hAnsi="宋体"/>
          <w:color w:val="auto"/>
          <w:szCs w:val="21"/>
        </w:rPr>
      </w:pPr>
      <w:r>
        <w:rPr>
          <w:rFonts w:hint="eastAsia" w:ascii="宋体" w:hAnsi="宋体"/>
          <w:b/>
          <w:color w:val="auto"/>
          <w:szCs w:val="21"/>
        </w:rPr>
        <w:t>★</w:t>
      </w:r>
      <w:r>
        <w:rPr>
          <w:rFonts w:hint="eastAsia" w:ascii="宋体" w:hAnsi="宋体"/>
          <w:color w:val="auto"/>
          <w:szCs w:val="21"/>
        </w:rPr>
        <w:t>(4</w:t>
      </w:r>
      <w:r>
        <w:rPr>
          <w:rFonts w:ascii="宋体" w:hAnsi="宋体"/>
          <w:color w:val="auto"/>
          <w:szCs w:val="21"/>
        </w:rPr>
        <w:t>)</w:t>
      </w:r>
      <w:r>
        <w:rPr>
          <w:rFonts w:ascii="宋体" w:hAnsi="宋体"/>
          <w:color w:val="auto"/>
        </w:rPr>
        <w:t>商务响应表(格式见第六章)</w:t>
      </w:r>
    </w:p>
    <w:p w14:paraId="32DB2A44">
      <w:pPr>
        <w:snapToGrid w:val="0"/>
        <w:spacing w:line="420" w:lineRule="exact"/>
        <w:ind w:firstLine="422" w:firstLineChars="200"/>
        <w:rPr>
          <w:rFonts w:ascii="宋体" w:hAnsi="宋体"/>
          <w:color w:val="auto"/>
        </w:rPr>
      </w:pPr>
      <w:bookmarkStart w:id="74" w:name="_Hlk111707698"/>
      <w:r>
        <w:rPr>
          <w:rFonts w:hint="eastAsia" w:ascii="宋体" w:hAnsi="宋体"/>
          <w:b/>
          <w:color w:val="auto"/>
          <w:szCs w:val="21"/>
        </w:rPr>
        <w:t>★</w:t>
      </w:r>
      <w:r>
        <w:rPr>
          <w:rFonts w:hint="eastAsia" w:ascii="宋体" w:hAnsi="宋体"/>
          <w:color w:val="auto"/>
        </w:rPr>
        <w:t>(5</w:t>
      </w:r>
      <w:r>
        <w:rPr>
          <w:rFonts w:ascii="宋体" w:hAnsi="宋体"/>
          <w:color w:val="auto"/>
        </w:rPr>
        <w:t>)</w:t>
      </w:r>
      <w:r>
        <w:rPr>
          <w:rFonts w:hint="eastAsia" w:ascii="宋体" w:hAnsi="宋体"/>
          <w:color w:val="auto"/>
          <w:szCs w:val="21"/>
        </w:rPr>
        <w:t>技术响应表</w:t>
      </w:r>
      <w:bookmarkStart w:id="75" w:name="_Hlk92285954"/>
      <w:r>
        <w:rPr>
          <w:rFonts w:ascii="宋体" w:hAnsi="宋体"/>
          <w:color w:val="auto"/>
        </w:rPr>
        <w:t>(格式见第六章)</w:t>
      </w:r>
      <w:bookmarkEnd w:id="75"/>
    </w:p>
    <w:p w14:paraId="19213DF1">
      <w:pPr>
        <w:snapToGrid w:val="0"/>
        <w:spacing w:line="420" w:lineRule="exact"/>
        <w:ind w:firstLine="422" w:firstLineChars="200"/>
        <w:rPr>
          <w:rFonts w:ascii="宋体" w:cs="宋体"/>
          <w:bCs/>
          <w:color w:val="auto"/>
          <w:kern w:val="0"/>
          <w:szCs w:val="21"/>
        </w:rPr>
      </w:pPr>
      <w:r>
        <w:rPr>
          <w:rFonts w:hint="eastAsia" w:ascii="宋体" w:hAnsi="宋体"/>
          <w:b/>
          <w:color w:val="auto"/>
          <w:szCs w:val="21"/>
        </w:rPr>
        <w:t>★</w:t>
      </w:r>
      <w:r>
        <w:rPr>
          <w:rFonts w:hint="eastAsia" w:ascii="宋体" w:cs="宋体"/>
          <w:bCs/>
          <w:color w:val="auto"/>
          <w:kern w:val="0"/>
          <w:szCs w:val="21"/>
        </w:rPr>
        <w:t>(6</w:t>
      </w:r>
      <w:r>
        <w:rPr>
          <w:rFonts w:ascii="宋体" w:cs="宋体"/>
          <w:bCs/>
          <w:color w:val="auto"/>
          <w:kern w:val="0"/>
          <w:szCs w:val="21"/>
        </w:rPr>
        <w:t>)</w:t>
      </w:r>
      <w:r>
        <w:rPr>
          <w:rFonts w:hint="eastAsia" w:ascii="宋体" w:cs="宋体"/>
          <w:color w:val="auto"/>
          <w:kern w:val="0"/>
          <w:szCs w:val="21"/>
        </w:rPr>
        <w:t>售后服务承诺书</w:t>
      </w:r>
      <w:r>
        <w:rPr>
          <w:rFonts w:hint="eastAsia" w:ascii="宋体" w:cs="宋体"/>
          <w:bCs/>
          <w:color w:val="auto"/>
          <w:kern w:val="0"/>
          <w:szCs w:val="21"/>
        </w:rPr>
        <w:t>（根据项目需求要求提供，格式自拟）</w:t>
      </w:r>
    </w:p>
    <w:p w14:paraId="644DB69B">
      <w:pPr>
        <w:snapToGrid w:val="0"/>
        <w:spacing w:line="420" w:lineRule="exact"/>
        <w:ind w:firstLine="422" w:firstLineChars="200"/>
        <w:rPr>
          <w:color w:val="auto"/>
        </w:rPr>
      </w:pPr>
      <w:r>
        <w:rPr>
          <w:rFonts w:hint="eastAsia" w:ascii="宋体" w:hAnsi="宋体"/>
          <w:b/>
          <w:color w:val="auto"/>
          <w:szCs w:val="21"/>
        </w:rPr>
        <w:t>★</w:t>
      </w:r>
      <w:r>
        <w:rPr>
          <w:rFonts w:hint="eastAsia" w:ascii="宋体" w:cs="宋体"/>
          <w:bCs/>
          <w:color w:val="auto"/>
          <w:kern w:val="0"/>
          <w:szCs w:val="21"/>
        </w:rPr>
        <w:t>(7</w:t>
      </w:r>
      <w:r>
        <w:rPr>
          <w:rFonts w:ascii="宋体" w:cs="宋体"/>
          <w:bCs/>
          <w:color w:val="auto"/>
          <w:kern w:val="0"/>
          <w:szCs w:val="21"/>
        </w:rPr>
        <w:t>)</w:t>
      </w:r>
      <w:r>
        <w:rPr>
          <w:rFonts w:hint="eastAsia" w:ascii="宋体" w:hAnsi="宋体"/>
          <w:color w:val="auto"/>
          <w:szCs w:val="21"/>
        </w:rPr>
        <w:t>《项目需求》中要求必须提供的材料（如有，必须提供）</w:t>
      </w:r>
    </w:p>
    <w:bookmarkEnd w:id="74"/>
    <w:p w14:paraId="41BBEFF3">
      <w:pPr>
        <w:snapToGrid w:val="0"/>
        <w:spacing w:line="420" w:lineRule="exact"/>
        <w:ind w:firstLine="422"/>
        <w:rPr>
          <w:rFonts w:ascii="宋体" w:hAnsi="宋体"/>
          <w:b/>
          <w:color w:val="auto"/>
          <w:szCs w:val="21"/>
        </w:rPr>
      </w:pPr>
      <w:r>
        <w:rPr>
          <w:rFonts w:ascii="宋体" w:hAnsi="宋体"/>
          <w:b/>
          <w:color w:val="auto"/>
          <w:szCs w:val="21"/>
        </w:rPr>
        <w:t>3.</w:t>
      </w:r>
      <w:r>
        <w:rPr>
          <w:rFonts w:hint="eastAsia" w:ascii="宋体" w:hAnsi="宋体"/>
          <w:b/>
          <w:color w:val="auto"/>
          <w:szCs w:val="21"/>
        </w:rPr>
        <w:t>报价文件</w:t>
      </w:r>
    </w:p>
    <w:p w14:paraId="290975F1">
      <w:pPr>
        <w:snapToGrid w:val="0"/>
        <w:spacing w:line="420" w:lineRule="exact"/>
        <w:rPr>
          <w:rFonts w:ascii="宋体" w:hAnsi="宋体"/>
          <w:bCs/>
          <w:color w:val="auto"/>
          <w:szCs w:val="21"/>
        </w:rPr>
      </w:pPr>
      <w:bookmarkStart w:id="76" w:name="_Hlk92265738"/>
      <w:r>
        <w:rPr>
          <w:rFonts w:hint="eastAsia" w:ascii="宋体" w:hAnsi="宋体"/>
          <w:b/>
          <w:color w:val="auto"/>
          <w:szCs w:val="21"/>
        </w:rPr>
        <w:t xml:space="preserve"> </w:t>
      </w:r>
      <w:r>
        <w:rPr>
          <w:rFonts w:ascii="宋体" w:hAnsi="宋体"/>
          <w:b/>
          <w:color w:val="auto"/>
          <w:szCs w:val="21"/>
        </w:rPr>
        <w:t xml:space="preserve">   </w:t>
      </w:r>
      <w:r>
        <w:rPr>
          <w:rFonts w:hint="eastAsia" w:ascii="宋体" w:hAnsi="宋体"/>
          <w:b/>
          <w:color w:val="auto"/>
          <w:szCs w:val="21"/>
        </w:rPr>
        <w:t>★</w:t>
      </w:r>
      <w:r>
        <w:rPr>
          <w:rFonts w:hint="eastAsia" w:ascii="宋体" w:hAnsi="宋体"/>
          <w:bCs/>
          <w:color w:val="auto"/>
          <w:szCs w:val="21"/>
        </w:rPr>
        <w:t>报价明细表</w:t>
      </w:r>
      <w:bookmarkEnd w:id="76"/>
      <w:r>
        <w:rPr>
          <w:rFonts w:hint="eastAsia" w:ascii="宋体" w:hAnsi="宋体"/>
          <w:bCs/>
          <w:color w:val="auto"/>
          <w:szCs w:val="21"/>
        </w:rPr>
        <w:t>(格式见第六章)。</w:t>
      </w:r>
    </w:p>
    <w:bookmarkEnd w:id="71"/>
    <w:p w14:paraId="7A5D9A94">
      <w:pPr>
        <w:snapToGrid w:val="0"/>
        <w:spacing w:line="420" w:lineRule="exact"/>
        <w:ind w:firstLine="422"/>
        <w:rPr>
          <w:rFonts w:ascii="宋体" w:hAnsi="宋体"/>
          <w:color w:val="auto"/>
          <w:szCs w:val="21"/>
        </w:rPr>
      </w:pPr>
      <w:r>
        <w:rPr>
          <w:rFonts w:hint="eastAsia" w:ascii="宋体" w:hAnsi="宋体"/>
          <w:color w:val="auto"/>
          <w:szCs w:val="21"/>
        </w:rPr>
        <w:t>注：标注★号的材料均为必须提供的材料须由供应商加盖公章，授权委托书必须由法定代表人签名，否则视为无效响应文件。</w:t>
      </w:r>
    </w:p>
    <w:p w14:paraId="3AC0B4D9">
      <w:pPr>
        <w:spacing w:line="420" w:lineRule="exact"/>
        <w:ind w:firstLine="211" w:firstLineChars="100"/>
        <w:rPr>
          <w:rFonts w:ascii="宋体" w:hAnsi="宋体"/>
          <w:b/>
          <w:bCs/>
          <w:color w:val="auto"/>
          <w:szCs w:val="21"/>
        </w:rPr>
      </w:pPr>
      <w:bookmarkStart w:id="77" w:name="_Hlk90906323"/>
      <w:r>
        <w:rPr>
          <w:rFonts w:hint="eastAsia" w:ascii="宋体" w:hAnsi="宋体"/>
          <w:b/>
          <w:color w:val="auto"/>
          <w:szCs w:val="21"/>
        </w:rPr>
        <w:t>（三）</w:t>
      </w:r>
      <w:bookmarkStart w:id="78" w:name="_Toc254970537"/>
      <w:bookmarkStart w:id="79" w:name="_Toc353785292"/>
      <w:bookmarkStart w:id="80" w:name="_Toc352700422"/>
      <w:bookmarkStart w:id="81" w:name="_Toc254970678"/>
      <w:r>
        <w:rPr>
          <w:rFonts w:hint="eastAsia" w:ascii="宋体" w:hAnsi="宋体"/>
          <w:b/>
          <w:bCs/>
          <w:color w:val="auto"/>
          <w:szCs w:val="21"/>
        </w:rPr>
        <w:t>响应文件的编制、签署及加密</w:t>
      </w:r>
    </w:p>
    <w:p w14:paraId="102FCBEA">
      <w:pPr>
        <w:spacing w:line="420" w:lineRule="exact"/>
        <w:ind w:firstLine="420"/>
        <w:rPr>
          <w:rFonts w:ascii="宋体" w:hAnsi="宋体"/>
          <w:color w:val="auto"/>
          <w:szCs w:val="21"/>
        </w:rPr>
      </w:pPr>
      <w:r>
        <w:rPr>
          <w:rFonts w:ascii="宋体" w:hAnsi="宋体"/>
          <w:color w:val="auto"/>
          <w:szCs w:val="21"/>
        </w:rPr>
        <w:t>1.</w:t>
      </w:r>
      <w:r>
        <w:rPr>
          <w:rFonts w:hint="eastAsia" w:ascii="宋体" w:hAnsi="宋体"/>
          <w:color w:val="auto"/>
          <w:szCs w:val="21"/>
        </w:rPr>
        <w:t>供应商应认真阅读、并充分理解招标文件的全部内容(包括所有的补充、修改内容)，承诺履行其各项条款的规定并按要求编制，响应文件应为电子文件或扫描件(样品除外)。</w:t>
      </w:r>
    </w:p>
    <w:p w14:paraId="55509974">
      <w:pPr>
        <w:spacing w:line="420" w:lineRule="exact"/>
        <w:ind w:firstLine="420"/>
        <w:rPr>
          <w:rFonts w:ascii="宋体" w:hAnsi="宋体"/>
          <w:color w:val="auto"/>
          <w:szCs w:val="21"/>
        </w:rPr>
      </w:pPr>
      <w:r>
        <w:rPr>
          <w:rFonts w:ascii="宋体" w:hAnsi="宋体"/>
          <w:color w:val="auto"/>
          <w:szCs w:val="21"/>
        </w:rPr>
        <w:t>2.</w:t>
      </w:r>
      <w:r>
        <w:rPr>
          <w:rFonts w:hint="eastAsia" w:ascii="宋体" w:hAnsi="宋体"/>
          <w:color w:val="auto"/>
          <w:szCs w:val="21"/>
        </w:rPr>
        <w:t>供应商应通过广西政采云投标客户端编制加密响应文件。</w:t>
      </w:r>
    </w:p>
    <w:p w14:paraId="60EC7E81">
      <w:pPr>
        <w:spacing w:line="420" w:lineRule="exact"/>
        <w:ind w:firstLine="420"/>
        <w:rPr>
          <w:rFonts w:ascii="宋体" w:hAnsi="宋体"/>
          <w:color w:val="auto"/>
          <w:szCs w:val="21"/>
        </w:rPr>
      </w:pPr>
      <w:r>
        <w:rPr>
          <w:rFonts w:ascii="宋体" w:hAnsi="宋体"/>
          <w:color w:val="auto"/>
          <w:szCs w:val="21"/>
        </w:rPr>
        <w:t>3.</w:t>
      </w:r>
      <w:r>
        <w:rPr>
          <w:rFonts w:hint="eastAsia" w:ascii="宋体" w:hAnsi="宋体"/>
          <w:color w:val="auto"/>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14:paraId="523597C4">
      <w:pPr>
        <w:spacing w:line="420" w:lineRule="exact"/>
        <w:rPr>
          <w:rFonts w:ascii="宋体" w:hAnsi="宋体"/>
          <w:b/>
          <w:bCs/>
          <w:color w:val="auto"/>
          <w:szCs w:val="21"/>
        </w:rPr>
      </w:pPr>
      <w:r>
        <w:rPr>
          <w:rFonts w:ascii="宋体" w:hAnsi="宋体"/>
          <w:color w:val="auto"/>
          <w:szCs w:val="21"/>
        </w:rPr>
        <w:tab/>
      </w:r>
      <w:r>
        <w:rPr>
          <w:rFonts w:ascii="宋体" w:hAnsi="宋体"/>
          <w:b/>
          <w:bCs/>
          <w:color w:val="auto"/>
          <w:szCs w:val="21"/>
        </w:rPr>
        <w:t>4.</w:t>
      </w:r>
      <w:bookmarkStart w:id="82" w:name="_Hlk112311085"/>
      <w:r>
        <w:rPr>
          <w:rFonts w:hint="eastAsia" w:ascii="宋体" w:hAnsi="宋体"/>
          <w:b/>
          <w:bCs/>
          <w:color w:val="auto"/>
          <w:szCs w:val="21"/>
        </w:rPr>
        <w:t>响应文件由供应商在规定位置由法定代表人或授权委托人签名（可为电子签名）、填写供应商名称并加盖公章(简称“盖章”，可为电子公章)，供应商名称应写全称。</w:t>
      </w:r>
      <w:bookmarkEnd w:id="82"/>
    </w:p>
    <w:p w14:paraId="79C20890">
      <w:pPr>
        <w:snapToGrid w:val="0"/>
        <w:spacing w:line="420" w:lineRule="exact"/>
        <w:ind w:firstLine="210" w:firstLineChars="100"/>
        <w:rPr>
          <w:rFonts w:ascii="宋体" w:hAnsi="宋体"/>
          <w:b/>
          <w:bCs/>
          <w:color w:val="auto"/>
          <w:szCs w:val="21"/>
        </w:rPr>
      </w:pPr>
      <w:r>
        <w:rPr>
          <w:rFonts w:ascii="宋体" w:hAnsi="宋体"/>
          <w:color w:val="auto"/>
          <w:szCs w:val="21"/>
        </w:rPr>
        <w:tab/>
      </w:r>
      <w:r>
        <w:rPr>
          <w:rFonts w:ascii="宋体" w:hAnsi="宋体"/>
          <w:color w:val="auto"/>
          <w:szCs w:val="21"/>
        </w:rPr>
        <w:t>5.</w:t>
      </w:r>
      <w:r>
        <w:rPr>
          <w:rFonts w:hint="eastAsia" w:ascii="宋体" w:hAnsi="宋体"/>
          <w:color w:val="auto"/>
          <w:szCs w:val="21"/>
        </w:rPr>
        <w:t>响应文件内容不完整、编排混乱、不清晰等原因导致被误读或漏读的责任和后果由供应商承担。</w:t>
      </w:r>
    </w:p>
    <w:bookmarkEnd w:id="77"/>
    <w:p w14:paraId="431E5C90">
      <w:pPr>
        <w:spacing w:line="420" w:lineRule="exact"/>
        <w:ind w:firstLine="211" w:firstLineChars="100"/>
        <w:rPr>
          <w:color w:val="auto"/>
        </w:rPr>
      </w:pPr>
      <w:r>
        <w:rPr>
          <w:rFonts w:hint="eastAsia"/>
          <w:b/>
          <w:bCs/>
          <w:color w:val="auto"/>
        </w:rPr>
        <w:t>（四）响应文件的语言及计量</w:t>
      </w:r>
      <w:bookmarkEnd w:id="78"/>
      <w:bookmarkEnd w:id="79"/>
      <w:bookmarkEnd w:id="80"/>
      <w:bookmarkEnd w:id="81"/>
    </w:p>
    <w:p w14:paraId="45B8B73F">
      <w:pPr>
        <w:snapToGrid w:val="0"/>
        <w:spacing w:line="420" w:lineRule="exact"/>
        <w:ind w:firstLine="420"/>
        <w:rPr>
          <w:rFonts w:ascii="宋体" w:hAnsi="宋体"/>
          <w:color w:val="auto"/>
          <w:szCs w:val="21"/>
        </w:rPr>
      </w:pPr>
      <w:r>
        <w:rPr>
          <w:rFonts w:ascii="宋体" w:hAnsi="宋体"/>
          <w:color w:val="auto"/>
          <w:szCs w:val="21"/>
        </w:rPr>
        <w:t>1.</w:t>
      </w:r>
      <w:r>
        <w:rPr>
          <w:rFonts w:hint="eastAsia" w:ascii="宋体" w:hAnsi="宋体"/>
          <w:color w:val="auto"/>
          <w:szCs w:val="21"/>
        </w:rPr>
        <w:t>响应文件以及供应商与采购人、本中心就有关事宜的所有来往函电，均应以中文汉语书写。除签名、盖章、专用名称等特殊情形外，以中文汉语以外的文字表述的视为无效文件。</w:t>
      </w:r>
    </w:p>
    <w:p w14:paraId="461E0C00">
      <w:pPr>
        <w:snapToGrid w:val="0"/>
        <w:spacing w:line="420" w:lineRule="exact"/>
        <w:ind w:firstLine="420"/>
        <w:rPr>
          <w:rFonts w:ascii="宋体" w:hAnsi="宋体"/>
          <w:color w:val="auto"/>
          <w:szCs w:val="21"/>
        </w:rPr>
      </w:pPr>
      <w:r>
        <w:rPr>
          <w:rFonts w:ascii="宋体" w:hAnsi="宋体"/>
          <w:color w:val="auto"/>
          <w:szCs w:val="21"/>
        </w:rPr>
        <w:t>2.响应</w:t>
      </w:r>
      <w:r>
        <w:rPr>
          <w:rFonts w:hint="eastAsia" w:ascii="宋体" w:hAnsi="宋体"/>
          <w:color w:val="auto"/>
          <w:szCs w:val="21"/>
        </w:rPr>
        <w:t>文件的计量单位，采购文件已有明确规定的，使用采购文件规定的计量单位；采购文件没有规定的，应采用中华人民共和国法定计量单位（货币单位：人民币元），否则视为无效响应文件。</w:t>
      </w:r>
    </w:p>
    <w:p w14:paraId="3F6045EE">
      <w:pPr>
        <w:pStyle w:val="5"/>
        <w:spacing w:before="0" w:after="0" w:line="440" w:lineRule="exact"/>
        <w:ind w:firstLine="211" w:firstLineChars="100"/>
        <w:rPr>
          <w:rFonts w:ascii="宋体" w:hAnsi="宋体" w:eastAsia="宋体"/>
          <w:color w:val="auto"/>
          <w:sz w:val="21"/>
          <w:szCs w:val="21"/>
        </w:rPr>
      </w:pPr>
      <w:bookmarkStart w:id="83" w:name="_（五）报价"/>
      <w:bookmarkEnd w:id="83"/>
      <w:bookmarkStart w:id="84" w:name="_Toc254970538"/>
      <w:bookmarkStart w:id="85" w:name="_Toc352700423"/>
      <w:bookmarkStart w:id="86" w:name="_Toc254970679"/>
      <w:bookmarkStart w:id="87" w:name="_Toc353785293"/>
      <w:r>
        <w:rPr>
          <w:rFonts w:hint="eastAsia" w:ascii="宋体" w:hAnsi="宋体" w:eastAsia="宋体"/>
          <w:color w:val="auto"/>
          <w:sz w:val="21"/>
          <w:szCs w:val="21"/>
        </w:rPr>
        <w:t>（五）报价</w:t>
      </w:r>
      <w:bookmarkEnd w:id="84"/>
      <w:bookmarkEnd w:id="85"/>
      <w:bookmarkEnd w:id="86"/>
      <w:bookmarkEnd w:id="87"/>
    </w:p>
    <w:p w14:paraId="16B8CCCF">
      <w:pPr>
        <w:pStyle w:val="23"/>
        <w:snapToGrid w:val="0"/>
        <w:spacing w:line="420" w:lineRule="exact"/>
        <w:ind w:firstLine="420"/>
        <w:rPr>
          <w:rFonts w:hAnsi="宋体"/>
          <w:color w:val="auto"/>
        </w:rPr>
      </w:pPr>
      <w:r>
        <w:rPr>
          <w:rFonts w:hAnsi="宋体"/>
          <w:color w:val="auto"/>
        </w:rPr>
        <w:t>1.</w:t>
      </w:r>
      <w:r>
        <w:rPr>
          <w:rFonts w:hint="eastAsia" w:hAnsi="宋体"/>
          <w:color w:val="auto"/>
        </w:rPr>
        <w:t>采购文件中未列明，而供应商认为必需的费用也须列入总报价。在合同实施时，采购人将不予支付成交供应商没有列入总报价的项目费用，并认为此项费用已包含在总报价中。</w:t>
      </w:r>
    </w:p>
    <w:p w14:paraId="0F1CB15C">
      <w:pPr>
        <w:pStyle w:val="23"/>
        <w:snapToGrid w:val="0"/>
        <w:spacing w:line="420" w:lineRule="exact"/>
        <w:ind w:firstLine="420"/>
        <w:rPr>
          <w:color w:val="auto"/>
        </w:rPr>
      </w:pPr>
      <w:r>
        <w:rPr>
          <w:rFonts w:hAnsi="宋体"/>
          <w:color w:val="auto"/>
        </w:rPr>
        <w:t>2</w:t>
      </w:r>
      <w:r>
        <w:rPr>
          <w:rFonts w:hint="eastAsia" w:hAnsi="宋体"/>
          <w:color w:val="auto"/>
        </w:rPr>
        <w:t>供应商</w:t>
      </w:r>
      <w:r>
        <w:rPr>
          <w:rFonts w:hint="eastAsia"/>
          <w:color w:val="auto"/>
        </w:rPr>
        <w:t>必须就《项目需求》货物和服务的内容作完整唯一报价</w:t>
      </w:r>
      <w:r>
        <w:rPr>
          <w:rFonts w:hint="eastAsia" w:hAnsi="宋体"/>
          <w:color w:val="auto"/>
        </w:rPr>
        <w:t>，有选择的或有条件的报价视为无效响应文件。</w:t>
      </w:r>
    </w:p>
    <w:p w14:paraId="73F9C32F">
      <w:pPr>
        <w:tabs>
          <w:tab w:val="left" w:pos="525"/>
        </w:tabs>
        <w:snapToGrid w:val="0"/>
        <w:spacing w:line="420" w:lineRule="exact"/>
        <w:ind w:firstLine="420"/>
        <w:rPr>
          <w:rFonts w:ascii="宋体" w:hAnsi="宋体"/>
          <w:color w:val="auto"/>
          <w:szCs w:val="21"/>
        </w:rPr>
      </w:pPr>
      <w:r>
        <w:rPr>
          <w:rFonts w:ascii="宋体" w:hAnsi="宋体"/>
          <w:color w:val="auto"/>
          <w:szCs w:val="21"/>
        </w:rPr>
        <w:t>3.</w:t>
      </w:r>
      <w:r>
        <w:rPr>
          <w:rFonts w:hint="eastAsia" w:ascii="宋体" w:hAnsi="宋体"/>
          <w:color w:val="auto"/>
          <w:szCs w:val="21"/>
        </w:rPr>
        <w:t>供应商的报价必须按采购文件或广西政府采购云平台规定的格式填写，并在规定时间内提交最后报价。</w:t>
      </w:r>
    </w:p>
    <w:p w14:paraId="7C2C52C6">
      <w:pPr>
        <w:tabs>
          <w:tab w:val="left" w:pos="525"/>
        </w:tabs>
        <w:snapToGrid w:val="0"/>
        <w:spacing w:line="420" w:lineRule="exact"/>
        <w:ind w:firstLine="420"/>
        <w:rPr>
          <w:rFonts w:ascii="宋体" w:hAnsi="宋体"/>
          <w:color w:val="auto"/>
          <w:szCs w:val="21"/>
        </w:rPr>
      </w:pPr>
      <w:r>
        <w:rPr>
          <w:rFonts w:ascii="宋体" w:hAnsi="宋体"/>
          <w:color w:val="auto"/>
          <w:szCs w:val="21"/>
        </w:rPr>
        <w:t>4.</w:t>
      </w:r>
      <w:r>
        <w:rPr>
          <w:rFonts w:hint="eastAsia" w:ascii="宋体" w:hAnsi="宋体"/>
          <w:color w:val="auto"/>
          <w:szCs w:val="21"/>
        </w:rPr>
        <w:t>最后报价是供应商响应文件的有效组成部分。</w:t>
      </w:r>
    </w:p>
    <w:p w14:paraId="5C82E0D5">
      <w:pPr>
        <w:spacing w:line="420" w:lineRule="exact"/>
        <w:ind w:firstLine="211" w:firstLineChars="100"/>
        <w:rPr>
          <w:b/>
          <w:bCs/>
          <w:color w:val="auto"/>
        </w:rPr>
      </w:pPr>
      <w:bookmarkStart w:id="88" w:name="_（六）谈判保证金"/>
      <w:bookmarkEnd w:id="88"/>
      <w:r>
        <w:rPr>
          <w:rFonts w:hint="eastAsia"/>
          <w:b/>
          <w:bCs/>
          <w:color w:val="auto"/>
        </w:rPr>
        <w:t>（六）响应文件的上传、提交、修改、撤回</w:t>
      </w:r>
    </w:p>
    <w:p w14:paraId="1A0F35CB">
      <w:pPr>
        <w:snapToGrid w:val="0"/>
        <w:spacing w:line="42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响应文件的上传和提交:供应商须将编制好的加密响应文件上传至广西政府采购云平台，并在响应文件提交截止时间前提交，否则广西政府采购云平台将予以拒收。</w:t>
      </w:r>
    </w:p>
    <w:p w14:paraId="142AEFDA">
      <w:pPr>
        <w:snapToGrid w:val="0"/>
        <w:spacing w:line="42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响应文件的修改和撤回：</w:t>
      </w:r>
      <w:r>
        <w:rPr>
          <w:rFonts w:hint="eastAsia"/>
          <w:color w:val="auto"/>
          <w:szCs w:val="21"/>
        </w:rPr>
        <w:t>供应商在提交响应文件截止时间前，可以对所提交的响应文件进行补充、修改或者撤回</w:t>
      </w:r>
      <w:r>
        <w:rPr>
          <w:rFonts w:hint="eastAsia" w:ascii="宋体" w:hAnsi="宋体"/>
          <w:color w:val="auto"/>
          <w:szCs w:val="21"/>
        </w:rPr>
        <w:t>。补充或者修改响应文件的，应当先行撤回原响应文件，补充、修改后重新上传、提交。响应文件提交截止时间前未完成重新提交的，视为撤回响应文件，响应文件提交截止时间后提交响应文件的，广西政府采购云平台将予以拒收。响应文件提交截止时间后，供应商不得撤回响应文件。</w:t>
      </w:r>
      <w:r>
        <w:rPr>
          <w:rFonts w:hint="eastAsia"/>
          <w:color w:val="auto"/>
          <w:szCs w:val="21"/>
        </w:rPr>
        <w:t>补充、修改的内容作为响应文件的组成部分。补充、修改的内容与响应文件不一致的，以补充、修改的内容为准。</w:t>
      </w:r>
    </w:p>
    <w:p w14:paraId="280E8BDF">
      <w:pPr>
        <w:pStyle w:val="5"/>
        <w:spacing w:line="420" w:lineRule="exact"/>
        <w:rPr>
          <w:color w:val="auto"/>
        </w:rPr>
      </w:pPr>
      <w:bookmarkStart w:id="89" w:name="_四、响应文件开启"/>
      <w:bookmarkEnd w:id="89"/>
      <w:r>
        <w:rPr>
          <w:rFonts w:hint="eastAsia"/>
          <w:color w:val="auto"/>
        </w:rPr>
        <w:t>四、</w:t>
      </w:r>
      <w:bookmarkStart w:id="90" w:name="_Toc352700430"/>
      <w:bookmarkStart w:id="91" w:name="_Toc353785300"/>
      <w:r>
        <w:rPr>
          <w:rFonts w:hint="eastAsia"/>
          <w:color w:val="auto"/>
        </w:rPr>
        <w:t>响应文件开启</w:t>
      </w:r>
    </w:p>
    <w:bookmarkEnd w:id="90"/>
    <w:bookmarkEnd w:id="91"/>
    <w:p w14:paraId="139AAC17">
      <w:pPr>
        <w:spacing w:line="420" w:lineRule="exact"/>
        <w:ind w:firstLine="210" w:firstLineChars="100"/>
        <w:rPr>
          <w:rFonts w:ascii="方正小标宋_GBK" w:hAnsi="Arial" w:eastAsia="方正小标宋_GBK"/>
          <w:bCs/>
          <w:color w:val="auto"/>
          <w:sz w:val="24"/>
        </w:rPr>
      </w:pPr>
      <w:r>
        <w:rPr>
          <w:rFonts w:hint="eastAsia"/>
          <w:color w:val="auto"/>
        </w:rPr>
        <w:t>（一）本中心将在响应文件提交截止时间后在</w:t>
      </w:r>
      <w:bookmarkStart w:id="92" w:name="_Hlk90300735"/>
      <w:r>
        <w:rPr>
          <w:rFonts w:hint="eastAsia"/>
          <w:color w:val="auto"/>
        </w:rPr>
        <w:t>广西政采云远程开标大厅</w:t>
      </w:r>
      <w:bookmarkEnd w:id="92"/>
      <w:r>
        <w:rPr>
          <w:rFonts w:hint="eastAsia"/>
          <w:color w:val="auto"/>
        </w:rPr>
        <w:t>进行响应文件开启，供应商法定代表人或委托代理人须按时登录</w:t>
      </w:r>
      <w:bookmarkStart w:id="93" w:name="_Hlk90300780"/>
      <w:r>
        <w:rPr>
          <w:rFonts w:hint="eastAsia"/>
          <w:color w:val="auto"/>
        </w:rPr>
        <w:t>广西政采云远程开标大厅</w:t>
      </w:r>
      <w:bookmarkEnd w:id="93"/>
      <w:r>
        <w:rPr>
          <w:rFonts w:hint="eastAsia"/>
          <w:color w:val="auto"/>
        </w:rPr>
        <w:t>（广西政府采购云平台-应用中心-项目采购-开标评标），保持全程在线并关注评审、谈判进度，评审期间谈判小组提出澄清等要求时，供应商须在规定时间内进行应答，否则按采购文件或广西政采云平台的相关规定执行。</w:t>
      </w:r>
      <w:bookmarkStart w:id="94" w:name="_Toc352700431"/>
      <w:bookmarkStart w:id="95" w:name="_Toc353785301"/>
    </w:p>
    <w:p w14:paraId="57B41AA6">
      <w:pPr>
        <w:spacing w:line="420" w:lineRule="exact"/>
        <w:ind w:firstLine="210" w:firstLineChars="100"/>
        <w:rPr>
          <w:rFonts w:ascii="方正小标宋_GBK" w:hAnsi="Arial" w:eastAsia="方正小标宋_GBK"/>
          <w:bCs/>
          <w:color w:val="auto"/>
          <w:sz w:val="24"/>
        </w:rPr>
      </w:pPr>
      <w:r>
        <w:rPr>
          <w:rFonts w:hint="eastAsia"/>
          <w:color w:val="auto"/>
        </w:rPr>
        <w:t>（二）</w:t>
      </w:r>
      <w:bookmarkEnd w:id="94"/>
      <w:bookmarkEnd w:id="95"/>
      <w:r>
        <w:rPr>
          <w:rFonts w:hint="eastAsia"/>
          <w:color w:val="auto"/>
        </w:rPr>
        <w:t>解密</w:t>
      </w:r>
    </w:p>
    <w:p w14:paraId="224E0BBB">
      <w:pPr>
        <w:spacing w:line="420" w:lineRule="exact"/>
        <w:ind w:firstLine="420" w:firstLineChars="200"/>
        <w:rPr>
          <w:color w:val="auto"/>
        </w:rPr>
      </w:pPr>
      <w:r>
        <w:rPr>
          <w:rFonts w:hint="eastAsia"/>
          <w:color w:val="auto"/>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广西政府采购云平台视为供应商自主放弃谈判。</w:t>
      </w:r>
    </w:p>
    <w:p w14:paraId="59F76DCF">
      <w:pPr>
        <w:spacing w:line="420" w:lineRule="exact"/>
        <w:ind w:firstLine="211" w:firstLineChars="100"/>
        <w:rPr>
          <w:b/>
          <w:bCs/>
          <w:color w:val="auto"/>
        </w:rPr>
      </w:pPr>
      <w:r>
        <w:rPr>
          <w:rFonts w:hint="eastAsia"/>
          <w:b/>
          <w:bCs/>
          <w:color w:val="auto"/>
        </w:rPr>
        <w:t>（三）资格审查</w:t>
      </w:r>
    </w:p>
    <w:p w14:paraId="6D2BD8B9">
      <w:pPr>
        <w:spacing w:line="420" w:lineRule="exact"/>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采购人依法对供应商的资格进行审查，资格性审查时，如发现下列情形之一的，响应文件将被视为无效：</w:t>
      </w:r>
    </w:p>
    <w:p w14:paraId="11A3F1CC">
      <w:pPr>
        <w:spacing w:line="420" w:lineRule="exact"/>
        <w:ind w:firstLine="420" w:firstLineChars="200"/>
        <w:rPr>
          <w:rFonts w:ascii="宋体" w:hAnsi="宋体"/>
          <w:color w:val="auto"/>
          <w:szCs w:val="21"/>
        </w:rPr>
      </w:pPr>
      <w:r>
        <w:rPr>
          <w:rFonts w:hint="eastAsia" w:ascii="宋体" w:hAnsi="宋体"/>
          <w:color w:val="auto"/>
          <w:szCs w:val="21"/>
        </w:rPr>
        <w:t>(1)超越了按照法律法规规定必须获得行政许可或者行政审批的经营范围的；</w:t>
      </w:r>
    </w:p>
    <w:p w14:paraId="4C1B53BA">
      <w:pPr>
        <w:spacing w:line="420" w:lineRule="exact"/>
        <w:ind w:firstLine="420" w:firstLineChars="200"/>
        <w:rPr>
          <w:rFonts w:ascii="宋体" w:hAnsi="宋体"/>
          <w:color w:val="auto"/>
          <w:szCs w:val="21"/>
        </w:rPr>
      </w:pPr>
      <w:r>
        <w:rPr>
          <w:rFonts w:hint="eastAsia" w:ascii="宋体" w:hAnsi="宋体"/>
          <w:color w:val="auto"/>
          <w:szCs w:val="21"/>
        </w:rPr>
        <w:t>(2)资格证明文件不全的，或者不符合采购文件标明的资格要求的；</w:t>
      </w:r>
    </w:p>
    <w:p w14:paraId="75CFFBA2">
      <w:pPr>
        <w:snapToGrid w:val="0"/>
        <w:spacing w:line="42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14:paraId="2181E445">
      <w:pPr>
        <w:pStyle w:val="5"/>
        <w:spacing w:line="420" w:lineRule="exact"/>
        <w:rPr>
          <w:rFonts w:ascii="宋体" w:hAnsi="宋体"/>
          <w:color w:val="auto"/>
          <w:szCs w:val="21"/>
        </w:rPr>
      </w:pPr>
      <w:bookmarkStart w:id="96" w:name="_五、评审与谈判"/>
      <w:bookmarkEnd w:id="96"/>
      <w:bookmarkStart w:id="97" w:name="_Toc352700432"/>
      <w:bookmarkStart w:id="98" w:name="_Toc353785302"/>
      <w:bookmarkStart w:id="99" w:name="_Toc254970686"/>
      <w:bookmarkStart w:id="100" w:name="_Toc254970545"/>
      <w:r>
        <w:rPr>
          <w:rFonts w:hint="eastAsia"/>
          <w:color w:val="auto"/>
        </w:rPr>
        <w:t>五、</w:t>
      </w:r>
      <w:bookmarkEnd w:id="97"/>
      <w:bookmarkEnd w:id="98"/>
      <w:bookmarkEnd w:id="99"/>
      <w:bookmarkEnd w:id="100"/>
      <w:r>
        <w:rPr>
          <w:rFonts w:hint="eastAsia" w:ascii="宋体" w:hAnsi="宋体"/>
          <w:color w:val="auto"/>
          <w:szCs w:val="21"/>
        </w:rPr>
        <w:t>评审与谈判</w:t>
      </w:r>
    </w:p>
    <w:p w14:paraId="3581F7BB">
      <w:pPr>
        <w:snapToGrid w:val="0"/>
        <w:spacing w:line="420" w:lineRule="exact"/>
        <w:ind w:firstLine="211" w:firstLineChars="100"/>
        <w:rPr>
          <w:rFonts w:ascii="宋体" w:hAnsi="宋体"/>
          <w:b/>
          <w:bCs/>
          <w:color w:val="auto"/>
          <w:szCs w:val="21"/>
        </w:rPr>
      </w:pPr>
      <w:bookmarkStart w:id="101" w:name="_Toc353785303"/>
      <w:bookmarkStart w:id="102" w:name="_Toc352700433"/>
      <w:r>
        <w:rPr>
          <w:rFonts w:hint="eastAsia" w:ascii="宋体" w:hAnsi="宋体"/>
          <w:b/>
          <w:bCs/>
          <w:color w:val="auto"/>
          <w:szCs w:val="21"/>
        </w:rPr>
        <w:t>（一）评审原则：</w:t>
      </w:r>
    </w:p>
    <w:p w14:paraId="51D3679C">
      <w:pPr>
        <w:snapToGrid w:val="0"/>
        <w:spacing w:line="42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谈判小组必须公平、公正、客观，不带任何倾向性和启发性；不得向外界透露任何与评审有关的内容；任何单位和个人不得干扰、影响评审的正常进行；谈判小组及有关工作人员不得私下接触供应商。</w:t>
      </w:r>
    </w:p>
    <w:p w14:paraId="1366BBA7">
      <w:pPr>
        <w:snapToGrid w:val="0"/>
        <w:spacing w:line="420" w:lineRule="exact"/>
        <w:ind w:firstLine="420" w:firstLineChars="200"/>
        <w:rPr>
          <w:rFonts w:ascii="宋体" w:hAnsi="宋体"/>
          <w:color w:val="auto"/>
          <w:szCs w:val="21"/>
        </w:rPr>
      </w:pPr>
      <w:r>
        <w:rPr>
          <w:rFonts w:ascii="宋体" w:hAnsi="宋体"/>
          <w:color w:val="auto"/>
          <w:szCs w:val="21"/>
        </w:rPr>
        <w:t>2.</w:t>
      </w:r>
      <w:r>
        <w:rPr>
          <w:rFonts w:hint="eastAsia" w:ascii="宋体" w:hAnsi="宋体" w:cs="Courier New"/>
          <w:color w:val="auto"/>
          <w:szCs w:val="21"/>
        </w:rPr>
        <w:t>本项目采用不公开方式评审，评审的依据为采购文件和响应文件。</w:t>
      </w:r>
    </w:p>
    <w:p w14:paraId="29A1A9DF">
      <w:pPr>
        <w:snapToGrid w:val="0"/>
        <w:spacing w:line="420" w:lineRule="exact"/>
        <w:ind w:firstLine="211" w:firstLineChars="100"/>
        <w:rPr>
          <w:rFonts w:ascii="宋体" w:hAnsi="宋体"/>
          <w:b/>
          <w:bCs/>
          <w:color w:val="auto"/>
          <w:szCs w:val="21"/>
        </w:rPr>
      </w:pPr>
      <w:r>
        <w:rPr>
          <w:rFonts w:hint="eastAsia"/>
          <w:b/>
          <w:bCs/>
          <w:color w:val="auto"/>
        </w:rPr>
        <w:t>（二）成立谈判小组</w:t>
      </w:r>
    </w:p>
    <w:p w14:paraId="06A23DB2">
      <w:pPr>
        <w:snapToGrid w:val="0"/>
        <w:spacing w:line="420" w:lineRule="exact"/>
        <w:ind w:firstLine="420" w:firstLineChars="200"/>
        <w:rPr>
          <w:rFonts w:ascii="宋体" w:hAnsi="宋体"/>
          <w:color w:val="auto"/>
          <w:szCs w:val="21"/>
        </w:rPr>
      </w:pPr>
      <w:r>
        <w:rPr>
          <w:rFonts w:hint="eastAsia" w:ascii="宋体" w:hAnsi="宋体" w:cs="Courier New"/>
          <w:bCs/>
          <w:color w:val="auto"/>
          <w:szCs w:val="21"/>
        </w:rPr>
        <w:t>谈判小组</w:t>
      </w:r>
      <w:bookmarkEnd w:id="101"/>
      <w:bookmarkEnd w:id="102"/>
      <w:r>
        <w:rPr>
          <w:rFonts w:hint="eastAsia" w:ascii="宋体" w:hAnsi="宋体" w:cs="Courier New"/>
          <w:bCs/>
          <w:color w:val="auto"/>
          <w:szCs w:val="21"/>
        </w:rPr>
        <w:t>由采购人代表和评审专家共3人以上单数组成，其中评审专家人数不得少于谈判小组成员总数的2/3。</w:t>
      </w:r>
    </w:p>
    <w:p w14:paraId="50824C8F">
      <w:pPr>
        <w:spacing w:line="420" w:lineRule="exact"/>
        <w:ind w:firstLine="211" w:firstLineChars="100"/>
        <w:rPr>
          <w:rFonts w:ascii="宋体" w:hAnsi="宋体"/>
          <w:b/>
          <w:bCs/>
          <w:color w:val="auto"/>
          <w:szCs w:val="21"/>
        </w:rPr>
      </w:pPr>
      <w:r>
        <w:rPr>
          <w:rFonts w:hint="eastAsia" w:ascii="宋体" w:hAnsi="宋体"/>
          <w:b/>
          <w:bCs/>
          <w:color w:val="auto"/>
          <w:szCs w:val="21"/>
        </w:rPr>
        <w:t>（三）确认谈判文件</w:t>
      </w:r>
    </w:p>
    <w:p w14:paraId="45BA796A">
      <w:pPr>
        <w:spacing w:line="420" w:lineRule="exact"/>
        <w:ind w:firstLine="420" w:firstLineChars="200"/>
        <w:rPr>
          <w:rFonts w:ascii="宋体" w:hAnsi="宋体"/>
          <w:b/>
          <w:bCs/>
          <w:color w:val="auto"/>
          <w:szCs w:val="21"/>
        </w:rPr>
      </w:pPr>
      <w:r>
        <w:rPr>
          <w:rFonts w:hint="eastAsia" w:hAnsi="宋体"/>
          <w:color w:val="auto"/>
        </w:rPr>
        <w:t>谈判小组对谈判文件进行确认，认可谈判文件的内容，符合法律法规的规定、不存在歧视性或排他性内容。</w:t>
      </w:r>
    </w:p>
    <w:p w14:paraId="1FC750C8">
      <w:pPr>
        <w:spacing w:line="420" w:lineRule="exact"/>
        <w:ind w:firstLine="211" w:firstLineChars="100"/>
        <w:rPr>
          <w:rFonts w:ascii="宋体" w:hAnsi="宋体" w:cs="Courier New"/>
          <w:color w:val="auto"/>
          <w:szCs w:val="21"/>
        </w:rPr>
      </w:pPr>
      <w:r>
        <w:rPr>
          <w:rFonts w:hint="eastAsia" w:ascii="宋体" w:hAnsi="宋体"/>
          <w:b/>
          <w:bCs/>
          <w:color w:val="auto"/>
          <w:szCs w:val="21"/>
        </w:rPr>
        <w:t>（四）实质性审查</w:t>
      </w:r>
    </w:p>
    <w:p w14:paraId="48129B73">
      <w:pPr>
        <w:snapToGrid w:val="0"/>
        <w:spacing w:line="420" w:lineRule="exact"/>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olor w:val="auto"/>
          <w:szCs w:val="21"/>
        </w:rPr>
        <w:t>谈判小组从符合相应资格条件的供应商名单中确定不少于3家的供应商参加谈判，对参加谈判的供应商响应文件进行评审，并根据谈判文件规定的程序、评定成交的标准等事项与实质性响应谈判文件要求的供应商进行谈判。未实质性响应竞争性谈判采购文件的响应文件按无效处理，谈判小组应当告知有关供应商。</w:t>
      </w:r>
    </w:p>
    <w:p w14:paraId="0DB794E7">
      <w:pPr>
        <w:snapToGrid w:val="0"/>
        <w:spacing w:line="420" w:lineRule="exact"/>
        <w:ind w:firstLine="422" w:firstLineChars="200"/>
        <w:rPr>
          <w:rFonts w:ascii="宋体" w:hAnsi="宋体"/>
          <w:b/>
          <w:bCs/>
          <w:color w:val="auto"/>
          <w:szCs w:val="21"/>
        </w:rPr>
      </w:pPr>
      <w:r>
        <w:rPr>
          <w:rFonts w:hint="eastAsia" w:ascii="宋体" w:hAnsi="宋体"/>
          <w:b/>
          <w:bCs/>
          <w:color w:val="auto"/>
          <w:szCs w:val="21"/>
        </w:rPr>
        <w:t>2</w:t>
      </w:r>
      <w:r>
        <w:rPr>
          <w:rFonts w:ascii="宋体" w:hAnsi="宋体"/>
          <w:b/>
          <w:bCs/>
          <w:color w:val="auto"/>
          <w:szCs w:val="21"/>
        </w:rPr>
        <w:t>.</w:t>
      </w:r>
      <w:r>
        <w:rPr>
          <w:rFonts w:hint="eastAsia" w:ascii="宋体" w:hAnsi="宋体"/>
          <w:b/>
          <w:bCs/>
          <w:color w:val="auto"/>
          <w:szCs w:val="21"/>
        </w:rPr>
        <w:t>实质性审查时，如发现下列情形之一的，响应文件将被视为无效：</w:t>
      </w:r>
    </w:p>
    <w:p w14:paraId="4886129D">
      <w:pPr>
        <w:snapToGrid w:val="0"/>
        <w:spacing w:line="420" w:lineRule="exact"/>
        <w:ind w:firstLine="525" w:firstLineChars="250"/>
        <w:rPr>
          <w:rFonts w:ascii="宋体" w:hAnsi="宋体"/>
          <w:color w:val="auto"/>
          <w:szCs w:val="21"/>
        </w:rPr>
      </w:pPr>
      <w:bookmarkStart w:id="103" w:name="_Hlk112311783"/>
      <w:r>
        <w:rPr>
          <w:rFonts w:hint="eastAsia" w:ascii="宋体" w:hAnsi="宋体"/>
          <w:color w:val="auto"/>
          <w:szCs w:val="21"/>
        </w:rPr>
        <w:t>①应交未交谈判保证金的；</w:t>
      </w:r>
    </w:p>
    <w:p w14:paraId="093E120D">
      <w:pPr>
        <w:snapToGrid w:val="0"/>
        <w:spacing w:line="420" w:lineRule="exact"/>
        <w:ind w:firstLine="525" w:firstLineChars="250"/>
        <w:rPr>
          <w:rFonts w:ascii="宋体" w:hAnsi="宋体"/>
          <w:color w:val="auto"/>
          <w:szCs w:val="21"/>
        </w:rPr>
      </w:pPr>
      <w:r>
        <w:rPr>
          <w:rFonts w:hint="eastAsia" w:ascii="宋体" w:hAnsi="宋体"/>
          <w:color w:val="auto"/>
          <w:szCs w:val="21"/>
        </w:rPr>
        <w:t>②响应文件未按响应文件编制要求提供或内容虚假的；</w:t>
      </w:r>
    </w:p>
    <w:p w14:paraId="722C5567">
      <w:pPr>
        <w:snapToGrid w:val="0"/>
        <w:spacing w:line="420" w:lineRule="exact"/>
        <w:ind w:firstLine="525" w:firstLineChars="250"/>
        <w:rPr>
          <w:rFonts w:ascii="宋体" w:hAnsi="宋体"/>
          <w:color w:val="auto"/>
          <w:szCs w:val="21"/>
        </w:rPr>
      </w:pPr>
      <w:r>
        <w:rPr>
          <w:rFonts w:hint="eastAsia" w:ascii="宋体" w:hAnsi="宋体"/>
          <w:color w:val="auto"/>
          <w:szCs w:val="21"/>
        </w:rPr>
        <w:t>③响应文件无法定代表人或其委托代理人签署、未提供授权委托书，或未按规定盖章的；</w:t>
      </w:r>
    </w:p>
    <w:p w14:paraId="2525A6B8">
      <w:pPr>
        <w:snapToGrid w:val="0"/>
        <w:spacing w:line="420" w:lineRule="exact"/>
        <w:ind w:firstLine="525" w:firstLineChars="250"/>
        <w:rPr>
          <w:rFonts w:ascii="宋体" w:hAnsi="宋体"/>
          <w:color w:val="auto"/>
          <w:szCs w:val="21"/>
        </w:rPr>
      </w:pPr>
      <w:r>
        <w:rPr>
          <w:rFonts w:hint="eastAsia" w:ascii="宋体" w:hAnsi="宋体"/>
          <w:color w:val="auto"/>
          <w:szCs w:val="21"/>
        </w:rPr>
        <w:t>④供应商代表未能出具身份证明或与法定代表人委托代理人身份不符的；</w:t>
      </w:r>
    </w:p>
    <w:p w14:paraId="6B6EB495">
      <w:pPr>
        <w:snapToGrid w:val="0"/>
        <w:spacing w:line="420" w:lineRule="exact"/>
        <w:ind w:firstLine="525" w:firstLineChars="250"/>
        <w:rPr>
          <w:rFonts w:ascii="宋体" w:hAnsi="宋体"/>
          <w:color w:val="auto"/>
          <w:szCs w:val="21"/>
        </w:rPr>
      </w:pPr>
      <w:r>
        <w:rPr>
          <w:rFonts w:hint="eastAsia" w:ascii="宋体" w:hAnsi="宋体"/>
          <w:color w:val="auto"/>
          <w:szCs w:val="21"/>
        </w:rPr>
        <w:t>⑤未实质性响应采购文件采购需求的技术、服务要求的；</w:t>
      </w:r>
    </w:p>
    <w:p w14:paraId="3417B9CB">
      <w:pPr>
        <w:snapToGrid w:val="0"/>
        <w:spacing w:line="420" w:lineRule="exact"/>
        <w:ind w:firstLine="525" w:firstLineChars="250"/>
        <w:rPr>
          <w:rFonts w:ascii="宋体" w:hAnsi="宋体"/>
          <w:color w:val="auto"/>
          <w:szCs w:val="21"/>
        </w:rPr>
      </w:pPr>
      <w:r>
        <w:rPr>
          <w:rFonts w:hint="eastAsia" w:ascii="宋体" w:hAnsi="宋体"/>
          <w:color w:val="auto"/>
          <w:szCs w:val="21"/>
        </w:rPr>
        <w:t>⑥</w:t>
      </w:r>
      <w:r>
        <w:rPr>
          <w:rFonts w:hint="eastAsia" w:ascii="宋体" w:hAnsi="宋体"/>
          <w:color w:val="auto"/>
          <w:spacing w:val="-4"/>
          <w:szCs w:val="21"/>
        </w:rPr>
        <w:t>不符合采购文件要求的质量标准，或者与采购文件中的技术指标、功能、服务事项发生较大偏离，已不符合采购人需求的；</w:t>
      </w:r>
    </w:p>
    <w:p w14:paraId="17E657DA">
      <w:pPr>
        <w:snapToGrid w:val="0"/>
        <w:spacing w:line="420" w:lineRule="exact"/>
        <w:ind w:firstLine="505" w:firstLineChars="250"/>
        <w:rPr>
          <w:rFonts w:ascii="宋体" w:hAnsi="宋体"/>
          <w:color w:val="auto"/>
          <w:szCs w:val="21"/>
        </w:rPr>
      </w:pPr>
      <w:r>
        <w:rPr>
          <w:rFonts w:hint="eastAsia" w:ascii="宋体" w:hAnsi="宋体"/>
          <w:color w:val="auto"/>
          <w:spacing w:val="-4"/>
          <w:szCs w:val="21"/>
        </w:rPr>
        <w:t>⑦</w:t>
      </w:r>
      <w:r>
        <w:rPr>
          <w:rFonts w:hint="eastAsia" w:ascii="宋体" w:hAnsi="宋体"/>
          <w:color w:val="auto"/>
          <w:szCs w:val="21"/>
        </w:rPr>
        <w:t>响应文件有采购人不能接受的附加条件的。</w:t>
      </w:r>
    </w:p>
    <w:p w14:paraId="667031F9">
      <w:pPr>
        <w:snapToGrid w:val="0"/>
        <w:spacing w:line="420" w:lineRule="exact"/>
        <w:ind w:firstLine="525" w:firstLineChars="250"/>
        <w:rPr>
          <w:rFonts w:ascii="宋体" w:hAnsi="宋体"/>
          <w:color w:val="auto"/>
          <w:spacing w:val="-4"/>
          <w:szCs w:val="21"/>
        </w:rPr>
      </w:pPr>
      <w:r>
        <w:rPr>
          <w:rFonts w:hint="eastAsia" w:ascii="宋体" w:hAnsi="宋体"/>
          <w:color w:val="auto"/>
          <w:szCs w:val="21"/>
        </w:rPr>
        <w:t>⑧</w:t>
      </w:r>
      <w:r>
        <w:rPr>
          <w:rFonts w:hint="eastAsia" w:ascii="宋体" w:hAnsi="宋体"/>
          <w:color w:val="auto"/>
          <w:spacing w:val="-4"/>
          <w:szCs w:val="21"/>
        </w:rPr>
        <w:t>响应文件技术方案不明确，存在一个或一个以上备选(替代)响应方案的；</w:t>
      </w:r>
    </w:p>
    <w:p w14:paraId="741F97CB">
      <w:pPr>
        <w:snapToGrid w:val="0"/>
        <w:spacing w:line="420" w:lineRule="exact"/>
        <w:ind w:firstLine="505" w:firstLineChars="250"/>
        <w:rPr>
          <w:rFonts w:ascii="宋体" w:hAnsi="宋体"/>
          <w:color w:val="auto"/>
          <w:szCs w:val="21"/>
        </w:rPr>
      </w:pPr>
      <w:r>
        <w:rPr>
          <w:rFonts w:hint="eastAsia" w:ascii="宋体" w:hAnsi="宋体"/>
          <w:color w:val="auto"/>
          <w:spacing w:val="-4"/>
          <w:szCs w:val="21"/>
        </w:rPr>
        <w:t>⑨</w:t>
      </w:r>
      <w:r>
        <w:rPr>
          <w:rFonts w:hint="eastAsia" w:ascii="宋体" w:hAnsi="宋体"/>
          <w:color w:val="auto"/>
          <w:szCs w:val="21"/>
        </w:rPr>
        <w:t>响应文件的实质性内容未使用中文表述、意思表述不明确、前后矛盾或者使用计量单位不符合采购文件要求的。</w:t>
      </w:r>
    </w:p>
    <w:bookmarkEnd w:id="103"/>
    <w:p w14:paraId="30D58FDD">
      <w:pPr>
        <w:spacing w:line="420" w:lineRule="exact"/>
        <w:ind w:firstLine="211" w:firstLineChars="100"/>
        <w:rPr>
          <w:b/>
          <w:bCs/>
          <w:color w:val="auto"/>
        </w:rPr>
      </w:pPr>
      <w:r>
        <w:rPr>
          <w:rFonts w:hint="eastAsia"/>
          <w:b/>
          <w:bCs/>
          <w:color w:val="auto"/>
        </w:rPr>
        <w:t>（五）谈判</w:t>
      </w:r>
    </w:p>
    <w:p w14:paraId="72B26074">
      <w:pPr>
        <w:pStyle w:val="23"/>
        <w:spacing w:line="420" w:lineRule="exact"/>
        <w:ind w:firstLine="420" w:firstLineChars="200"/>
        <w:rPr>
          <w:color w:val="auto"/>
        </w:rPr>
      </w:pPr>
      <w:r>
        <w:rPr>
          <w:rFonts w:hint="eastAsia" w:hAnsi="宋体"/>
          <w:bCs/>
          <w:color w:val="auto"/>
        </w:rPr>
        <w:t>1</w:t>
      </w:r>
      <w:r>
        <w:rPr>
          <w:rFonts w:hAnsi="宋体"/>
          <w:bCs/>
          <w:color w:val="auto"/>
        </w:rPr>
        <w:t>.</w:t>
      </w:r>
      <w:r>
        <w:rPr>
          <w:rFonts w:hint="eastAsia"/>
          <w:color w:val="auto"/>
        </w:rPr>
        <w:t>谈判小组所有成员应当集中与单一供应商分别进行谈判，并给予所有参加谈判的供应商平等的谈判机会。</w:t>
      </w:r>
    </w:p>
    <w:p w14:paraId="12E48162">
      <w:pPr>
        <w:pStyle w:val="23"/>
        <w:spacing w:line="420" w:lineRule="exact"/>
        <w:ind w:firstLine="420" w:firstLineChars="200"/>
        <w:rPr>
          <w:rFonts w:hAnsi="宋体"/>
          <w:bCs/>
          <w:color w:val="auto"/>
        </w:rPr>
      </w:pPr>
      <w:r>
        <w:rPr>
          <w:rFonts w:hint="eastAsia" w:hAnsi="宋体"/>
          <w:bCs/>
          <w:color w:val="auto"/>
        </w:rPr>
        <w:t>2</w:t>
      </w:r>
      <w:r>
        <w:rPr>
          <w:rFonts w:hAnsi="宋体"/>
          <w:bCs/>
          <w:color w:val="auto"/>
        </w:rPr>
        <w:t>.</w:t>
      </w:r>
      <w:r>
        <w:rPr>
          <w:rFonts w:hint="eastAsia" w:hAnsi="宋体"/>
          <w:bCs/>
          <w:color w:val="auto"/>
        </w:rPr>
        <w:t>谈判小组可以根据谈判文件和谈判情况实质性变动采购需求中的技术、服务要求以及合同草案条款，但不得变动谈判文件中的其他内容。实质性变动的内容，须经采购人代表确认。</w:t>
      </w:r>
    </w:p>
    <w:p w14:paraId="6470C421">
      <w:pPr>
        <w:pStyle w:val="23"/>
        <w:spacing w:line="420" w:lineRule="exact"/>
        <w:ind w:firstLine="420" w:firstLineChars="200"/>
        <w:rPr>
          <w:rFonts w:hAnsi="宋体"/>
          <w:bCs/>
          <w:color w:val="auto"/>
        </w:rPr>
      </w:pPr>
      <w:r>
        <w:rPr>
          <w:rFonts w:hAnsi="宋体"/>
          <w:bCs/>
          <w:color w:val="auto"/>
        </w:rPr>
        <w:t>3.</w:t>
      </w:r>
      <w:r>
        <w:rPr>
          <w:rFonts w:hint="eastAsia" w:hAnsi="宋体"/>
          <w:bCs/>
          <w:color w:val="auto"/>
        </w:rPr>
        <w:t>对谈判文件作出的实质性变动是谈判文件的有效组成部分，谈判小组应当及时以书面形式同时通知所有参加谈判的供应商。</w:t>
      </w:r>
    </w:p>
    <w:p w14:paraId="306BCF26">
      <w:pPr>
        <w:pStyle w:val="23"/>
        <w:spacing w:line="420" w:lineRule="exact"/>
        <w:ind w:firstLine="420" w:firstLineChars="200"/>
        <w:rPr>
          <w:rFonts w:hAnsi="宋体"/>
          <w:bCs/>
          <w:color w:val="auto"/>
        </w:rPr>
      </w:pPr>
      <w:r>
        <w:rPr>
          <w:rFonts w:hint="eastAsia" w:hAnsi="宋体"/>
          <w:bCs/>
          <w:color w:val="auto"/>
        </w:rPr>
        <w:t>4</w:t>
      </w:r>
      <w:r>
        <w:rPr>
          <w:rFonts w:hAnsi="宋体"/>
          <w:bCs/>
          <w:color w:val="auto"/>
        </w:rPr>
        <w:t>.</w:t>
      </w:r>
      <w:r>
        <w:rPr>
          <w:rFonts w:hint="eastAsia" w:hAnsi="宋体"/>
          <w:bCs/>
          <w:color w:val="auto"/>
        </w:rPr>
        <w:t>供应商应当按照谈判文件的变动情况和谈判小组的要求重新提交响应文件，并由其法定代表人或授权代表签名或者加盖公章。由授权代表签名的，应当附法定代表人授权书。</w:t>
      </w:r>
      <w:bookmarkStart w:id="104" w:name="_Hlk92985140"/>
      <w:r>
        <w:rPr>
          <w:rFonts w:hint="eastAsia" w:hAnsi="宋体"/>
          <w:bCs/>
          <w:color w:val="auto"/>
        </w:rPr>
        <w:t>供应商为自然人的，应当由本人签名并附身份证明。</w:t>
      </w:r>
      <w:bookmarkEnd w:id="104"/>
      <w:r>
        <w:rPr>
          <w:rFonts w:hint="eastAsia" w:hAnsi="宋体"/>
          <w:bCs/>
          <w:color w:val="auto"/>
        </w:rPr>
        <w:t>逾时不提交的，视同放弃谈判。</w:t>
      </w:r>
    </w:p>
    <w:p w14:paraId="39914075">
      <w:pPr>
        <w:pStyle w:val="23"/>
        <w:spacing w:line="420" w:lineRule="exact"/>
        <w:ind w:firstLine="420" w:firstLineChars="200"/>
        <w:rPr>
          <w:rFonts w:hAnsi="宋体"/>
          <w:bCs/>
          <w:color w:val="auto"/>
        </w:rPr>
      </w:pPr>
      <w:r>
        <w:rPr>
          <w:rFonts w:hint="eastAsia" w:hAnsi="宋体"/>
          <w:bCs/>
          <w:color w:val="auto"/>
        </w:rPr>
        <w:t>5</w:t>
      </w:r>
      <w:r>
        <w:rPr>
          <w:rFonts w:hAnsi="宋体"/>
          <w:bCs/>
          <w:color w:val="auto"/>
        </w:rPr>
        <w:t>.</w:t>
      </w:r>
      <w:r>
        <w:rPr>
          <w:rFonts w:hint="eastAsia"/>
          <w:color w:val="auto"/>
        </w:rPr>
        <w:t>已提交响应文件的供应商，在提交最后报价之前，可以根据谈判情况退出谈判。</w:t>
      </w:r>
    </w:p>
    <w:p w14:paraId="2B8AC561">
      <w:pPr>
        <w:spacing w:line="420" w:lineRule="exact"/>
        <w:ind w:firstLine="211" w:firstLineChars="100"/>
        <w:rPr>
          <w:b/>
          <w:bCs/>
          <w:color w:val="auto"/>
        </w:rPr>
      </w:pPr>
      <w:r>
        <w:rPr>
          <w:rFonts w:hint="eastAsia"/>
          <w:b/>
          <w:bCs/>
          <w:color w:val="auto"/>
        </w:rPr>
        <w:t>（六）最后报价</w:t>
      </w:r>
    </w:p>
    <w:p w14:paraId="382B3E68">
      <w:pPr>
        <w:spacing w:line="420" w:lineRule="exact"/>
        <w:ind w:firstLine="420" w:firstLineChars="200"/>
        <w:rPr>
          <w:color w:val="auto"/>
        </w:rPr>
      </w:pPr>
      <w:r>
        <w:rPr>
          <w:color w:val="auto"/>
        </w:rPr>
        <w:t>1.</w:t>
      </w:r>
      <w:r>
        <w:rPr>
          <w:rFonts w:hint="eastAsia"/>
          <w:color w:val="auto"/>
        </w:rPr>
        <w:t>谈判文件能够详细列明采购标的的技术、服务要求的，谈判结束后，谈判小组应当要求所有继续参加谈判的供应商在规定时间内提交最后报价，提交最后报价的供应商不得少于3家。</w:t>
      </w:r>
    </w:p>
    <w:p w14:paraId="235AC0AD">
      <w:pPr>
        <w:spacing w:line="420" w:lineRule="exact"/>
        <w:ind w:firstLine="420" w:firstLineChars="200"/>
        <w:rPr>
          <w:color w:val="auto"/>
        </w:rPr>
      </w:pPr>
      <w:r>
        <w:rPr>
          <w:rFonts w:hint="eastAsia"/>
          <w:color w:val="auto"/>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1E05290A">
      <w:pPr>
        <w:spacing w:line="420" w:lineRule="exact"/>
        <w:ind w:firstLine="420" w:firstLineChars="200"/>
        <w:rPr>
          <w:color w:val="auto"/>
        </w:rPr>
      </w:pPr>
      <w:r>
        <w:rPr>
          <w:color w:val="auto"/>
        </w:rPr>
        <w:t>2.</w:t>
      </w:r>
      <w:r>
        <w:rPr>
          <w:rFonts w:hint="eastAsia"/>
          <w:color w:val="auto"/>
        </w:rPr>
        <w:t>最后报价应由其法定代表人或授权代表签名或者加盖公章，最后报价即系供应商响应报价。</w:t>
      </w:r>
    </w:p>
    <w:p w14:paraId="1A2231D1">
      <w:pPr>
        <w:spacing w:line="420" w:lineRule="exact"/>
        <w:ind w:firstLine="422" w:firstLineChars="200"/>
        <w:rPr>
          <w:color w:val="auto"/>
        </w:rPr>
      </w:pPr>
      <w:r>
        <w:rPr>
          <w:rFonts w:hint="eastAsia"/>
          <w:b/>
          <w:bCs/>
          <w:color w:val="auto"/>
        </w:rPr>
        <w:t>3</w:t>
      </w:r>
      <w:r>
        <w:rPr>
          <w:rFonts w:hint="eastAsia" w:ascii="宋体" w:hAnsi="宋体" w:cs="Courier New"/>
          <w:b/>
          <w:color w:val="auto"/>
          <w:szCs w:val="21"/>
        </w:rPr>
        <w:t>.在报价评审时，如发现下列情形之一的，响应文件将被视为无效：</w:t>
      </w:r>
    </w:p>
    <w:p w14:paraId="1A5D017A">
      <w:pPr>
        <w:snapToGrid w:val="0"/>
        <w:spacing w:line="420" w:lineRule="exact"/>
        <w:ind w:firstLine="420" w:firstLineChars="200"/>
        <w:rPr>
          <w:rFonts w:ascii="宋体" w:hAnsi="宋体"/>
          <w:color w:val="auto"/>
          <w:szCs w:val="21"/>
        </w:rPr>
      </w:pPr>
      <w:bookmarkStart w:id="105" w:name="_Hlk112312387"/>
      <w:r>
        <w:rPr>
          <w:rFonts w:hint="eastAsia" w:ascii="宋体" w:hAnsi="宋体"/>
          <w:color w:val="auto"/>
          <w:szCs w:val="21"/>
        </w:rPr>
        <w:t>(</w:t>
      </w:r>
      <w:r>
        <w:rPr>
          <w:rFonts w:ascii="宋体" w:hAnsi="宋体"/>
          <w:color w:val="auto"/>
          <w:szCs w:val="21"/>
        </w:rPr>
        <w:t>1)</w:t>
      </w:r>
      <w:r>
        <w:rPr>
          <w:rFonts w:hint="eastAsia" w:ascii="宋体" w:hAnsi="宋体"/>
          <w:color w:val="auto"/>
          <w:szCs w:val="21"/>
        </w:rPr>
        <w:t>报价未采用人民币或者未按照采购文件标明的币种报价的；</w:t>
      </w:r>
    </w:p>
    <w:p w14:paraId="70D9DEA3">
      <w:pPr>
        <w:snapToGrid w:val="0"/>
        <w:spacing w:line="420" w:lineRule="exact"/>
        <w:ind w:firstLine="420" w:firstLineChars="200"/>
        <w:rPr>
          <w:rFonts w:ascii="宋体" w:hAnsi="宋体"/>
          <w:color w:val="auto"/>
          <w:szCs w:val="21"/>
        </w:rPr>
      </w:pPr>
      <w:r>
        <w:rPr>
          <w:rFonts w:ascii="宋体" w:hAnsi="宋体"/>
          <w:color w:val="auto"/>
          <w:szCs w:val="21"/>
        </w:rPr>
        <w:t>(2)</w:t>
      </w:r>
      <w:r>
        <w:rPr>
          <w:rFonts w:hint="eastAsia" w:ascii="宋体" w:hAnsi="宋体"/>
          <w:color w:val="auto"/>
          <w:szCs w:val="21"/>
        </w:rPr>
        <w:t>报价明细表中货物品牌、规格、型号、服务事项未明确或与响应文件中相应内容不一致的；</w:t>
      </w:r>
    </w:p>
    <w:p w14:paraId="19CCCB70">
      <w:pPr>
        <w:snapToGrid w:val="0"/>
        <w:spacing w:line="420" w:lineRule="exact"/>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报价具有选择性的；</w:t>
      </w:r>
    </w:p>
    <w:p w14:paraId="381FF223">
      <w:pPr>
        <w:snapToGrid w:val="0"/>
        <w:spacing w:line="420" w:lineRule="exact"/>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报价未按采购文件或广西政府采购云平台规定的格式填写，或未在规定时间内提交最后报价的。</w:t>
      </w:r>
    </w:p>
    <w:bookmarkEnd w:id="105"/>
    <w:p w14:paraId="1B9966D9">
      <w:pPr>
        <w:spacing w:line="420" w:lineRule="exact"/>
        <w:ind w:firstLine="211" w:firstLineChars="100"/>
        <w:rPr>
          <w:b/>
          <w:bCs/>
          <w:color w:val="auto"/>
        </w:rPr>
      </w:pPr>
      <w:r>
        <w:rPr>
          <w:rFonts w:hint="eastAsia"/>
          <w:b/>
          <w:bCs/>
          <w:color w:val="auto"/>
        </w:rPr>
        <w:t>（八）澄清、说明或者更正的形式</w:t>
      </w:r>
    </w:p>
    <w:p w14:paraId="77A6238D">
      <w:pPr>
        <w:pStyle w:val="23"/>
        <w:spacing w:line="420" w:lineRule="exact"/>
        <w:ind w:firstLine="420"/>
        <w:rPr>
          <w:rFonts w:hAnsi="宋体"/>
          <w:bCs/>
          <w:color w:val="auto"/>
        </w:rPr>
      </w:pPr>
      <w:r>
        <w:rPr>
          <w:rFonts w:hint="eastAsia" w:hAnsi="宋体"/>
          <w:bCs/>
          <w:color w:val="auto"/>
        </w:rPr>
        <w:t>1</w:t>
      </w:r>
      <w:r>
        <w:rPr>
          <w:rFonts w:hAnsi="宋体"/>
          <w:bCs/>
          <w:color w:val="auto"/>
        </w:rPr>
        <w:t>.</w:t>
      </w:r>
      <w:r>
        <w:rPr>
          <w:rFonts w:hint="eastAsia" w:hAnsi="宋体"/>
          <w:bCs/>
          <w:color w:val="auto"/>
        </w:rPr>
        <w:t>谈判小组在对响应文件的有效性、完整性和响应程度进行审查时，可以要求供应商对响应文件中含义不明确、同类问题表述不一致或者有明显文字和计算错误的内容等作出必要的</w:t>
      </w:r>
      <w:bookmarkStart w:id="106" w:name="_Hlk92462362"/>
      <w:r>
        <w:rPr>
          <w:rFonts w:hint="eastAsia" w:hAnsi="宋体"/>
          <w:bCs/>
          <w:color w:val="auto"/>
        </w:rPr>
        <w:t>澄清、说明或者更正</w:t>
      </w:r>
      <w:bookmarkEnd w:id="106"/>
      <w:r>
        <w:rPr>
          <w:rFonts w:hint="eastAsia" w:hAnsi="宋体"/>
          <w:bCs/>
          <w:color w:val="auto"/>
        </w:rPr>
        <w:t>。供应商的澄清、说明或者更正不得超出响应文件的范围或者改变响应文件的实质性内容。</w:t>
      </w:r>
    </w:p>
    <w:p w14:paraId="1BF0B86C">
      <w:pPr>
        <w:pStyle w:val="23"/>
        <w:spacing w:line="420" w:lineRule="exact"/>
        <w:ind w:firstLine="420"/>
        <w:rPr>
          <w:rFonts w:hAnsi="宋体"/>
          <w:bCs/>
          <w:color w:val="auto"/>
        </w:rPr>
      </w:pPr>
      <w:r>
        <w:rPr>
          <w:rFonts w:hint="eastAsia" w:hAnsi="宋体"/>
          <w:bCs/>
          <w:color w:val="auto"/>
        </w:rPr>
        <w:t>2</w:t>
      </w:r>
      <w:r>
        <w:rPr>
          <w:rFonts w:hAnsi="宋体"/>
          <w:bCs/>
          <w:color w:val="auto"/>
        </w:rPr>
        <w:t>.</w:t>
      </w:r>
      <w:r>
        <w:rPr>
          <w:rFonts w:hint="eastAsia" w:hAnsi="宋体"/>
          <w:bCs/>
          <w:color w:val="auto"/>
        </w:rPr>
        <w:t>谈判小组要求供应商澄清、说明或者更正响应文件应当以书面形式作出。供应商的澄清、说明或者更正应当由法定代表人或其授权代表签名或者加盖公章。由授权代表签名的，应当附法定代表人授权书。供应商为自然人的，应当由本人签名并附身份证明。</w:t>
      </w:r>
    </w:p>
    <w:p w14:paraId="67911DC8">
      <w:pPr>
        <w:spacing w:line="420" w:lineRule="exact"/>
        <w:ind w:firstLine="211" w:firstLineChars="100"/>
        <w:rPr>
          <w:b/>
          <w:bCs/>
          <w:color w:val="auto"/>
        </w:rPr>
      </w:pPr>
      <w:r>
        <w:rPr>
          <w:rFonts w:hint="eastAsia"/>
          <w:b/>
          <w:bCs/>
          <w:color w:val="auto"/>
        </w:rPr>
        <w:t>（九）评定标准及推荐原则</w:t>
      </w:r>
    </w:p>
    <w:p w14:paraId="09BDFC4A">
      <w:pPr>
        <w:spacing w:line="420" w:lineRule="exact"/>
        <w:ind w:firstLine="420" w:firstLineChars="200"/>
        <w:rPr>
          <w:color w:val="auto"/>
        </w:rPr>
      </w:pPr>
      <w:r>
        <w:rPr>
          <w:rFonts w:hint="eastAsia" w:ascii="宋体" w:hAnsi="Courier New" w:cs="Courier New"/>
          <w:color w:val="auto"/>
          <w:szCs w:val="21"/>
        </w:rPr>
        <w:t>详见第四章《评定标准及推荐原则》。</w:t>
      </w:r>
    </w:p>
    <w:p w14:paraId="196D4CCE">
      <w:pPr>
        <w:pStyle w:val="23"/>
        <w:spacing w:line="420" w:lineRule="exact"/>
        <w:ind w:firstLine="211" w:firstLineChars="100"/>
        <w:rPr>
          <w:rFonts w:hAnsi="宋体"/>
          <w:b/>
          <w:color w:val="auto"/>
        </w:rPr>
      </w:pPr>
      <w:r>
        <w:rPr>
          <w:rFonts w:hint="eastAsia" w:hAnsi="宋体"/>
          <w:b/>
          <w:color w:val="auto"/>
        </w:rPr>
        <w:t>（十）供应商有下列情形之一的，属于恶意串通：</w:t>
      </w:r>
    </w:p>
    <w:p w14:paraId="51D00DB7">
      <w:pPr>
        <w:pStyle w:val="23"/>
        <w:spacing w:line="420" w:lineRule="exact"/>
        <w:ind w:firstLine="420" w:firstLineChars="200"/>
        <w:rPr>
          <w:rFonts w:hAnsi="宋体" w:cs="Times New Roman"/>
          <w:color w:val="auto"/>
        </w:rPr>
      </w:pPr>
      <w:r>
        <w:rPr>
          <w:rFonts w:hint="eastAsia" w:hAnsi="宋体" w:cs="Times New Roman"/>
          <w:color w:val="auto"/>
        </w:rPr>
        <w:t>1</w:t>
      </w:r>
      <w:r>
        <w:rPr>
          <w:rFonts w:hAnsi="宋体" w:cs="Times New Roman"/>
          <w:color w:val="auto"/>
        </w:rPr>
        <w:t>.</w:t>
      </w:r>
      <w:r>
        <w:rPr>
          <w:rFonts w:hint="eastAsia" w:hAnsi="宋体" w:cs="Times New Roman"/>
          <w:color w:val="auto"/>
        </w:rPr>
        <w:t>供应商直接或者间接从采购人或者采购代理机构处获得其他供应商的相关情况并修改其响应文件；</w:t>
      </w:r>
    </w:p>
    <w:p w14:paraId="6AA314BD">
      <w:pPr>
        <w:pStyle w:val="23"/>
        <w:spacing w:line="420" w:lineRule="exact"/>
        <w:ind w:firstLine="420" w:firstLineChars="200"/>
        <w:rPr>
          <w:rFonts w:hAnsi="宋体" w:cs="Times New Roman"/>
          <w:color w:val="auto"/>
        </w:rPr>
      </w:pPr>
      <w:r>
        <w:rPr>
          <w:rFonts w:hint="eastAsia" w:hAnsi="宋体" w:cs="Times New Roman"/>
          <w:color w:val="auto"/>
        </w:rPr>
        <w:t>2</w:t>
      </w:r>
      <w:r>
        <w:rPr>
          <w:rFonts w:hAnsi="宋体" w:cs="Times New Roman"/>
          <w:color w:val="auto"/>
        </w:rPr>
        <w:t>.</w:t>
      </w:r>
      <w:r>
        <w:rPr>
          <w:rFonts w:hint="eastAsia" w:hAnsi="宋体" w:cs="Times New Roman"/>
          <w:color w:val="auto"/>
        </w:rPr>
        <w:t>供应商按照采购人或者采购代理机构的授意撤换、修改响应文件；</w:t>
      </w:r>
    </w:p>
    <w:p w14:paraId="6F280C63">
      <w:pPr>
        <w:pStyle w:val="23"/>
        <w:spacing w:line="420" w:lineRule="exact"/>
        <w:ind w:firstLine="420" w:firstLineChars="200"/>
        <w:rPr>
          <w:rFonts w:hAnsi="宋体" w:cs="Times New Roman"/>
          <w:color w:val="auto"/>
        </w:rPr>
      </w:pPr>
      <w:r>
        <w:rPr>
          <w:rFonts w:hint="eastAsia" w:hAnsi="宋体" w:cs="Times New Roman"/>
          <w:color w:val="auto"/>
        </w:rPr>
        <w:t>3</w:t>
      </w:r>
      <w:r>
        <w:rPr>
          <w:rFonts w:hAnsi="宋体" w:cs="Times New Roman"/>
          <w:color w:val="auto"/>
        </w:rPr>
        <w:t>.</w:t>
      </w:r>
      <w:r>
        <w:rPr>
          <w:rFonts w:hint="eastAsia" w:hAnsi="宋体" w:cs="Times New Roman"/>
          <w:color w:val="auto"/>
        </w:rPr>
        <w:t>供应商之间协商报价、技术方案等响应文件的实质性内容；</w:t>
      </w:r>
    </w:p>
    <w:p w14:paraId="0F84707F">
      <w:pPr>
        <w:pStyle w:val="23"/>
        <w:spacing w:line="420" w:lineRule="exact"/>
        <w:ind w:firstLine="420" w:firstLineChars="200"/>
        <w:rPr>
          <w:rFonts w:hAnsi="宋体" w:cs="Times New Roman"/>
          <w:color w:val="auto"/>
        </w:rPr>
      </w:pPr>
      <w:r>
        <w:rPr>
          <w:rFonts w:hint="eastAsia" w:hAnsi="宋体" w:cs="Times New Roman"/>
          <w:color w:val="auto"/>
        </w:rPr>
        <w:t>4</w:t>
      </w:r>
      <w:r>
        <w:rPr>
          <w:rFonts w:hAnsi="宋体" w:cs="Times New Roman"/>
          <w:color w:val="auto"/>
        </w:rPr>
        <w:t>.</w:t>
      </w:r>
      <w:r>
        <w:rPr>
          <w:rFonts w:hint="eastAsia" w:hAnsi="宋体" w:cs="Times New Roman"/>
          <w:color w:val="auto"/>
        </w:rPr>
        <w:t>属于同一集团、协会、商会等组织成员的供应商按照该组织要求协同参加政府采购活动；</w:t>
      </w:r>
    </w:p>
    <w:p w14:paraId="3DB79403">
      <w:pPr>
        <w:pStyle w:val="23"/>
        <w:spacing w:line="420" w:lineRule="exact"/>
        <w:ind w:firstLine="420" w:firstLineChars="200"/>
        <w:rPr>
          <w:rFonts w:hAnsi="宋体" w:cs="Times New Roman"/>
          <w:color w:val="auto"/>
        </w:rPr>
      </w:pPr>
      <w:r>
        <w:rPr>
          <w:rFonts w:hint="eastAsia" w:hAnsi="宋体" w:cs="Times New Roman"/>
          <w:color w:val="auto"/>
        </w:rPr>
        <w:t>5</w:t>
      </w:r>
      <w:r>
        <w:rPr>
          <w:rFonts w:hAnsi="宋体" w:cs="Times New Roman"/>
          <w:color w:val="auto"/>
        </w:rPr>
        <w:t>.</w:t>
      </w:r>
      <w:r>
        <w:rPr>
          <w:rFonts w:hint="eastAsia" w:hAnsi="宋体" w:cs="Times New Roman"/>
          <w:color w:val="auto"/>
        </w:rPr>
        <w:t>供应商之间事先约定由某一特定供应商成交；</w:t>
      </w:r>
    </w:p>
    <w:p w14:paraId="3739841D">
      <w:pPr>
        <w:pStyle w:val="23"/>
        <w:spacing w:line="420" w:lineRule="exact"/>
        <w:ind w:firstLine="420" w:firstLineChars="200"/>
        <w:rPr>
          <w:rFonts w:hAnsi="宋体" w:cs="Times New Roman"/>
          <w:color w:val="auto"/>
        </w:rPr>
      </w:pPr>
      <w:r>
        <w:rPr>
          <w:rFonts w:hint="eastAsia" w:hAnsi="宋体" w:cs="Times New Roman"/>
          <w:color w:val="auto"/>
        </w:rPr>
        <w:t>6</w:t>
      </w:r>
      <w:r>
        <w:rPr>
          <w:rFonts w:hAnsi="宋体" w:cs="Times New Roman"/>
          <w:color w:val="auto"/>
        </w:rPr>
        <w:t>.</w:t>
      </w:r>
      <w:r>
        <w:rPr>
          <w:rFonts w:hint="eastAsia" w:hAnsi="宋体" w:cs="Times New Roman"/>
          <w:color w:val="auto"/>
        </w:rPr>
        <w:t>供应商之间商定部分供应商放弃参加政府采购活动或者放弃成交；</w:t>
      </w:r>
    </w:p>
    <w:p w14:paraId="3E21F7AE">
      <w:pPr>
        <w:pStyle w:val="23"/>
        <w:spacing w:line="420" w:lineRule="exact"/>
        <w:ind w:firstLine="420" w:firstLineChars="200"/>
        <w:rPr>
          <w:rFonts w:hAnsi="宋体" w:cs="Times New Roman"/>
          <w:color w:val="auto"/>
        </w:rPr>
      </w:pPr>
      <w:r>
        <w:rPr>
          <w:rFonts w:hint="eastAsia" w:hAnsi="宋体" w:cs="Times New Roman"/>
          <w:color w:val="auto"/>
        </w:rPr>
        <w:t>7</w:t>
      </w:r>
      <w:r>
        <w:rPr>
          <w:rFonts w:hAnsi="宋体" w:cs="Times New Roman"/>
          <w:color w:val="auto"/>
        </w:rPr>
        <w:t>.</w:t>
      </w:r>
      <w:r>
        <w:rPr>
          <w:rFonts w:hint="eastAsia" w:hAnsi="宋体" w:cs="Times New Roman"/>
          <w:color w:val="auto"/>
        </w:rPr>
        <w:t>供应商与采购人或者采购代理机构之间、供应商相互之间，为谋求特定供应商成交或者排斥其他供应商的其他串通行为。</w:t>
      </w:r>
    </w:p>
    <w:p w14:paraId="13D837AC">
      <w:pPr>
        <w:pStyle w:val="23"/>
        <w:spacing w:line="420" w:lineRule="exact"/>
        <w:ind w:firstLine="211" w:firstLineChars="100"/>
        <w:rPr>
          <w:rFonts w:hAnsi="宋体"/>
          <w:b/>
          <w:color w:val="auto"/>
        </w:rPr>
      </w:pPr>
      <w:r>
        <w:rPr>
          <w:rFonts w:hint="eastAsia" w:hAnsi="宋体"/>
          <w:b/>
          <w:color w:val="auto"/>
        </w:rPr>
        <w:t>（十一）评审报告</w:t>
      </w:r>
    </w:p>
    <w:p w14:paraId="37620B88">
      <w:pPr>
        <w:widowControl/>
        <w:tabs>
          <w:tab w:val="left" w:pos="540"/>
        </w:tabs>
        <w:spacing w:line="420" w:lineRule="exact"/>
        <w:ind w:firstLine="420" w:firstLineChars="200"/>
        <w:jc w:val="left"/>
        <w:rPr>
          <w:color w:val="auto"/>
          <w:szCs w:val="21"/>
        </w:rPr>
      </w:pPr>
      <w:r>
        <w:rPr>
          <w:rFonts w:hint="eastAsia"/>
          <w:color w:val="auto"/>
          <w:szCs w:val="21"/>
        </w:rPr>
        <w:t>1</w:t>
      </w:r>
      <w:r>
        <w:rPr>
          <w:color w:val="auto"/>
          <w:szCs w:val="21"/>
        </w:rPr>
        <w:t>.</w:t>
      </w:r>
      <w:r>
        <w:rPr>
          <w:rFonts w:hint="eastAsia"/>
          <w:color w:val="auto"/>
          <w:szCs w:val="21"/>
        </w:rPr>
        <w:t>谈判小组应当根据评审记录和评审结果编写评审报告，主要内容包括：</w:t>
      </w:r>
    </w:p>
    <w:p w14:paraId="1AE1876E">
      <w:pPr>
        <w:widowControl/>
        <w:tabs>
          <w:tab w:val="left" w:pos="540"/>
        </w:tabs>
        <w:spacing w:line="420" w:lineRule="exact"/>
        <w:ind w:firstLine="420" w:firstLineChars="200"/>
        <w:jc w:val="left"/>
        <w:rPr>
          <w:color w:val="auto"/>
          <w:szCs w:val="21"/>
        </w:rPr>
      </w:pPr>
      <w:r>
        <w:rPr>
          <w:rFonts w:hint="eastAsia"/>
          <w:color w:val="auto"/>
          <w:szCs w:val="21"/>
        </w:rPr>
        <w:t>(</w:t>
      </w:r>
      <w:r>
        <w:rPr>
          <w:color w:val="auto"/>
          <w:szCs w:val="21"/>
        </w:rPr>
        <w:t>1)</w:t>
      </w:r>
      <w:r>
        <w:rPr>
          <w:rFonts w:hint="eastAsia"/>
          <w:color w:val="auto"/>
          <w:szCs w:val="21"/>
        </w:rPr>
        <w:t>邀请供应商参加采购活动的具体方式和相关情况，以及参加采购活动的供应商名单；</w:t>
      </w:r>
    </w:p>
    <w:p w14:paraId="588ACD18">
      <w:pPr>
        <w:widowControl/>
        <w:tabs>
          <w:tab w:val="left" w:pos="540"/>
        </w:tabs>
        <w:spacing w:line="420" w:lineRule="exact"/>
        <w:ind w:firstLine="420" w:firstLineChars="200"/>
        <w:jc w:val="left"/>
        <w:rPr>
          <w:color w:val="auto"/>
          <w:szCs w:val="21"/>
        </w:rPr>
      </w:pPr>
      <w:r>
        <w:rPr>
          <w:rFonts w:hint="eastAsia"/>
          <w:color w:val="auto"/>
          <w:szCs w:val="21"/>
        </w:rPr>
        <w:t>(</w:t>
      </w:r>
      <w:r>
        <w:rPr>
          <w:color w:val="auto"/>
          <w:szCs w:val="21"/>
        </w:rPr>
        <w:t>2)</w:t>
      </w:r>
      <w:r>
        <w:rPr>
          <w:rFonts w:hint="eastAsia"/>
          <w:color w:val="auto"/>
          <w:szCs w:val="21"/>
        </w:rPr>
        <w:t>评审日期和地点，谈判小组成员名单；</w:t>
      </w:r>
    </w:p>
    <w:p w14:paraId="33E39BAD">
      <w:pPr>
        <w:widowControl/>
        <w:tabs>
          <w:tab w:val="left" w:pos="540"/>
        </w:tabs>
        <w:spacing w:line="420" w:lineRule="exact"/>
        <w:ind w:firstLine="420" w:firstLineChars="200"/>
        <w:jc w:val="left"/>
        <w:rPr>
          <w:color w:val="auto"/>
          <w:szCs w:val="21"/>
        </w:rPr>
      </w:pPr>
      <w:r>
        <w:rPr>
          <w:rFonts w:hint="eastAsia"/>
          <w:color w:val="auto"/>
          <w:szCs w:val="21"/>
        </w:rPr>
        <w:t>(</w:t>
      </w:r>
      <w:r>
        <w:rPr>
          <w:color w:val="auto"/>
          <w:szCs w:val="21"/>
        </w:rPr>
        <w:t>3)</w:t>
      </w:r>
      <w:r>
        <w:rPr>
          <w:rFonts w:hint="eastAsia"/>
          <w:color w:val="auto"/>
          <w:szCs w:val="21"/>
        </w:rPr>
        <w:t>评审情况记录和说明，包括对供应商的资格审查情况、供应商响应文件评审情况、谈判情况、报价情况等；</w:t>
      </w:r>
    </w:p>
    <w:p w14:paraId="65A55B96">
      <w:pPr>
        <w:widowControl/>
        <w:tabs>
          <w:tab w:val="left" w:pos="540"/>
        </w:tabs>
        <w:spacing w:line="420" w:lineRule="exact"/>
        <w:ind w:firstLine="420" w:firstLineChars="200"/>
        <w:jc w:val="left"/>
        <w:rPr>
          <w:color w:val="auto"/>
        </w:rPr>
      </w:pPr>
      <w:r>
        <w:rPr>
          <w:rFonts w:hint="eastAsia"/>
          <w:color w:val="auto"/>
        </w:rPr>
        <w:t>(</w:t>
      </w:r>
      <w:r>
        <w:rPr>
          <w:color w:val="auto"/>
        </w:rPr>
        <w:t>4)</w:t>
      </w:r>
      <w:r>
        <w:rPr>
          <w:rFonts w:hint="eastAsia"/>
          <w:color w:val="auto"/>
        </w:rPr>
        <w:t>提出的成交候选人的名单及理由。</w:t>
      </w:r>
    </w:p>
    <w:p w14:paraId="751DF612">
      <w:pPr>
        <w:widowControl/>
        <w:tabs>
          <w:tab w:val="left" w:pos="540"/>
        </w:tabs>
        <w:spacing w:line="420" w:lineRule="exact"/>
        <w:ind w:firstLine="420" w:firstLineChars="200"/>
        <w:jc w:val="left"/>
        <w:rPr>
          <w:color w:val="auto"/>
          <w:szCs w:val="21"/>
        </w:rPr>
      </w:pPr>
      <w:r>
        <w:rPr>
          <w:rFonts w:hint="eastAsia"/>
          <w:color w:val="auto"/>
        </w:rPr>
        <w:t>　　2</w:t>
      </w:r>
      <w:r>
        <w:rPr>
          <w:color w:val="auto"/>
        </w:rPr>
        <w:t>.</w:t>
      </w:r>
      <w:r>
        <w:rPr>
          <w:rFonts w:hint="eastAsia"/>
          <w:color w:val="auto"/>
        </w:rPr>
        <w:t>评审报告应当由谈判小组全体人员签名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名又不书面说明其不同意见和理由的，视为同意评审报告。</w:t>
      </w:r>
    </w:p>
    <w:p w14:paraId="7A65DA3A">
      <w:pPr>
        <w:pStyle w:val="23"/>
        <w:spacing w:line="420" w:lineRule="exact"/>
        <w:ind w:firstLine="211" w:firstLineChars="100"/>
        <w:rPr>
          <w:rFonts w:hAnsi="宋体"/>
          <w:color w:val="auto"/>
        </w:rPr>
      </w:pPr>
      <w:r>
        <w:rPr>
          <w:rFonts w:hint="eastAsia" w:hAnsi="宋体"/>
          <w:b/>
          <w:bCs/>
          <w:color w:val="auto"/>
        </w:rPr>
        <w:t>（十二）</w:t>
      </w:r>
      <w:r>
        <w:rPr>
          <w:rFonts w:hint="eastAsia" w:hAnsi="宋体"/>
          <w:b/>
          <w:color w:val="auto"/>
        </w:rPr>
        <w:t>出现下列情形之一的，本中心将终止竞争性谈判采购活动：</w:t>
      </w:r>
    </w:p>
    <w:p w14:paraId="388701C5">
      <w:pPr>
        <w:pStyle w:val="23"/>
        <w:spacing w:line="420" w:lineRule="exact"/>
        <w:ind w:firstLine="420" w:firstLineChars="200"/>
        <w:rPr>
          <w:rFonts w:hAnsi="宋体"/>
          <w:color w:val="auto"/>
        </w:rPr>
      </w:pPr>
      <w:r>
        <w:rPr>
          <w:rFonts w:hint="eastAsia" w:hAnsi="宋体"/>
          <w:color w:val="auto"/>
        </w:rPr>
        <w:t>1</w:t>
      </w:r>
      <w:r>
        <w:rPr>
          <w:rFonts w:hAnsi="宋体"/>
          <w:color w:val="auto"/>
        </w:rPr>
        <w:t>.</w:t>
      </w:r>
      <w:r>
        <w:rPr>
          <w:rFonts w:hint="eastAsia" w:hAnsi="宋体"/>
          <w:color w:val="auto"/>
        </w:rPr>
        <w:t>因情况变化，不再符合规定的竞争性谈判采购方式适用情形的；</w:t>
      </w:r>
    </w:p>
    <w:p w14:paraId="4326C373">
      <w:pPr>
        <w:pStyle w:val="23"/>
        <w:spacing w:line="420" w:lineRule="exact"/>
        <w:ind w:firstLine="420" w:firstLineChars="200"/>
        <w:rPr>
          <w:rFonts w:hAnsi="宋体"/>
          <w:color w:val="auto"/>
        </w:rPr>
      </w:pPr>
      <w:r>
        <w:rPr>
          <w:rFonts w:hint="eastAsia" w:hAnsi="宋体"/>
          <w:color w:val="auto"/>
        </w:rPr>
        <w:t>2</w:t>
      </w:r>
      <w:r>
        <w:rPr>
          <w:rFonts w:hAnsi="宋体"/>
          <w:color w:val="auto"/>
        </w:rPr>
        <w:t>.</w:t>
      </w:r>
      <w:r>
        <w:rPr>
          <w:rFonts w:hint="eastAsia" w:hAnsi="宋体"/>
          <w:color w:val="auto"/>
        </w:rPr>
        <w:t>出现影响采购公正的违法、违规行为的；</w:t>
      </w:r>
    </w:p>
    <w:p w14:paraId="62DB579C">
      <w:pPr>
        <w:pStyle w:val="23"/>
        <w:spacing w:line="420" w:lineRule="exact"/>
        <w:ind w:firstLine="420" w:firstLineChars="200"/>
        <w:rPr>
          <w:rFonts w:hAnsi="宋体"/>
          <w:color w:val="auto"/>
        </w:rPr>
      </w:pPr>
      <w:r>
        <w:rPr>
          <w:rFonts w:hint="eastAsia" w:hAnsi="宋体"/>
          <w:color w:val="auto"/>
        </w:rPr>
        <w:t>3</w:t>
      </w:r>
      <w:r>
        <w:rPr>
          <w:rFonts w:hAnsi="宋体"/>
          <w:color w:val="auto"/>
        </w:rPr>
        <w:t>.</w:t>
      </w:r>
      <w:r>
        <w:rPr>
          <w:rFonts w:hint="eastAsia" w:hAnsi="宋体"/>
          <w:color w:val="auto"/>
        </w:rPr>
        <w:t>在采购过程中符合竞争要求的供应商或者报价未超过采购预算的供应商不足3家的。</w:t>
      </w:r>
    </w:p>
    <w:p w14:paraId="67995E93">
      <w:pPr>
        <w:pStyle w:val="5"/>
        <w:spacing w:line="420" w:lineRule="exact"/>
        <w:rPr>
          <w:color w:val="auto"/>
        </w:rPr>
      </w:pPr>
      <w:r>
        <w:rPr>
          <w:rFonts w:hint="eastAsia"/>
          <w:color w:val="auto"/>
        </w:rPr>
        <w:t>六、确定成交供应商</w:t>
      </w:r>
    </w:p>
    <w:p w14:paraId="69ABC883">
      <w:pPr>
        <w:pStyle w:val="23"/>
        <w:spacing w:line="420" w:lineRule="exact"/>
        <w:ind w:firstLine="420"/>
        <w:rPr>
          <w:rFonts w:hAnsi="宋体"/>
          <w:color w:val="auto"/>
        </w:rPr>
      </w:pPr>
      <w:r>
        <w:rPr>
          <w:rFonts w:hint="eastAsia" w:hAnsi="宋体"/>
          <w:color w:val="auto"/>
        </w:rPr>
        <w:t>1</w:t>
      </w:r>
      <w:r>
        <w:rPr>
          <w:rFonts w:hAnsi="宋体"/>
          <w:color w:val="auto"/>
        </w:rPr>
        <w:t>.</w:t>
      </w:r>
      <w:r>
        <w:rPr>
          <w:rFonts w:hint="eastAsia" w:hAnsi="宋体"/>
          <w:color w:val="auto"/>
        </w:rPr>
        <w:t>本中心应当在评审结束后2个工作日内将评审报告送采购人确认。</w:t>
      </w:r>
    </w:p>
    <w:p w14:paraId="20E3BEAB">
      <w:pPr>
        <w:pStyle w:val="23"/>
        <w:spacing w:line="420" w:lineRule="exact"/>
        <w:ind w:firstLine="420"/>
        <w:rPr>
          <w:rFonts w:hAnsi="宋体"/>
          <w:color w:val="auto"/>
        </w:rPr>
      </w:pPr>
      <w:r>
        <w:rPr>
          <w:rFonts w:hAnsi="宋体"/>
          <w:color w:val="auto"/>
        </w:rPr>
        <w:t>2.</w:t>
      </w:r>
      <w:r>
        <w:rPr>
          <w:rFonts w:hint="eastAsia" w:hAnsi="宋体"/>
          <w:color w:val="auto"/>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24D58926">
      <w:pPr>
        <w:pStyle w:val="5"/>
        <w:spacing w:line="420" w:lineRule="exact"/>
        <w:rPr>
          <w:color w:val="auto"/>
        </w:rPr>
      </w:pPr>
      <w:r>
        <w:rPr>
          <w:rFonts w:hint="eastAsia"/>
          <w:color w:val="auto"/>
        </w:rPr>
        <w:t>七、结果公告</w:t>
      </w:r>
    </w:p>
    <w:p w14:paraId="1E884C3B">
      <w:pPr>
        <w:pStyle w:val="23"/>
        <w:spacing w:line="420" w:lineRule="exact"/>
        <w:ind w:firstLine="420" w:firstLineChars="200"/>
        <w:rPr>
          <w:rFonts w:hAnsi="宋体"/>
          <w:color w:val="auto"/>
        </w:rPr>
      </w:pPr>
      <w:r>
        <w:rPr>
          <w:rFonts w:hint="eastAsia" w:hAnsi="宋体"/>
          <w:color w:val="auto"/>
        </w:rPr>
        <w:t>本中心在成交供应商确定后2个工作日内，</w:t>
      </w:r>
      <w:r>
        <w:rPr>
          <w:rFonts w:hint="eastAsia"/>
          <w:color w:val="auto"/>
        </w:rPr>
        <w:t>在省级以上财政部门指定的媒体上公告</w:t>
      </w:r>
      <w:r>
        <w:rPr>
          <w:rFonts w:hint="eastAsia" w:hAnsi="宋体"/>
          <w:color w:val="auto"/>
        </w:rPr>
        <w:t>成交结果，同时向成交供应商发出成交通知书。</w:t>
      </w:r>
    </w:p>
    <w:p w14:paraId="7A8BC43F">
      <w:pPr>
        <w:pStyle w:val="5"/>
        <w:spacing w:line="420" w:lineRule="exact"/>
        <w:rPr>
          <w:color w:val="auto"/>
        </w:rPr>
      </w:pPr>
      <w:r>
        <w:rPr>
          <w:rFonts w:hint="eastAsia"/>
          <w:color w:val="auto"/>
        </w:rPr>
        <w:t>八、签订合同</w:t>
      </w:r>
    </w:p>
    <w:p w14:paraId="0FE70B8C">
      <w:pPr>
        <w:spacing w:line="420" w:lineRule="exact"/>
        <w:ind w:firstLine="210" w:firstLineChars="100"/>
        <w:rPr>
          <w:rFonts w:ascii="宋体" w:hAnsi="宋体" w:cs="Courier New"/>
          <w:color w:val="auto"/>
          <w:szCs w:val="21"/>
        </w:rPr>
      </w:pPr>
      <w:r>
        <w:rPr>
          <w:rFonts w:hint="eastAsia" w:ascii="宋体" w:hAnsi="宋体"/>
          <w:color w:val="auto"/>
          <w:szCs w:val="21"/>
        </w:rPr>
        <w:t>（一）</w:t>
      </w:r>
      <w:r>
        <w:rPr>
          <w:rFonts w:hint="eastAsia" w:ascii="宋体" w:hAnsi="宋体" w:cs="Courier New"/>
          <w:color w:val="auto"/>
          <w:szCs w:val="21"/>
        </w:rPr>
        <w:t>采购人与成交供应商应当在成交通知书发出之日起</w:t>
      </w:r>
      <w:r>
        <w:rPr>
          <w:rFonts w:hint="eastAsia" w:ascii="宋体" w:hAnsi="宋体" w:cs="Courier New"/>
          <w:color w:val="auto"/>
          <w:szCs w:val="21"/>
          <w:lang w:val="en-US" w:eastAsia="zh-CN"/>
        </w:rPr>
        <w:t>25</w:t>
      </w:r>
      <w:r>
        <w:rPr>
          <w:rFonts w:hint="eastAsia" w:ascii="宋体" w:hAnsi="宋体" w:cs="Courier New"/>
          <w:color w:val="auto"/>
          <w:szCs w:val="21"/>
        </w:rPr>
        <w:t>日内，按照谈判文件确定的合同文本以及采购标的、规格型号、采购金额、采购数量、技术和服务要求等确定的事项签订政府采购合同。</w:t>
      </w:r>
    </w:p>
    <w:p w14:paraId="6C54A2B5">
      <w:pPr>
        <w:widowControl/>
        <w:spacing w:line="420" w:lineRule="exact"/>
        <w:ind w:firstLine="210" w:firstLineChars="100"/>
        <w:jc w:val="left"/>
        <w:rPr>
          <w:rFonts w:ascii="宋体" w:hAnsi="宋体" w:cs="宋体"/>
          <w:color w:val="auto"/>
          <w:kern w:val="0"/>
          <w:szCs w:val="21"/>
        </w:rPr>
      </w:pPr>
      <w:r>
        <w:rPr>
          <w:rFonts w:hint="eastAsia" w:ascii="宋体" w:hAnsi="宋体" w:cs="Courier New"/>
          <w:color w:val="auto"/>
          <w:szCs w:val="21"/>
        </w:rPr>
        <w:t>（二）</w:t>
      </w:r>
      <w:r>
        <w:rPr>
          <w:rFonts w:hint="eastAsia" w:ascii="宋体" w:hAnsi="宋体" w:cs="宋体"/>
          <w:color w:val="auto"/>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633D0CB7">
      <w:pPr>
        <w:widowControl/>
        <w:spacing w:line="420"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（三）供应商可凭成交通知书或政府采购合同等在内的相关材料、信息，通过中征应收账款融资服务平台向银行业金融机构在线申请“政采贷”融资。</w:t>
      </w:r>
    </w:p>
    <w:p w14:paraId="7F993A41">
      <w:pPr>
        <w:widowControl/>
        <w:spacing w:line="420"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（四）除不可抗力等因素外，成交通知书发出后，采购人改变成交结果，或者成交供应商拒绝签订政府采购合同的，应当承担相应的法律责任。</w:t>
      </w:r>
    </w:p>
    <w:p w14:paraId="130E5E86">
      <w:pPr>
        <w:widowControl/>
        <w:spacing w:line="420"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（五）</w:t>
      </w:r>
      <w:r>
        <w:rPr>
          <w:rFonts w:ascii="Arial" w:hAnsi="Arial" w:cs="Arial"/>
          <w:color w:val="auto"/>
          <w:kern w:val="0"/>
          <w:szCs w:val="21"/>
        </w:rPr>
        <w:t>政府采购合同</w:t>
      </w:r>
      <w:r>
        <w:rPr>
          <w:rFonts w:hint="eastAsia" w:ascii="Arial" w:hAnsi="Arial" w:cs="Arial"/>
          <w:color w:val="auto"/>
          <w:kern w:val="0"/>
          <w:szCs w:val="21"/>
        </w:rPr>
        <w:t>适用《中华人民共和国民法典》</w:t>
      </w:r>
      <w:r>
        <w:rPr>
          <w:rFonts w:ascii="Arial" w:hAnsi="Arial" w:cs="Arial"/>
          <w:color w:val="auto"/>
          <w:kern w:val="0"/>
          <w:szCs w:val="21"/>
        </w:rPr>
        <w:t>。</w:t>
      </w:r>
    </w:p>
    <w:p w14:paraId="5F81FDBB">
      <w:pPr>
        <w:widowControl/>
        <w:spacing w:line="420" w:lineRule="exact"/>
        <w:ind w:firstLine="210" w:firstLineChars="100"/>
        <w:jc w:val="left"/>
        <w:rPr>
          <w:rFonts w:ascii="宋体" w:hAnsi="宋体" w:cs="宋体"/>
          <w:color w:val="auto"/>
          <w:kern w:val="0"/>
          <w:szCs w:val="21"/>
        </w:rPr>
      </w:pPr>
      <w:r>
        <w:rPr>
          <w:rFonts w:hint="eastAsia" w:ascii="宋体" w:hAnsi="宋体" w:cs="宋体"/>
          <w:color w:val="auto"/>
          <w:kern w:val="0"/>
          <w:szCs w:val="21"/>
        </w:rPr>
        <w:t>（六）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14:paraId="639EF3A6">
      <w:pPr>
        <w:pStyle w:val="5"/>
        <w:spacing w:line="420" w:lineRule="exact"/>
        <w:rPr>
          <w:color w:val="auto"/>
        </w:rPr>
      </w:pPr>
      <w:r>
        <w:rPr>
          <w:rFonts w:hint="eastAsia"/>
          <w:color w:val="auto"/>
        </w:rPr>
        <w:t>九、适用法律</w:t>
      </w:r>
    </w:p>
    <w:p w14:paraId="7065BDB0">
      <w:pPr>
        <w:spacing w:line="420" w:lineRule="exact"/>
        <w:ind w:firstLine="420" w:firstLineChars="200"/>
        <w:rPr>
          <w:rFonts w:ascii="宋体" w:hAnsi="宋体"/>
          <w:color w:val="auto"/>
          <w:szCs w:val="21"/>
        </w:rPr>
      </w:pPr>
      <w:bookmarkStart w:id="107" w:name="_Hlk92794186"/>
      <w:r>
        <w:rPr>
          <w:rFonts w:hint="eastAsia" w:ascii="宋体" w:hAnsi="宋体"/>
          <w:color w:val="auto"/>
          <w:szCs w:val="21"/>
        </w:rPr>
        <w:t>本项目采购活动适用于《中华人民共和国政府采购法》及其实施条例、《政府采购非招标采购方式管理办法》等规定。</w:t>
      </w:r>
    </w:p>
    <w:bookmarkEnd w:id="107"/>
    <w:p w14:paraId="50ECD22B">
      <w:pPr>
        <w:pStyle w:val="5"/>
        <w:spacing w:line="420" w:lineRule="exact"/>
        <w:rPr>
          <w:color w:val="auto"/>
        </w:rPr>
      </w:pPr>
      <w:bookmarkStart w:id="108" w:name="_十、其他事项"/>
      <w:bookmarkEnd w:id="108"/>
      <w:r>
        <w:rPr>
          <w:rFonts w:hint="eastAsia"/>
          <w:color w:val="auto"/>
        </w:rPr>
        <w:t>十、其他事项</w:t>
      </w:r>
    </w:p>
    <w:p w14:paraId="54647D0C">
      <w:pPr>
        <w:spacing w:line="420" w:lineRule="exact"/>
        <w:ind w:firstLine="210" w:firstLineChars="100"/>
        <w:rPr>
          <w:rFonts w:hAnsi="宋体"/>
          <w:color w:val="auto"/>
        </w:rPr>
      </w:pPr>
      <w:r>
        <w:rPr>
          <w:rFonts w:hint="eastAsia" w:hAnsi="宋体"/>
          <w:color w:val="auto"/>
        </w:rPr>
        <w:t>（一）代理服务费</w:t>
      </w:r>
    </w:p>
    <w:p w14:paraId="71A29529">
      <w:pPr>
        <w:spacing w:line="420" w:lineRule="exact"/>
        <w:ind w:firstLine="420" w:firstLineChars="200"/>
        <w:rPr>
          <w:rFonts w:hAnsi="宋体"/>
          <w:color w:val="auto"/>
        </w:rPr>
      </w:pPr>
      <w:r>
        <w:rPr>
          <w:rFonts w:hint="eastAsia" w:hAnsi="宋体"/>
          <w:color w:val="auto"/>
        </w:rPr>
        <w:t>1</w:t>
      </w:r>
      <w:r>
        <w:rPr>
          <w:rFonts w:hAnsi="宋体"/>
          <w:color w:val="auto"/>
        </w:rPr>
        <w:t>.</w:t>
      </w:r>
      <w:r>
        <w:rPr>
          <w:rFonts w:hint="eastAsia" w:hAnsi="宋体"/>
          <w:color w:val="auto"/>
        </w:rPr>
        <w:t>本中心按钦州市物价局“钦市价费﹝2013﹞4号”文件规定向成交供应商收取代理服务费，成交供应商须向本中心一次付清代理服务费。</w:t>
      </w:r>
    </w:p>
    <w:p w14:paraId="5B779CA6">
      <w:pPr>
        <w:spacing w:line="420" w:lineRule="exact"/>
        <w:ind w:firstLine="420" w:firstLineChars="200"/>
        <w:rPr>
          <w:color w:val="auto"/>
        </w:rPr>
      </w:pPr>
      <w:r>
        <w:rPr>
          <w:rFonts w:hint="eastAsia" w:hAnsi="宋体"/>
          <w:color w:val="auto"/>
        </w:rPr>
        <w:t>2</w:t>
      </w:r>
      <w:r>
        <w:rPr>
          <w:rFonts w:hAnsi="宋体"/>
          <w:color w:val="auto"/>
        </w:rPr>
        <w:t>.</w:t>
      </w:r>
      <w:r>
        <w:rPr>
          <w:rFonts w:hint="eastAsia" w:hAnsi="宋体"/>
          <w:bCs/>
          <w:color w:val="auto"/>
        </w:rPr>
        <w:t>代理服务收费标准：</w:t>
      </w:r>
    </w:p>
    <w:tbl>
      <w:tblPr>
        <w:tblStyle w:val="41"/>
        <w:tblW w:w="91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14:paraId="3745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14:paraId="386F9238">
            <w:pPr>
              <w:spacing w:line="330" w:lineRule="exact"/>
              <w:ind w:firstLine="2310" w:firstLineChars="1100"/>
              <w:rPr>
                <w:rFonts w:hAnsi="宋体"/>
                <w:color w:val="auto"/>
              </w:rPr>
            </w:pPr>
            <w:r>
              <w:rPr>
                <w:rFonts w:hAnsi="宋体"/>
                <w:color w:val="auto"/>
              </w:rPr>
              <mc:AlternateContent>
                <mc:Choice Requires="wps">
                  <w:drawing>
                    <wp:anchor distT="0" distB="0" distL="114300" distR="114300" simplePos="0" relativeHeight="251663360" behindDoc="0" locked="0" layoutInCell="1" allowOverlap="1">
                      <wp:simplePos x="0" y="0"/>
                      <wp:positionH relativeFrom="column">
                        <wp:posOffset>-85090</wp:posOffset>
                      </wp:positionH>
                      <wp:positionV relativeFrom="paragraph">
                        <wp:posOffset>21590</wp:posOffset>
                      </wp:positionV>
                      <wp:extent cx="2172335" cy="1444625"/>
                      <wp:effectExtent l="2540" t="3810" r="15875" b="18415"/>
                      <wp:wrapNone/>
                      <wp:docPr id="4"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flip:x y;margin-left:-6.7pt;margin-top:1.7pt;height:113.75pt;width:171.05pt;z-index:251663360;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W8&#10;NPnVAAAACQEAAA8AAAAAAAAAAQAgAAAAIgAAAGRycy9kb3ducmV2LnhtbFBLAQIUABQAAAAIAIdO&#10;4kBB+NgN7QEAAMkDAAAOAAAAAAAAAAEAIAAAACQBAABkcnMvZTJvRG9jLnhtbFBLBQYAAAAABgAG&#10;AFkBAACDBQAAAAA=&#10;">
                      <v:fill on="f" focussize="0,0"/>
                      <v:stroke color="#000000" joinstyle="round"/>
                      <v:imagedata o:title=""/>
                      <o:lock v:ext="edit" aspectratio="f"/>
                    </v:line>
                  </w:pict>
                </mc:Fallback>
              </mc:AlternateContent>
            </w:r>
            <w:r>
              <w:rPr>
                <w:rFonts w:hAnsi="宋体"/>
                <w:color w:val="auto"/>
              </w:rPr>
              <mc:AlternateContent>
                <mc:Choice Requires="wps">
                  <w:drawing>
                    <wp:anchor distT="0" distB="0" distL="114300" distR="114300" simplePos="0" relativeHeight="251662336" behindDoc="0" locked="0" layoutInCell="1" allowOverlap="1">
                      <wp:simplePos x="0" y="0"/>
                      <wp:positionH relativeFrom="column">
                        <wp:posOffset>940435</wp:posOffset>
                      </wp:positionH>
                      <wp:positionV relativeFrom="paragraph">
                        <wp:posOffset>19685</wp:posOffset>
                      </wp:positionV>
                      <wp:extent cx="1143635" cy="1444625"/>
                      <wp:effectExtent l="3810" t="3175" r="14605" b="19050"/>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a:effectLst/>
                            </wps:spPr>
                            <wps:bodyPr/>
                          </wps:wsp>
                        </a:graphicData>
                      </a:graphic>
                    </wp:anchor>
                  </w:drawing>
                </mc:Choice>
                <mc:Fallback>
                  <w:pict>
                    <v:line id="直线 4" o:spid="_x0000_s1026" o:spt="20" style="position:absolute;left:0pt;flip:x y;margin-left:74.05pt;margin-top:1.55pt;height:113.75pt;width:90.05pt;z-index:251662336;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esssL&#10;1AAAAAkBAAAPAAAAAAAAAAEAIAAAACIAAABkcnMvZG93bnJldi54bWxQSwECFAAUAAAACACHTuJA&#10;/FQjpewBAADJAwAADgAAAAAAAAABACAAAAAjAQAAZHJzL2Uyb0RvYy54bWxQSwUGAAAAAAYABgBZ&#10;AQAAgQUAAAAA&#10;">
                      <v:fill on="f" focussize="0,0"/>
                      <v:stroke color="#000000" joinstyle="round"/>
                      <v:imagedata o:title=""/>
                      <o:lock v:ext="edit" aspectratio="f"/>
                    </v:line>
                  </w:pict>
                </mc:Fallback>
              </mc:AlternateContent>
            </w:r>
            <w:r>
              <w:rPr>
                <w:rFonts w:hint="eastAsia" w:hAnsi="宋体"/>
                <w:color w:val="auto"/>
              </w:rPr>
              <w:t>采购类型</w:t>
            </w:r>
          </w:p>
          <w:p w14:paraId="65DF5FC4">
            <w:pPr>
              <w:spacing w:line="330" w:lineRule="exact"/>
              <w:rPr>
                <w:rFonts w:hAnsi="宋体"/>
                <w:color w:val="auto"/>
              </w:rPr>
            </w:pPr>
          </w:p>
          <w:p w14:paraId="070BB8D5">
            <w:pPr>
              <w:spacing w:line="330" w:lineRule="exact"/>
              <w:ind w:firstLine="1575" w:firstLineChars="750"/>
              <w:jc w:val="left"/>
              <w:rPr>
                <w:rFonts w:hAnsi="宋体"/>
                <w:color w:val="auto"/>
              </w:rPr>
            </w:pPr>
            <w:r>
              <w:rPr>
                <w:rFonts w:hint="eastAsia" w:hAnsi="宋体"/>
                <w:color w:val="auto"/>
              </w:rPr>
              <w:t>费率</w:t>
            </w:r>
          </w:p>
          <w:p w14:paraId="6EFC8B8C">
            <w:pPr>
              <w:spacing w:line="330" w:lineRule="exact"/>
              <w:ind w:leftChars="-1" w:hanging="2" w:hangingChars="1"/>
              <w:jc w:val="left"/>
              <w:rPr>
                <w:rFonts w:hAnsi="宋体"/>
                <w:color w:val="auto"/>
              </w:rPr>
            </w:pPr>
          </w:p>
          <w:p w14:paraId="56319026">
            <w:pPr>
              <w:spacing w:line="330" w:lineRule="exact"/>
              <w:ind w:leftChars="-1" w:hanging="2" w:hangingChars="1"/>
              <w:jc w:val="left"/>
              <w:rPr>
                <w:rFonts w:hAnsi="宋体"/>
                <w:color w:val="auto"/>
              </w:rPr>
            </w:pPr>
          </w:p>
          <w:p w14:paraId="31C70420">
            <w:pPr>
              <w:spacing w:line="330" w:lineRule="exact"/>
              <w:jc w:val="left"/>
              <w:rPr>
                <w:rFonts w:hAnsi="宋体"/>
                <w:color w:val="auto"/>
              </w:rPr>
            </w:pPr>
            <w:r>
              <w:rPr>
                <w:rFonts w:hint="eastAsia" w:hAnsi="宋体"/>
                <w:color w:val="auto"/>
              </w:rPr>
              <w:t>成交金额（万元）</w:t>
            </w:r>
          </w:p>
        </w:tc>
        <w:tc>
          <w:tcPr>
            <w:tcW w:w="5708" w:type="dxa"/>
            <w:gridSpan w:val="3"/>
            <w:vAlign w:val="center"/>
          </w:tcPr>
          <w:p w14:paraId="602B5C0E">
            <w:pPr>
              <w:spacing w:line="330" w:lineRule="exact"/>
              <w:rPr>
                <w:rFonts w:hAnsi="宋体"/>
                <w:color w:val="auto"/>
              </w:rPr>
            </w:pPr>
            <w:r>
              <w:rPr>
                <w:rFonts w:hint="eastAsia" w:hAnsi="宋体"/>
                <w:color w:val="auto"/>
              </w:rPr>
              <w:t>公开招标、邀请招标、竞争性谈判方式采购代理</w:t>
            </w:r>
          </w:p>
        </w:tc>
      </w:tr>
      <w:tr w14:paraId="6F10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14:paraId="2D2A35D7">
            <w:pPr>
              <w:spacing w:line="330" w:lineRule="exact"/>
              <w:ind w:firstLine="2620" w:firstLineChars="1248"/>
              <w:rPr>
                <w:rFonts w:hAnsi="宋体"/>
                <w:color w:val="auto"/>
              </w:rPr>
            </w:pPr>
          </w:p>
        </w:tc>
        <w:tc>
          <w:tcPr>
            <w:tcW w:w="1932" w:type="dxa"/>
            <w:vAlign w:val="center"/>
          </w:tcPr>
          <w:p w14:paraId="0F09B38E">
            <w:pPr>
              <w:spacing w:line="330" w:lineRule="exact"/>
              <w:jc w:val="center"/>
              <w:rPr>
                <w:rFonts w:hAnsi="宋体"/>
                <w:color w:val="auto"/>
              </w:rPr>
            </w:pPr>
            <w:r>
              <w:rPr>
                <w:rFonts w:hint="eastAsia" w:hAnsi="宋体"/>
                <w:color w:val="auto"/>
              </w:rPr>
              <w:t>货物类</w:t>
            </w:r>
          </w:p>
        </w:tc>
        <w:tc>
          <w:tcPr>
            <w:tcW w:w="1800" w:type="dxa"/>
            <w:vAlign w:val="center"/>
          </w:tcPr>
          <w:p w14:paraId="4105C1FB">
            <w:pPr>
              <w:spacing w:line="330" w:lineRule="exact"/>
              <w:jc w:val="center"/>
              <w:rPr>
                <w:rFonts w:hAnsi="宋体"/>
                <w:color w:val="auto"/>
              </w:rPr>
            </w:pPr>
            <w:r>
              <w:rPr>
                <w:rFonts w:hint="eastAsia" w:hAnsi="宋体"/>
                <w:color w:val="auto"/>
              </w:rPr>
              <w:t>服务类</w:t>
            </w:r>
          </w:p>
        </w:tc>
        <w:tc>
          <w:tcPr>
            <w:tcW w:w="1976" w:type="dxa"/>
            <w:vAlign w:val="center"/>
          </w:tcPr>
          <w:p w14:paraId="63350B88">
            <w:pPr>
              <w:widowControl/>
              <w:spacing w:line="330" w:lineRule="exact"/>
              <w:jc w:val="center"/>
              <w:rPr>
                <w:rFonts w:hAnsi="宋体"/>
                <w:color w:val="auto"/>
              </w:rPr>
            </w:pPr>
            <w:r>
              <w:rPr>
                <w:rFonts w:hint="eastAsia" w:hAnsi="宋体"/>
                <w:color w:val="auto"/>
              </w:rPr>
              <w:t>工程类</w:t>
            </w:r>
          </w:p>
        </w:tc>
      </w:tr>
      <w:tr w14:paraId="7165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14:paraId="49AD4E5F">
            <w:pPr>
              <w:spacing w:line="330" w:lineRule="exact"/>
              <w:jc w:val="center"/>
              <w:rPr>
                <w:rFonts w:hAnsi="宋体"/>
                <w:color w:val="auto"/>
              </w:rPr>
            </w:pPr>
            <w:r>
              <w:rPr>
                <w:rFonts w:hint="eastAsia" w:hAnsi="宋体"/>
                <w:color w:val="auto"/>
              </w:rPr>
              <w:t>100以下</w:t>
            </w:r>
          </w:p>
        </w:tc>
        <w:tc>
          <w:tcPr>
            <w:tcW w:w="1932" w:type="dxa"/>
            <w:vAlign w:val="center"/>
          </w:tcPr>
          <w:p w14:paraId="2268B512">
            <w:pPr>
              <w:spacing w:line="330" w:lineRule="exact"/>
              <w:jc w:val="center"/>
              <w:rPr>
                <w:rFonts w:hAnsi="宋体"/>
                <w:color w:val="auto"/>
              </w:rPr>
            </w:pPr>
            <w:r>
              <w:rPr>
                <w:rFonts w:hint="eastAsia" w:hAnsi="宋体"/>
                <w:color w:val="auto"/>
              </w:rPr>
              <w:t>1.2%</w:t>
            </w:r>
          </w:p>
        </w:tc>
        <w:tc>
          <w:tcPr>
            <w:tcW w:w="1800" w:type="dxa"/>
            <w:vAlign w:val="center"/>
          </w:tcPr>
          <w:p w14:paraId="7F5B3F9F">
            <w:pPr>
              <w:spacing w:line="330" w:lineRule="exact"/>
              <w:jc w:val="center"/>
              <w:rPr>
                <w:rFonts w:hAnsi="宋体"/>
                <w:color w:val="auto"/>
              </w:rPr>
            </w:pPr>
            <w:r>
              <w:rPr>
                <w:rFonts w:hint="eastAsia" w:hAnsi="宋体"/>
                <w:color w:val="auto"/>
              </w:rPr>
              <w:t>1.2%</w:t>
            </w:r>
          </w:p>
        </w:tc>
        <w:tc>
          <w:tcPr>
            <w:tcW w:w="1976" w:type="dxa"/>
            <w:vAlign w:val="center"/>
          </w:tcPr>
          <w:p w14:paraId="1E4493E6">
            <w:pPr>
              <w:spacing w:line="330" w:lineRule="exact"/>
              <w:jc w:val="center"/>
              <w:rPr>
                <w:rFonts w:hAnsi="宋体"/>
                <w:color w:val="auto"/>
              </w:rPr>
            </w:pPr>
            <w:r>
              <w:rPr>
                <w:rFonts w:hint="eastAsia" w:hAnsi="宋体"/>
                <w:color w:val="auto"/>
              </w:rPr>
              <w:t>0.8%</w:t>
            </w:r>
          </w:p>
        </w:tc>
      </w:tr>
      <w:tr w14:paraId="4853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14:paraId="7177345B">
            <w:pPr>
              <w:spacing w:line="330" w:lineRule="exact"/>
              <w:jc w:val="center"/>
              <w:rPr>
                <w:rFonts w:hAnsi="宋体"/>
                <w:color w:val="auto"/>
              </w:rPr>
            </w:pPr>
            <w:r>
              <w:rPr>
                <w:rFonts w:hint="eastAsia" w:hAnsi="宋体"/>
                <w:color w:val="auto"/>
              </w:rPr>
              <w:t>100-500</w:t>
            </w:r>
          </w:p>
        </w:tc>
        <w:tc>
          <w:tcPr>
            <w:tcW w:w="1932" w:type="dxa"/>
            <w:vAlign w:val="center"/>
          </w:tcPr>
          <w:p w14:paraId="201C16E1">
            <w:pPr>
              <w:spacing w:line="330" w:lineRule="exact"/>
              <w:jc w:val="center"/>
              <w:rPr>
                <w:rFonts w:hAnsi="宋体"/>
                <w:color w:val="auto"/>
              </w:rPr>
            </w:pPr>
            <w:r>
              <w:rPr>
                <w:rFonts w:hint="eastAsia" w:hAnsi="宋体"/>
                <w:color w:val="auto"/>
              </w:rPr>
              <w:t>0.88%</w:t>
            </w:r>
          </w:p>
        </w:tc>
        <w:tc>
          <w:tcPr>
            <w:tcW w:w="1800" w:type="dxa"/>
            <w:vAlign w:val="center"/>
          </w:tcPr>
          <w:p w14:paraId="07950615">
            <w:pPr>
              <w:spacing w:line="330" w:lineRule="exact"/>
              <w:jc w:val="center"/>
              <w:rPr>
                <w:rFonts w:hAnsi="宋体"/>
                <w:color w:val="auto"/>
              </w:rPr>
            </w:pPr>
            <w:r>
              <w:rPr>
                <w:rFonts w:hint="eastAsia" w:hAnsi="宋体"/>
                <w:color w:val="auto"/>
              </w:rPr>
              <w:t>0.64%</w:t>
            </w:r>
          </w:p>
        </w:tc>
        <w:tc>
          <w:tcPr>
            <w:tcW w:w="1976" w:type="dxa"/>
            <w:vAlign w:val="center"/>
          </w:tcPr>
          <w:p w14:paraId="0C38DB1D">
            <w:pPr>
              <w:spacing w:line="330" w:lineRule="exact"/>
              <w:jc w:val="center"/>
              <w:rPr>
                <w:rFonts w:hAnsi="宋体"/>
                <w:color w:val="auto"/>
              </w:rPr>
            </w:pPr>
            <w:r>
              <w:rPr>
                <w:rFonts w:hint="eastAsia" w:hAnsi="宋体"/>
                <w:color w:val="auto"/>
              </w:rPr>
              <w:t>0.56%</w:t>
            </w:r>
          </w:p>
        </w:tc>
      </w:tr>
      <w:tr w14:paraId="21587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14:paraId="0523DC94">
            <w:pPr>
              <w:spacing w:line="330" w:lineRule="exact"/>
              <w:jc w:val="center"/>
              <w:rPr>
                <w:rFonts w:hAnsi="宋体"/>
                <w:color w:val="auto"/>
              </w:rPr>
            </w:pPr>
            <w:r>
              <w:rPr>
                <w:rFonts w:hint="eastAsia" w:hAnsi="宋体"/>
                <w:color w:val="auto"/>
              </w:rPr>
              <w:t>500-1000</w:t>
            </w:r>
          </w:p>
        </w:tc>
        <w:tc>
          <w:tcPr>
            <w:tcW w:w="1932" w:type="dxa"/>
            <w:vAlign w:val="center"/>
          </w:tcPr>
          <w:p w14:paraId="72F0961B">
            <w:pPr>
              <w:spacing w:line="330" w:lineRule="exact"/>
              <w:jc w:val="center"/>
              <w:rPr>
                <w:rFonts w:hAnsi="宋体"/>
                <w:color w:val="auto"/>
              </w:rPr>
            </w:pPr>
            <w:r>
              <w:rPr>
                <w:rFonts w:hint="eastAsia" w:hAnsi="宋体"/>
                <w:color w:val="auto"/>
              </w:rPr>
              <w:t>0.64%</w:t>
            </w:r>
          </w:p>
        </w:tc>
        <w:tc>
          <w:tcPr>
            <w:tcW w:w="1800" w:type="dxa"/>
            <w:vAlign w:val="center"/>
          </w:tcPr>
          <w:p w14:paraId="118A5925">
            <w:pPr>
              <w:spacing w:line="330" w:lineRule="exact"/>
              <w:jc w:val="center"/>
              <w:rPr>
                <w:rFonts w:hAnsi="宋体"/>
                <w:color w:val="auto"/>
              </w:rPr>
            </w:pPr>
            <w:r>
              <w:rPr>
                <w:rFonts w:hint="eastAsia" w:hAnsi="宋体"/>
                <w:color w:val="auto"/>
              </w:rPr>
              <w:t>0.36%</w:t>
            </w:r>
          </w:p>
        </w:tc>
        <w:tc>
          <w:tcPr>
            <w:tcW w:w="1976" w:type="dxa"/>
            <w:vAlign w:val="center"/>
          </w:tcPr>
          <w:p w14:paraId="3DCD2C97">
            <w:pPr>
              <w:spacing w:line="330" w:lineRule="exact"/>
              <w:jc w:val="center"/>
              <w:rPr>
                <w:rFonts w:hAnsi="宋体"/>
                <w:color w:val="auto"/>
              </w:rPr>
            </w:pPr>
            <w:r>
              <w:rPr>
                <w:rFonts w:hint="eastAsia" w:hAnsi="宋体"/>
                <w:color w:val="auto"/>
              </w:rPr>
              <w:t>0.44%</w:t>
            </w:r>
          </w:p>
        </w:tc>
      </w:tr>
      <w:tr w14:paraId="5AF1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14:paraId="6E22F6BA">
            <w:pPr>
              <w:spacing w:line="330" w:lineRule="exact"/>
              <w:jc w:val="center"/>
              <w:rPr>
                <w:rFonts w:hAnsi="宋体"/>
                <w:color w:val="auto"/>
              </w:rPr>
            </w:pPr>
            <w:r>
              <w:rPr>
                <w:rFonts w:hint="eastAsia" w:hAnsi="宋体"/>
                <w:color w:val="auto"/>
              </w:rPr>
              <w:t>1000-5000</w:t>
            </w:r>
          </w:p>
        </w:tc>
        <w:tc>
          <w:tcPr>
            <w:tcW w:w="1932" w:type="dxa"/>
            <w:vAlign w:val="center"/>
          </w:tcPr>
          <w:p w14:paraId="112060B3">
            <w:pPr>
              <w:spacing w:line="330" w:lineRule="exact"/>
              <w:jc w:val="center"/>
              <w:rPr>
                <w:rFonts w:hAnsi="宋体"/>
                <w:color w:val="auto"/>
              </w:rPr>
            </w:pPr>
            <w:r>
              <w:rPr>
                <w:rFonts w:hint="eastAsia" w:hAnsi="宋体"/>
                <w:color w:val="auto"/>
              </w:rPr>
              <w:t>0.4%</w:t>
            </w:r>
          </w:p>
        </w:tc>
        <w:tc>
          <w:tcPr>
            <w:tcW w:w="1800" w:type="dxa"/>
            <w:vAlign w:val="center"/>
          </w:tcPr>
          <w:p w14:paraId="506A04A9">
            <w:pPr>
              <w:spacing w:line="330" w:lineRule="exact"/>
              <w:jc w:val="center"/>
              <w:rPr>
                <w:rFonts w:hAnsi="宋体"/>
                <w:color w:val="auto"/>
              </w:rPr>
            </w:pPr>
            <w:r>
              <w:rPr>
                <w:rFonts w:hint="eastAsia" w:hAnsi="宋体"/>
                <w:color w:val="auto"/>
              </w:rPr>
              <w:t>0.2%</w:t>
            </w:r>
          </w:p>
        </w:tc>
        <w:tc>
          <w:tcPr>
            <w:tcW w:w="1976" w:type="dxa"/>
            <w:vAlign w:val="center"/>
          </w:tcPr>
          <w:p w14:paraId="5662792C">
            <w:pPr>
              <w:spacing w:line="330" w:lineRule="exact"/>
              <w:jc w:val="center"/>
              <w:rPr>
                <w:rFonts w:hAnsi="宋体"/>
                <w:color w:val="auto"/>
              </w:rPr>
            </w:pPr>
            <w:r>
              <w:rPr>
                <w:rFonts w:hint="eastAsia" w:hAnsi="宋体"/>
                <w:color w:val="auto"/>
              </w:rPr>
              <w:t>0.28%</w:t>
            </w:r>
          </w:p>
        </w:tc>
      </w:tr>
      <w:tr w14:paraId="5623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14:paraId="78FF9F99">
            <w:pPr>
              <w:spacing w:line="330" w:lineRule="exact"/>
              <w:jc w:val="center"/>
              <w:rPr>
                <w:rFonts w:hAnsi="宋体"/>
                <w:color w:val="auto"/>
              </w:rPr>
            </w:pPr>
            <w:r>
              <w:rPr>
                <w:rFonts w:hint="eastAsia" w:hAnsi="宋体"/>
                <w:color w:val="auto"/>
              </w:rPr>
              <w:t>5000-10000</w:t>
            </w:r>
          </w:p>
        </w:tc>
        <w:tc>
          <w:tcPr>
            <w:tcW w:w="1932" w:type="dxa"/>
            <w:vAlign w:val="center"/>
          </w:tcPr>
          <w:p w14:paraId="1B0AFEBD">
            <w:pPr>
              <w:spacing w:line="330" w:lineRule="exact"/>
              <w:jc w:val="center"/>
              <w:rPr>
                <w:rFonts w:hAnsi="宋体"/>
                <w:color w:val="auto"/>
              </w:rPr>
            </w:pPr>
            <w:r>
              <w:rPr>
                <w:rFonts w:hint="eastAsia" w:hAnsi="宋体"/>
                <w:color w:val="auto"/>
              </w:rPr>
              <w:t>0.2%</w:t>
            </w:r>
          </w:p>
        </w:tc>
        <w:tc>
          <w:tcPr>
            <w:tcW w:w="1800" w:type="dxa"/>
            <w:vAlign w:val="center"/>
          </w:tcPr>
          <w:p w14:paraId="599D8C86">
            <w:pPr>
              <w:spacing w:line="330" w:lineRule="exact"/>
              <w:jc w:val="center"/>
              <w:rPr>
                <w:rFonts w:hAnsi="宋体"/>
                <w:color w:val="auto"/>
              </w:rPr>
            </w:pPr>
            <w:r>
              <w:rPr>
                <w:rFonts w:hint="eastAsia" w:hAnsi="宋体"/>
                <w:color w:val="auto"/>
              </w:rPr>
              <w:t>0.08%</w:t>
            </w:r>
          </w:p>
        </w:tc>
        <w:tc>
          <w:tcPr>
            <w:tcW w:w="1976" w:type="dxa"/>
            <w:vAlign w:val="center"/>
          </w:tcPr>
          <w:p w14:paraId="54549670">
            <w:pPr>
              <w:spacing w:line="330" w:lineRule="exact"/>
              <w:jc w:val="center"/>
              <w:rPr>
                <w:rFonts w:hAnsi="宋体"/>
                <w:color w:val="auto"/>
              </w:rPr>
            </w:pPr>
            <w:r>
              <w:rPr>
                <w:rFonts w:hint="eastAsia" w:hAnsi="宋体"/>
                <w:color w:val="auto"/>
              </w:rPr>
              <w:t>0.16%</w:t>
            </w:r>
          </w:p>
        </w:tc>
      </w:tr>
      <w:tr w14:paraId="27A0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14:paraId="6C921A83">
            <w:pPr>
              <w:spacing w:line="330" w:lineRule="exact"/>
              <w:jc w:val="center"/>
              <w:rPr>
                <w:rFonts w:hAnsi="宋体"/>
                <w:color w:val="auto"/>
              </w:rPr>
            </w:pPr>
            <w:r>
              <w:rPr>
                <w:rFonts w:hint="eastAsia" w:hAnsi="宋体"/>
                <w:color w:val="auto"/>
              </w:rPr>
              <w:t>10000-100000</w:t>
            </w:r>
          </w:p>
        </w:tc>
        <w:tc>
          <w:tcPr>
            <w:tcW w:w="1932" w:type="dxa"/>
            <w:vAlign w:val="center"/>
          </w:tcPr>
          <w:p w14:paraId="14B658AE">
            <w:pPr>
              <w:spacing w:line="330" w:lineRule="exact"/>
              <w:jc w:val="center"/>
              <w:rPr>
                <w:rFonts w:hAnsi="宋体"/>
                <w:color w:val="auto"/>
              </w:rPr>
            </w:pPr>
            <w:r>
              <w:rPr>
                <w:rFonts w:hint="eastAsia" w:hAnsi="宋体"/>
                <w:color w:val="auto"/>
              </w:rPr>
              <w:t>0.04%</w:t>
            </w:r>
          </w:p>
        </w:tc>
        <w:tc>
          <w:tcPr>
            <w:tcW w:w="1800" w:type="dxa"/>
            <w:vAlign w:val="center"/>
          </w:tcPr>
          <w:p w14:paraId="0FEC5545">
            <w:pPr>
              <w:spacing w:line="330" w:lineRule="exact"/>
              <w:jc w:val="center"/>
              <w:rPr>
                <w:rFonts w:hAnsi="宋体"/>
                <w:color w:val="auto"/>
              </w:rPr>
            </w:pPr>
            <w:r>
              <w:rPr>
                <w:rFonts w:hint="eastAsia" w:hAnsi="宋体"/>
                <w:color w:val="auto"/>
              </w:rPr>
              <w:t>0.04%</w:t>
            </w:r>
          </w:p>
        </w:tc>
        <w:tc>
          <w:tcPr>
            <w:tcW w:w="1976" w:type="dxa"/>
            <w:vAlign w:val="center"/>
          </w:tcPr>
          <w:p w14:paraId="4930703B">
            <w:pPr>
              <w:spacing w:line="330" w:lineRule="exact"/>
              <w:jc w:val="center"/>
              <w:rPr>
                <w:rFonts w:hAnsi="宋体"/>
                <w:color w:val="auto"/>
              </w:rPr>
            </w:pPr>
            <w:r>
              <w:rPr>
                <w:rFonts w:hint="eastAsia" w:hAnsi="宋体"/>
                <w:color w:val="auto"/>
              </w:rPr>
              <w:t>0.04%</w:t>
            </w:r>
          </w:p>
        </w:tc>
      </w:tr>
      <w:tr w14:paraId="5563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14:paraId="5FF2161F">
            <w:pPr>
              <w:spacing w:line="330" w:lineRule="exact"/>
              <w:jc w:val="center"/>
              <w:rPr>
                <w:rFonts w:hAnsi="宋体"/>
                <w:color w:val="auto"/>
              </w:rPr>
            </w:pPr>
            <w:r>
              <w:rPr>
                <w:rFonts w:hint="eastAsia" w:hAnsi="宋体"/>
                <w:color w:val="auto"/>
              </w:rPr>
              <w:t>100000以上</w:t>
            </w:r>
          </w:p>
        </w:tc>
        <w:tc>
          <w:tcPr>
            <w:tcW w:w="1932" w:type="dxa"/>
            <w:vAlign w:val="center"/>
          </w:tcPr>
          <w:p w14:paraId="18F3035E">
            <w:pPr>
              <w:spacing w:line="330" w:lineRule="exact"/>
              <w:jc w:val="center"/>
              <w:rPr>
                <w:rFonts w:hAnsi="宋体"/>
                <w:color w:val="auto"/>
              </w:rPr>
            </w:pPr>
            <w:r>
              <w:rPr>
                <w:rFonts w:hint="eastAsia" w:hAnsi="宋体"/>
                <w:color w:val="auto"/>
              </w:rPr>
              <w:t>0.008%</w:t>
            </w:r>
          </w:p>
        </w:tc>
        <w:tc>
          <w:tcPr>
            <w:tcW w:w="1800" w:type="dxa"/>
            <w:vAlign w:val="center"/>
          </w:tcPr>
          <w:p w14:paraId="7230CAB5">
            <w:pPr>
              <w:spacing w:line="330" w:lineRule="exact"/>
              <w:jc w:val="center"/>
              <w:rPr>
                <w:rFonts w:hAnsi="宋体"/>
                <w:color w:val="auto"/>
              </w:rPr>
            </w:pPr>
            <w:r>
              <w:rPr>
                <w:rFonts w:hint="eastAsia" w:hAnsi="宋体"/>
                <w:color w:val="auto"/>
              </w:rPr>
              <w:t>0.008%</w:t>
            </w:r>
          </w:p>
        </w:tc>
        <w:tc>
          <w:tcPr>
            <w:tcW w:w="1976" w:type="dxa"/>
            <w:vAlign w:val="center"/>
          </w:tcPr>
          <w:p w14:paraId="573310DD">
            <w:pPr>
              <w:spacing w:line="330" w:lineRule="exact"/>
              <w:jc w:val="center"/>
              <w:rPr>
                <w:rFonts w:hAnsi="宋体"/>
                <w:color w:val="auto"/>
              </w:rPr>
            </w:pPr>
            <w:r>
              <w:rPr>
                <w:rFonts w:hint="eastAsia" w:hAnsi="宋体"/>
                <w:color w:val="auto"/>
              </w:rPr>
              <w:t>0.008%</w:t>
            </w:r>
          </w:p>
        </w:tc>
      </w:tr>
    </w:tbl>
    <w:p w14:paraId="6083D9BB">
      <w:pPr>
        <w:pStyle w:val="23"/>
        <w:spacing w:line="400" w:lineRule="exact"/>
        <w:ind w:firstLine="420" w:firstLineChars="200"/>
        <w:rPr>
          <w:rFonts w:hAnsi="宋体"/>
          <w:color w:val="auto"/>
        </w:rPr>
      </w:pPr>
      <w:r>
        <w:rPr>
          <w:rFonts w:hint="eastAsia" w:hAnsi="宋体"/>
          <w:color w:val="auto"/>
        </w:rPr>
        <w:t>注：代理服务收费按差额定率累进法计算</w:t>
      </w:r>
    </w:p>
    <w:p w14:paraId="3DCA1FC2">
      <w:pPr>
        <w:pStyle w:val="23"/>
        <w:spacing w:line="400" w:lineRule="exact"/>
        <w:ind w:firstLine="420" w:firstLineChars="200"/>
        <w:rPr>
          <w:rFonts w:hAnsi="宋体"/>
          <w:bCs/>
          <w:color w:val="auto"/>
        </w:rPr>
      </w:pPr>
      <w:r>
        <w:rPr>
          <w:rFonts w:hint="eastAsia" w:hAnsi="宋体"/>
          <w:bCs/>
          <w:color w:val="auto"/>
        </w:rPr>
        <w:t>3.缴纳代理服务费银行账户信息：</w:t>
      </w:r>
    </w:p>
    <w:p w14:paraId="71ADDEAF">
      <w:pPr>
        <w:pStyle w:val="23"/>
        <w:spacing w:line="400" w:lineRule="exact"/>
        <w:ind w:firstLine="420" w:firstLineChars="200"/>
        <w:rPr>
          <w:rFonts w:hAnsi="宋体"/>
          <w:bCs/>
          <w:color w:val="auto"/>
        </w:rPr>
      </w:pPr>
      <w:r>
        <w:rPr>
          <w:rFonts w:hint="eastAsia" w:hAnsi="宋体"/>
          <w:bCs/>
          <w:color w:val="auto"/>
        </w:rPr>
        <w:t>开户名称:钦州市政府采购中心</w:t>
      </w:r>
    </w:p>
    <w:p w14:paraId="205A009F">
      <w:pPr>
        <w:pStyle w:val="23"/>
        <w:spacing w:line="400" w:lineRule="exact"/>
        <w:ind w:firstLine="420" w:firstLineChars="200"/>
        <w:rPr>
          <w:rFonts w:hAnsi="宋体"/>
          <w:bCs/>
          <w:color w:val="auto"/>
        </w:rPr>
      </w:pPr>
      <w:r>
        <w:rPr>
          <w:rFonts w:hint="eastAsia" w:hAnsi="宋体"/>
          <w:bCs/>
          <w:color w:val="auto"/>
        </w:rPr>
        <w:t>开户银行:兴业银行钦州支行</w:t>
      </w:r>
    </w:p>
    <w:p w14:paraId="61ECC041">
      <w:pPr>
        <w:pStyle w:val="23"/>
        <w:spacing w:line="400" w:lineRule="exact"/>
        <w:ind w:firstLine="420" w:firstLineChars="200"/>
        <w:rPr>
          <w:rFonts w:hAnsi="宋体"/>
          <w:color w:val="auto"/>
        </w:rPr>
      </w:pPr>
      <w:r>
        <w:rPr>
          <w:rFonts w:hint="eastAsia" w:hAnsi="宋体"/>
          <w:bCs/>
          <w:color w:val="auto"/>
        </w:rPr>
        <w:t>银行账号:554010100100129709</w:t>
      </w:r>
    </w:p>
    <w:p w14:paraId="64357088">
      <w:pPr>
        <w:pStyle w:val="23"/>
        <w:spacing w:line="400" w:lineRule="exact"/>
        <w:ind w:firstLine="210" w:firstLineChars="100"/>
        <w:rPr>
          <w:rFonts w:hAnsi="宋体"/>
          <w:color w:val="auto"/>
          <w:spacing w:val="-4"/>
        </w:rPr>
      </w:pPr>
      <w:r>
        <w:rPr>
          <w:rFonts w:hint="eastAsia" w:hAnsi="宋体"/>
          <w:bCs/>
          <w:color w:val="auto"/>
        </w:rPr>
        <w:t>（二）解释权：</w:t>
      </w:r>
      <w:r>
        <w:rPr>
          <w:rFonts w:hint="eastAsia" w:hAnsi="宋体"/>
          <w:color w:val="auto"/>
          <w:spacing w:val="-4"/>
        </w:rPr>
        <w:t>本采购文件解释权属本中心。</w:t>
      </w:r>
    </w:p>
    <w:p w14:paraId="3E84EFD9">
      <w:pPr>
        <w:pStyle w:val="23"/>
        <w:spacing w:line="400" w:lineRule="exact"/>
        <w:ind w:firstLine="210" w:firstLineChars="100"/>
        <w:rPr>
          <w:rFonts w:hAnsi="宋体"/>
          <w:color w:val="auto"/>
          <w:spacing w:val="-4"/>
        </w:rPr>
      </w:pPr>
      <w:r>
        <w:rPr>
          <w:rFonts w:hint="eastAsia" w:hAnsi="宋体"/>
          <w:bCs/>
          <w:color w:val="auto"/>
        </w:rPr>
        <w:t>（三）有关事宜</w:t>
      </w:r>
    </w:p>
    <w:p w14:paraId="55C29B93">
      <w:pPr>
        <w:spacing w:line="400" w:lineRule="exact"/>
        <w:ind w:firstLine="420" w:firstLineChars="200"/>
        <w:rPr>
          <w:color w:val="auto"/>
        </w:rPr>
      </w:pPr>
      <w:r>
        <w:rPr>
          <w:rFonts w:hint="eastAsia"/>
          <w:color w:val="auto"/>
        </w:rPr>
        <w:t>所有与采购文件有关的函件请按下列通讯地址联系：</w:t>
      </w:r>
    </w:p>
    <w:p w14:paraId="22CAC80D">
      <w:pPr>
        <w:widowControl/>
        <w:spacing w:line="400" w:lineRule="exact"/>
        <w:ind w:firstLine="420" w:firstLineChars="200"/>
        <w:jc w:val="left"/>
        <w:rPr>
          <w:color w:val="auto"/>
        </w:rPr>
      </w:pPr>
      <w:r>
        <w:rPr>
          <w:rFonts w:hint="eastAsia"/>
          <w:color w:val="auto"/>
        </w:rPr>
        <w:t>钦州市政府采购中心</w:t>
      </w:r>
    </w:p>
    <w:p w14:paraId="52AEE6F8">
      <w:pPr>
        <w:widowControl/>
        <w:spacing w:line="400" w:lineRule="exact"/>
        <w:ind w:firstLine="420" w:firstLineChars="200"/>
        <w:jc w:val="left"/>
        <w:rPr>
          <w:color w:val="auto"/>
        </w:rPr>
      </w:pPr>
      <w:r>
        <w:rPr>
          <w:rFonts w:hint="eastAsia"/>
          <w:color w:val="auto"/>
        </w:rPr>
        <w:t>通讯地址：钦州市金海湾东大街8号</w:t>
      </w:r>
    </w:p>
    <w:p w14:paraId="3DE82B1D">
      <w:pPr>
        <w:widowControl/>
        <w:spacing w:line="400" w:lineRule="exact"/>
        <w:ind w:firstLine="420" w:firstLineChars="200"/>
        <w:jc w:val="left"/>
        <w:rPr>
          <w:color w:val="auto"/>
        </w:rPr>
      </w:pPr>
      <w:r>
        <w:rPr>
          <w:rFonts w:hint="eastAsia"/>
          <w:color w:val="auto"/>
        </w:rPr>
        <w:t>邮政编码：535000</w:t>
      </w:r>
    </w:p>
    <w:p w14:paraId="3807FE3E">
      <w:pPr>
        <w:widowControl/>
        <w:spacing w:line="400" w:lineRule="exact"/>
        <w:ind w:firstLine="420" w:firstLineChars="200"/>
        <w:jc w:val="left"/>
        <w:rPr>
          <w:color w:val="auto"/>
        </w:rPr>
      </w:pPr>
      <w:r>
        <w:rPr>
          <w:rFonts w:hint="eastAsia"/>
          <w:color w:val="auto"/>
        </w:rPr>
        <w:t>钦州市政府采购中心联系方式：</w:t>
      </w:r>
    </w:p>
    <w:p w14:paraId="06DC9295">
      <w:pPr>
        <w:widowControl/>
        <w:spacing w:line="400" w:lineRule="exact"/>
        <w:ind w:firstLine="420" w:firstLineChars="200"/>
        <w:jc w:val="left"/>
        <w:rPr>
          <w:color w:val="auto"/>
        </w:rPr>
      </w:pPr>
      <w:r>
        <w:rPr>
          <w:rFonts w:hint="eastAsia"/>
          <w:color w:val="auto"/>
        </w:rPr>
        <w:t>(1)采购部(采购文件)</w:t>
      </w:r>
    </w:p>
    <w:p w14:paraId="5428D6E5">
      <w:pPr>
        <w:widowControl/>
        <w:spacing w:line="400" w:lineRule="exact"/>
        <w:ind w:firstLine="420" w:firstLineChars="200"/>
        <w:jc w:val="left"/>
        <w:rPr>
          <w:color w:val="auto"/>
        </w:rPr>
      </w:pPr>
      <w:r>
        <w:rPr>
          <w:rFonts w:hint="eastAsia"/>
          <w:color w:val="auto"/>
        </w:rPr>
        <w:t xml:space="preserve">联系人：苏晓婷 </w:t>
      </w:r>
      <w:r>
        <w:rPr>
          <w:color w:val="auto"/>
        </w:rPr>
        <w:t xml:space="preserve"> </w:t>
      </w:r>
      <w:r>
        <w:rPr>
          <w:rFonts w:hint="eastAsia"/>
          <w:color w:val="auto"/>
        </w:rPr>
        <w:t xml:space="preserve"> 联系方式：0777-2886022</w:t>
      </w:r>
    </w:p>
    <w:p w14:paraId="285283F4">
      <w:pPr>
        <w:widowControl/>
        <w:spacing w:line="400" w:lineRule="exact"/>
        <w:ind w:firstLine="420" w:firstLineChars="200"/>
        <w:jc w:val="left"/>
        <w:rPr>
          <w:color w:val="auto"/>
        </w:rPr>
      </w:pPr>
      <w:r>
        <w:rPr>
          <w:rFonts w:hint="eastAsia"/>
          <w:color w:val="auto"/>
        </w:rPr>
        <w:t>(2)综合二部(评审、谈判、成交及合同管理)</w:t>
      </w:r>
    </w:p>
    <w:p w14:paraId="791511B6">
      <w:pPr>
        <w:widowControl/>
        <w:spacing w:line="400" w:lineRule="exact"/>
        <w:ind w:firstLine="420" w:firstLineChars="200"/>
        <w:jc w:val="left"/>
        <w:rPr>
          <w:color w:val="auto"/>
        </w:rPr>
      </w:pPr>
      <w:r>
        <w:rPr>
          <w:rFonts w:hint="eastAsia"/>
          <w:color w:val="auto"/>
        </w:rPr>
        <w:t xml:space="preserve">联系人：陈启梅、陈侃 </w:t>
      </w:r>
      <w:r>
        <w:rPr>
          <w:color w:val="auto"/>
        </w:rPr>
        <w:t xml:space="preserve">  </w:t>
      </w:r>
      <w:r>
        <w:rPr>
          <w:rFonts w:hint="eastAsia"/>
          <w:color w:val="auto"/>
        </w:rPr>
        <w:t>联系方式：0777-2886006</w:t>
      </w:r>
    </w:p>
    <w:p w14:paraId="141F4B53">
      <w:pPr>
        <w:widowControl/>
        <w:spacing w:line="400" w:lineRule="exact"/>
        <w:ind w:firstLine="420" w:firstLineChars="200"/>
        <w:jc w:val="left"/>
        <w:rPr>
          <w:color w:val="auto"/>
        </w:rPr>
      </w:pPr>
      <w:r>
        <w:rPr>
          <w:rFonts w:hint="eastAsia"/>
          <w:color w:val="auto"/>
        </w:rPr>
        <w:t>(</w:t>
      </w:r>
      <w:r>
        <w:rPr>
          <w:color w:val="auto"/>
        </w:rPr>
        <w:t>3)</w:t>
      </w:r>
      <w:r>
        <w:rPr>
          <w:rFonts w:hint="eastAsia"/>
          <w:color w:val="auto"/>
        </w:rPr>
        <w:t>邮箱：qzzfcgzx@126.com</w:t>
      </w:r>
    </w:p>
    <w:p w14:paraId="6C6DFE3F">
      <w:pPr>
        <w:widowControl/>
        <w:spacing w:line="400" w:lineRule="exact"/>
        <w:ind w:firstLine="420" w:firstLineChars="200"/>
        <w:jc w:val="left"/>
        <w:rPr>
          <w:color w:val="auto"/>
        </w:rPr>
      </w:pPr>
      <w:r>
        <w:rPr>
          <w:color w:val="auto"/>
        </w:rPr>
        <w:t>(4)</w:t>
      </w:r>
      <w:r>
        <w:rPr>
          <w:rFonts w:hint="eastAsia"/>
          <w:color w:val="auto"/>
        </w:rPr>
        <w:t>广西政采云技术支持热线：</w:t>
      </w:r>
      <w:r>
        <w:rPr>
          <w:rFonts w:hAnsi="宋体"/>
          <w:color w:val="auto"/>
        </w:rPr>
        <w:t>95763</w:t>
      </w:r>
    </w:p>
    <w:p w14:paraId="0DBA0CFB">
      <w:pPr>
        <w:widowControl/>
        <w:spacing w:line="400" w:lineRule="exact"/>
        <w:jc w:val="left"/>
        <w:rPr>
          <w:color w:val="auto"/>
        </w:rPr>
      </w:pPr>
    </w:p>
    <w:p w14:paraId="3028D486">
      <w:pPr>
        <w:rPr>
          <w:color w:val="auto"/>
        </w:rPr>
      </w:pPr>
    </w:p>
    <w:p w14:paraId="2BB72B88">
      <w:pPr>
        <w:rPr>
          <w:color w:val="auto"/>
        </w:rPr>
      </w:pPr>
    </w:p>
    <w:p w14:paraId="10AE50A5">
      <w:pPr>
        <w:rPr>
          <w:color w:val="auto"/>
        </w:rPr>
      </w:pPr>
    </w:p>
    <w:p w14:paraId="6096BE1C">
      <w:pPr>
        <w:rPr>
          <w:color w:val="auto"/>
        </w:rPr>
      </w:pPr>
    </w:p>
    <w:p w14:paraId="0C999282">
      <w:pPr>
        <w:rPr>
          <w:color w:val="auto"/>
        </w:rPr>
      </w:pPr>
    </w:p>
    <w:p w14:paraId="445AE6A0">
      <w:pPr>
        <w:rPr>
          <w:color w:val="auto"/>
        </w:rPr>
      </w:pPr>
    </w:p>
    <w:p w14:paraId="091CF988">
      <w:pPr>
        <w:rPr>
          <w:color w:val="auto"/>
        </w:rPr>
      </w:pPr>
    </w:p>
    <w:p w14:paraId="527930FC">
      <w:pPr>
        <w:rPr>
          <w:color w:val="auto"/>
        </w:rPr>
      </w:pPr>
    </w:p>
    <w:p w14:paraId="09511C96">
      <w:pPr>
        <w:rPr>
          <w:color w:val="auto"/>
        </w:rPr>
      </w:pPr>
    </w:p>
    <w:p w14:paraId="52EA7F38">
      <w:pPr>
        <w:rPr>
          <w:color w:val="auto"/>
        </w:rPr>
      </w:pPr>
    </w:p>
    <w:p w14:paraId="605E9208">
      <w:pPr>
        <w:rPr>
          <w:color w:val="auto"/>
        </w:rPr>
      </w:pPr>
    </w:p>
    <w:p w14:paraId="0C2703F4">
      <w:pPr>
        <w:rPr>
          <w:color w:val="auto"/>
        </w:rPr>
      </w:pPr>
    </w:p>
    <w:p w14:paraId="4696E6E8">
      <w:pPr>
        <w:pStyle w:val="7"/>
        <w:rPr>
          <w:color w:val="auto"/>
        </w:rPr>
      </w:pPr>
    </w:p>
    <w:p w14:paraId="74F8561F">
      <w:pPr>
        <w:rPr>
          <w:color w:val="auto"/>
        </w:rPr>
      </w:pPr>
    </w:p>
    <w:p w14:paraId="7A72D6CC">
      <w:pPr>
        <w:pStyle w:val="2"/>
        <w:rPr>
          <w:color w:val="auto"/>
        </w:rPr>
      </w:pPr>
    </w:p>
    <w:p w14:paraId="3705B4EC">
      <w:pPr>
        <w:pStyle w:val="2"/>
        <w:rPr>
          <w:color w:val="auto"/>
        </w:rPr>
      </w:pPr>
    </w:p>
    <w:p w14:paraId="3464C8C0">
      <w:pPr>
        <w:pStyle w:val="3"/>
        <w:rPr>
          <w:color w:val="auto"/>
        </w:rPr>
      </w:pPr>
    </w:p>
    <w:p w14:paraId="78F937FD">
      <w:pPr>
        <w:pStyle w:val="3"/>
        <w:rPr>
          <w:color w:val="auto"/>
        </w:rPr>
      </w:pPr>
    </w:p>
    <w:p w14:paraId="4A8168B1">
      <w:pPr>
        <w:pStyle w:val="3"/>
        <w:rPr>
          <w:color w:val="auto"/>
        </w:rPr>
      </w:pPr>
    </w:p>
    <w:p w14:paraId="4135B509">
      <w:pPr>
        <w:pStyle w:val="3"/>
        <w:rPr>
          <w:color w:val="auto"/>
        </w:rPr>
      </w:pPr>
    </w:p>
    <w:p w14:paraId="358D48CB">
      <w:pPr>
        <w:pStyle w:val="2"/>
        <w:rPr>
          <w:color w:val="auto"/>
        </w:rPr>
      </w:pPr>
    </w:p>
    <w:p w14:paraId="670D3108">
      <w:pPr>
        <w:pStyle w:val="2"/>
        <w:rPr>
          <w:color w:val="auto"/>
        </w:rPr>
      </w:pPr>
    </w:p>
    <w:p w14:paraId="5FA5C33E">
      <w:pPr>
        <w:pStyle w:val="2"/>
        <w:rPr>
          <w:color w:val="auto"/>
        </w:rPr>
      </w:pPr>
    </w:p>
    <w:p w14:paraId="784608DE">
      <w:pPr>
        <w:pStyle w:val="2"/>
        <w:rPr>
          <w:color w:val="auto"/>
        </w:rPr>
      </w:pPr>
    </w:p>
    <w:p w14:paraId="4496225F">
      <w:pPr>
        <w:pStyle w:val="2"/>
        <w:rPr>
          <w:color w:val="auto"/>
        </w:rPr>
      </w:pPr>
    </w:p>
    <w:p w14:paraId="14AC8CA8">
      <w:pPr>
        <w:pStyle w:val="2"/>
        <w:rPr>
          <w:color w:val="auto"/>
        </w:rPr>
      </w:pPr>
    </w:p>
    <w:p w14:paraId="434AF0B4">
      <w:pPr>
        <w:pStyle w:val="2"/>
        <w:rPr>
          <w:color w:val="auto"/>
        </w:rPr>
      </w:pPr>
    </w:p>
    <w:p w14:paraId="14272D94">
      <w:pPr>
        <w:pStyle w:val="2"/>
        <w:rPr>
          <w:color w:val="auto"/>
        </w:rPr>
      </w:pPr>
    </w:p>
    <w:p w14:paraId="1F2BCDEF">
      <w:pPr>
        <w:pStyle w:val="2"/>
        <w:rPr>
          <w:color w:val="auto"/>
        </w:rPr>
      </w:pPr>
    </w:p>
    <w:p w14:paraId="2F837CE0">
      <w:pPr>
        <w:pStyle w:val="2"/>
        <w:rPr>
          <w:color w:val="auto"/>
        </w:rPr>
      </w:pPr>
    </w:p>
    <w:p w14:paraId="22394D94">
      <w:pPr>
        <w:pStyle w:val="2"/>
        <w:rPr>
          <w:color w:val="auto"/>
        </w:rPr>
      </w:pPr>
    </w:p>
    <w:p w14:paraId="113122B5">
      <w:pPr>
        <w:rPr>
          <w:color w:val="auto"/>
        </w:rPr>
      </w:pPr>
    </w:p>
    <w:p w14:paraId="40580D73">
      <w:pPr>
        <w:pStyle w:val="7"/>
        <w:rPr>
          <w:color w:val="auto"/>
        </w:rPr>
      </w:pPr>
    </w:p>
    <w:p w14:paraId="50D2C1E6">
      <w:pPr>
        <w:rPr>
          <w:color w:val="auto"/>
        </w:rPr>
      </w:pPr>
    </w:p>
    <w:p w14:paraId="5E026765">
      <w:pPr>
        <w:rPr>
          <w:color w:val="auto"/>
        </w:rPr>
      </w:pPr>
    </w:p>
    <w:p w14:paraId="75D2681B">
      <w:pPr>
        <w:pStyle w:val="4"/>
        <w:spacing w:line="400" w:lineRule="exact"/>
        <w:rPr>
          <w:rFonts w:ascii="方正小标宋_GBK" w:hAnsi="宋体" w:eastAsia="方正小标宋_GBK"/>
          <w:color w:val="auto"/>
        </w:rPr>
      </w:pPr>
      <w:bookmarkStart w:id="109" w:name="_第四章__评定标准及推荐原则"/>
      <w:bookmarkEnd w:id="109"/>
      <w:bookmarkStart w:id="110" w:name="_Toc92355026"/>
      <w:r>
        <w:rPr>
          <w:rFonts w:hint="eastAsia" w:ascii="方正小标宋_GBK" w:hAnsi="宋体" w:eastAsia="方正小标宋_GBK"/>
          <w:color w:val="auto"/>
        </w:rPr>
        <w:t>第四章  评定标准及推荐原则</w:t>
      </w:r>
      <w:bookmarkEnd w:id="110"/>
    </w:p>
    <w:p w14:paraId="569F4964">
      <w:pPr>
        <w:pStyle w:val="23"/>
        <w:spacing w:line="280" w:lineRule="exact"/>
        <w:jc w:val="center"/>
        <w:rPr>
          <w:color w:val="auto"/>
        </w:rPr>
      </w:pPr>
      <w:r>
        <w:rPr>
          <w:rFonts w:hAnsi="宋体"/>
          <w:b/>
          <w:bCs/>
          <w:color w:val="auto"/>
        </w:rPr>
        <w:br w:type="page"/>
      </w:r>
    </w:p>
    <w:p w14:paraId="57826852">
      <w:pPr>
        <w:pStyle w:val="23"/>
        <w:spacing w:line="500" w:lineRule="exact"/>
        <w:jc w:val="center"/>
        <w:rPr>
          <w:rFonts w:hAnsi="宋体"/>
          <w:b/>
          <w:bCs/>
          <w:color w:val="auto"/>
          <w:sz w:val="44"/>
          <w:szCs w:val="44"/>
        </w:rPr>
      </w:pPr>
      <w:bookmarkStart w:id="111" w:name="_Hlk92463826"/>
      <w:r>
        <w:rPr>
          <w:rFonts w:hint="eastAsia" w:hAnsi="宋体"/>
          <w:b/>
          <w:bCs/>
          <w:color w:val="auto"/>
          <w:sz w:val="44"/>
          <w:szCs w:val="44"/>
        </w:rPr>
        <w:t>评定标准及推荐原则</w:t>
      </w:r>
    </w:p>
    <w:bookmarkEnd w:id="111"/>
    <w:p w14:paraId="02A58F6E">
      <w:pPr>
        <w:rPr>
          <w:color w:val="auto"/>
        </w:rPr>
      </w:pPr>
    </w:p>
    <w:p w14:paraId="0EDE76C8">
      <w:pPr>
        <w:pStyle w:val="23"/>
        <w:spacing w:line="520" w:lineRule="exact"/>
        <w:rPr>
          <w:rFonts w:hAnsi="宋体"/>
          <w:b/>
          <w:bCs/>
          <w:color w:val="auto"/>
        </w:rPr>
      </w:pPr>
      <w:r>
        <w:rPr>
          <w:rFonts w:hint="eastAsia" w:hAnsi="宋体"/>
          <w:b/>
          <w:bCs/>
          <w:color w:val="auto"/>
        </w:rPr>
        <w:t>一、评审原则</w:t>
      </w:r>
    </w:p>
    <w:p w14:paraId="22E5CCB6">
      <w:pPr>
        <w:pStyle w:val="23"/>
        <w:spacing w:line="520" w:lineRule="exact"/>
        <w:ind w:firstLine="420" w:firstLineChars="200"/>
        <w:rPr>
          <w:rFonts w:hAnsi="宋体"/>
          <w:bCs/>
          <w:color w:val="auto"/>
        </w:rPr>
      </w:pPr>
      <w:r>
        <w:rPr>
          <w:rFonts w:hint="eastAsia" w:hAnsi="宋体"/>
          <w:bCs/>
          <w:color w:val="auto"/>
        </w:rPr>
        <w:t>(一)谈判小组组成：</w:t>
      </w:r>
      <w:bookmarkStart w:id="112" w:name="_Hlk89353643"/>
      <w:r>
        <w:rPr>
          <w:rFonts w:hint="eastAsia" w:hAnsi="宋体"/>
          <w:bCs/>
          <w:color w:val="auto"/>
        </w:rPr>
        <w:t>谈判小组由采购人代表和评审专家共3人以上单数组成，其中评审专家人数不得少于谈判小组成员总数的2/3。</w:t>
      </w:r>
      <w:bookmarkEnd w:id="112"/>
    </w:p>
    <w:p w14:paraId="65DBF81F">
      <w:pPr>
        <w:pStyle w:val="23"/>
        <w:spacing w:line="520" w:lineRule="exact"/>
        <w:ind w:firstLine="420" w:firstLineChars="200"/>
        <w:rPr>
          <w:rFonts w:hAnsi="宋体"/>
          <w:b/>
          <w:bCs/>
          <w:color w:val="auto"/>
        </w:rPr>
      </w:pPr>
      <w:r>
        <w:rPr>
          <w:rFonts w:hint="eastAsia" w:hAnsi="宋体"/>
          <w:bCs/>
          <w:color w:val="auto"/>
        </w:rPr>
        <w:t>(二)评审依据：以竞争性谈判采购文件和响应文件为评定依据。</w:t>
      </w:r>
    </w:p>
    <w:p w14:paraId="39D302C9">
      <w:pPr>
        <w:pStyle w:val="23"/>
        <w:spacing w:line="520" w:lineRule="exact"/>
        <w:rPr>
          <w:rFonts w:hAnsi="宋体"/>
          <w:b/>
          <w:bCs/>
          <w:color w:val="auto"/>
        </w:rPr>
      </w:pPr>
      <w:r>
        <w:rPr>
          <w:rFonts w:hint="eastAsia" w:hAnsi="宋体"/>
          <w:b/>
          <w:bCs/>
          <w:color w:val="auto"/>
        </w:rPr>
        <w:t>二、评定标准</w:t>
      </w:r>
    </w:p>
    <w:p w14:paraId="273806EE">
      <w:pPr>
        <w:pStyle w:val="23"/>
        <w:spacing w:line="520" w:lineRule="exact"/>
        <w:ind w:firstLine="420" w:firstLineChars="200"/>
        <w:rPr>
          <w:color w:val="auto"/>
        </w:rPr>
      </w:pPr>
      <w:r>
        <w:rPr>
          <w:rFonts w:hint="eastAsia"/>
          <w:color w:val="auto"/>
        </w:rPr>
        <w:t>（一）成交候选人的推荐原则：</w:t>
      </w:r>
    </w:p>
    <w:p w14:paraId="3396C204">
      <w:pPr>
        <w:pStyle w:val="23"/>
        <w:spacing w:line="520" w:lineRule="exact"/>
        <w:ind w:firstLine="420" w:firstLineChars="200"/>
        <w:rPr>
          <w:color w:val="auto"/>
        </w:rPr>
      </w:pPr>
      <w:r>
        <w:rPr>
          <w:rFonts w:hint="eastAsia"/>
          <w:color w:val="auto"/>
        </w:rPr>
        <w:t>谈判小组从质量和服务均能满足采购文件实质性响应要求的供应商中，按照最后报价由低到高的顺序提出3名以上成交候选人（最后报价相同的，由谈判小组集体讨论确定排序）。</w:t>
      </w:r>
    </w:p>
    <w:p w14:paraId="7D274B8D">
      <w:pPr>
        <w:pStyle w:val="23"/>
        <w:spacing w:line="520" w:lineRule="exact"/>
        <w:ind w:firstLine="420" w:firstLineChars="200"/>
        <w:rPr>
          <w:color w:val="auto"/>
        </w:rPr>
      </w:pPr>
      <w:r>
        <w:rPr>
          <w:rFonts w:hint="eastAsia"/>
          <w:color w:val="auto"/>
        </w:rPr>
        <w:t>（二）落实政府采购政策：</w:t>
      </w:r>
    </w:p>
    <w:p w14:paraId="369B60A1">
      <w:pPr>
        <w:pStyle w:val="23"/>
        <w:spacing w:line="520" w:lineRule="exact"/>
        <w:ind w:firstLine="420" w:firstLineChars="200"/>
        <w:rPr>
          <w:color w:val="auto"/>
        </w:rPr>
      </w:pPr>
      <w:r>
        <w:rPr>
          <w:rFonts w:hint="eastAsia"/>
          <w:color w:val="auto"/>
        </w:rPr>
        <w:t>1.供应商提供的全部货物或服务符合《政府采购促进中小企业发展管理办法》（财库﹝2020﹞46 号）规定，并在响应文件中提供《中小企业声明函》（格式见第六章，供应商须对声明内容的真实性负责）。评审中将对小微型企业报价给予20%的扣除，用扣除后的价格参加评审。</w:t>
      </w:r>
    </w:p>
    <w:p w14:paraId="0A1A55B7">
      <w:pPr>
        <w:pStyle w:val="23"/>
        <w:spacing w:line="520" w:lineRule="exact"/>
        <w:ind w:firstLine="420" w:firstLineChars="200"/>
        <w:rPr>
          <w:color w:val="auto"/>
        </w:rPr>
      </w:pPr>
      <w:r>
        <w:rPr>
          <w:color w:val="auto"/>
        </w:rPr>
        <w:t>2.</w:t>
      </w:r>
      <w:r>
        <w:rPr>
          <w:rFonts w:hint="eastAsia"/>
          <w:color w:val="auto"/>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539C87CE">
      <w:pPr>
        <w:pStyle w:val="23"/>
        <w:spacing w:line="520" w:lineRule="exact"/>
        <w:ind w:firstLine="420" w:firstLineChars="200"/>
        <w:rPr>
          <w:color w:val="auto"/>
        </w:rPr>
      </w:pPr>
      <w:r>
        <w:rPr>
          <w:color w:val="auto"/>
        </w:rPr>
        <w:t>3</w:t>
      </w:r>
      <w:r>
        <w:rPr>
          <w:rFonts w:hint="eastAsia"/>
          <w:color w:val="auto"/>
        </w:rPr>
        <w:t>.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供应商须对声明内容的真实性负责）。</w:t>
      </w:r>
    </w:p>
    <w:p w14:paraId="2D788D36">
      <w:pPr>
        <w:pStyle w:val="23"/>
        <w:spacing w:line="520" w:lineRule="exact"/>
        <w:ind w:firstLine="420" w:firstLineChars="200"/>
        <w:rPr>
          <w:color w:val="auto"/>
        </w:rPr>
      </w:pPr>
      <w:r>
        <w:rPr>
          <w:color w:val="auto"/>
        </w:rPr>
        <w:t>4</w:t>
      </w:r>
      <w:r>
        <w:rPr>
          <w:rFonts w:hint="eastAsia"/>
          <w:color w:val="auto"/>
        </w:rPr>
        <w:t>.采购人采购的产品属于节能产品政府采购品目清单内非标注“</w:t>
      </w:r>
      <w:r>
        <w:rPr>
          <w:rFonts w:hint="eastAsia" w:hAnsi="宋体" w:cs="宋体"/>
          <w:bCs/>
          <w:color w:val="auto"/>
        </w:rPr>
        <w:t>★</w:t>
      </w:r>
      <w:r>
        <w:rPr>
          <w:rFonts w:hint="eastAsia"/>
          <w:color w:val="auto"/>
        </w:rPr>
        <w:t>”的产品时，在性能、技术、服务等指标同等条件下，应当依据国家确定的认证机构出具的、处于有效期之内的节能产品、环境标志产品认证证书，对获得证书的产品实施政府优先采购。</w:t>
      </w:r>
    </w:p>
    <w:p w14:paraId="6E48D0F2">
      <w:pPr>
        <w:widowControl/>
        <w:spacing w:line="540" w:lineRule="exact"/>
        <w:ind w:firstLine="420" w:firstLineChars="200"/>
        <w:jc w:val="left"/>
        <w:rPr>
          <w:color w:val="auto"/>
        </w:rPr>
      </w:pPr>
      <w:r>
        <w:rPr>
          <w:color w:val="auto"/>
        </w:rPr>
        <w:br w:type="page"/>
      </w:r>
    </w:p>
    <w:p w14:paraId="2B59968A">
      <w:pPr>
        <w:rPr>
          <w:color w:val="auto"/>
        </w:rPr>
      </w:pPr>
    </w:p>
    <w:p w14:paraId="7A94612A">
      <w:pPr>
        <w:rPr>
          <w:color w:val="auto"/>
        </w:rPr>
      </w:pPr>
    </w:p>
    <w:p w14:paraId="3930045A">
      <w:pPr>
        <w:rPr>
          <w:color w:val="auto"/>
        </w:rPr>
      </w:pPr>
    </w:p>
    <w:p w14:paraId="34482C0A">
      <w:pPr>
        <w:rPr>
          <w:color w:val="auto"/>
        </w:rPr>
      </w:pPr>
    </w:p>
    <w:p w14:paraId="0C427597">
      <w:pPr>
        <w:rPr>
          <w:color w:val="auto"/>
        </w:rPr>
      </w:pPr>
    </w:p>
    <w:p w14:paraId="356BDEE5">
      <w:pPr>
        <w:rPr>
          <w:color w:val="auto"/>
        </w:rPr>
      </w:pPr>
    </w:p>
    <w:p w14:paraId="655D59BE">
      <w:pPr>
        <w:rPr>
          <w:color w:val="auto"/>
        </w:rPr>
      </w:pPr>
    </w:p>
    <w:p w14:paraId="7AADF944">
      <w:pPr>
        <w:rPr>
          <w:color w:val="auto"/>
        </w:rPr>
      </w:pPr>
    </w:p>
    <w:p w14:paraId="29FC2AFA">
      <w:pPr>
        <w:rPr>
          <w:color w:val="auto"/>
        </w:rPr>
      </w:pPr>
    </w:p>
    <w:p w14:paraId="24E56A53">
      <w:pPr>
        <w:rPr>
          <w:color w:val="auto"/>
        </w:rPr>
      </w:pPr>
    </w:p>
    <w:p w14:paraId="5BEF3E82">
      <w:pPr>
        <w:rPr>
          <w:color w:val="auto"/>
        </w:rPr>
      </w:pPr>
    </w:p>
    <w:p w14:paraId="22E85137">
      <w:pPr>
        <w:rPr>
          <w:color w:val="auto"/>
        </w:rPr>
      </w:pPr>
    </w:p>
    <w:p w14:paraId="0795F125">
      <w:pPr>
        <w:pStyle w:val="4"/>
        <w:spacing w:line="400" w:lineRule="exact"/>
        <w:rPr>
          <w:rFonts w:ascii="方正小标宋_GBK" w:eastAsia="方正小标宋_GBK"/>
          <w:color w:val="auto"/>
        </w:rPr>
      </w:pPr>
      <w:bookmarkStart w:id="113" w:name="_Toc92355027"/>
      <w:r>
        <w:rPr>
          <w:rFonts w:hint="eastAsia" w:ascii="方正小标宋_GBK" w:eastAsia="方正小标宋_GBK"/>
          <w:color w:val="auto"/>
        </w:rPr>
        <w:t>第五章  合同文本</w:t>
      </w:r>
      <w:bookmarkEnd w:id="113"/>
    </w:p>
    <w:p w14:paraId="1D2806C0">
      <w:pPr>
        <w:pStyle w:val="23"/>
        <w:jc w:val="center"/>
        <w:rPr>
          <w:rFonts w:ascii="Times New Roman" w:hAnsi="宋体"/>
          <w:b/>
          <w:bCs/>
          <w:color w:val="auto"/>
          <w:sz w:val="28"/>
          <w:szCs w:val="28"/>
        </w:rPr>
      </w:pPr>
      <w:r>
        <w:rPr>
          <w:rFonts w:hint="eastAsia" w:ascii="Times New Roman" w:hAnsi="宋体"/>
          <w:b/>
          <w:bCs/>
          <w:color w:val="auto"/>
          <w:sz w:val="28"/>
          <w:szCs w:val="28"/>
        </w:rPr>
        <w:t>（参考格式）</w:t>
      </w:r>
    </w:p>
    <w:p w14:paraId="4F99177F">
      <w:pPr>
        <w:pStyle w:val="23"/>
        <w:spacing w:line="500" w:lineRule="exact"/>
        <w:rPr>
          <w:rFonts w:hAnsi="宋体" w:cs="宋体"/>
          <w:b/>
          <w:bCs/>
          <w:color w:val="auto"/>
          <w:spacing w:val="-20"/>
          <w:kern w:val="44"/>
          <w:sz w:val="48"/>
          <w:szCs w:val="48"/>
        </w:rPr>
      </w:pPr>
      <w:r>
        <w:rPr>
          <w:color w:val="auto"/>
        </w:rPr>
        <w:br w:type="page"/>
      </w:r>
      <w:bookmarkStart w:id="114" w:name="_Toc3995"/>
    </w:p>
    <w:p w14:paraId="5696495E">
      <w:pPr>
        <w:pStyle w:val="2"/>
        <w:jc w:val="center"/>
        <w:rPr>
          <w:rFonts w:ascii="宋体" w:hAnsi="宋体" w:cs="宋体"/>
          <w:b/>
          <w:bCs/>
          <w:color w:val="auto"/>
          <w:spacing w:val="-20"/>
          <w:kern w:val="44"/>
          <w:sz w:val="48"/>
          <w:szCs w:val="48"/>
        </w:rPr>
      </w:pPr>
    </w:p>
    <w:p w14:paraId="0291175D">
      <w:pPr>
        <w:pStyle w:val="2"/>
        <w:jc w:val="center"/>
        <w:rPr>
          <w:rFonts w:ascii="宋体" w:hAnsi="宋体" w:cs="宋体"/>
          <w:b/>
          <w:bCs/>
          <w:color w:val="auto"/>
          <w:spacing w:val="-20"/>
          <w:kern w:val="44"/>
          <w:sz w:val="48"/>
          <w:szCs w:val="48"/>
        </w:rPr>
      </w:pPr>
    </w:p>
    <w:p w14:paraId="74365945">
      <w:pPr>
        <w:pStyle w:val="2"/>
        <w:jc w:val="center"/>
        <w:rPr>
          <w:rFonts w:ascii="宋体" w:hAnsi="宋体" w:cs="宋体"/>
          <w:b/>
          <w:bCs/>
          <w:color w:val="auto"/>
          <w:spacing w:val="-20"/>
          <w:kern w:val="44"/>
          <w:sz w:val="48"/>
          <w:szCs w:val="48"/>
        </w:rPr>
      </w:pPr>
    </w:p>
    <w:p w14:paraId="3B03B985">
      <w:pPr>
        <w:pStyle w:val="2"/>
        <w:spacing w:line="500" w:lineRule="exact"/>
        <w:jc w:val="center"/>
        <w:rPr>
          <w:rFonts w:ascii="宋体" w:hAnsi="宋体" w:cs="宋体"/>
          <w:b/>
          <w:bCs/>
          <w:color w:val="auto"/>
          <w:spacing w:val="-20"/>
          <w:kern w:val="44"/>
          <w:sz w:val="48"/>
          <w:szCs w:val="48"/>
        </w:rPr>
      </w:pPr>
    </w:p>
    <w:bookmarkEnd w:id="114"/>
    <w:p w14:paraId="7E5319EC">
      <w:pPr>
        <w:pStyle w:val="23"/>
        <w:spacing w:line="500" w:lineRule="exact"/>
        <w:ind w:firstLine="960"/>
        <w:jc w:val="center"/>
        <w:rPr>
          <w:rFonts w:ascii="方正小标宋_GBK" w:hAnsi="宋体" w:eastAsia="方正小标宋_GBK"/>
          <w:color w:val="auto"/>
          <w:sz w:val="48"/>
          <w:szCs w:val="48"/>
        </w:rPr>
      </w:pPr>
    </w:p>
    <w:p w14:paraId="51C4FA98">
      <w:pPr>
        <w:pStyle w:val="2"/>
        <w:spacing w:line="500" w:lineRule="exact"/>
        <w:ind w:firstLine="884"/>
        <w:jc w:val="center"/>
        <w:rPr>
          <w:rFonts w:ascii="宋体" w:hAnsi="宋体" w:cs="宋体"/>
          <w:b/>
          <w:bCs/>
          <w:color w:val="auto"/>
          <w:spacing w:val="-20"/>
          <w:kern w:val="44"/>
          <w:sz w:val="48"/>
          <w:szCs w:val="48"/>
        </w:rPr>
      </w:pPr>
      <w:r>
        <w:rPr>
          <w:rFonts w:hint="eastAsia" w:ascii="宋体" w:hAnsi="宋体" w:cs="宋体"/>
          <w:b/>
          <w:bCs/>
          <w:color w:val="auto"/>
          <w:spacing w:val="-20"/>
          <w:kern w:val="44"/>
          <w:sz w:val="48"/>
          <w:szCs w:val="48"/>
        </w:rPr>
        <w:t>政府采购货物买卖合同</w:t>
      </w:r>
    </w:p>
    <w:p w14:paraId="6B919D00">
      <w:pPr>
        <w:pStyle w:val="2"/>
        <w:spacing w:line="500" w:lineRule="exact"/>
        <w:ind w:firstLine="884"/>
        <w:jc w:val="center"/>
        <w:rPr>
          <w:rFonts w:ascii="宋体" w:hAnsi="宋体" w:cs="宋体"/>
          <w:b/>
          <w:bCs/>
          <w:color w:val="auto"/>
          <w:spacing w:val="-20"/>
          <w:kern w:val="44"/>
          <w:sz w:val="48"/>
          <w:szCs w:val="48"/>
        </w:rPr>
      </w:pPr>
      <w:r>
        <w:rPr>
          <w:rFonts w:hint="eastAsia" w:ascii="宋体" w:hAnsi="宋体" w:cs="宋体"/>
          <w:b/>
          <w:bCs/>
          <w:color w:val="auto"/>
          <w:spacing w:val="-20"/>
          <w:kern w:val="44"/>
          <w:sz w:val="48"/>
          <w:szCs w:val="48"/>
        </w:rPr>
        <w:t>（试行）</w:t>
      </w:r>
    </w:p>
    <w:p w14:paraId="7373082B">
      <w:pPr>
        <w:ind w:firstLine="723"/>
        <w:rPr>
          <w:rFonts w:ascii="宋体" w:hAnsi="宋体" w:cs="宋体"/>
          <w:b/>
          <w:bCs/>
          <w:color w:val="auto"/>
          <w:spacing w:val="-20"/>
          <w:kern w:val="44"/>
          <w:sz w:val="40"/>
          <w:szCs w:val="40"/>
        </w:rPr>
      </w:pPr>
    </w:p>
    <w:p w14:paraId="21ECAED8">
      <w:pPr>
        <w:ind w:firstLine="723"/>
        <w:rPr>
          <w:rFonts w:ascii="宋体" w:hAnsi="宋体" w:cs="宋体"/>
          <w:b/>
          <w:bCs/>
          <w:color w:val="auto"/>
          <w:spacing w:val="-20"/>
          <w:kern w:val="44"/>
          <w:sz w:val="40"/>
          <w:szCs w:val="40"/>
        </w:rPr>
      </w:pPr>
    </w:p>
    <w:p w14:paraId="09403CC7">
      <w:pPr>
        <w:ind w:firstLine="723"/>
        <w:rPr>
          <w:rFonts w:ascii="宋体" w:hAnsi="宋体" w:cs="宋体"/>
          <w:b/>
          <w:bCs/>
          <w:color w:val="auto"/>
          <w:spacing w:val="-20"/>
          <w:kern w:val="44"/>
          <w:sz w:val="40"/>
          <w:szCs w:val="40"/>
        </w:rPr>
      </w:pPr>
    </w:p>
    <w:p w14:paraId="332566BA">
      <w:pPr>
        <w:spacing w:line="360" w:lineRule="auto"/>
        <w:ind w:left="420" w:leftChars="200" w:firstLine="640"/>
        <w:rPr>
          <w:color w:val="auto"/>
          <w:sz w:val="32"/>
          <w:szCs w:val="32"/>
        </w:rPr>
      </w:pPr>
      <w:r>
        <w:rPr>
          <w:rFonts w:hint="eastAsia" w:ascii="宋体" w:hAnsi="宋体" w:cs="宋体"/>
          <w:color w:val="auto"/>
          <w:kern w:val="0"/>
          <w:sz w:val="32"/>
          <w:szCs w:val="32"/>
        </w:rPr>
        <w:t>项目名称：</w:t>
      </w:r>
      <w:r>
        <w:rPr>
          <w:rFonts w:hint="eastAsia"/>
          <w:color w:val="auto"/>
          <w:sz w:val="32"/>
          <w:szCs w:val="32"/>
          <w:u w:val="single"/>
        </w:rPr>
        <w:t xml:space="preserve">                             </w:t>
      </w:r>
    </w:p>
    <w:p w14:paraId="55D36DD8">
      <w:pPr>
        <w:spacing w:line="360" w:lineRule="auto"/>
        <w:ind w:left="420" w:leftChars="200" w:firstLine="640"/>
        <w:rPr>
          <w:color w:val="auto"/>
          <w:sz w:val="32"/>
          <w:szCs w:val="32"/>
          <w:u w:val="single"/>
        </w:rPr>
      </w:pPr>
      <w:r>
        <w:rPr>
          <w:rFonts w:hint="eastAsia"/>
          <w:color w:val="auto"/>
          <w:sz w:val="32"/>
          <w:szCs w:val="32"/>
        </w:rPr>
        <w:t>合同编号：</w:t>
      </w:r>
      <w:r>
        <w:rPr>
          <w:rFonts w:hint="eastAsia"/>
          <w:color w:val="auto"/>
          <w:sz w:val="32"/>
          <w:szCs w:val="32"/>
          <w:u w:val="single"/>
        </w:rPr>
        <w:t xml:space="preserve">                             </w:t>
      </w:r>
    </w:p>
    <w:p w14:paraId="0E775B19">
      <w:pPr>
        <w:spacing w:line="360" w:lineRule="auto"/>
        <w:ind w:left="420" w:leftChars="200" w:firstLine="640"/>
        <w:rPr>
          <w:color w:val="auto"/>
          <w:sz w:val="32"/>
          <w:szCs w:val="32"/>
        </w:rPr>
      </w:pPr>
      <w:r>
        <w:rPr>
          <w:rFonts w:hint="eastAsia"/>
          <w:color w:val="auto"/>
          <w:sz w:val="32"/>
          <w:szCs w:val="32"/>
        </w:rPr>
        <w:t>甲    方：</w:t>
      </w:r>
      <w:r>
        <w:rPr>
          <w:rFonts w:hint="eastAsia"/>
          <w:color w:val="auto"/>
          <w:sz w:val="32"/>
          <w:szCs w:val="32"/>
          <w:u w:val="single"/>
        </w:rPr>
        <w:t xml:space="preserve">                             </w:t>
      </w:r>
    </w:p>
    <w:p w14:paraId="6F56661B">
      <w:pPr>
        <w:spacing w:line="360" w:lineRule="auto"/>
        <w:ind w:left="420" w:leftChars="200" w:firstLine="640"/>
        <w:rPr>
          <w:color w:val="auto"/>
          <w:sz w:val="32"/>
          <w:szCs w:val="32"/>
          <w:u w:val="single"/>
        </w:rPr>
      </w:pPr>
      <w:r>
        <w:rPr>
          <w:rFonts w:hint="eastAsia"/>
          <w:color w:val="auto"/>
          <w:sz w:val="32"/>
          <w:szCs w:val="32"/>
        </w:rPr>
        <w:t>乙    方：</w:t>
      </w:r>
      <w:r>
        <w:rPr>
          <w:rFonts w:hint="eastAsia"/>
          <w:color w:val="auto"/>
          <w:sz w:val="32"/>
          <w:szCs w:val="32"/>
          <w:u w:val="single"/>
        </w:rPr>
        <w:t xml:space="preserve">                             </w:t>
      </w:r>
    </w:p>
    <w:p w14:paraId="733541A4">
      <w:pPr>
        <w:spacing w:line="360" w:lineRule="auto"/>
        <w:ind w:left="420" w:leftChars="200" w:firstLine="640"/>
        <w:rPr>
          <w:color w:val="auto"/>
          <w:sz w:val="32"/>
          <w:szCs w:val="32"/>
        </w:rPr>
      </w:pPr>
      <w:r>
        <w:rPr>
          <w:rFonts w:hint="eastAsia"/>
          <w:color w:val="auto"/>
          <w:sz w:val="32"/>
          <w:szCs w:val="32"/>
        </w:rPr>
        <w:t>签订时间：</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14:paraId="41FED957">
      <w:pPr>
        <w:ind w:firstLine="420"/>
        <w:rPr>
          <w:color w:val="auto"/>
        </w:rPr>
      </w:pPr>
    </w:p>
    <w:p w14:paraId="4D190DB3">
      <w:pPr>
        <w:ind w:firstLine="880"/>
        <w:rPr>
          <w:rFonts w:eastAsia="黑体"/>
          <w:color w:val="auto"/>
          <w:sz w:val="44"/>
          <w:szCs w:val="44"/>
        </w:rPr>
      </w:pPr>
      <w:r>
        <w:rPr>
          <w:rFonts w:eastAsia="黑体"/>
          <w:color w:val="auto"/>
          <w:sz w:val="44"/>
          <w:szCs w:val="44"/>
        </w:rPr>
        <w:br w:type="page"/>
      </w:r>
    </w:p>
    <w:p w14:paraId="56536725">
      <w:pPr>
        <w:ind w:firstLine="880"/>
        <w:rPr>
          <w:rFonts w:eastAsia="黑体"/>
          <w:color w:val="auto"/>
          <w:sz w:val="44"/>
          <w:szCs w:val="44"/>
        </w:rPr>
      </w:pPr>
    </w:p>
    <w:p w14:paraId="5D7762C3">
      <w:pPr>
        <w:spacing w:line="440" w:lineRule="exact"/>
        <w:ind w:firstLine="880"/>
        <w:rPr>
          <w:rFonts w:eastAsia="黑体"/>
          <w:color w:val="auto"/>
          <w:sz w:val="44"/>
          <w:szCs w:val="44"/>
        </w:rPr>
      </w:pPr>
    </w:p>
    <w:p w14:paraId="4F1F926E">
      <w:pPr>
        <w:spacing w:line="440" w:lineRule="exact"/>
        <w:ind w:firstLine="880"/>
        <w:jc w:val="center"/>
        <w:rPr>
          <w:rFonts w:eastAsia="黑体"/>
          <w:color w:val="auto"/>
          <w:sz w:val="44"/>
          <w:szCs w:val="44"/>
        </w:rPr>
      </w:pPr>
      <w:r>
        <w:rPr>
          <w:rFonts w:hint="eastAsia" w:eastAsia="黑体"/>
          <w:color w:val="auto"/>
          <w:sz w:val="44"/>
          <w:szCs w:val="44"/>
        </w:rPr>
        <w:t>使 用 说 明</w:t>
      </w:r>
    </w:p>
    <w:p w14:paraId="76FB3DA5">
      <w:pPr>
        <w:ind w:firstLine="640"/>
        <w:rPr>
          <w:rFonts w:ascii="仿宋_GB2312" w:hAnsi="仿宋_GB2312" w:eastAsia="仿宋_GB2312" w:cs="仿宋_GB2312"/>
          <w:color w:val="auto"/>
          <w:sz w:val="32"/>
          <w:szCs w:val="32"/>
        </w:rPr>
      </w:pPr>
    </w:p>
    <w:p w14:paraId="4903C071">
      <w:pPr>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1.本合同标准文本适用于购买现成货物的采购项目，不包括需要供应商定制开发、创新研发的货物采购项目。</w:t>
      </w:r>
    </w:p>
    <w:p w14:paraId="04AD7E36">
      <w:pPr>
        <w:ind w:firstLine="640"/>
        <w:rPr>
          <w:rFonts w:eastAsia="黑体"/>
          <w:color w:val="auto"/>
          <w:sz w:val="44"/>
          <w:szCs w:val="44"/>
        </w:rPr>
      </w:pPr>
      <w:r>
        <w:rPr>
          <w:rFonts w:hint="eastAsia" w:ascii="仿宋_GB2312" w:hAnsi="仿宋_GB2312" w:eastAsia="仿宋_GB2312" w:cs="仿宋_GB2312"/>
          <w:color w:val="auto"/>
          <w:sz w:val="32"/>
          <w:szCs w:val="32"/>
        </w:rPr>
        <w:t>2.本合同标准文本为政府采购货物买卖合同编制提供参考，可以结合采购项目具体情况，对文本作必要的调整修订后使用。</w:t>
      </w:r>
    </w:p>
    <w:p w14:paraId="526DF1D8">
      <w:pPr>
        <w:ind w:firstLine="640"/>
        <w:rPr>
          <w:rFonts w:eastAsia="黑体"/>
          <w:color w:val="auto"/>
          <w:sz w:val="44"/>
          <w:szCs w:val="44"/>
        </w:rPr>
        <w:sectPr>
          <w:headerReference r:id="rId6" w:type="default"/>
          <w:footerReference r:id="rId7" w:type="default"/>
          <w:pgSz w:w="11906" w:h="16838"/>
          <w:pgMar w:top="1440" w:right="1083" w:bottom="1440" w:left="1080" w:header="851" w:footer="992" w:gutter="0"/>
          <w:cols w:space="720" w:num="1"/>
          <w:docGrid w:type="lines" w:linePitch="312" w:charSpace="0"/>
        </w:sectPr>
      </w:pPr>
      <w:r>
        <w:rPr>
          <w:rFonts w:hint="eastAsia" w:ascii="仿宋_GB2312" w:hAnsi="仿宋_GB2312" w:eastAsia="仿宋_GB2312" w:cs="仿宋_GB2312"/>
          <w:color w:val="auto"/>
          <w:sz w:val="32"/>
          <w:szCs w:val="32"/>
        </w:rPr>
        <w:t>3.本合同标准文本各条款中，如涉及填写多家供应商、制造商，多种采购标的、分包主要内容等信息的，可根据采购项目具体情况添加信息项。</w:t>
      </w:r>
    </w:p>
    <w:p w14:paraId="667B1988">
      <w:pPr>
        <w:pStyle w:val="5"/>
        <w:adjustRightInd w:val="0"/>
        <w:snapToGrid w:val="0"/>
        <w:rPr>
          <w:rFonts w:ascii="黑体" w:hAnsi="黑体"/>
          <w:color w:val="auto"/>
          <w:sz w:val="28"/>
          <w:szCs w:val="28"/>
        </w:rPr>
      </w:pPr>
      <w:bookmarkStart w:id="115" w:name="_Toc22209"/>
    </w:p>
    <w:p w14:paraId="0FA0F80E">
      <w:pPr>
        <w:pStyle w:val="5"/>
        <w:adjustRightInd w:val="0"/>
        <w:snapToGrid w:val="0"/>
        <w:ind w:firstLine="560"/>
        <w:jc w:val="center"/>
        <w:rPr>
          <w:rFonts w:ascii="黑体" w:hAnsi="华文中宋"/>
          <w:b w:val="0"/>
          <w:bCs w:val="0"/>
          <w:color w:val="auto"/>
          <w:sz w:val="28"/>
          <w:szCs w:val="28"/>
        </w:rPr>
      </w:pPr>
      <w:r>
        <w:rPr>
          <w:rFonts w:hint="eastAsia" w:ascii="黑体" w:hAnsi="黑体"/>
          <w:b w:val="0"/>
          <w:bCs w:val="0"/>
          <w:color w:val="auto"/>
          <w:sz w:val="28"/>
          <w:szCs w:val="28"/>
        </w:rPr>
        <w:t xml:space="preserve">第一节 </w:t>
      </w:r>
      <w:r>
        <w:rPr>
          <w:rFonts w:hint="eastAsia" w:ascii="黑体" w:hAnsi="华文中宋"/>
          <w:b w:val="0"/>
          <w:bCs w:val="0"/>
          <w:color w:val="auto"/>
          <w:sz w:val="28"/>
          <w:szCs w:val="28"/>
        </w:rPr>
        <w:t>政府采购合同协议书</w:t>
      </w:r>
      <w:bookmarkEnd w:id="115"/>
    </w:p>
    <w:p w14:paraId="7CEA5C75">
      <w:pPr>
        <w:pStyle w:val="5"/>
        <w:adjustRightInd w:val="0"/>
        <w:snapToGrid w:val="0"/>
        <w:ind w:firstLine="560"/>
        <w:jc w:val="center"/>
        <w:rPr>
          <w:rFonts w:ascii="黑体" w:hAnsi="华文中宋"/>
          <w:b w:val="0"/>
          <w:bCs w:val="0"/>
          <w:color w:val="auto"/>
          <w:sz w:val="28"/>
          <w:szCs w:val="28"/>
        </w:rPr>
      </w:pPr>
    </w:p>
    <w:p w14:paraId="6BBFF03F">
      <w:pPr>
        <w:adjustRightInd w:val="0"/>
        <w:snapToGrid w:val="0"/>
        <w:ind w:firstLine="420"/>
        <w:rPr>
          <w:rFonts w:ascii="宋体" w:hAnsi="宋体"/>
          <w:color w:val="auto"/>
          <w:szCs w:val="21"/>
        </w:rPr>
      </w:pPr>
      <w:r>
        <w:rPr>
          <w:rFonts w:hint="eastAsia" w:ascii="宋体" w:hAnsi="宋体"/>
          <w:color w:val="auto"/>
          <w:szCs w:val="21"/>
        </w:rPr>
        <w:t>甲方（全称）：</w:t>
      </w:r>
      <w:r>
        <w:rPr>
          <w:rFonts w:hint="eastAsia" w:ascii="宋体" w:hAnsi="宋体"/>
          <w:color w:val="auto"/>
          <w:szCs w:val="21"/>
          <w:u w:val="single"/>
        </w:rPr>
        <w:t xml:space="preserve">                        </w:t>
      </w:r>
      <w:r>
        <w:rPr>
          <w:rFonts w:hint="eastAsia" w:ascii="宋体" w:hAnsi="宋体"/>
          <w:color w:val="auto"/>
          <w:szCs w:val="21"/>
        </w:rPr>
        <w:t>（采购人、受采购人委托签订合同的单位或采购</w:t>
      </w:r>
      <w:r>
        <w:rPr>
          <w:rFonts w:hint="eastAsia" w:ascii="宋体" w:hAnsi="宋体"/>
          <w:color w:val="auto"/>
          <w:szCs w:val="21"/>
        </w:rPr>
        <w:tab/>
      </w:r>
      <w:r>
        <w:rPr>
          <w:rFonts w:hint="eastAsia" w:ascii="宋体" w:hAnsi="宋体"/>
          <w:color w:val="auto"/>
          <w:szCs w:val="21"/>
        </w:rPr>
        <w:t xml:space="preserve">                                   文件约定的合同甲方）</w:t>
      </w:r>
    </w:p>
    <w:p w14:paraId="6AA325F2">
      <w:pPr>
        <w:adjustRightInd w:val="0"/>
        <w:snapToGrid w:val="0"/>
        <w:ind w:firstLine="420"/>
        <w:rPr>
          <w:rFonts w:ascii="宋体" w:hAnsi="宋体"/>
          <w:color w:val="auto"/>
          <w:szCs w:val="21"/>
        </w:rPr>
      </w:pPr>
      <w:r>
        <w:rPr>
          <w:rFonts w:hint="eastAsia" w:ascii="宋体" w:hAnsi="宋体"/>
          <w:color w:val="auto"/>
          <w:szCs w:val="21"/>
        </w:rPr>
        <w:t>乙方1（全称）：</w:t>
      </w:r>
      <w:r>
        <w:rPr>
          <w:rFonts w:hint="eastAsia" w:ascii="宋体" w:hAnsi="宋体"/>
          <w:color w:val="auto"/>
          <w:szCs w:val="21"/>
          <w:u w:val="single"/>
        </w:rPr>
        <w:t xml:space="preserve">                       </w:t>
      </w:r>
      <w:r>
        <w:rPr>
          <w:rFonts w:hint="eastAsia" w:ascii="宋体" w:hAnsi="宋体"/>
          <w:color w:val="auto"/>
          <w:szCs w:val="21"/>
        </w:rPr>
        <w:t>（供应商）</w:t>
      </w:r>
    </w:p>
    <w:p w14:paraId="55329125">
      <w:pPr>
        <w:adjustRightInd w:val="0"/>
        <w:snapToGrid w:val="0"/>
        <w:ind w:firstLine="420"/>
        <w:rPr>
          <w:rFonts w:ascii="宋体" w:hAnsi="宋体"/>
          <w:color w:val="auto"/>
          <w:szCs w:val="21"/>
        </w:rPr>
      </w:pPr>
      <w:r>
        <w:rPr>
          <w:rFonts w:hint="eastAsia" w:ascii="宋体" w:hAnsi="宋体"/>
          <w:color w:val="auto"/>
          <w:szCs w:val="21"/>
        </w:rPr>
        <w:t>乙方2（全称）：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4E315BB7">
      <w:pPr>
        <w:adjustRightInd w:val="0"/>
        <w:snapToGrid w:val="0"/>
        <w:ind w:firstLine="420"/>
        <w:rPr>
          <w:rFonts w:ascii="宋体" w:hAnsi="宋体"/>
          <w:color w:val="auto"/>
          <w:szCs w:val="21"/>
        </w:rPr>
      </w:pPr>
      <w:r>
        <w:rPr>
          <w:rFonts w:hint="eastAsia"/>
          <w:color w:val="auto"/>
        </w:rPr>
        <w:t>乙方</w:t>
      </w:r>
      <w:r>
        <w:rPr>
          <w:rFonts w:hint="eastAsia" w:ascii="宋体" w:hAnsi="宋体"/>
          <w:color w:val="auto"/>
          <w:szCs w:val="21"/>
        </w:rPr>
        <w:t>3</w:t>
      </w:r>
      <w:r>
        <w:rPr>
          <w:rFonts w:hint="eastAsia"/>
          <w:color w:val="auto"/>
        </w:rPr>
        <w:t>（全称）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76DA9460">
      <w:pPr>
        <w:ind w:firstLine="420"/>
        <w:rPr>
          <w:color w:val="auto"/>
        </w:rPr>
      </w:pPr>
    </w:p>
    <w:p w14:paraId="0D9CC652">
      <w:pPr>
        <w:pStyle w:val="20"/>
        <w:adjustRightInd w:val="0"/>
        <w:snapToGrid w:val="0"/>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288F870A">
      <w:pPr>
        <w:numPr>
          <w:ilvl w:val="0"/>
          <w:numId w:val="6"/>
        </w:numPr>
        <w:adjustRightInd w:val="0"/>
        <w:snapToGrid w:val="0"/>
        <w:ind w:firstLine="422"/>
        <w:rPr>
          <w:rFonts w:ascii="宋体" w:hAnsi="宋体"/>
          <w:b/>
          <w:color w:val="auto"/>
          <w:szCs w:val="21"/>
        </w:rPr>
      </w:pPr>
      <w:r>
        <w:rPr>
          <w:rFonts w:hint="eastAsia" w:ascii="宋体" w:hAnsi="宋体"/>
          <w:b/>
          <w:color w:val="auto"/>
          <w:szCs w:val="21"/>
        </w:rPr>
        <w:t>项目信息</w:t>
      </w:r>
    </w:p>
    <w:p w14:paraId="3F18DA5D">
      <w:pPr>
        <w:pStyle w:val="20"/>
        <w:numPr>
          <w:ilvl w:val="0"/>
          <w:numId w:val="7"/>
        </w:numPr>
        <w:adjustRightInd w:val="0"/>
        <w:snapToGrid w:val="0"/>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采购项目名称：</w:t>
      </w:r>
      <w:r>
        <w:rPr>
          <w:rFonts w:hint="eastAsia" w:ascii="宋体" w:hAnsi="宋体" w:eastAsia="宋体" w:cs="宋体"/>
          <w:color w:val="auto"/>
          <w:sz w:val="21"/>
          <w:szCs w:val="21"/>
          <w:u w:val="single"/>
        </w:rPr>
        <w:t xml:space="preserve">                                          </w:t>
      </w:r>
    </w:p>
    <w:p w14:paraId="70C8FFA7">
      <w:pPr>
        <w:pStyle w:val="20"/>
        <w:tabs>
          <w:tab w:val="left" w:pos="999"/>
        </w:tabs>
        <w:adjustRightInd w:val="0"/>
        <w:snapToGrid w:val="0"/>
        <w:ind w:firstLine="0" w:firstLineChars="0"/>
        <w:rPr>
          <w:rFonts w:ascii="宋体" w:hAnsi="宋体" w:eastAsia="宋体" w:cs="宋体"/>
          <w:color w:val="auto"/>
          <w:sz w:val="21"/>
          <w:szCs w:val="21"/>
        </w:rPr>
      </w:pPr>
      <w:r>
        <w:rPr>
          <w:rFonts w:hint="eastAsia" w:ascii="宋体" w:hAnsi="宋体" w:eastAsia="宋体" w:cs="宋体"/>
          <w:color w:val="auto"/>
          <w:sz w:val="21"/>
          <w:szCs w:val="21"/>
        </w:rPr>
        <w:t xml:space="preserve">         采购项目编号：</w:t>
      </w:r>
      <w:r>
        <w:rPr>
          <w:rFonts w:hint="eastAsia" w:ascii="宋体" w:hAnsi="宋体" w:eastAsia="宋体" w:cs="宋体"/>
          <w:color w:val="auto"/>
          <w:sz w:val="21"/>
          <w:szCs w:val="21"/>
          <w:u w:val="single"/>
        </w:rPr>
        <w:t xml:space="preserve">                                          </w:t>
      </w:r>
    </w:p>
    <w:p w14:paraId="103D3AA0">
      <w:pPr>
        <w:pStyle w:val="20"/>
        <w:adjustRightInd w:val="0"/>
        <w:snapToGrid w:val="0"/>
        <w:ind w:firstLine="420" w:firstLineChars="200"/>
        <w:rPr>
          <w:rFonts w:ascii="宋体" w:hAnsi="宋体"/>
          <w:color w:val="auto"/>
          <w:szCs w:val="21"/>
        </w:rPr>
      </w:pPr>
      <w:r>
        <w:rPr>
          <w:rFonts w:hint="eastAsia" w:ascii="宋体" w:hAnsi="宋体" w:eastAsia="宋体" w:cs="宋体"/>
          <w:color w:val="auto"/>
          <w:sz w:val="21"/>
          <w:szCs w:val="21"/>
        </w:rPr>
        <w:t>（2）采购计划编号：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 xml:space="preserve"> </w:t>
      </w:r>
    </w:p>
    <w:p w14:paraId="4EBE7833">
      <w:pPr>
        <w:adjustRightInd w:val="0"/>
        <w:snapToGrid w:val="0"/>
        <w:ind w:firstLine="420"/>
        <w:rPr>
          <w:rFonts w:ascii="宋体" w:hAnsi="宋体"/>
          <w:color w:val="auto"/>
          <w:szCs w:val="21"/>
        </w:rPr>
      </w:pPr>
      <w:r>
        <w:rPr>
          <w:rFonts w:hint="eastAsia" w:ascii="宋体" w:hAnsi="宋体"/>
          <w:color w:val="auto"/>
          <w:szCs w:val="21"/>
        </w:rPr>
        <w:t>（3）项目内容：</w:t>
      </w:r>
    </w:p>
    <w:p w14:paraId="21D6EEA3">
      <w:pPr>
        <w:adjustRightInd w:val="0"/>
        <w:snapToGrid w:val="0"/>
        <w:ind w:firstLine="420"/>
        <w:rPr>
          <w:rFonts w:ascii="宋体" w:hAnsi="宋体"/>
          <w:color w:val="auto"/>
          <w:szCs w:val="21"/>
        </w:rPr>
      </w:pPr>
      <w:r>
        <w:rPr>
          <w:rFonts w:hint="eastAsia" w:ascii="宋体" w:hAnsi="宋体"/>
          <w:color w:val="auto"/>
          <w:szCs w:val="21"/>
        </w:rPr>
        <w:t xml:space="preserve">     采购标的及数量（台/套</w:t>
      </w:r>
      <w:r>
        <w:rPr>
          <w:rFonts w:ascii="宋体" w:hAnsi="宋体"/>
          <w:color w:val="auto"/>
          <w:szCs w:val="21"/>
          <w:lang w:val="en"/>
        </w:rPr>
        <w:t>/</w:t>
      </w:r>
      <w:r>
        <w:rPr>
          <w:rFonts w:hint="eastAsia" w:ascii="宋体" w:hAnsi="宋体"/>
          <w:color w:val="auto"/>
          <w:szCs w:val="21"/>
          <w:lang w:val="en"/>
        </w:rPr>
        <w:t>个</w:t>
      </w:r>
      <w:r>
        <w:rPr>
          <w:rFonts w:ascii="宋体" w:hAnsi="宋体"/>
          <w:color w:val="auto"/>
          <w:szCs w:val="21"/>
          <w:lang w:val="en"/>
        </w:rPr>
        <w:t>/</w:t>
      </w:r>
      <w:r>
        <w:rPr>
          <w:rFonts w:hint="eastAsia" w:ascii="宋体" w:hAnsi="宋体"/>
          <w:color w:val="auto"/>
          <w:szCs w:val="21"/>
          <w:lang w:val="en"/>
        </w:rPr>
        <w:t>架</w:t>
      </w:r>
      <w:r>
        <w:rPr>
          <w:rFonts w:ascii="宋体" w:hAnsi="宋体"/>
          <w:color w:val="auto"/>
          <w:szCs w:val="21"/>
          <w:lang w:val="en"/>
        </w:rPr>
        <w:t>/</w:t>
      </w:r>
      <w:r>
        <w:rPr>
          <w:rFonts w:hint="eastAsia" w:ascii="宋体" w:hAnsi="宋体"/>
          <w:color w:val="auto"/>
          <w:szCs w:val="21"/>
          <w:lang w:val="en"/>
        </w:rPr>
        <w:t>组等</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 xml:space="preserve">          </w:t>
      </w:r>
    </w:p>
    <w:p w14:paraId="34BB8862">
      <w:pPr>
        <w:adjustRightInd w:val="0"/>
        <w:snapToGrid w:val="0"/>
        <w:ind w:firstLine="420"/>
        <w:rPr>
          <w:rFonts w:ascii="宋体" w:hAnsi="宋体" w:cs="宋体"/>
          <w:color w:val="auto"/>
          <w:szCs w:val="21"/>
          <w:lang w:val="en"/>
        </w:rPr>
      </w:pPr>
      <w:r>
        <w:rPr>
          <w:rFonts w:hint="eastAsia" w:ascii="宋体" w:hAnsi="宋体"/>
          <w:color w:val="auto"/>
          <w:szCs w:val="21"/>
        </w:rPr>
        <w:t xml:space="preserve">     </w:t>
      </w:r>
      <w:r>
        <w:rPr>
          <w:rFonts w:hint="eastAsia" w:ascii="宋体" w:hAnsi="宋体" w:cs="宋体"/>
          <w:color w:val="auto"/>
          <w:szCs w:val="21"/>
        </w:rPr>
        <w:t>品牌：</w:t>
      </w:r>
      <w:r>
        <w:rPr>
          <w:rFonts w:hint="eastAsia" w:ascii="宋体" w:hAnsi="宋体" w:cs="宋体"/>
          <w:color w:val="auto"/>
          <w:szCs w:val="21"/>
          <w:u w:val="single"/>
        </w:rPr>
        <w:t xml:space="preserve">      </w:t>
      </w:r>
      <w:r>
        <w:rPr>
          <w:rFonts w:ascii="宋体" w:hAnsi="宋体" w:cs="宋体"/>
          <w:color w:val="auto"/>
          <w:szCs w:val="21"/>
          <w:u w:val="single"/>
          <w:lang w:val="en"/>
        </w:rPr>
        <w:t xml:space="preserve">   </w:t>
      </w:r>
      <w:r>
        <w:rPr>
          <w:rFonts w:hint="eastAsia" w:ascii="宋体" w:hAnsi="宋体" w:cs="宋体"/>
          <w:color w:val="auto"/>
          <w:szCs w:val="21"/>
          <w:u w:val="single"/>
        </w:rPr>
        <w:t xml:space="preserve">    </w:t>
      </w:r>
      <w:r>
        <w:rPr>
          <w:rFonts w:ascii="宋体" w:hAnsi="宋体" w:cs="宋体"/>
          <w:color w:val="auto"/>
          <w:szCs w:val="21"/>
          <w:u w:val="single"/>
          <w:lang w:val="en"/>
        </w:rPr>
        <w:t xml:space="preserve"> </w:t>
      </w:r>
      <w:r>
        <w:rPr>
          <w:rFonts w:hint="eastAsia" w:ascii="宋体" w:hAnsi="宋体" w:cs="宋体"/>
          <w:color w:val="auto"/>
          <w:szCs w:val="21"/>
          <w:u w:val="single"/>
        </w:rPr>
        <w:t xml:space="preserve"> </w:t>
      </w:r>
      <w:r>
        <w:rPr>
          <w:rFonts w:ascii="宋体" w:hAnsi="宋体" w:cs="宋体"/>
          <w:color w:val="auto"/>
          <w:szCs w:val="21"/>
          <w:lang w:val="en"/>
        </w:rPr>
        <w:t xml:space="preserve">     </w:t>
      </w:r>
      <w:r>
        <w:rPr>
          <w:rFonts w:hint="eastAsia" w:ascii="宋体" w:hAnsi="宋体" w:cs="宋体"/>
          <w:color w:val="auto"/>
          <w:szCs w:val="21"/>
        </w:rPr>
        <w:t>规格型号：</w:t>
      </w:r>
      <w:r>
        <w:rPr>
          <w:rFonts w:hint="eastAsia" w:ascii="宋体" w:hAnsi="宋体" w:cs="宋体"/>
          <w:color w:val="auto"/>
          <w:szCs w:val="21"/>
          <w:u w:val="single"/>
        </w:rPr>
        <w:t xml:space="preserve">   </w:t>
      </w:r>
      <w:r>
        <w:rPr>
          <w:rFonts w:ascii="宋体" w:hAnsi="宋体" w:cs="宋体"/>
          <w:color w:val="auto"/>
          <w:szCs w:val="21"/>
          <w:u w:val="single"/>
          <w:lang w:val="en"/>
        </w:rPr>
        <w:t xml:space="preserve">  </w:t>
      </w:r>
      <w:r>
        <w:rPr>
          <w:rFonts w:hint="eastAsia" w:ascii="宋体" w:hAnsi="宋体" w:cs="宋体"/>
          <w:color w:val="auto"/>
          <w:szCs w:val="21"/>
          <w:u w:val="single"/>
        </w:rPr>
        <w:t xml:space="preserve">       </w:t>
      </w:r>
      <w:r>
        <w:rPr>
          <w:rFonts w:ascii="宋体" w:hAnsi="宋体" w:cs="宋体"/>
          <w:color w:val="auto"/>
          <w:szCs w:val="21"/>
          <w:u w:val="single"/>
          <w:lang w:val="en"/>
        </w:rPr>
        <w:t xml:space="preserve">   </w:t>
      </w:r>
    </w:p>
    <w:p w14:paraId="5D794E70">
      <w:pPr>
        <w:adjustRightInd w:val="0"/>
        <w:snapToGrid w:val="0"/>
        <w:ind w:firstLine="945" w:firstLineChars="450"/>
        <w:rPr>
          <w:rFonts w:ascii="宋体" w:hAnsi="宋体"/>
          <w:color w:val="auto"/>
          <w:szCs w:val="21"/>
          <w:u w:val="single"/>
        </w:rPr>
      </w:pPr>
      <w:r>
        <w:rPr>
          <w:rFonts w:hint="eastAsia" w:ascii="宋体" w:hAnsi="宋体"/>
          <w:color w:val="auto"/>
          <w:szCs w:val="21"/>
        </w:rPr>
        <w:t>采购标的的技术要求、商务要求具体见附件。</w:t>
      </w:r>
    </w:p>
    <w:p w14:paraId="2A17ACA4">
      <w:pPr>
        <w:adjustRightInd w:val="0"/>
        <w:snapToGrid w:val="0"/>
        <w:ind w:firstLine="945" w:firstLineChars="450"/>
        <w:rPr>
          <w:rFonts w:ascii="宋体" w:hAnsi="宋体" w:cs="宋体"/>
          <w:color w:val="auto"/>
          <w:szCs w:val="21"/>
        </w:rPr>
      </w:pPr>
      <w:r>
        <w:rPr>
          <w:rFonts w:hint="eastAsia" w:ascii="汉仪书宋二S" w:hAnsi="汉仪书宋二S" w:eastAsia="汉仪书宋二S" w:cs="汉仪书宋二S"/>
          <w:color w:val="auto"/>
          <w:szCs w:val="21"/>
        </w:rPr>
        <w:t>①</w:t>
      </w:r>
      <w:r>
        <w:rPr>
          <w:rFonts w:hint="eastAsia" w:ascii="宋体" w:hAnsi="宋体" w:cs="宋体"/>
          <w:color w:val="auto"/>
          <w:szCs w:val="21"/>
        </w:rPr>
        <w:t>涉及信息类产品，请填写该产品关键部件的品牌、型号：</w:t>
      </w:r>
    </w:p>
    <w:p w14:paraId="65E61EAE">
      <w:pPr>
        <w:adjustRightInd w:val="0"/>
        <w:snapToGrid w:val="0"/>
        <w:ind w:firstLine="420"/>
        <w:rPr>
          <w:rFonts w:ascii="宋体" w:hAnsi="宋体" w:cs="宋体"/>
          <w:color w:val="auto"/>
          <w:kern w:val="0"/>
          <w:szCs w:val="21"/>
          <w:u w:val="single"/>
        </w:rPr>
      </w:pPr>
      <w:r>
        <w:rPr>
          <w:rFonts w:hint="eastAsia" w:ascii="宋体" w:hAnsi="宋体" w:cs="宋体"/>
          <w:color w:val="auto"/>
          <w:szCs w:val="21"/>
        </w:rPr>
        <w:t xml:space="preserve">     标的名称：</w:t>
      </w:r>
      <w:r>
        <w:rPr>
          <w:rFonts w:hint="eastAsia" w:ascii="宋体" w:hAnsi="宋体" w:cs="宋体"/>
          <w:color w:val="auto"/>
          <w:kern w:val="0"/>
          <w:szCs w:val="21"/>
          <w:u w:val="single"/>
        </w:rPr>
        <w:t xml:space="preserve">      </w:t>
      </w:r>
      <w:r>
        <w:rPr>
          <w:rFonts w:ascii="宋体" w:hAnsi="宋体" w:cs="宋体"/>
          <w:color w:val="auto"/>
          <w:kern w:val="0"/>
          <w:szCs w:val="21"/>
          <w:u w:val="single"/>
          <w:lang w:val="en"/>
        </w:rPr>
        <w:t xml:space="preserve">               </w:t>
      </w:r>
      <w:r>
        <w:rPr>
          <w:rFonts w:hint="eastAsia" w:ascii="宋体" w:hAnsi="宋体" w:cs="宋体"/>
          <w:color w:val="auto"/>
          <w:kern w:val="0"/>
          <w:szCs w:val="21"/>
          <w:u w:val="single"/>
        </w:rPr>
        <w:t xml:space="preserve">    </w:t>
      </w:r>
    </w:p>
    <w:p w14:paraId="3ABFC22C">
      <w:pPr>
        <w:adjustRightInd w:val="0"/>
        <w:snapToGrid w:val="0"/>
        <w:ind w:firstLine="420"/>
        <w:rPr>
          <w:rFonts w:ascii="宋体" w:hAnsi="宋体" w:cs="宋体"/>
          <w:color w:val="auto"/>
          <w:szCs w:val="21"/>
        </w:rPr>
      </w:pPr>
      <w:r>
        <w:rPr>
          <w:rFonts w:hint="eastAsia" w:ascii="宋体" w:hAnsi="宋体" w:cs="宋体"/>
          <w:color w:val="auto"/>
          <w:szCs w:val="21"/>
        </w:rPr>
        <w:t xml:space="preserve">     关键部件：</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r>
        <w:rPr>
          <w:rFonts w:hint="eastAsia" w:ascii="宋体" w:hAnsi="宋体" w:cs="宋体"/>
          <w:color w:val="auto"/>
          <w:szCs w:val="21"/>
        </w:rPr>
        <w:t>品牌：</w:t>
      </w:r>
      <w:r>
        <w:rPr>
          <w:rFonts w:hint="eastAsia" w:ascii="宋体" w:hAnsi="宋体" w:cs="宋体"/>
          <w:color w:val="auto"/>
          <w:szCs w:val="21"/>
          <w:u w:val="single"/>
        </w:rPr>
        <w:t xml:space="preserve">        </w:t>
      </w:r>
      <w:r>
        <w:rPr>
          <w:rFonts w:hint="eastAsia" w:ascii="宋体" w:hAnsi="宋体" w:cs="宋体"/>
          <w:color w:val="auto"/>
          <w:szCs w:val="21"/>
        </w:rPr>
        <w:t xml:space="preserve"> 型号：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64F44464">
      <w:pPr>
        <w:pStyle w:val="145"/>
        <w:ind w:firstLine="420"/>
        <w:rPr>
          <w:rFonts w:ascii="宋体" w:hAnsi="宋体" w:eastAsia="宋体" w:cs="宋体"/>
          <w:color w:val="auto"/>
          <w:sz w:val="21"/>
        </w:rPr>
      </w:pPr>
      <w:r>
        <w:rPr>
          <w:rFonts w:hint="eastAsia" w:ascii="宋体" w:hAnsi="宋体" w:eastAsia="宋体" w:cs="宋体"/>
          <w:color w:val="auto"/>
          <w:sz w:val="21"/>
        </w:rPr>
        <w:t xml:space="preserve">     </w:t>
      </w:r>
      <w:r>
        <w:rPr>
          <w:rFonts w:hint="eastAsia" w:ascii="宋体" w:hAnsi="宋体" w:eastAsia="宋体" w:cs="宋体"/>
          <w:color w:val="auto"/>
          <w:kern w:val="2"/>
          <w:sz w:val="21"/>
        </w:rPr>
        <w:t>关键部件</w:t>
      </w:r>
      <w:r>
        <w:rPr>
          <w:rFonts w:hint="eastAsia" w:ascii="宋体" w:hAnsi="宋体" w:eastAsia="宋体" w:cs="宋体"/>
          <w:color w:val="auto"/>
          <w:sz w:val="21"/>
        </w:rPr>
        <w:t>：</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品牌：</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型号：</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w:t>
      </w:r>
    </w:p>
    <w:p w14:paraId="256A1AB7">
      <w:pPr>
        <w:pStyle w:val="145"/>
        <w:ind w:firstLine="420"/>
        <w:rPr>
          <w:rFonts w:ascii="宋体" w:hAnsi="宋体" w:eastAsia="宋体" w:cs="宋体"/>
          <w:color w:val="auto"/>
          <w:sz w:val="21"/>
        </w:rPr>
      </w:pPr>
      <w:r>
        <w:rPr>
          <w:rFonts w:hint="eastAsia" w:ascii="宋体" w:hAnsi="宋体" w:eastAsia="宋体" w:cs="宋体"/>
          <w:color w:val="auto"/>
          <w:sz w:val="21"/>
        </w:rPr>
        <w:t xml:space="preserve">     关键部件：</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品牌：</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型号：</w:t>
      </w:r>
      <w:r>
        <w:rPr>
          <w:rFonts w:hint="eastAsia" w:ascii="宋体" w:hAnsi="宋体" w:eastAsia="宋体" w:cs="宋体"/>
          <w:color w:val="auto"/>
          <w:sz w:val="21"/>
          <w:u w:val="single"/>
        </w:rPr>
        <w:t xml:space="preserve">       </w:t>
      </w:r>
    </w:p>
    <w:p w14:paraId="3B2813BC">
      <w:pPr>
        <w:pStyle w:val="145"/>
        <w:snapToGrid w:val="0"/>
        <w:ind w:firstLine="0" w:firstLineChars="0"/>
        <w:rPr>
          <w:rFonts w:ascii="宋体" w:hAnsi="宋体" w:eastAsia="宋体" w:cs="宋体"/>
          <w:color w:val="auto"/>
          <w:sz w:val="21"/>
        </w:rPr>
      </w:pPr>
      <w:r>
        <w:rPr>
          <w:rFonts w:hint="eastAsia" w:ascii="宋体" w:hAnsi="宋体" w:eastAsia="宋体" w:cs="宋体"/>
          <w:color w:val="auto"/>
          <w:sz w:val="21"/>
        </w:rPr>
        <w:t xml:space="preserve">   （注：关键部件是指财政部会同有关部门发布的政府采购需求标准规定的需要通过国家有关部门指定的测评机构开展的安全可靠测评的软硬件，如CPU芯片、操作系统、数据库等。）</w:t>
      </w:r>
    </w:p>
    <w:p w14:paraId="3A53ABE2">
      <w:pPr>
        <w:pStyle w:val="145"/>
        <w:snapToGrid w:val="0"/>
        <w:ind w:firstLine="0" w:firstLineChars="0"/>
        <w:rPr>
          <w:rFonts w:ascii="宋体" w:hAnsi="宋体" w:eastAsia="宋体" w:cs="宋体"/>
          <w:color w:val="auto"/>
          <w:sz w:val="21"/>
        </w:rPr>
      </w:pPr>
      <w:r>
        <w:rPr>
          <w:rFonts w:hint="eastAsia" w:ascii="宋体" w:hAnsi="宋体" w:eastAsia="宋体" w:cs="宋体"/>
          <w:color w:val="auto"/>
          <w:sz w:val="21"/>
        </w:rPr>
        <w:t xml:space="preserve">         </w:t>
      </w:r>
      <w:r>
        <w:rPr>
          <w:rFonts w:hint="eastAsia" w:ascii="汉仪书宋二S" w:hAnsi="汉仪书宋二S" w:eastAsia="汉仪书宋二S" w:cs="汉仪书宋二S"/>
          <w:color w:val="auto"/>
          <w:sz w:val="21"/>
        </w:rPr>
        <w:t>②</w:t>
      </w:r>
      <w:r>
        <w:rPr>
          <w:rFonts w:hint="eastAsia" w:ascii="宋体" w:hAnsi="宋体" w:eastAsia="宋体" w:cs="宋体"/>
          <w:color w:val="auto"/>
          <w:sz w:val="21"/>
        </w:rPr>
        <w:t>涉及车辆采购，请填写是否属于新能源汽车：</w:t>
      </w:r>
    </w:p>
    <w:p w14:paraId="1A0E4F56">
      <w:pPr>
        <w:pStyle w:val="145"/>
        <w:snapToGrid w:val="0"/>
        <w:ind w:firstLine="0" w:firstLineChars="0"/>
        <w:rPr>
          <w:rFonts w:ascii="宋体" w:hAnsi="宋体" w:eastAsia="宋体" w:cs="宋体"/>
          <w:color w:val="auto"/>
          <w:sz w:val="21"/>
        </w:rPr>
      </w:pPr>
      <w:r>
        <w:rPr>
          <w:rFonts w:hint="eastAsia" w:ascii="宋体" w:hAnsi="宋体" w:eastAsia="宋体" w:cs="宋体"/>
          <w:color w:val="auto"/>
          <w:sz w:val="21"/>
        </w:rPr>
        <w:t xml:space="preserve">         </w:t>
      </w:r>
      <w:r>
        <w:rPr>
          <w:rFonts w:hint="eastAsia" w:ascii="宋体" w:hAnsi="宋体" w:eastAsia="宋体" w:cs="宋体"/>
          <w:color w:val="auto"/>
          <w:sz w:val="21"/>
        </w:rPr>
        <w:sym w:font="Wingdings" w:char="00A8"/>
      </w:r>
      <w:r>
        <w:rPr>
          <w:rFonts w:hint="eastAsia" w:ascii="宋体" w:hAnsi="宋体" w:eastAsia="宋体" w:cs="宋体"/>
          <w:color w:val="auto"/>
          <w:sz w:val="21"/>
        </w:rPr>
        <w:t>是，《政府采购品目分类目录》底级品目名称：</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数量：</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金额：</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w:t>
      </w:r>
    </w:p>
    <w:p w14:paraId="0C32A296">
      <w:pPr>
        <w:pStyle w:val="145"/>
        <w:snapToGrid w:val="0"/>
        <w:ind w:firstLine="0" w:firstLineChars="0"/>
        <w:rPr>
          <w:rFonts w:ascii="宋体" w:hAnsi="宋体" w:eastAsia="宋体" w:cs="宋体"/>
          <w:color w:val="auto"/>
          <w:sz w:val="21"/>
        </w:rPr>
      </w:pPr>
      <w:r>
        <w:rPr>
          <w:rFonts w:hint="eastAsia" w:ascii="宋体" w:hAnsi="宋体" w:eastAsia="宋体" w:cs="宋体"/>
          <w:color w:val="auto"/>
          <w:sz w:val="21"/>
        </w:rPr>
        <w:t xml:space="preserve">         </w:t>
      </w:r>
      <w:r>
        <w:rPr>
          <w:rFonts w:hint="eastAsia" w:ascii="宋体" w:hAnsi="宋体" w:eastAsia="宋体" w:cs="宋体"/>
          <w:color w:val="auto"/>
          <w:sz w:val="21"/>
        </w:rPr>
        <w:sym w:font="Wingdings" w:char="00A8"/>
      </w:r>
      <w:r>
        <w:rPr>
          <w:rFonts w:hint="eastAsia" w:ascii="宋体" w:hAnsi="宋体" w:eastAsia="宋体" w:cs="宋体"/>
          <w:color w:val="auto"/>
          <w:sz w:val="21"/>
        </w:rPr>
        <w:t>否</w:t>
      </w:r>
    </w:p>
    <w:p w14:paraId="4169A57C">
      <w:pPr>
        <w:pStyle w:val="145"/>
        <w:snapToGrid w:val="0"/>
        <w:ind w:firstLine="0" w:firstLineChars="0"/>
        <w:rPr>
          <w:rFonts w:ascii="宋体" w:hAnsi="宋体" w:eastAsia="宋体" w:cs="宋体"/>
          <w:color w:val="auto"/>
          <w:sz w:val="21"/>
        </w:rPr>
      </w:pPr>
      <w:r>
        <w:rPr>
          <w:rFonts w:hint="eastAsia" w:ascii="宋体" w:hAnsi="宋体" w:eastAsia="宋体" w:cs="宋体"/>
          <w:color w:val="auto"/>
          <w:sz w:val="21"/>
        </w:rPr>
        <w:t xml:space="preserve">    （</w:t>
      </w:r>
      <w:r>
        <w:rPr>
          <w:rFonts w:ascii="宋体" w:hAnsi="宋体" w:eastAsia="宋体" w:cs="宋体"/>
          <w:color w:val="auto"/>
          <w:sz w:val="21"/>
          <w:lang w:val="en"/>
        </w:rPr>
        <w:t>4</w:t>
      </w:r>
      <w:r>
        <w:rPr>
          <w:rFonts w:hint="eastAsia" w:ascii="宋体" w:hAnsi="宋体" w:eastAsia="宋体" w:cs="宋体"/>
          <w:color w:val="auto"/>
          <w:sz w:val="21"/>
        </w:rPr>
        <w:t>）政府采购组织形式：</w:t>
      </w:r>
      <w:r>
        <w:rPr>
          <w:rFonts w:hint="eastAsia" w:ascii="宋体" w:hAnsi="宋体" w:eastAsia="宋体" w:cs="宋体"/>
          <w:color w:val="auto"/>
          <w:sz w:val="21"/>
        </w:rPr>
        <w:sym w:font="Wingdings" w:char="00A8"/>
      </w:r>
      <w:r>
        <w:rPr>
          <w:rFonts w:hint="eastAsia" w:ascii="宋体" w:hAnsi="宋体" w:eastAsia="宋体" w:cs="宋体"/>
          <w:color w:val="auto"/>
          <w:sz w:val="21"/>
        </w:rPr>
        <w:t xml:space="preserve">政府集中采购  </w:t>
      </w:r>
      <w:r>
        <w:rPr>
          <w:rFonts w:hint="eastAsia" w:ascii="宋体" w:hAnsi="宋体" w:eastAsia="宋体" w:cs="宋体"/>
          <w:color w:val="auto"/>
          <w:sz w:val="21"/>
        </w:rPr>
        <w:sym w:font="Wingdings" w:char="00A8"/>
      </w:r>
      <w:r>
        <w:rPr>
          <w:rFonts w:hint="eastAsia" w:ascii="宋体" w:hAnsi="宋体" w:eastAsia="宋体" w:cs="宋体"/>
          <w:color w:val="auto"/>
          <w:sz w:val="21"/>
        </w:rPr>
        <w:t xml:space="preserve">部门集中采购  </w:t>
      </w:r>
      <w:r>
        <w:rPr>
          <w:rFonts w:hint="eastAsia" w:ascii="宋体" w:hAnsi="宋体" w:eastAsia="宋体" w:cs="宋体"/>
          <w:color w:val="auto"/>
          <w:sz w:val="21"/>
        </w:rPr>
        <w:sym w:font="Wingdings" w:char="00A8"/>
      </w:r>
      <w:r>
        <w:rPr>
          <w:rFonts w:hint="eastAsia" w:ascii="宋体" w:hAnsi="宋体" w:eastAsia="宋体" w:cs="宋体"/>
          <w:color w:val="auto"/>
          <w:sz w:val="21"/>
        </w:rPr>
        <w:t>分散采购</w:t>
      </w:r>
    </w:p>
    <w:p w14:paraId="1C3881B2">
      <w:pPr>
        <w:pStyle w:val="145"/>
        <w:snapToGrid w:val="0"/>
        <w:ind w:firstLine="420" w:firstLineChars="0"/>
        <w:rPr>
          <w:rFonts w:ascii="宋体" w:hAnsi="宋体" w:eastAsia="宋体" w:cs="宋体"/>
          <w:color w:val="auto"/>
          <w:sz w:val="21"/>
        </w:rPr>
      </w:pPr>
      <w:r>
        <w:rPr>
          <w:rFonts w:hint="eastAsia" w:ascii="宋体" w:hAnsi="宋体" w:eastAsia="宋体" w:cs="宋体"/>
          <w:color w:val="auto"/>
          <w:sz w:val="21"/>
        </w:rPr>
        <w:t>（</w:t>
      </w:r>
      <w:r>
        <w:rPr>
          <w:rFonts w:ascii="宋体" w:hAnsi="宋体" w:eastAsia="宋体" w:cs="宋体"/>
          <w:color w:val="auto"/>
          <w:sz w:val="21"/>
          <w:lang w:val="en"/>
        </w:rPr>
        <w:t>5</w:t>
      </w:r>
      <w:r>
        <w:rPr>
          <w:rFonts w:hint="eastAsia" w:ascii="宋体" w:hAnsi="宋体" w:eastAsia="宋体" w:cs="宋体"/>
          <w:color w:val="auto"/>
          <w:sz w:val="21"/>
        </w:rPr>
        <w:t>）政府采购方式：</w:t>
      </w:r>
      <w:r>
        <w:rPr>
          <w:rFonts w:hint="eastAsia" w:ascii="宋体" w:hAnsi="宋体" w:eastAsia="宋体" w:cs="宋体"/>
          <w:color w:val="auto"/>
          <w:sz w:val="21"/>
        </w:rPr>
        <w:sym w:font="Wingdings" w:char="00A8"/>
      </w:r>
      <w:r>
        <w:rPr>
          <w:rFonts w:hint="eastAsia" w:ascii="宋体" w:hAnsi="宋体" w:eastAsia="宋体" w:cs="宋体"/>
          <w:color w:val="auto"/>
          <w:sz w:val="21"/>
        </w:rPr>
        <w:t xml:space="preserve">公开招标 </w:t>
      </w:r>
      <w:r>
        <w:rPr>
          <w:rFonts w:hint="eastAsia" w:ascii="宋体" w:hAnsi="宋体" w:eastAsia="宋体" w:cs="宋体"/>
          <w:color w:val="auto"/>
          <w:sz w:val="21"/>
        </w:rPr>
        <w:sym w:font="Wingdings" w:char="00A8"/>
      </w:r>
      <w:r>
        <w:rPr>
          <w:rFonts w:hint="eastAsia" w:ascii="宋体" w:hAnsi="宋体" w:eastAsia="宋体" w:cs="宋体"/>
          <w:color w:val="auto"/>
          <w:sz w:val="21"/>
        </w:rPr>
        <w:t xml:space="preserve">邀请招标 </w:t>
      </w:r>
      <w:r>
        <w:rPr>
          <w:rFonts w:hint="eastAsia" w:ascii="宋体" w:hAnsi="宋体" w:eastAsia="宋体" w:cs="宋体"/>
          <w:color w:val="auto"/>
          <w:sz w:val="21"/>
        </w:rPr>
        <w:sym w:font="Wingdings" w:char="00A8"/>
      </w:r>
      <w:r>
        <w:rPr>
          <w:rFonts w:hint="eastAsia" w:ascii="宋体" w:hAnsi="宋体" w:eastAsia="宋体" w:cs="宋体"/>
          <w:color w:val="auto"/>
          <w:sz w:val="21"/>
        </w:rPr>
        <w:t xml:space="preserve">竞争性谈判 </w:t>
      </w:r>
      <w:r>
        <w:rPr>
          <w:rFonts w:hint="eastAsia" w:ascii="宋体" w:hAnsi="宋体" w:eastAsia="宋体" w:cs="宋体"/>
          <w:color w:val="auto"/>
          <w:sz w:val="21"/>
        </w:rPr>
        <w:sym w:font="Wingdings" w:char="00A8"/>
      </w:r>
      <w:r>
        <w:rPr>
          <w:rFonts w:hint="eastAsia" w:ascii="宋体" w:hAnsi="宋体" w:eastAsia="宋体" w:cs="宋体"/>
          <w:color w:val="auto"/>
          <w:sz w:val="21"/>
        </w:rPr>
        <w:t>竞争性磋商</w:t>
      </w:r>
    </w:p>
    <w:p w14:paraId="63395795">
      <w:pPr>
        <w:pStyle w:val="145"/>
        <w:snapToGrid w:val="0"/>
        <w:ind w:firstLine="420" w:firstLineChars="0"/>
        <w:rPr>
          <w:rFonts w:ascii="宋体" w:hAnsi="宋体" w:eastAsia="宋体" w:cs="宋体"/>
          <w:color w:val="auto"/>
          <w:sz w:val="21"/>
          <w:u w:val="single"/>
        </w:rPr>
      </w:pPr>
      <w:r>
        <w:rPr>
          <w:rFonts w:hint="eastAsia" w:ascii="宋体" w:hAnsi="宋体" w:cs="宋体"/>
          <w:color w:val="auto"/>
        </w:rPr>
        <w:t xml:space="preserve">                  </w:t>
      </w:r>
      <w:r>
        <w:rPr>
          <w:rFonts w:hint="eastAsia" w:ascii="宋体" w:hAnsi="宋体" w:eastAsia="宋体" w:cs="宋体"/>
          <w:color w:val="auto"/>
          <w:sz w:val="21"/>
        </w:rPr>
        <w:sym w:font="Wingdings" w:char="00A8"/>
      </w:r>
      <w:r>
        <w:rPr>
          <w:rFonts w:hint="eastAsia" w:ascii="宋体" w:hAnsi="宋体" w:eastAsia="宋体" w:cs="宋体"/>
          <w:color w:val="auto"/>
          <w:sz w:val="21"/>
        </w:rPr>
        <w:t xml:space="preserve">询价 </w:t>
      </w:r>
      <w:r>
        <w:rPr>
          <w:rFonts w:hint="eastAsia" w:ascii="宋体" w:hAnsi="宋体" w:eastAsia="宋体" w:cs="宋体"/>
          <w:color w:val="auto"/>
          <w:sz w:val="21"/>
        </w:rPr>
        <w:sym w:font="Wingdings" w:char="00A8"/>
      </w:r>
      <w:r>
        <w:rPr>
          <w:rFonts w:hint="eastAsia" w:ascii="宋体" w:hAnsi="宋体" w:eastAsia="宋体" w:cs="宋体"/>
          <w:color w:val="auto"/>
          <w:sz w:val="21"/>
        </w:rPr>
        <w:t xml:space="preserve">单一来源 </w:t>
      </w:r>
      <w:r>
        <w:rPr>
          <w:rFonts w:hint="eastAsia" w:ascii="宋体" w:hAnsi="宋体" w:eastAsia="宋体" w:cs="宋体"/>
          <w:color w:val="auto"/>
          <w:sz w:val="21"/>
        </w:rPr>
        <w:sym w:font="Wingdings" w:char="00A8"/>
      </w:r>
      <w:r>
        <w:rPr>
          <w:rFonts w:hint="eastAsia" w:ascii="宋体" w:hAnsi="宋体" w:eastAsia="宋体" w:cs="宋体"/>
          <w:color w:val="auto"/>
          <w:sz w:val="21"/>
        </w:rPr>
        <w:t xml:space="preserve">框架协议 </w:t>
      </w:r>
      <w:r>
        <w:rPr>
          <w:rFonts w:hint="eastAsia" w:ascii="宋体" w:hAnsi="宋体" w:eastAsia="宋体" w:cs="宋体"/>
          <w:color w:val="auto"/>
          <w:sz w:val="21"/>
        </w:rPr>
        <w:sym w:font="Wingdings" w:char="00A8"/>
      </w:r>
      <w:r>
        <w:rPr>
          <w:rFonts w:hint="eastAsia" w:ascii="宋体" w:hAnsi="宋体" w:eastAsia="宋体" w:cs="宋体"/>
          <w:color w:val="auto"/>
          <w:sz w:val="21"/>
        </w:rPr>
        <w:t>其他：</w:t>
      </w:r>
      <w:r>
        <w:rPr>
          <w:rFonts w:hint="eastAsia" w:ascii="宋体" w:hAnsi="宋体" w:eastAsia="宋体" w:cs="宋体"/>
          <w:color w:val="auto"/>
          <w:sz w:val="21"/>
          <w:u w:val="single"/>
        </w:rPr>
        <w:t xml:space="preserve">          </w:t>
      </w:r>
    </w:p>
    <w:p w14:paraId="33468CBC">
      <w:pPr>
        <w:pStyle w:val="145"/>
        <w:snapToGrid w:val="0"/>
        <w:ind w:firstLine="420" w:firstLineChars="0"/>
        <w:rPr>
          <w:rFonts w:ascii="宋体" w:hAnsi="宋体" w:eastAsia="宋体" w:cs="宋体"/>
          <w:color w:val="auto"/>
          <w:sz w:val="21"/>
        </w:rPr>
      </w:pPr>
      <w:r>
        <w:rPr>
          <w:rFonts w:hint="eastAsia" w:ascii="宋体" w:hAnsi="宋体" w:eastAsia="宋体" w:cs="宋体"/>
          <w:color w:val="auto"/>
          <w:sz w:val="21"/>
        </w:rPr>
        <w:t>（注：在框架协议采购的第二阶段，可选择使用该合同文本）</w:t>
      </w:r>
    </w:p>
    <w:p w14:paraId="4DE9B719">
      <w:pPr>
        <w:pStyle w:val="145"/>
        <w:snapToGrid w:val="0"/>
        <w:ind w:firstLine="220" w:firstLineChars="100"/>
        <w:rPr>
          <w:rFonts w:ascii="宋体" w:hAnsi="宋体" w:eastAsia="宋体" w:cs="Times New Roman"/>
          <w:color w:val="auto"/>
          <w:kern w:val="2"/>
          <w:sz w:val="21"/>
        </w:rPr>
      </w:pPr>
      <w:r>
        <w:rPr>
          <w:rFonts w:hint="eastAsia" w:ascii="宋体" w:hAnsi="宋体"/>
          <w:color w:val="auto"/>
        </w:rPr>
        <w:t xml:space="preserve"> （</w:t>
      </w:r>
      <w:r>
        <w:rPr>
          <w:rFonts w:ascii="宋体" w:hAnsi="宋体"/>
          <w:color w:val="auto"/>
          <w:lang w:val="en"/>
        </w:rPr>
        <w:t>6</w:t>
      </w:r>
      <w:r>
        <w:rPr>
          <w:rFonts w:hint="eastAsia" w:ascii="宋体" w:hAnsi="宋体"/>
          <w:color w:val="auto"/>
        </w:rPr>
        <w:t>）</w:t>
      </w:r>
      <w:r>
        <w:rPr>
          <w:rFonts w:hint="eastAsia" w:ascii="宋体" w:hAnsi="宋体" w:eastAsia="宋体" w:cs="Times New Roman"/>
          <w:color w:val="auto"/>
          <w:kern w:val="2"/>
          <w:sz w:val="21"/>
        </w:rPr>
        <w:t>中标（成交）采购标的制造商是否为中小企业：</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 xml:space="preserve">是      </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否</w:t>
      </w:r>
    </w:p>
    <w:p w14:paraId="3F4D5D62">
      <w:pPr>
        <w:adjustRightInd w:val="0"/>
        <w:snapToGrid w:val="0"/>
        <w:rPr>
          <w:rFonts w:ascii="宋体" w:hAnsi="宋体"/>
          <w:iCs/>
          <w:color w:val="auto"/>
          <w:szCs w:val="21"/>
        </w:rPr>
      </w:pPr>
      <w:r>
        <w:rPr>
          <w:rFonts w:hint="eastAsia" w:ascii="宋体" w:hAnsi="宋体"/>
          <w:color w:val="auto"/>
          <w:szCs w:val="21"/>
        </w:rPr>
        <w:t xml:space="preserve">         本合同是否为专门面向中小企业的采购合同（中小企业预留合同）：</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5B811F01">
      <w:pPr>
        <w:adjustRightInd w:val="0"/>
        <w:snapToGrid w:val="0"/>
        <w:rPr>
          <w:rFonts w:ascii="宋体" w:hAnsi="宋体"/>
          <w:iCs/>
          <w:color w:val="auto"/>
          <w:szCs w:val="21"/>
        </w:rPr>
      </w:pPr>
      <w:r>
        <w:rPr>
          <w:rFonts w:hint="eastAsia"/>
          <w:color w:val="auto"/>
        </w:rPr>
        <w:t xml:space="preserve">         若本项目不专门面向中小企业采购，是否给予小微企业评审优惠：</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338165E4">
      <w:pPr>
        <w:adjustRightInd w:val="0"/>
        <w:snapToGrid w:val="0"/>
        <w:rPr>
          <w:rFonts w:ascii="宋体" w:hAnsi="宋体"/>
          <w:iCs/>
          <w:color w:val="auto"/>
          <w:szCs w:val="21"/>
        </w:rPr>
      </w:pPr>
      <w:r>
        <w:rPr>
          <w:rFonts w:hint="eastAsia"/>
          <w:color w:val="auto"/>
        </w:rPr>
        <w:t xml:space="preserve">         中标（成交）采购标的制造商是否为残疾人福利性单位：</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3FA61269">
      <w:pPr>
        <w:snapToGrid w:val="0"/>
        <w:ind w:firstLine="420"/>
        <w:rPr>
          <w:color w:val="auto"/>
        </w:rPr>
      </w:pPr>
      <w:r>
        <w:rPr>
          <w:rFonts w:hint="eastAsia"/>
          <w:color w:val="auto"/>
        </w:rPr>
        <w:t xml:space="preserve">         中标（成交）采购标的制造商是否为监狱企业：</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0600FDD8">
      <w:pPr>
        <w:adjustRightInd w:val="0"/>
        <w:snapToGrid w:val="0"/>
        <w:ind w:firstLine="420"/>
        <w:rPr>
          <w:rFonts w:ascii="宋体" w:hAnsi="宋体"/>
          <w:color w:val="auto"/>
          <w:szCs w:val="21"/>
        </w:rPr>
      </w:pPr>
      <w:r>
        <w:rPr>
          <w:rFonts w:hint="eastAsia" w:ascii="宋体" w:hAnsi="宋体"/>
          <w:color w:val="auto"/>
          <w:szCs w:val="21"/>
        </w:rPr>
        <w:t>（</w:t>
      </w:r>
      <w:r>
        <w:rPr>
          <w:rFonts w:ascii="宋体" w:hAnsi="宋体"/>
          <w:color w:val="auto"/>
          <w:szCs w:val="21"/>
          <w:lang w:val="en"/>
        </w:rPr>
        <w:t>7</w:t>
      </w:r>
      <w:r>
        <w:rPr>
          <w:rFonts w:hint="eastAsia" w:ascii="宋体" w:hAnsi="宋体"/>
          <w:color w:val="auto"/>
          <w:szCs w:val="21"/>
        </w:rPr>
        <w:t>）合同是否分包：</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FE"/>
      </w:r>
      <w:r>
        <w:rPr>
          <w:rFonts w:hint="eastAsia" w:ascii="宋体" w:hAnsi="宋体"/>
          <w:iCs/>
          <w:color w:val="auto"/>
          <w:szCs w:val="21"/>
        </w:rPr>
        <w:t>否</w:t>
      </w:r>
    </w:p>
    <w:p w14:paraId="798E19BC">
      <w:pPr>
        <w:adjustRightInd w:val="0"/>
        <w:snapToGrid w:val="0"/>
        <w:ind w:firstLine="840" w:firstLineChars="400"/>
        <w:rPr>
          <w:rFonts w:ascii="宋体" w:hAnsi="宋体"/>
          <w:color w:val="auto"/>
          <w:szCs w:val="21"/>
          <w:u w:val="single"/>
        </w:rPr>
      </w:pPr>
      <w:r>
        <w:rPr>
          <w:rFonts w:hint="eastAsia" w:ascii="宋体" w:hAnsi="宋体"/>
          <w:color w:val="auto"/>
          <w:szCs w:val="21"/>
        </w:rPr>
        <w:t xml:space="preserve"> 分包主要内容：</w:t>
      </w:r>
      <w:r>
        <w:rPr>
          <w:rFonts w:hint="eastAsia" w:ascii="宋体" w:hAnsi="宋体"/>
          <w:color w:val="auto"/>
          <w:szCs w:val="21"/>
          <w:u w:val="single"/>
        </w:rPr>
        <w:t xml:space="preserve">                                            </w:t>
      </w:r>
    </w:p>
    <w:p w14:paraId="5999A9C9">
      <w:pPr>
        <w:adjustRightInd w:val="0"/>
        <w:snapToGrid w:val="0"/>
        <w:ind w:firstLine="840" w:firstLineChars="400"/>
        <w:rPr>
          <w:rFonts w:ascii="宋体" w:hAnsi="宋体"/>
          <w:color w:val="auto"/>
          <w:szCs w:val="21"/>
        </w:rPr>
      </w:pPr>
      <w:r>
        <w:rPr>
          <w:rFonts w:hint="eastAsia" w:ascii="宋体" w:hAnsi="宋体"/>
          <w:color w:val="auto"/>
          <w:szCs w:val="21"/>
        </w:rPr>
        <w:t xml:space="preserve"> 分包供应商/制造商名称（如供应商和制造商不同，请分别填写）：</w:t>
      </w:r>
    </w:p>
    <w:p w14:paraId="46E3BD00">
      <w:pPr>
        <w:adjustRightInd w:val="0"/>
        <w:snapToGrid w:val="0"/>
        <w:ind w:firstLine="840" w:firstLineChars="400"/>
        <w:rPr>
          <w:rFonts w:ascii="宋体" w:hAnsi="宋体"/>
          <w:color w:val="auto"/>
          <w:szCs w:val="21"/>
          <w:u w:val="single"/>
        </w:rPr>
      </w:pPr>
      <w:r>
        <w:rPr>
          <w:rFonts w:hint="eastAsia" w:ascii="宋体" w:hAnsi="宋体"/>
          <w:color w:val="auto"/>
          <w:szCs w:val="21"/>
        </w:rPr>
        <w:t xml:space="preserve"> </w:t>
      </w:r>
      <w:r>
        <w:rPr>
          <w:rFonts w:hint="eastAsia" w:ascii="宋体" w:hAnsi="宋体"/>
          <w:color w:val="auto"/>
          <w:szCs w:val="21"/>
          <w:u w:val="single"/>
        </w:rPr>
        <w:t xml:space="preserve">                                                          </w:t>
      </w:r>
    </w:p>
    <w:p w14:paraId="77422C83">
      <w:pPr>
        <w:adjustRightInd w:val="0"/>
        <w:snapToGrid w:val="0"/>
        <w:ind w:firstLine="840" w:firstLineChars="400"/>
        <w:rPr>
          <w:rFonts w:ascii="宋体" w:hAnsi="宋体"/>
          <w:color w:val="auto"/>
          <w:szCs w:val="21"/>
        </w:rPr>
      </w:pPr>
      <w:r>
        <w:rPr>
          <w:rFonts w:hint="eastAsia" w:ascii="宋体" w:hAnsi="宋体"/>
          <w:color w:val="auto"/>
          <w:szCs w:val="21"/>
        </w:rPr>
        <w:t xml:space="preserve"> 分包供应商/制造商类型（如果供应商和制造商不同，只填写制造商类型）：</w:t>
      </w:r>
    </w:p>
    <w:p w14:paraId="1C30B504">
      <w:pPr>
        <w:adjustRightInd w:val="0"/>
        <w:snapToGrid w:val="0"/>
        <w:ind w:firstLine="840" w:firstLineChars="400"/>
        <w:rPr>
          <w:rFonts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大型企业  </w:t>
      </w:r>
      <w:r>
        <w:rPr>
          <w:rFonts w:hint="eastAsia" w:ascii="宋体" w:hAnsi="宋体"/>
          <w:iCs/>
          <w:color w:val="auto"/>
          <w:szCs w:val="21"/>
        </w:rPr>
        <w:sym w:font="Wingdings" w:char="00A8"/>
      </w:r>
      <w:r>
        <w:rPr>
          <w:rFonts w:hint="eastAsia" w:ascii="宋体" w:hAnsi="宋体"/>
          <w:iCs/>
          <w:color w:val="auto"/>
          <w:szCs w:val="21"/>
        </w:rPr>
        <w:t xml:space="preserve">中型企业  </w:t>
      </w:r>
      <w:r>
        <w:rPr>
          <w:rFonts w:hint="eastAsia" w:ascii="宋体" w:hAnsi="宋体"/>
          <w:iCs/>
          <w:color w:val="auto"/>
          <w:szCs w:val="21"/>
        </w:rPr>
        <w:sym w:font="Wingdings" w:char="00A8"/>
      </w:r>
      <w:r>
        <w:rPr>
          <w:rFonts w:hint="eastAsia" w:ascii="宋体" w:hAnsi="宋体"/>
          <w:iCs/>
          <w:color w:val="auto"/>
          <w:szCs w:val="21"/>
        </w:rPr>
        <w:t xml:space="preserve">小微型企业  </w:t>
      </w:r>
    </w:p>
    <w:p w14:paraId="312DC3BB">
      <w:pPr>
        <w:adjustRightInd w:val="0"/>
        <w:snapToGrid w:val="0"/>
        <w:ind w:firstLine="840" w:firstLineChars="400"/>
        <w:rPr>
          <w:rFonts w:eastAsia="华文楷体"/>
          <w:color w:val="auto"/>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残疾人福利性单位 </w:t>
      </w:r>
      <w:r>
        <w:rPr>
          <w:rFonts w:hint="eastAsia" w:ascii="宋体" w:hAnsi="宋体"/>
          <w:iCs/>
          <w:color w:val="auto"/>
          <w:szCs w:val="21"/>
        </w:rPr>
        <w:sym w:font="Wingdings" w:char="00A8"/>
      </w:r>
      <w:r>
        <w:rPr>
          <w:rFonts w:hint="eastAsia" w:ascii="宋体" w:hAnsi="宋体"/>
          <w:iCs/>
          <w:color w:val="auto"/>
          <w:szCs w:val="21"/>
        </w:rPr>
        <w:t xml:space="preserve">监狱企业 </w:t>
      </w:r>
      <w:r>
        <w:rPr>
          <w:rFonts w:hint="eastAsia" w:ascii="宋体" w:hAnsi="宋体"/>
          <w:iCs/>
          <w:color w:val="auto"/>
          <w:szCs w:val="21"/>
        </w:rPr>
        <w:sym w:font="Wingdings" w:char="00A8"/>
      </w:r>
      <w:r>
        <w:rPr>
          <w:rFonts w:hint="eastAsia" w:ascii="宋体" w:hAnsi="宋体"/>
          <w:iCs/>
          <w:color w:val="auto"/>
          <w:szCs w:val="21"/>
        </w:rPr>
        <w:t>其他</w:t>
      </w:r>
    </w:p>
    <w:p w14:paraId="026D7CB0">
      <w:pPr>
        <w:adjustRightInd w:val="0"/>
        <w:snapToGrid w:val="0"/>
        <w:rPr>
          <w:rFonts w:ascii="宋体" w:hAnsi="宋体" w:cs="宋体"/>
          <w:iCs/>
          <w:color w:val="auto"/>
          <w:szCs w:val="21"/>
        </w:rPr>
      </w:pPr>
      <w:r>
        <w:rPr>
          <w:rFonts w:hint="eastAsia" w:ascii="宋体" w:hAnsi="宋体"/>
          <w:color w:val="auto"/>
          <w:szCs w:val="21"/>
        </w:rPr>
        <w:t xml:space="preserve">    </w:t>
      </w:r>
      <w:r>
        <w:rPr>
          <w:rFonts w:hint="eastAsia" w:ascii="宋体" w:hAnsi="宋体" w:cs="宋体"/>
          <w:color w:val="auto"/>
          <w:szCs w:val="21"/>
        </w:rPr>
        <w:t>（</w:t>
      </w:r>
      <w:r>
        <w:rPr>
          <w:rFonts w:ascii="宋体" w:hAnsi="宋体" w:cs="宋体"/>
          <w:color w:val="auto"/>
          <w:szCs w:val="21"/>
          <w:lang w:val="en"/>
        </w:rPr>
        <w:t>8</w:t>
      </w:r>
      <w:r>
        <w:rPr>
          <w:rFonts w:hint="eastAsia" w:ascii="宋体" w:hAnsi="宋体" w:cs="宋体"/>
          <w:color w:val="auto"/>
          <w:szCs w:val="21"/>
        </w:rPr>
        <w:t>）中标（成交）供应商是否为外商投资企业：</w:t>
      </w:r>
      <w:r>
        <w:rPr>
          <w:rFonts w:hint="eastAsia" w:ascii="宋体" w:hAnsi="宋体" w:cs="宋体"/>
          <w:iCs/>
          <w:color w:val="auto"/>
          <w:szCs w:val="21"/>
        </w:rPr>
        <w:sym w:font="Wingdings" w:char="00A8"/>
      </w:r>
      <w:r>
        <w:rPr>
          <w:rFonts w:hint="eastAsia" w:ascii="宋体" w:hAnsi="宋体" w:cs="宋体"/>
          <w:iCs/>
          <w:color w:val="auto"/>
          <w:szCs w:val="21"/>
        </w:rPr>
        <w:t xml:space="preserve">是       </w:t>
      </w:r>
      <w:r>
        <w:rPr>
          <w:rFonts w:hint="eastAsia" w:ascii="宋体" w:hAnsi="宋体" w:cs="宋体"/>
          <w:iCs/>
          <w:color w:val="auto"/>
          <w:szCs w:val="21"/>
        </w:rPr>
        <w:sym w:font="Wingdings" w:char="00A8"/>
      </w:r>
      <w:r>
        <w:rPr>
          <w:rFonts w:hint="eastAsia" w:ascii="宋体" w:hAnsi="宋体" w:cs="宋体"/>
          <w:iCs/>
          <w:color w:val="auto"/>
          <w:szCs w:val="21"/>
        </w:rPr>
        <w:t>否</w:t>
      </w:r>
    </w:p>
    <w:p w14:paraId="387DA20A">
      <w:pPr>
        <w:pStyle w:val="145"/>
        <w:tabs>
          <w:tab w:val="left" w:pos="1340"/>
        </w:tabs>
        <w:ind w:firstLine="420"/>
        <w:rPr>
          <w:rFonts w:ascii="宋体" w:hAnsi="宋体" w:eastAsia="宋体" w:cs="宋体"/>
          <w:color w:val="auto"/>
          <w:sz w:val="21"/>
          <w:u w:val="single"/>
        </w:rPr>
      </w:pPr>
      <w:r>
        <w:rPr>
          <w:rFonts w:hint="eastAsia" w:ascii="宋体" w:hAnsi="宋体" w:eastAsia="宋体" w:cs="宋体"/>
          <w:color w:val="auto"/>
          <w:sz w:val="21"/>
        </w:rPr>
        <w:t xml:space="preserve">     外商投资企业类型：</w:t>
      </w:r>
      <w:r>
        <w:rPr>
          <w:rFonts w:hint="eastAsia" w:ascii="宋体" w:hAnsi="宋体" w:eastAsia="宋体" w:cs="宋体"/>
          <w:iCs/>
          <w:color w:val="auto"/>
          <w:sz w:val="21"/>
        </w:rPr>
        <w:sym w:font="Wingdings" w:char="00A8"/>
      </w:r>
      <w:r>
        <w:rPr>
          <w:rFonts w:hint="eastAsia" w:ascii="宋体" w:hAnsi="宋体" w:eastAsia="宋体" w:cs="宋体"/>
          <w:color w:val="auto"/>
          <w:sz w:val="21"/>
        </w:rPr>
        <w:t xml:space="preserve">全部由外国投资者投资  </w:t>
      </w:r>
      <w:r>
        <w:rPr>
          <w:rFonts w:hint="eastAsia" w:ascii="宋体" w:hAnsi="宋体" w:eastAsia="宋体" w:cs="宋体"/>
          <w:iCs/>
          <w:color w:val="auto"/>
          <w:sz w:val="21"/>
        </w:rPr>
        <w:sym w:font="Wingdings" w:char="00A8"/>
      </w:r>
      <w:r>
        <w:rPr>
          <w:rFonts w:hint="eastAsia" w:ascii="宋体" w:hAnsi="宋体" w:eastAsia="宋体" w:cs="宋体"/>
          <w:iCs/>
          <w:color w:val="auto"/>
          <w:sz w:val="21"/>
        </w:rPr>
        <w:t>部分由外国投资者投资</w:t>
      </w:r>
    </w:p>
    <w:p w14:paraId="1B1EDE04">
      <w:pPr>
        <w:adjustRightInd w:val="0"/>
        <w:snapToGrid w:val="0"/>
        <w:ind w:firstLine="42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lang w:val="en"/>
        </w:rPr>
        <w:t>9</w:t>
      </w:r>
      <w:r>
        <w:rPr>
          <w:rFonts w:hint="eastAsia" w:ascii="宋体" w:hAnsi="宋体" w:cs="宋体"/>
          <w:color w:val="auto"/>
          <w:szCs w:val="21"/>
        </w:rPr>
        <w:t>）是否涉及进口产品：</w:t>
      </w:r>
    </w:p>
    <w:p w14:paraId="43B28FEB">
      <w:pPr>
        <w:adjustRightInd w:val="0"/>
        <w:snapToGrid w:val="0"/>
        <w:ind w:firstLine="840" w:firstLineChars="400"/>
        <w:rPr>
          <w:rFonts w:ascii="宋体" w:hAnsi="宋体" w:cs="宋体"/>
          <w:color w:val="auto"/>
          <w:szCs w:val="21"/>
          <w:u w:val="single"/>
        </w:rPr>
      </w:pPr>
      <w:r>
        <w:rPr>
          <w:rFonts w:hint="eastAsia" w:ascii="宋体" w:hAnsi="宋体" w:cs="宋体"/>
          <w:color w:val="auto"/>
          <w:szCs w:val="21"/>
        </w:rPr>
        <w:t xml:space="preserve"> </w:t>
      </w:r>
      <w:r>
        <w:rPr>
          <w:rFonts w:hint="eastAsia" w:ascii="宋体" w:hAnsi="宋体" w:cs="宋体"/>
          <w:color w:val="auto"/>
          <w:szCs w:val="21"/>
        </w:rPr>
        <w:sym w:font="Wingdings" w:char="00A8"/>
      </w:r>
      <w:r>
        <w:rPr>
          <w:rFonts w:hint="eastAsia" w:ascii="宋体" w:hAnsi="宋体" w:cs="宋体"/>
          <w:color w:val="auto"/>
          <w:szCs w:val="21"/>
        </w:rPr>
        <w:t>是，《政府采购品目分类目录》底级品目名称：</w:t>
      </w:r>
      <w:r>
        <w:rPr>
          <w:rFonts w:hint="eastAsia" w:ascii="宋体" w:hAnsi="宋体" w:cs="宋体"/>
          <w:color w:val="auto"/>
          <w:szCs w:val="21"/>
          <w:u w:val="single"/>
        </w:rPr>
        <w:t xml:space="preserve">         </w:t>
      </w:r>
      <w:r>
        <w:rPr>
          <w:rFonts w:hint="eastAsia" w:ascii="宋体" w:hAnsi="宋体" w:cs="宋体"/>
          <w:color w:val="auto"/>
          <w:szCs w:val="21"/>
        </w:rPr>
        <w:t xml:space="preserve"> 金额：</w:t>
      </w:r>
      <w:r>
        <w:rPr>
          <w:rFonts w:hint="eastAsia" w:ascii="宋体" w:hAnsi="宋体" w:cs="宋体"/>
          <w:color w:val="auto"/>
          <w:szCs w:val="21"/>
          <w:u w:val="single"/>
        </w:rPr>
        <w:t xml:space="preserve">        </w:t>
      </w:r>
    </w:p>
    <w:p w14:paraId="4245466D">
      <w:pPr>
        <w:adjustRightInd w:val="0"/>
        <w:snapToGrid w:val="0"/>
        <w:ind w:firstLine="840" w:firstLineChars="400"/>
        <w:rPr>
          <w:rFonts w:ascii="宋体" w:hAnsi="宋体"/>
          <w:color w:val="auto"/>
          <w:szCs w:val="21"/>
        </w:rPr>
      </w:pPr>
      <w:r>
        <w:rPr>
          <w:rFonts w:hint="eastAsia" w:ascii="宋体" w:hAnsi="宋体" w:cs="宋体"/>
          <w:color w:val="auto"/>
          <w:szCs w:val="21"/>
        </w:rPr>
        <w:t xml:space="preserve">        国别：</w:t>
      </w:r>
      <w:r>
        <w:rPr>
          <w:rFonts w:hint="eastAsia" w:ascii="宋体" w:hAnsi="宋体" w:cs="宋体"/>
          <w:color w:val="auto"/>
          <w:szCs w:val="21"/>
          <w:u w:val="single"/>
        </w:rPr>
        <w:t xml:space="preserve">        </w:t>
      </w:r>
      <w:r>
        <w:rPr>
          <w:rFonts w:hint="eastAsia" w:ascii="宋体" w:hAnsi="宋体" w:cs="宋体"/>
          <w:color w:val="auto"/>
          <w:szCs w:val="21"/>
        </w:rPr>
        <w:t xml:space="preserve"> 品牌：</w:t>
      </w:r>
      <w:r>
        <w:rPr>
          <w:rFonts w:hint="eastAsia" w:ascii="宋体" w:hAnsi="宋体" w:cs="宋体"/>
          <w:color w:val="auto"/>
          <w:szCs w:val="21"/>
          <w:u w:val="single"/>
        </w:rPr>
        <w:t xml:space="preserve">        </w:t>
      </w:r>
      <w:r>
        <w:rPr>
          <w:rFonts w:hint="eastAsia" w:ascii="宋体" w:hAnsi="宋体" w:cs="宋体"/>
          <w:color w:val="auto"/>
          <w:szCs w:val="21"/>
        </w:rPr>
        <w:t xml:space="preserve"> 规格型号：</w:t>
      </w:r>
      <w:r>
        <w:rPr>
          <w:rFonts w:hint="eastAsia" w:ascii="宋体" w:hAnsi="宋体" w:cs="宋体"/>
          <w:color w:val="auto"/>
          <w:szCs w:val="21"/>
          <w:u w:val="single"/>
        </w:rPr>
        <w:t xml:space="preserve">        </w:t>
      </w:r>
      <w:r>
        <w:rPr>
          <w:rFonts w:hint="eastAsia" w:ascii="宋体" w:hAnsi="宋体"/>
          <w:color w:val="auto"/>
          <w:szCs w:val="21"/>
        </w:rPr>
        <w:t xml:space="preserve">      </w:t>
      </w:r>
    </w:p>
    <w:p w14:paraId="3ADE3F28">
      <w:pPr>
        <w:adjustRightInd w:val="0"/>
        <w:snapToGrid w:val="0"/>
        <w:ind w:firstLine="840" w:firstLineChars="400"/>
        <w:rPr>
          <w:rFonts w:ascii="宋体" w:hAnsi="宋体"/>
          <w:color w:val="auto"/>
          <w:szCs w:val="21"/>
        </w:rPr>
      </w:pPr>
      <w:r>
        <w:rPr>
          <w:rFonts w:hint="eastAsia" w:ascii="宋体" w:hAnsi="宋体"/>
          <w:color w:val="auto"/>
          <w:szCs w:val="21"/>
        </w:rPr>
        <w:t xml:space="preserve"> </w:t>
      </w:r>
      <w:r>
        <w:rPr>
          <w:rFonts w:hint="eastAsia" w:ascii="宋体" w:hAnsi="宋体"/>
          <w:color w:val="auto"/>
          <w:szCs w:val="21"/>
        </w:rPr>
        <w:sym w:font="Wingdings" w:char="00A8"/>
      </w:r>
      <w:r>
        <w:rPr>
          <w:rFonts w:hint="eastAsia" w:ascii="宋体" w:hAnsi="宋体"/>
          <w:color w:val="auto"/>
          <w:szCs w:val="21"/>
        </w:rPr>
        <w:t>否</w:t>
      </w:r>
    </w:p>
    <w:p w14:paraId="6C459082">
      <w:pPr>
        <w:tabs>
          <w:tab w:val="left" w:pos="740"/>
        </w:tabs>
        <w:adjustRightInd w:val="0"/>
        <w:snapToGrid w:val="0"/>
        <w:rPr>
          <w:rFonts w:ascii="宋体" w:hAnsi="宋体"/>
          <w:color w:val="auto"/>
          <w:szCs w:val="21"/>
        </w:rPr>
      </w:pPr>
      <w:r>
        <w:rPr>
          <w:rFonts w:hint="eastAsia" w:ascii="宋体" w:hAnsi="宋体"/>
          <w:color w:val="auto"/>
          <w:szCs w:val="21"/>
        </w:rPr>
        <w:t xml:space="preserve">    （1</w:t>
      </w:r>
      <w:r>
        <w:rPr>
          <w:rFonts w:ascii="宋体" w:hAnsi="宋体"/>
          <w:color w:val="auto"/>
          <w:szCs w:val="21"/>
          <w:lang w:val="en"/>
        </w:rPr>
        <w:t>0</w:t>
      </w:r>
      <w:r>
        <w:rPr>
          <w:rFonts w:hint="eastAsia" w:ascii="宋体" w:hAnsi="宋体"/>
          <w:color w:val="auto"/>
          <w:szCs w:val="21"/>
        </w:rPr>
        <w:t>）是否涉及节能产品：</w:t>
      </w:r>
    </w:p>
    <w:p w14:paraId="246673DE">
      <w:pPr>
        <w:tabs>
          <w:tab w:val="left" w:pos="740"/>
        </w:tabs>
        <w:adjustRightInd w:val="0"/>
        <w:snapToGrid w:val="0"/>
        <w:rPr>
          <w:rFonts w:ascii="宋体" w:hAnsi="宋体"/>
          <w:iCs/>
          <w:color w:val="auto"/>
          <w:szCs w:val="21"/>
        </w:rPr>
      </w:pPr>
      <w:r>
        <w:rPr>
          <w:rFonts w:hint="eastAsia" w:ascii="宋体" w:hAnsi="宋体"/>
          <w:color w:val="auto"/>
          <w:szCs w:val="21"/>
        </w:rPr>
        <w:t xml:space="preserve">         </w:t>
      </w:r>
      <w:r>
        <w:rPr>
          <w:rFonts w:hint="eastAsia" w:ascii="宋体" w:hAnsi="宋体"/>
          <w:color w:val="auto"/>
          <w:szCs w:val="21"/>
        </w:rPr>
        <w:sym w:font="Wingdings" w:char="00A8"/>
      </w:r>
      <w:r>
        <w:rPr>
          <w:rFonts w:hint="eastAsia" w:ascii="宋体" w:hAnsi="宋体"/>
          <w:color w:val="auto"/>
          <w:szCs w:val="21"/>
        </w:rPr>
        <w:t>是，《节能产品政府采购品目清单》的底级品目名称：</w:t>
      </w:r>
      <w:r>
        <w:rPr>
          <w:rFonts w:hint="eastAsia" w:ascii="宋体" w:hAnsi="宋体"/>
          <w:color w:val="auto"/>
          <w:szCs w:val="21"/>
          <w:u w:val="single"/>
        </w:rPr>
        <w:t xml:space="preserve">         </w:t>
      </w:r>
      <w:r>
        <w:rPr>
          <w:rFonts w:hint="eastAsia" w:ascii="宋体" w:hAnsi="宋体"/>
          <w:iCs/>
          <w:color w:val="auto"/>
          <w:szCs w:val="21"/>
        </w:rPr>
        <w:t xml:space="preserve">     </w:t>
      </w:r>
    </w:p>
    <w:p w14:paraId="188E11B2">
      <w:pPr>
        <w:tabs>
          <w:tab w:val="left" w:pos="740"/>
        </w:tabs>
        <w:adjustRightInd w:val="0"/>
        <w:snapToGrid w:val="0"/>
        <w:rPr>
          <w:rFonts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强制采购       </w:t>
      </w:r>
      <w:r>
        <w:rPr>
          <w:rFonts w:hint="eastAsia" w:ascii="宋体" w:hAnsi="宋体"/>
          <w:iCs/>
          <w:color w:val="auto"/>
          <w:szCs w:val="21"/>
        </w:rPr>
        <w:sym w:font="Wingdings" w:char="00A8"/>
      </w:r>
      <w:r>
        <w:rPr>
          <w:rFonts w:hint="eastAsia" w:ascii="宋体" w:hAnsi="宋体"/>
          <w:iCs/>
          <w:color w:val="auto"/>
          <w:szCs w:val="21"/>
        </w:rPr>
        <w:t xml:space="preserve">优先采购    </w:t>
      </w:r>
    </w:p>
    <w:p w14:paraId="34FBC28E">
      <w:pPr>
        <w:tabs>
          <w:tab w:val="left" w:pos="740"/>
        </w:tabs>
        <w:adjustRightInd w:val="0"/>
        <w:snapToGrid w:val="0"/>
        <w:rPr>
          <w:rFonts w:ascii="宋体" w:hAnsi="宋体"/>
          <w:color w:val="auto"/>
          <w:szCs w:val="21"/>
        </w:rPr>
      </w:pPr>
      <w:r>
        <w:rPr>
          <w:rFonts w:hint="eastAsia" w:ascii="宋体" w:hAnsi="宋体"/>
          <w:iCs/>
          <w:color w:val="auto"/>
          <w:szCs w:val="21"/>
        </w:rPr>
        <w:t xml:space="preserve">         </w:t>
      </w:r>
      <w:r>
        <w:rPr>
          <w:rFonts w:hint="eastAsia" w:ascii="宋体" w:hAnsi="宋体"/>
          <w:color w:val="auto"/>
          <w:szCs w:val="21"/>
        </w:rPr>
        <w:sym w:font="Wingdings" w:char="00A8"/>
      </w:r>
      <w:r>
        <w:rPr>
          <w:rFonts w:hint="eastAsia" w:ascii="宋体" w:hAnsi="宋体"/>
          <w:color w:val="auto"/>
          <w:szCs w:val="21"/>
        </w:rPr>
        <w:t>否</w:t>
      </w:r>
    </w:p>
    <w:p w14:paraId="0817E12C">
      <w:pPr>
        <w:tabs>
          <w:tab w:val="left" w:pos="740"/>
        </w:tabs>
        <w:adjustRightInd w:val="0"/>
        <w:snapToGrid w:val="0"/>
        <w:rPr>
          <w:rFonts w:ascii="宋体" w:hAnsi="宋体"/>
          <w:color w:val="auto"/>
          <w:szCs w:val="21"/>
        </w:rPr>
      </w:pPr>
      <w:r>
        <w:rPr>
          <w:rFonts w:hint="eastAsia" w:ascii="宋体" w:hAnsi="宋体"/>
          <w:color w:val="auto"/>
          <w:szCs w:val="21"/>
        </w:rPr>
        <w:t xml:space="preserve">          是否涉及环境标志产品：</w:t>
      </w:r>
    </w:p>
    <w:p w14:paraId="137D64B4">
      <w:pPr>
        <w:tabs>
          <w:tab w:val="left" w:pos="740"/>
        </w:tabs>
        <w:adjustRightInd w:val="0"/>
        <w:snapToGrid w:val="0"/>
        <w:rPr>
          <w:rFonts w:ascii="宋体" w:hAnsi="宋体"/>
          <w:color w:val="auto"/>
          <w:szCs w:val="21"/>
        </w:rPr>
      </w:pPr>
      <w:r>
        <w:rPr>
          <w:rFonts w:hint="eastAsia" w:ascii="宋体" w:hAnsi="宋体"/>
          <w:color w:val="auto"/>
          <w:szCs w:val="21"/>
        </w:rPr>
        <w:t xml:space="preserve">         </w:t>
      </w:r>
      <w:r>
        <w:rPr>
          <w:rFonts w:hint="eastAsia" w:ascii="宋体" w:hAnsi="宋体"/>
          <w:color w:val="auto"/>
          <w:szCs w:val="21"/>
        </w:rPr>
        <w:sym w:font="Wingdings" w:char="00A8"/>
      </w:r>
      <w:r>
        <w:rPr>
          <w:rFonts w:hint="eastAsia" w:ascii="宋体" w:hAnsi="宋体"/>
          <w:color w:val="auto"/>
          <w:szCs w:val="21"/>
        </w:rPr>
        <w:t>是，《环境标志产品政府采购品目清单》的底级品目名称：</w:t>
      </w:r>
      <w:r>
        <w:rPr>
          <w:rFonts w:hint="eastAsia" w:ascii="宋体" w:hAnsi="宋体"/>
          <w:color w:val="auto"/>
          <w:szCs w:val="21"/>
          <w:u w:val="single"/>
        </w:rPr>
        <w:t xml:space="preserve">         </w:t>
      </w:r>
      <w:r>
        <w:rPr>
          <w:rFonts w:hint="eastAsia" w:ascii="宋体" w:hAnsi="宋体"/>
          <w:iCs/>
          <w:color w:val="auto"/>
          <w:szCs w:val="21"/>
        </w:rPr>
        <w:t xml:space="preserve"> </w:t>
      </w:r>
    </w:p>
    <w:p w14:paraId="419E9322">
      <w:pPr>
        <w:tabs>
          <w:tab w:val="left" w:pos="740"/>
        </w:tabs>
        <w:adjustRightInd w:val="0"/>
        <w:snapToGrid w:val="0"/>
        <w:rPr>
          <w:rFonts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强制采购       </w:t>
      </w:r>
      <w:r>
        <w:rPr>
          <w:rFonts w:hint="eastAsia" w:ascii="宋体" w:hAnsi="宋体"/>
          <w:iCs/>
          <w:color w:val="auto"/>
          <w:szCs w:val="21"/>
        </w:rPr>
        <w:sym w:font="Wingdings" w:char="00A8"/>
      </w:r>
      <w:r>
        <w:rPr>
          <w:rFonts w:hint="eastAsia" w:ascii="宋体" w:hAnsi="宋体"/>
          <w:iCs/>
          <w:color w:val="auto"/>
          <w:szCs w:val="21"/>
        </w:rPr>
        <w:t xml:space="preserve">优先采购    </w:t>
      </w:r>
    </w:p>
    <w:p w14:paraId="7B99E16D">
      <w:pPr>
        <w:tabs>
          <w:tab w:val="left" w:pos="740"/>
        </w:tabs>
        <w:adjustRightInd w:val="0"/>
        <w:snapToGrid w:val="0"/>
        <w:rPr>
          <w:rFonts w:ascii="宋体" w:hAnsi="宋体"/>
          <w:color w:val="auto"/>
          <w:szCs w:val="21"/>
        </w:rPr>
      </w:pPr>
      <w:r>
        <w:rPr>
          <w:rFonts w:hint="eastAsia" w:ascii="宋体" w:hAnsi="宋体"/>
          <w:iCs/>
          <w:color w:val="auto"/>
          <w:szCs w:val="21"/>
        </w:rPr>
        <w:t xml:space="preserve">         </w:t>
      </w:r>
      <w:r>
        <w:rPr>
          <w:rFonts w:hint="eastAsia" w:ascii="宋体" w:hAnsi="宋体"/>
          <w:color w:val="auto"/>
          <w:szCs w:val="21"/>
        </w:rPr>
        <w:sym w:font="Wingdings" w:char="00A8"/>
      </w:r>
      <w:r>
        <w:rPr>
          <w:rFonts w:hint="eastAsia" w:ascii="宋体" w:hAnsi="宋体"/>
          <w:color w:val="auto"/>
          <w:szCs w:val="21"/>
        </w:rPr>
        <w:t>否</w:t>
      </w:r>
    </w:p>
    <w:p w14:paraId="42CCF609">
      <w:pPr>
        <w:pStyle w:val="145"/>
        <w:snapToGrid w:val="0"/>
        <w:ind w:firstLine="0" w:firstLineChars="0"/>
        <w:rPr>
          <w:rFonts w:ascii="宋体" w:hAnsi="宋体" w:eastAsia="宋体" w:cs="Times New Roman"/>
          <w:color w:val="auto"/>
          <w:kern w:val="2"/>
          <w:sz w:val="21"/>
        </w:rPr>
      </w:pPr>
      <w:r>
        <w:rPr>
          <w:rFonts w:hint="eastAsia" w:ascii="宋体" w:hAnsi="宋体"/>
          <w:color w:val="auto"/>
          <w:sz w:val="21"/>
        </w:rPr>
        <w:t xml:space="preserve">          </w:t>
      </w:r>
      <w:r>
        <w:rPr>
          <w:rFonts w:hint="eastAsia" w:ascii="宋体" w:hAnsi="宋体" w:eastAsia="宋体" w:cs="Times New Roman"/>
          <w:color w:val="auto"/>
          <w:kern w:val="2"/>
          <w:sz w:val="21"/>
        </w:rPr>
        <w:t xml:space="preserve">是否涉及绿色产品： </w:t>
      </w:r>
    </w:p>
    <w:p w14:paraId="21295A16">
      <w:pPr>
        <w:pStyle w:val="145"/>
        <w:ind w:firstLine="420" w:firstLineChars="0"/>
        <w:rPr>
          <w:rFonts w:ascii="宋体" w:hAnsi="宋体" w:eastAsia="宋体"/>
          <w:color w:val="auto"/>
          <w:u w:val="single"/>
        </w:rPr>
      </w:pPr>
      <w:r>
        <w:rPr>
          <w:rFonts w:hint="eastAsia" w:ascii="宋体" w:hAnsi="宋体" w:eastAsia="宋体" w:cs="Times New Roman"/>
          <w:color w:val="auto"/>
          <w:kern w:val="2"/>
          <w:sz w:val="21"/>
        </w:rPr>
        <w:t xml:space="preserve">     </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是，绿色产品政府采购相关政策确定的底级品目名称：</w:t>
      </w:r>
      <w:r>
        <w:rPr>
          <w:rFonts w:hint="eastAsia" w:ascii="宋体" w:hAnsi="宋体" w:eastAsia="宋体"/>
          <w:color w:val="auto"/>
          <w:u w:val="single"/>
        </w:rPr>
        <w:t xml:space="preserve">         </w:t>
      </w:r>
    </w:p>
    <w:p w14:paraId="051F75EB">
      <w:pPr>
        <w:tabs>
          <w:tab w:val="left" w:pos="740"/>
        </w:tabs>
        <w:adjustRightInd w:val="0"/>
        <w:snapToGrid w:val="0"/>
        <w:rPr>
          <w:rFonts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强制采购       </w:t>
      </w:r>
      <w:r>
        <w:rPr>
          <w:rFonts w:hint="eastAsia" w:ascii="宋体" w:hAnsi="宋体"/>
          <w:iCs/>
          <w:color w:val="auto"/>
          <w:szCs w:val="21"/>
        </w:rPr>
        <w:sym w:font="Wingdings" w:char="00A8"/>
      </w:r>
      <w:r>
        <w:rPr>
          <w:rFonts w:hint="eastAsia" w:ascii="宋体" w:hAnsi="宋体"/>
          <w:iCs/>
          <w:color w:val="auto"/>
          <w:szCs w:val="21"/>
        </w:rPr>
        <w:t xml:space="preserve">优先采购    </w:t>
      </w:r>
    </w:p>
    <w:p w14:paraId="0AE7ABC3">
      <w:pPr>
        <w:pStyle w:val="145"/>
        <w:ind w:firstLine="420" w:firstLineChars="0"/>
        <w:rPr>
          <w:rFonts w:ascii="宋体" w:hAnsi="宋体"/>
          <w:color w:val="auto"/>
          <w:sz w:val="21"/>
        </w:rPr>
      </w:pPr>
      <w:r>
        <w:rPr>
          <w:rFonts w:hint="eastAsia" w:ascii="宋体" w:hAnsi="宋体" w:eastAsia="宋体" w:cs="Times New Roman"/>
          <w:color w:val="auto"/>
          <w:kern w:val="2"/>
          <w:sz w:val="21"/>
        </w:rPr>
        <w:t xml:space="preserve">     </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否</w:t>
      </w:r>
    </w:p>
    <w:p w14:paraId="0670558F">
      <w:pPr>
        <w:adjustRightInd w:val="0"/>
        <w:snapToGrid w:val="0"/>
        <w:rPr>
          <w:rFonts w:ascii="宋体" w:hAnsi="宋体"/>
          <w:color w:val="auto"/>
          <w:szCs w:val="21"/>
        </w:rPr>
      </w:pPr>
      <w:r>
        <w:rPr>
          <w:rFonts w:hint="eastAsia" w:ascii="宋体" w:hAnsi="宋体"/>
          <w:color w:val="auto"/>
          <w:szCs w:val="21"/>
        </w:rPr>
        <w:t xml:space="preserve">    （1</w:t>
      </w:r>
      <w:r>
        <w:rPr>
          <w:rFonts w:ascii="宋体" w:hAnsi="宋体"/>
          <w:color w:val="auto"/>
          <w:szCs w:val="21"/>
          <w:lang w:val="en"/>
        </w:rPr>
        <w:t>1</w:t>
      </w:r>
      <w:r>
        <w:rPr>
          <w:rFonts w:hint="eastAsia" w:ascii="宋体" w:hAnsi="宋体"/>
          <w:color w:val="auto"/>
          <w:szCs w:val="21"/>
        </w:rPr>
        <w:t>）涉及商品包装和快递包装的，是否参考《商品包装政府采购需求标准（试行）》、《快递包装政府采购需求标准（试行）》明确产品及相关快递服务的具体包装要求：</w:t>
      </w:r>
    </w:p>
    <w:p w14:paraId="26C99755">
      <w:pPr>
        <w:adjustRightInd w:val="0"/>
        <w:snapToGrid w:val="0"/>
        <w:ind w:firstLine="840" w:firstLineChars="400"/>
        <w:rPr>
          <w:rFonts w:ascii="宋体" w:hAnsi="宋体"/>
          <w:color w:val="auto"/>
          <w:szCs w:val="21"/>
        </w:rPr>
      </w:pPr>
      <w:r>
        <w:rPr>
          <w:rFonts w:hint="eastAsia" w:ascii="宋体" w:hAnsi="宋体"/>
          <w:color w:val="auto"/>
          <w:szCs w:val="21"/>
        </w:rPr>
        <w:sym w:font="Wingdings" w:char="00A8"/>
      </w:r>
      <w:r>
        <w:rPr>
          <w:rFonts w:hint="eastAsia" w:ascii="宋体" w:hAnsi="宋体"/>
          <w:color w:val="auto"/>
          <w:szCs w:val="21"/>
        </w:rPr>
        <w:t xml:space="preserve">是       </w:t>
      </w:r>
      <w:r>
        <w:rPr>
          <w:rFonts w:hint="eastAsia" w:ascii="宋体" w:hAnsi="宋体"/>
          <w:color w:val="auto"/>
          <w:szCs w:val="21"/>
        </w:rPr>
        <w:sym w:font="Wingdings" w:char="00A8"/>
      </w:r>
      <w:r>
        <w:rPr>
          <w:rFonts w:hint="eastAsia" w:ascii="宋体" w:hAnsi="宋体"/>
          <w:color w:val="auto"/>
          <w:szCs w:val="21"/>
        </w:rPr>
        <w:t xml:space="preserve">否      </w:t>
      </w:r>
      <w:r>
        <w:rPr>
          <w:rFonts w:hint="eastAsia" w:ascii="宋体" w:hAnsi="宋体"/>
          <w:color w:val="auto"/>
          <w:szCs w:val="21"/>
        </w:rPr>
        <w:sym w:font="Wingdings" w:char="00A8"/>
      </w:r>
      <w:r>
        <w:rPr>
          <w:rFonts w:hint="eastAsia" w:ascii="宋体" w:hAnsi="宋体"/>
          <w:color w:val="auto"/>
          <w:szCs w:val="21"/>
        </w:rPr>
        <w:t>不涉及</w:t>
      </w:r>
    </w:p>
    <w:p w14:paraId="20861F61">
      <w:pPr>
        <w:numPr>
          <w:ilvl w:val="0"/>
          <w:numId w:val="6"/>
        </w:numPr>
        <w:adjustRightInd w:val="0"/>
        <w:snapToGrid w:val="0"/>
        <w:ind w:firstLine="422"/>
        <w:rPr>
          <w:rFonts w:ascii="宋体" w:hAnsi="宋体"/>
          <w:b/>
          <w:color w:val="auto"/>
          <w:szCs w:val="21"/>
        </w:rPr>
      </w:pPr>
      <w:r>
        <w:rPr>
          <w:rFonts w:hint="eastAsia" w:ascii="宋体" w:hAnsi="宋体"/>
          <w:b/>
          <w:color w:val="auto"/>
          <w:szCs w:val="21"/>
        </w:rPr>
        <w:t>合同金额</w:t>
      </w:r>
    </w:p>
    <w:p w14:paraId="5365E34C">
      <w:pPr>
        <w:adjustRightInd w:val="0"/>
        <w:snapToGrid w:val="0"/>
        <w:ind w:firstLine="420"/>
        <w:rPr>
          <w:rFonts w:ascii="宋体" w:hAnsi="宋体"/>
          <w:color w:val="auto"/>
          <w:szCs w:val="21"/>
        </w:rPr>
      </w:pPr>
      <w:r>
        <w:rPr>
          <w:rFonts w:hint="eastAsia" w:ascii="宋体" w:hAnsi="宋体"/>
          <w:color w:val="auto"/>
          <w:szCs w:val="21"/>
        </w:rPr>
        <w:t>（1）合同金额小写：</w:t>
      </w:r>
      <w:r>
        <w:rPr>
          <w:rFonts w:hint="eastAsia" w:ascii="宋体" w:hAnsi="宋体"/>
          <w:color w:val="auto"/>
          <w:szCs w:val="21"/>
          <w:u w:val="single"/>
        </w:rPr>
        <w:t xml:space="preserve">                           </w:t>
      </w:r>
    </w:p>
    <w:p w14:paraId="1DC7BC79">
      <w:pPr>
        <w:adjustRightInd w:val="0"/>
        <w:snapToGrid w:val="0"/>
        <w:ind w:firstLine="420"/>
        <w:rPr>
          <w:rFonts w:ascii="宋体" w:hAnsi="宋体"/>
          <w:color w:val="auto"/>
          <w:szCs w:val="21"/>
          <w:u w:val="single"/>
        </w:rPr>
      </w:pPr>
      <w:r>
        <w:rPr>
          <w:rFonts w:hint="eastAsia" w:ascii="宋体" w:hAnsi="宋体"/>
          <w:color w:val="auto"/>
          <w:szCs w:val="21"/>
        </w:rPr>
        <w:t xml:space="preserve">             大写：</w:t>
      </w:r>
      <w:r>
        <w:rPr>
          <w:rFonts w:hint="eastAsia" w:ascii="宋体" w:hAnsi="宋体"/>
          <w:color w:val="auto"/>
          <w:szCs w:val="21"/>
          <w:u w:val="single"/>
        </w:rPr>
        <w:t xml:space="preserve">                           </w:t>
      </w:r>
    </w:p>
    <w:p w14:paraId="2FF98CAF">
      <w:pPr>
        <w:adjustRightInd w:val="0"/>
        <w:snapToGrid w:val="0"/>
        <w:ind w:firstLine="420"/>
        <w:rPr>
          <w:rFonts w:ascii="宋体" w:hAnsi="宋体"/>
          <w:color w:val="auto"/>
          <w:szCs w:val="21"/>
        </w:rPr>
      </w:pPr>
      <w:r>
        <w:rPr>
          <w:rFonts w:hint="eastAsia" w:ascii="宋体" w:hAnsi="宋体"/>
          <w:color w:val="auto"/>
          <w:szCs w:val="21"/>
        </w:rPr>
        <w:t xml:space="preserve">     分包金额（如有）小写：</w:t>
      </w:r>
      <w:r>
        <w:rPr>
          <w:rFonts w:hint="eastAsia" w:ascii="宋体" w:hAnsi="宋体"/>
          <w:color w:val="auto"/>
          <w:szCs w:val="21"/>
          <w:u w:val="single"/>
        </w:rPr>
        <w:t xml:space="preserve">                   </w:t>
      </w:r>
    </w:p>
    <w:p w14:paraId="0A4BFEC2">
      <w:pPr>
        <w:adjustRightInd w:val="0"/>
        <w:snapToGrid w:val="0"/>
        <w:ind w:firstLine="420"/>
        <w:rPr>
          <w:rFonts w:ascii="宋体" w:hAnsi="宋体"/>
          <w:color w:val="auto"/>
          <w:szCs w:val="21"/>
          <w:u w:val="single"/>
        </w:rPr>
      </w:pPr>
      <w:r>
        <w:rPr>
          <w:rFonts w:hint="eastAsia" w:ascii="宋体" w:hAnsi="宋体"/>
          <w:color w:val="auto"/>
          <w:szCs w:val="21"/>
        </w:rPr>
        <w:t xml:space="preserve">                     大写：</w:t>
      </w:r>
      <w:r>
        <w:rPr>
          <w:rFonts w:hint="eastAsia" w:ascii="宋体" w:hAnsi="宋体"/>
          <w:color w:val="auto"/>
          <w:szCs w:val="21"/>
          <w:u w:val="single"/>
        </w:rPr>
        <w:t xml:space="preserve">                       </w:t>
      </w:r>
    </w:p>
    <w:p w14:paraId="1EE1C014">
      <w:pPr>
        <w:adjustRightInd w:val="0"/>
        <w:snapToGrid w:val="0"/>
        <w:ind w:firstLine="420"/>
        <w:rPr>
          <w:rFonts w:ascii="宋体" w:hAnsi="宋体"/>
          <w:color w:val="auto"/>
          <w:szCs w:val="21"/>
        </w:rPr>
      </w:pPr>
      <w:r>
        <w:rPr>
          <w:rFonts w:hint="eastAsia" w:ascii="宋体" w:hAnsi="宋体"/>
          <w:color w:val="auto"/>
          <w:szCs w:val="21"/>
        </w:rPr>
        <w:t xml:space="preserve">    （注：固定单价合同应填写单价和最高限价）</w:t>
      </w:r>
    </w:p>
    <w:p w14:paraId="2376FEEC">
      <w:pPr>
        <w:adjustRightInd w:val="0"/>
        <w:snapToGrid w:val="0"/>
        <w:rPr>
          <w:rFonts w:ascii="宋体" w:hAnsi="宋体"/>
          <w:color w:val="auto"/>
          <w:szCs w:val="21"/>
        </w:rPr>
      </w:pPr>
      <w:r>
        <w:rPr>
          <w:rFonts w:hint="eastAsia" w:ascii="宋体" w:hAnsi="宋体"/>
          <w:color w:val="auto"/>
          <w:szCs w:val="21"/>
        </w:rPr>
        <w:t xml:space="preserve">    （2）合同定价方式（采用组合定价方式的，可以勾选多项）：</w:t>
      </w:r>
    </w:p>
    <w:p w14:paraId="64495802">
      <w:pPr>
        <w:adjustRightInd w:val="0"/>
        <w:snapToGrid w:val="0"/>
        <w:ind w:firstLine="420"/>
        <w:rPr>
          <w:rFonts w:ascii="宋体" w:hAnsi="宋体"/>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固定总价 </w:t>
      </w:r>
      <w:r>
        <w:rPr>
          <w:rFonts w:hint="eastAsia" w:ascii="宋体" w:hAnsi="宋体"/>
          <w:iCs/>
          <w:color w:val="auto"/>
          <w:szCs w:val="21"/>
        </w:rPr>
        <w:sym w:font="Wingdings" w:char="00A8"/>
      </w:r>
      <w:r>
        <w:rPr>
          <w:rFonts w:hint="eastAsia" w:ascii="宋体" w:hAnsi="宋体"/>
          <w:iCs/>
          <w:color w:val="auto"/>
          <w:szCs w:val="21"/>
        </w:rPr>
        <w:t xml:space="preserve">固定单价 </w:t>
      </w:r>
      <w:r>
        <w:rPr>
          <w:rFonts w:hint="eastAsia" w:ascii="宋体" w:hAnsi="宋体"/>
          <w:iCs/>
          <w:color w:val="auto"/>
          <w:szCs w:val="21"/>
        </w:rPr>
        <w:sym w:font="Wingdings" w:char="00A8"/>
      </w:r>
      <w:r>
        <w:rPr>
          <w:rFonts w:hint="eastAsia" w:ascii="宋体" w:hAnsi="宋体"/>
          <w:iCs/>
          <w:color w:val="auto"/>
          <w:szCs w:val="21"/>
        </w:rPr>
        <w:t xml:space="preserve">固定费率 </w:t>
      </w:r>
      <w:r>
        <w:rPr>
          <w:rFonts w:hint="eastAsia" w:ascii="宋体" w:hAnsi="宋体"/>
          <w:iCs/>
          <w:color w:val="auto"/>
          <w:szCs w:val="21"/>
        </w:rPr>
        <w:sym w:font="Wingdings" w:char="00A8"/>
      </w:r>
      <w:r>
        <w:rPr>
          <w:rFonts w:hint="eastAsia" w:ascii="宋体" w:hAnsi="宋体"/>
          <w:iCs/>
          <w:color w:val="auto"/>
          <w:szCs w:val="21"/>
        </w:rPr>
        <w:t xml:space="preserve">成本补偿 </w:t>
      </w:r>
      <w:r>
        <w:rPr>
          <w:rFonts w:hint="eastAsia" w:ascii="宋体" w:hAnsi="宋体"/>
          <w:iCs/>
          <w:color w:val="auto"/>
          <w:szCs w:val="21"/>
        </w:rPr>
        <w:sym w:font="Wingdings" w:char="00A8"/>
      </w:r>
      <w:r>
        <w:rPr>
          <w:rFonts w:hint="eastAsia" w:ascii="宋体" w:hAnsi="宋体"/>
          <w:iCs/>
          <w:color w:val="auto"/>
          <w:szCs w:val="21"/>
        </w:rPr>
        <w:t xml:space="preserve">绩效激励 </w:t>
      </w:r>
      <w:r>
        <w:rPr>
          <w:rFonts w:hint="eastAsia" w:ascii="宋体" w:hAnsi="宋体"/>
          <w:iCs/>
          <w:color w:val="auto"/>
          <w:szCs w:val="21"/>
        </w:rPr>
        <w:sym w:font="Wingdings" w:char="00A8"/>
      </w:r>
      <w:r>
        <w:rPr>
          <w:rFonts w:hint="eastAsia" w:ascii="宋体" w:hAnsi="宋体"/>
          <w:iCs/>
          <w:color w:val="auto"/>
          <w:szCs w:val="21"/>
        </w:rPr>
        <w:t>其他</w:t>
      </w:r>
      <w:r>
        <w:rPr>
          <w:rFonts w:hint="eastAsia" w:ascii="宋体" w:hAnsi="宋体"/>
          <w:color w:val="auto"/>
          <w:szCs w:val="21"/>
          <w:u w:val="single"/>
        </w:rPr>
        <w:t xml:space="preserve">       </w:t>
      </w:r>
    </w:p>
    <w:p w14:paraId="4937763F">
      <w:pPr>
        <w:pStyle w:val="95"/>
        <w:rPr>
          <w:color w:val="auto"/>
        </w:rPr>
      </w:pPr>
      <w:r>
        <w:rPr>
          <w:rFonts w:hint="eastAsia" w:ascii="宋体" w:hAnsi="宋体"/>
          <w:color w:val="auto"/>
        </w:rPr>
        <w:t>（3）付款方式（按项目实际勾选填写）：</w:t>
      </w:r>
    </w:p>
    <w:p w14:paraId="0DE08678">
      <w:pPr>
        <w:adjustRightInd w:val="0"/>
        <w:snapToGrid w:val="0"/>
        <w:ind w:firstLine="63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全额付款：</w:t>
      </w:r>
      <w:r>
        <w:rPr>
          <w:rFonts w:hint="eastAsia" w:ascii="宋体" w:hAnsi="宋体"/>
          <w:color w:val="auto"/>
          <w:szCs w:val="21"/>
          <w:u w:val="single"/>
        </w:rPr>
        <w:t xml:space="preserve">     （应明确一次性支付合同款项的条件）                    </w:t>
      </w:r>
    </w:p>
    <w:p w14:paraId="38FCBB19">
      <w:pPr>
        <w:snapToGrid w:val="0"/>
        <w:spacing w:line="400" w:lineRule="exact"/>
        <w:ind w:firstLine="630" w:firstLineChars="300"/>
        <w:rPr>
          <w:rFonts w:ascii="宋体" w:hAnsi="宋体"/>
          <w:color w:val="auto"/>
          <w:szCs w:val="21"/>
          <w:u w:val="single"/>
        </w:rPr>
      </w:pPr>
      <w:r>
        <w:rPr>
          <w:rFonts w:hint="eastAsia" w:ascii="宋体" w:hAnsi="宋体"/>
          <w:color w:val="auto"/>
          <w:szCs w:val="21"/>
        </w:rPr>
        <w:sym w:font="Wingdings" w:char="00FE"/>
      </w:r>
      <w:r>
        <w:rPr>
          <w:rFonts w:hint="eastAsia" w:ascii="宋体" w:hAnsi="宋体"/>
          <w:color w:val="auto"/>
          <w:szCs w:val="21"/>
        </w:rPr>
        <w:t>分期付款：</w:t>
      </w:r>
      <w:r>
        <w:rPr>
          <w:rFonts w:hint="eastAsia" w:ascii="宋体" w:hAnsi="宋体"/>
          <w:color w:val="auto"/>
          <w:szCs w:val="21"/>
          <w:u w:val="single"/>
        </w:rPr>
        <w:t xml:space="preserve"> （1）签订合同后，由乙方开出合同总金额的30%的增值税普通（或专用）发票及请款函，甲方自收到齐全的付款材料之日起十个工作日内预付给乙方合同总金额的30%，即人民币  大写  元整（¥  小写  ）。</w:t>
      </w:r>
    </w:p>
    <w:p w14:paraId="1A59C2AD">
      <w:pPr>
        <w:snapToGrid w:val="0"/>
        <w:ind w:firstLine="630" w:firstLineChars="300"/>
        <w:rPr>
          <w:color w:val="auto"/>
        </w:rPr>
      </w:pPr>
      <w:r>
        <w:rPr>
          <w:rFonts w:hint="eastAsia" w:ascii="宋体" w:hAnsi="宋体"/>
          <w:color w:val="auto"/>
          <w:szCs w:val="21"/>
          <w:u w:val="single"/>
        </w:rPr>
        <w:t xml:space="preserve">（2）乙方将所有货物及配套设施安装调试完毕，并正常运转，且为甲方培训结束，甲方无疑问后，经甲方最终验收合格，由乙方开出合同总金额的70%增值税普通（或专用）发票及请款函，甲方自收到齐全的请款材料之日起二十个工作日内支付给乙方合同总金额的70%，即人民币  大写  元整（¥  小写  ）。 </w:t>
      </w:r>
    </w:p>
    <w:p w14:paraId="38A177BB">
      <w:pPr>
        <w:adjustRightInd w:val="0"/>
        <w:snapToGrid w:val="0"/>
        <w:ind w:firstLine="630"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成本补偿：</w:t>
      </w:r>
      <w:r>
        <w:rPr>
          <w:rFonts w:hint="eastAsia" w:ascii="宋体" w:hAnsi="宋体"/>
          <w:color w:val="auto"/>
          <w:szCs w:val="21"/>
          <w:u w:val="single"/>
        </w:rPr>
        <w:t xml:space="preserve">      （应明确按照成本补偿方式的支付方式和支付条件）   </w:t>
      </w:r>
    </w:p>
    <w:p w14:paraId="4341DE45">
      <w:pPr>
        <w:adjustRightInd w:val="0"/>
        <w:snapToGrid w:val="0"/>
        <w:ind w:firstLine="630" w:firstLineChars="300"/>
        <w:rPr>
          <w:rFonts w:ascii="宋体" w:hAnsi="宋体"/>
          <w:color w:val="auto"/>
          <w:szCs w:val="21"/>
        </w:rPr>
      </w:pPr>
      <w:r>
        <w:rPr>
          <w:rFonts w:hint="eastAsia" w:ascii="宋体" w:hAnsi="宋体"/>
          <w:color w:val="auto"/>
          <w:szCs w:val="21"/>
        </w:rPr>
        <w:sym w:font="Wingdings" w:char="00A8"/>
      </w:r>
      <w:r>
        <w:rPr>
          <w:rFonts w:hint="eastAsia" w:ascii="宋体" w:hAnsi="宋体"/>
          <w:color w:val="auto"/>
          <w:szCs w:val="21"/>
        </w:rPr>
        <w:t>绩效激励：</w:t>
      </w:r>
      <w:r>
        <w:rPr>
          <w:rFonts w:hint="eastAsia" w:ascii="宋体" w:hAnsi="宋体"/>
          <w:color w:val="auto"/>
          <w:szCs w:val="21"/>
          <w:u w:val="single"/>
        </w:rPr>
        <w:t xml:space="preserve">      （应明确按照绩效激励方式的支付方式和支付条件）   </w:t>
      </w:r>
    </w:p>
    <w:p w14:paraId="200CD46D">
      <w:pPr>
        <w:numPr>
          <w:ilvl w:val="0"/>
          <w:numId w:val="6"/>
        </w:numPr>
        <w:adjustRightInd w:val="0"/>
        <w:snapToGrid w:val="0"/>
        <w:ind w:firstLine="422"/>
        <w:rPr>
          <w:rFonts w:ascii="宋体" w:hAnsi="宋体"/>
          <w:b/>
          <w:color w:val="auto"/>
          <w:szCs w:val="21"/>
          <w:u w:val="single"/>
        </w:rPr>
      </w:pPr>
      <w:r>
        <w:rPr>
          <w:rFonts w:hint="eastAsia" w:ascii="宋体" w:hAnsi="宋体"/>
          <w:b/>
          <w:color w:val="auto"/>
          <w:szCs w:val="21"/>
        </w:rPr>
        <w:t>合同履行</w:t>
      </w:r>
    </w:p>
    <w:p w14:paraId="5D9EF826">
      <w:pPr>
        <w:adjustRightInd w:val="0"/>
        <w:snapToGrid w:val="0"/>
        <w:ind w:firstLine="420"/>
        <w:rPr>
          <w:rFonts w:ascii="宋体" w:hAnsi="宋体" w:cs="宋体"/>
          <w:color w:val="auto"/>
          <w:szCs w:val="21"/>
        </w:rPr>
      </w:pPr>
      <w:r>
        <w:rPr>
          <w:rFonts w:hint="eastAsia" w:ascii="宋体" w:hAnsi="宋体" w:cs="宋体"/>
          <w:color w:val="auto"/>
          <w:szCs w:val="21"/>
        </w:rPr>
        <w:t>（1）起始日期：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日，完成日期：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7C6B85E7">
      <w:pPr>
        <w:adjustRightInd w:val="0"/>
        <w:snapToGrid w:val="0"/>
        <w:ind w:firstLine="420"/>
        <w:rPr>
          <w:rFonts w:ascii="宋体" w:hAnsi="宋体" w:cs="宋体"/>
          <w:color w:val="auto"/>
          <w:szCs w:val="21"/>
          <w:u w:val="single"/>
        </w:rPr>
      </w:pPr>
      <w:r>
        <w:rPr>
          <w:rFonts w:hint="eastAsia" w:ascii="宋体" w:hAnsi="宋体" w:cs="宋体"/>
          <w:color w:val="auto"/>
          <w:szCs w:val="21"/>
        </w:rPr>
        <w:t>（2）履约地点</w:t>
      </w:r>
      <w:r>
        <w:rPr>
          <w:rFonts w:hint="eastAsia" w:ascii="宋体" w:hAnsi="宋体" w:cs="宋体"/>
          <w:bCs/>
          <w:color w:val="auto"/>
          <w:szCs w:val="21"/>
        </w:rPr>
        <w:t>：</w:t>
      </w:r>
      <w:r>
        <w:rPr>
          <w:rFonts w:hint="eastAsia" w:ascii="宋体" w:hAnsi="宋体" w:cs="宋体"/>
          <w:color w:val="auto"/>
          <w:szCs w:val="21"/>
          <w:u w:val="single"/>
        </w:rPr>
        <w:t xml:space="preserve">   钦州市滨海大道12号（北部湾大学）    </w:t>
      </w:r>
    </w:p>
    <w:p w14:paraId="0A0FB703">
      <w:pPr>
        <w:adjustRightInd w:val="0"/>
        <w:snapToGrid w:val="0"/>
        <w:ind w:firstLine="420"/>
        <w:rPr>
          <w:rFonts w:ascii="宋体" w:hAnsi="宋体" w:cs="宋体"/>
          <w:color w:val="auto"/>
          <w:szCs w:val="21"/>
        </w:rPr>
      </w:pPr>
      <w:r>
        <w:rPr>
          <w:rFonts w:hint="eastAsia" w:ascii="宋体" w:hAnsi="宋体" w:cs="宋体"/>
          <w:bCs/>
          <w:color w:val="auto"/>
          <w:szCs w:val="21"/>
        </w:rPr>
        <w:t>（3）履约担保：</w:t>
      </w:r>
      <w:r>
        <w:rPr>
          <w:rFonts w:hint="eastAsia" w:ascii="宋体" w:hAnsi="宋体" w:cs="宋体"/>
          <w:color w:val="auto"/>
        </w:rPr>
        <w:t>是否收取履约保证金：</w:t>
      </w:r>
      <w:r>
        <w:rPr>
          <w:rFonts w:hint="eastAsia" w:ascii="宋体" w:hAnsi="宋体" w:cs="宋体"/>
          <w:color w:val="auto"/>
          <w:szCs w:val="21"/>
        </w:rPr>
        <w:sym w:font="Wingdings" w:char="00FE"/>
      </w:r>
      <w:r>
        <w:rPr>
          <w:rFonts w:hint="eastAsia" w:ascii="宋体" w:hAnsi="宋体" w:cs="宋体"/>
          <w:color w:val="auto"/>
          <w:szCs w:val="21"/>
        </w:rPr>
        <w:t xml:space="preserve">是    </w:t>
      </w:r>
      <w:r>
        <w:rPr>
          <w:rFonts w:hint="eastAsia" w:ascii="宋体" w:hAnsi="宋体" w:cs="宋体"/>
          <w:color w:val="auto"/>
          <w:szCs w:val="21"/>
        </w:rPr>
        <w:sym w:font="Wingdings" w:char="00A8"/>
      </w:r>
      <w:r>
        <w:rPr>
          <w:rFonts w:hint="eastAsia" w:ascii="宋体" w:hAnsi="宋体" w:cs="宋体"/>
          <w:color w:val="auto"/>
          <w:szCs w:val="21"/>
        </w:rPr>
        <w:t>否</w:t>
      </w:r>
    </w:p>
    <w:p w14:paraId="2ADD8443">
      <w:pPr>
        <w:pStyle w:val="145"/>
        <w:rPr>
          <w:rFonts w:ascii="宋体" w:hAnsi="宋体" w:eastAsia="宋体" w:cs="宋体"/>
          <w:color w:val="auto"/>
          <w:sz w:val="21"/>
        </w:rPr>
      </w:pPr>
      <w:r>
        <w:rPr>
          <w:rFonts w:hint="eastAsia" w:ascii="宋体" w:hAnsi="宋体" w:cs="宋体"/>
          <w:bCs/>
          <w:color w:val="auto"/>
        </w:rPr>
        <w:t xml:space="preserve">  </w:t>
      </w:r>
      <w:r>
        <w:rPr>
          <w:rFonts w:hint="eastAsia" w:ascii="宋体" w:hAnsi="宋体" w:eastAsia="宋体" w:cs="宋体"/>
          <w:color w:val="auto"/>
          <w:sz w:val="21"/>
        </w:rPr>
        <w:t xml:space="preserve">  收取履约保证金形式：</w:t>
      </w:r>
      <w:r>
        <w:rPr>
          <w:rFonts w:hint="eastAsia" w:ascii="宋体" w:hAnsi="宋体" w:eastAsia="宋体" w:cs="宋体"/>
          <w:bCs/>
          <w:color w:val="auto"/>
          <w:sz w:val="21"/>
          <w:u w:val="single"/>
        </w:rPr>
        <w:t xml:space="preserve">  银行转账方式   </w:t>
      </w:r>
    </w:p>
    <w:p w14:paraId="7E95E566">
      <w:pPr>
        <w:snapToGrid w:val="0"/>
        <w:spacing w:line="400" w:lineRule="exact"/>
        <w:ind w:firstLine="420" w:firstLineChars="200"/>
        <w:rPr>
          <w:rFonts w:ascii="宋体" w:hAnsi="宋体" w:cs="宋体"/>
          <w:color w:val="auto"/>
        </w:rPr>
      </w:pPr>
      <w:r>
        <w:rPr>
          <w:rFonts w:hint="eastAsia" w:ascii="宋体" w:hAnsi="宋体" w:cs="宋体"/>
          <w:color w:val="auto"/>
        </w:rPr>
        <w:t xml:space="preserve">    收取履约保证金金额：</w:t>
      </w:r>
    </w:p>
    <w:p w14:paraId="2E03844A">
      <w:pPr>
        <w:snapToGrid w:val="0"/>
        <w:ind w:firstLine="630" w:firstLineChars="300"/>
        <w:rPr>
          <w:rFonts w:ascii="宋体" w:hAnsi="宋体"/>
          <w:color w:val="auto"/>
          <w:szCs w:val="21"/>
          <w:u w:val="single"/>
        </w:rPr>
      </w:pPr>
      <w:r>
        <w:rPr>
          <w:rFonts w:hint="eastAsia" w:ascii="宋体" w:hAnsi="宋体"/>
          <w:color w:val="auto"/>
          <w:szCs w:val="21"/>
          <w:u w:val="single"/>
        </w:rPr>
        <w:t xml:space="preserve"> （1）乙方应在中标通知书发出5个工作日内向甲方交纳履约保证金，履约保证金额为合同总价款的5%（被评委认定为享受小微企业优惠政策的的交纳2%），即人民币        元整（¥      ），汇入甲方在本合同中的指定账户，否则不予签订合同  。</w:t>
      </w:r>
    </w:p>
    <w:p w14:paraId="39FE11DD">
      <w:pPr>
        <w:snapToGrid w:val="0"/>
        <w:ind w:firstLine="630" w:firstLineChars="300"/>
        <w:rPr>
          <w:rFonts w:ascii="宋体" w:hAnsi="宋体"/>
          <w:color w:val="auto"/>
          <w:szCs w:val="21"/>
          <w:u w:val="single"/>
        </w:rPr>
      </w:pPr>
      <w:r>
        <w:rPr>
          <w:rFonts w:hint="eastAsia" w:ascii="宋体" w:hAnsi="宋体"/>
          <w:color w:val="auto"/>
          <w:szCs w:val="21"/>
          <w:u w:val="single"/>
        </w:rPr>
        <w:t>（2）合同签订后，如乙方按合同履约的，并按照售后服务要求履行承诺且无质量问题的，自最终验收合格之日起，质保期期满后由乙方向甲方发出退款函，甲方自收到齐全的退付材料之日起二十个工作日之内向向乙方支付（无息）。如乙方不按双方签订的合同履约的，履约保证金不予退还；因乙方违约造成甲方损失的，还须按造成的实际损失另行赔偿。</w:t>
      </w:r>
    </w:p>
    <w:p w14:paraId="7F52DC91">
      <w:pPr>
        <w:snapToGrid w:val="0"/>
        <w:ind w:firstLine="630" w:firstLineChars="300"/>
        <w:rPr>
          <w:rFonts w:ascii="宋体" w:hAnsi="宋体"/>
          <w:color w:val="auto"/>
          <w:szCs w:val="21"/>
          <w:u w:val="single"/>
        </w:rPr>
      </w:pPr>
      <w:r>
        <w:rPr>
          <w:rFonts w:hint="eastAsia" w:ascii="宋体" w:hAnsi="宋体"/>
          <w:color w:val="auto"/>
          <w:szCs w:val="21"/>
          <w:u w:val="single"/>
        </w:rPr>
        <w:t xml:space="preserve">（3）在办理履约保证金退还手续前，若乙方的开户名称、开户银行、帐号有变动的，请以书面形式通知甲方，否则由此产生的后果由乙方承担。  </w:t>
      </w:r>
    </w:p>
    <w:p w14:paraId="09B49D39">
      <w:pPr>
        <w:snapToGrid w:val="0"/>
        <w:ind w:firstLine="420"/>
        <w:rPr>
          <w:rFonts w:ascii="宋体" w:hAnsi="宋体" w:cs="宋体"/>
          <w:color w:val="auto"/>
        </w:rPr>
      </w:pPr>
      <w:r>
        <w:rPr>
          <w:rFonts w:hint="eastAsia" w:ascii="宋体" w:hAnsi="宋体" w:cs="宋体"/>
          <w:bCs/>
          <w:color w:val="auto"/>
          <w:szCs w:val="21"/>
        </w:rPr>
        <w:t xml:space="preserve">    履约担保期限：</w:t>
      </w:r>
      <w:r>
        <w:rPr>
          <w:rFonts w:hint="eastAsia" w:ascii="宋体" w:hAnsi="宋体" w:cs="宋体"/>
          <w:bCs/>
          <w:color w:val="auto"/>
          <w:szCs w:val="21"/>
          <w:u w:val="single"/>
        </w:rPr>
        <w:t xml:space="preserve">                                  </w:t>
      </w:r>
    </w:p>
    <w:p w14:paraId="707DF0B8">
      <w:pPr>
        <w:adjustRightInd w:val="0"/>
        <w:snapToGrid w:val="0"/>
        <w:ind w:firstLine="420"/>
        <w:rPr>
          <w:rFonts w:ascii="宋体" w:hAnsi="宋体" w:cs="宋体"/>
          <w:bCs/>
          <w:color w:val="auto"/>
          <w:szCs w:val="21"/>
        </w:rPr>
      </w:pPr>
      <w:r>
        <w:rPr>
          <w:rFonts w:hint="eastAsia" w:ascii="宋体" w:hAnsi="宋体" w:cs="宋体"/>
          <w:bCs/>
          <w:color w:val="auto"/>
          <w:szCs w:val="21"/>
        </w:rPr>
        <w:t>（4）分期履行要求：</w:t>
      </w:r>
      <w:r>
        <w:rPr>
          <w:rFonts w:hint="eastAsia" w:ascii="宋体" w:hAnsi="宋体" w:cs="宋体"/>
          <w:bCs/>
          <w:color w:val="auto"/>
          <w:szCs w:val="21"/>
          <w:u w:val="single"/>
        </w:rPr>
        <w:t xml:space="preserve">                                                        </w:t>
      </w:r>
    </w:p>
    <w:p w14:paraId="07A5AC2F">
      <w:pPr>
        <w:adjustRightInd w:val="0"/>
        <w:snapToGrid w:val="0"/>
        <w:ind w:firstLine="420"/>
        <w:rPr>
          <w:rFonts w:ascii="宋体" w:hAnsi="宋体" w:cs="宋体"/>
          <w:color w:val="auto"/>
          <w:szCs w:val="21"/>
          <w:u w:val="single"/>
        </w:rPr>
      </w:pPr>
      <w:r>
        <w:rPr>
          <w:rFonts w:hint="eastAsia" w:ascii="宋体" w:hAnsi="宋体" w:cs="宋体"/>
          <w:bCs/>
          <w:color w:val="auto"/>
          <w:szCs w:val="21"/>
        </w:rPr>
        <w:t>（5）风险处置措施和替代方案：</w:t>
      </w:r>
      <w:r>
        <w:rPr>
          <w:rFonts w:hint="eastAsia" w:ascii="宋体" w:hAnsi="宋体" w:cs="宋体"/>
          <w:color w:val="auto"/>
          <w:szCs w:val="21"/>
          <w:u w:val="single"/>
        </w:rPr>
        <w:t xml:space="preserve">                                                               </w:t>
      </w:r>
    </w:p>
    <w:p w14:paraId="4D128631">
      <w:pPr>
        <w:numPr>
          <w:ilvl w:val="0"/>
          <w:numId w:val="6"/>
        </w:numPr>
        <w:adjustRightInd w:val="0"/>
        <w:snapToGrid w:val="0"/>
        <w:ind w:firstLine="422"/>
        <w:rPr>
          <w:rFonts w:ascii="宋体" w:hAnsi="宋体"/>
          <w:b/>
          <w:color w:val="auto"/>
          <w:szCs w:val="21"/>
        </w:rPr>
      </w:pPr>
      <w:r>
        <w:rPr>
          <w:rFonts w:hint="eastAsia" w:ascii="宋体" w:hAnsi="宋体"/>
          <w:b/>
          <w:color w:val="auto"/>
          <w:szCs w:val="21"/>
        </w:rPr>
        <w:t>合同验收</w:t>
      </w:r>
    </w:p>
    <w:p w14:paraId="56EE71B7">
      <w:pPr>
        <w:numPr>
          <w:ilvl w:val="0"/>
          <w:numId w:val="8"/>
        </w:numPr>
        <w:adjustRightInd w:val="0"/>
        <w:snapToGrid w:val="0"/>
        <w:ind w:firstLine="420"/>
        <w:rPr>
          <w:rFonts w:ascii="宋体" w:hAnsi="宋体"/>
          <w:bCs/>
          <w:color w:val="auto"/>
          <w:szCs w:val="21"/>
        </w:rPr>
      </w:pPr>
      <w:r>
        <w:rPr>
          <w:rFonts w:hint="eastAsia" w:ascii="宋体" w:hAnsi="宋体"/>
          <w:bCs/>
          <w:color w:val="auto"/>
          <w:szCs w:val="21"/>
        </w:rPr>
        <w:t>验收组织方式：</w:t>
      </w:r>
      <w:r>
        <w:rPr>
          <w:rFonts w:hint="eastAsia" w:ascii="宋体" w:hAnsi="宋体" w:cs="宋体"/>
          <w:color w:val="auto"/>
          <w:szCs w:val="21"/>
        </w:rPr>
        <w:sym w:font="Wingdings" w:char="00A8"/>
      </w:r>
      <w:r>
        <w:rPr>
          <w:rFonts w:hint="eastAsia" w:ascii="宋体" w:hAnsi="宋体"/>
          <w:bCs/>
          <w:color w:val="auto"/>
          <w:szCs w:val="21"/>
        </w:rPr>
        <w:t xml:space="preserve">自行组织 </w:t>
      </w:r>
      <w:r>
        <w:rPr>
          <w:rFonts w:hint="eastAsia" w:ascii="宋体" w:hAnsi="宋体" w:cs="宋体"/>
          <w:color w:val="auto"/>
          <w:szCs w:val="21"/>
        </w:rPr>
        <w:sym w:font="Wingdings" w:char="00A8"/>
      </w:r>
      <w:r>
        <w:rPr>
          <w:rFonts w:hint="eastAsia" w:ascii="宋体" w:hAnsi="宋体"/>
          <w:bCs/>
          <w:color w:val="auto"/>
          <w:szCs w:val="21"/>
        </w:rPr>
        <w:t>委托第三方组织</w:t>
      </w:r>
    </w:p>
    <w:p w14:paraId="2435466D">
      <w:pPr>
        <w:adjustRightInd w:val="0"/>
        <w:snapToGrid w:val="0"/>
        <w:ind w:firstLine="420"/>
        <w:rPr>
          <w:rFonts w:ascii="宋体" w:hAnsi="宋体"/>
          <w:bCs/>
          <w:color w:val="auto"/>
          <w:szCs w:val="21"/>
        </w:rPr>
      </w:pPr>
      <w:r>
        <w:rPr>
          <w:rFonts w:hint="eastAsia" w:ascii="宋体" w:hAnsi="宋体"/>
          <w:bCs/>
          <w:color w:val="auto"/>
          <w:szCs w:val="21"/>
        </w:rPr>
        <w:t xml:space="preserve">     验收主体：</w:t>
      </w:r>
      <w:r>
        <w:rPr>
          <w:rFonts w:hint="eastAsia" w:ascii="宋体" w:hAnsi="宋体"/>
          <w:bCs/>
          <w:color w:val="auto"/>
          <w:szCs w:val="21"/>
          <w:u w:val="single"/>
        </w:rPr>
        <w:t xml:space="preserve">                  </w:t>
      </w:r>
    </w:p>
    <w:p w14:paraId="2D91EBB3">
      <w:pPr>
        <w:adjustRightInd w:val="0"/>
        <w:snapToGrid w:val="0"/>
        <w:ind w:firstLine="420"/>
        <w:rPr>
          <w:rFonts w:ascii="宋体" w:hAnsi="宋体"/>
          <w:bCs/>
          <w:color w:val="auto"/>
          <w:szCs w:val="21"/>
        </w:rPr>
      </w:pPr>
      <w:r>
        <w:rPr>
          <w:rFonts w:hint="eastAsia" w:ascii="宋体" w:hAnsi="宋体"/>
          <w:bCs/>
          <w:color w:val="auto"/>
          <w:szCs w:val="21"/>
        </w:rPr>
        <w:t xml:space="preserve">    是否邀请本项目的其他供应商参加验收：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6CEECDAC">
      <w:pPr>
        <w:adjustRightInd w:val="0"/>
        <w:snapToGrid w:val="0"/>
        <w:ind w:firstLine="840" w:firstLineChars="400"/>
        <w:rPr>
          <w:rFonts w:ascii="宋体" w:hAnsi="宋体"/>
          <w:bCs/>
          <w:color w:val="auto"/>
          <w:szCs w:val="21"/>
        </w:rPr>
      </w:pPr>
      <w:r>
        <w:rPr>
          <w:rFonts w:hint="eastAsia" w:ascii="宋体" w:hAnsi="宋体"/>
          <w:bCs/>
          <w:color w:val="auto"/>
          <w:szCs w:val="21"/>
        </w:rPr>
        <w:t>是否邀请专家参加验收：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796EFB83">
      <w:pPr>
        <w:adjustRightInd w:val="0"/>
        <w:snapToGrid w:val="0"/>
        <w:ind w:firstLine="840" w:firstLineChars="400"/>
        <w:rPr>
          <w:rFonts w:ascii="宋体" w:hAnsi="宋体"/>
          <w:bCs/>
          <w:color w:val="auto"/>
          <w:szCs w:val="21"/>
        </w:rPr>
      </w:pPr>
      <w:r>
        <w:rPr>
          <w:rFonts w:hint="eastAsia" w:ascii="宋体" w:hAnsi="宋体"/>
          <w:bCs/>
          <w:color w:val="auto"/>
          <w:szCs w:val="21"/>
        </w:rPr>
        <w:t>是否邀请服务对象参加验收：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39E88445">
      <w:pPr>
        <w:adjustRightInd w:val="0"/>
        <w:snapToGrid w:val="0"/>
        <w:ind w:firstLine="840" w:firstLineChars="400"/>
        <w:rPr>
          <w:rFonts w:ascii="宋体" w:hAnsi="宋体"/>
          <w:bCs/>
          <w:color w:val="auto"/>
          <w:szCs w:val="21"/>
        </w:rPr>
      </w:pPr>
      <w:r>
        <w:rPr>
          <w:rFonts w:hint="eastAsia" w:ascii="宋体" w:hAnsi="宋体"/>
          <w:bCs/>
          <w:color w:val="auto"/>
          <w:szCs w:val="21"/>
        </w:rPr>
        <w:t>是否邀请第三方检测机构参加验收：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00E603D5">
      <w:pPr>
        <w:adjustRightInd w:val="0"/>
        <w:snapToGrid w:val="0"/>
        <w:ind w:firstLine="840" w:firstLineChars="400"/>
        <w:rPr>
          <w:rFonts w:ascii="宋体" w:hAnsi="宋体"/>
          <w:bCs/>
          <w:color w:val="auto"/>
          <w:szCs w:val="21"/>
        </w:rPr>
      </w:pPr>
      <w:r>
        <w:rPr>
          <w:rFonts w:hint="eastAsia" w:ascii="宋体" w:hAnsi="宋体"/>
          <w:bCs/>
          <w:color w:val="auto"/>
          <w:szCs w:val="21"/>
        </w:rPr>
        <w:t>是否进行抽查检测：</w:t>
      </w:r>
      <w:r>
        <w:rPr>
          <w:rFonts w:hint="eastAsia" w:ascii="宋体" w:hAnsi="宋体" w:cs="宋体"/>
          <w:color w:val="auto"/>
          <w:szCs w:val="21"/>
        </w:rPr>
        <w:sym w:font="Wingdings" w:char="00A8"/>
      </w:r>
      <w:r>
        <w:rPr>
          <w:rFonts w:hint="eastAsia" w:ascii="宋体" w:hAnsi="宋体"/>
          <w:bCs/>
          <w:color w:val="auto"/>
          <w:szCs w:val="21"/>
        </w:rPr>
        <w:t>是，抽查比例：</w:t>
      </w:r>
      <w:r>
        <w:rPr>
          <w:rFonts w:hint="eastAsia" w:ascii="宋体" w:hAnsi="宋体"/>
          <w:bCs/>
          <w:color w:val="auto"/>
          <w:szCs w:val="21"/>
          <w:u w:val="single"/>
        </w:rPr>
        <w:t xml:space="preserve">        </w:t>
      </w:r>
      <w:r>
        <w:rPr>
          <w:rFonts w:hint="eastAsia" w:ascii="宋体" w:hAnsi="宋体"/>
          <w:bCs/>
          <w:color w:val="auto"/>
          <w:szCs w:val="21"/>
        </w:rPr>
        <w:t xml:space="preserve"> </w:t>
      </w:r>
      <w:r>
        <w:rPr>
          <w:rFonts w:hint="eastAsia" w:ascii="宋体" w:hAnsi="宋体" w:cs="宋体"/>
          <w:color w:val="auto"/>
          <w:szCs w:val="21"/>
        </w:rPr>
        <w:sym w:font="Wingdings" w:char="00A8"/>
      </w:r>
      <w:r>
        <w:rPr>
          <w:rFonts w:hint="eastAsia" w:ascii="宋体" w:hAnsi="宋体"/>
          <w:bCs/>
          <w:color w:val="auto"/>
          <w:szCs w:val="21"/>
        </w:rPr>
        <w:t>否</w:t>
      </w:r>
    </w:p>
    <w:p w14:paraId="00F8B309">
      <w:pPr>
        <w:adjustRightInd w:val="0"/>
        <w:snapToGrid w:val="0"/>
        <w:ind w:firstLine="840" w:firstLineChars="400"/>
        <w:rPr>
          <w:rFonts w:ascii="宋体" w:hAnsi="宋体"/>
          <w:bCs/>
          <w:color w:val="auto"/>
          <w:szCs w:val="21"/>
          <w:u w:val="single"/>
        </w:rPr>
      </w:pPr>
      <w:r>
        <w:rPr>
          <w:rFonts w:hint="eastAsia" w:ascii="宋体" w:hAnsi="宋体"/>
          <w:bCs/>
          <w:color w:val="auto"/>
          <w:szCs w:val="21"/>
        </w:rPr>
        <w:t>是否存在破坏性检测：</w:t>
      </w:r>
      <w:r>
        <w:rPr>
          <w:rFonts w:hint="eastAsia" w:ascii="宋体" w:hAnsi="宋体" w:cs="宋体"/>
          <w:color w:val="auto"/>
          <w:szCs w:val="21"/>
        </w:rPr>
        <w:sym w:font="Wingdings" w:char="00A8"/>
      </w:r>
      <w:r>
        <w:rPr>
          <w:rFonts w:hint="eastAsia" w:ascii="宋体" w:hAnsi="宋体"/>
          <w:bCs/>
          <w:color w:val="auto"/>
          <w:szCs w:val="21"/>
        </w:rPr>
        <w:t>是，</w:t>
      </w:r>
      <w:r>
        <w:rPr>
          <w:rFonts w:hint="eastAsia" w:ascii="宋体" w:hAnsi="宋体"/>
          <w:bCs/>
          <w:color w:val="auto"/>
          <w:szCs w:val="21"/>
          <w:u w:val="single"/>
        </w:rPr>
        <w:t>（应明确对被破坏的检测产品的处理方式）</w:t>
      </w:r>
    </w:p>
    <w:p w14:paraId="4860AF14">
      <w:pPr>
        <w:adjustRightInd w:val="0"/>
        <w:snapToGrid w:val="0"/>
        <w:ind w:firstLine="840" w:firstLineChars="400"/>
        <w:rPr>
          <w:rFonts w:ascii="宋体" w:hAnsi="宋体"/>
          <w:bCs/>
          <w:color w:val="auto"/>
          <w:szCs w:val="21"/>
        </w:rPr>
      </w:pPr>
      <w:r>
        <w:rPr>
          <w:rFonts w:hint="eastAsia" w:ascii="宋体" w:hAnsi="宋体"/>
          <w:bCs/>
          <w:color w:val="auto"/>
          <w:szCs w:val="21"/>
        </w:rPr>
        <w:t xml:space="preserve">                    </w:t>
      </w:r>
      <w:r>
        <w:rPr>
          <w:rFonts w:hint="eastAsia" w:ascii="宋体" w:hAnsi="宋体" w:cs="宋体"/>
          <w:color w:val="auto"/>
          <w:szCs w:val="21"/>
        </w:rPr>
        <w:sym w:font="Wingdings" w:char="00A8"/>
      </w:r>
      <w:r>
        <w:rPr>
          <w:rFonts w:hint="eastAsia" w:ascii="宋体" w:hAnsi="宋体"/>
          <w:bCs/>
          <w:color w:val="auto"/>
          <w:szCs w:val="21"/>
        </w:rPr>
        <w:t>否</w:t>
      </w:r>
    </w:p>
    <w:p w14:paraId="40930A34">
      <w:pPr>
        <w:adjustRightInd w:val="0"/>
        <w:snapToGrid w:val="0"/>
        <w:ind w:firstLine="840" w:firstLineChars="400"/>
        <w:rPr>
          <w:rFonts w:ascii="宋体" w:hAnsi="宋体"/>
          <w:bCs/>
          <w:color w:val="auto"/>
          <w:szCs w:val="21"/>
          <w:u w:val="single"/>
        </w:rPr>
      </w:pPr>
      <w:r>
        <w:rPr>
          <w:rFonts w:hint="eastAsia" w:ascii="宋体" w:hAnsi="宋体"/>
          <w:bCs/>
          <w:color w:val="auto"/>
          <w:szCs w:val="21"/>
        </w:rPr>
        <w:t>验收组织的其他事项：</w:t>
      </w:r>
      <w:r>
        <w:rPr>
          <w:rFonts w:hint="eastAsia" w:ascii="宋体" w:hAnsi="宋体"/>
          <w:bCs/>
          <w:color w:val="auto"/>
          <w:szCs w:val="21"/>
          <w:u w:val="single"/>
        </w:rPr>
        <w:t xml:space="preserve">                </w:t>
      </w:r>
    </w:p>
    <w:p w14:paraId="5CEBE1A5">
      <w:pPr>
        <w:adjustRightInd w:val="0"/>
        <w:snapToGrid w:val="0"/>
        <w:ind w:firstLine="420"/>
        <w:rPr>
          <w:rFonts w:ascii="宋体" w:hAnsi="宋体"/>
          <w:bCs/>
          <w:color w:val="auto"/>
          <w:szCs w:val="21"/>
          <w:u w:val="single"/>
        </w:rPr>
      </w:pPr>
      <w:r>
        <w:rPr>
          <w:rFonts w:hint="eastAsia" w:ascii="宋体" w:hAnsi="宋体"/>
          <w:bCs/>
          <w:color w:val="auto"/>
          <w:szCs w:val="21"/>
        </w:rPr>
        <w:t>（2）履约验收时间：</w:t>
      </w:r>
      <w:r>
        <w:rPr>
          <w:rFonts w:hint="eastAsia" w:ascii="宋体" w:hAnsi="宋体"/>
          <w:bCs/>
          <w:color w:val="auto"/>
          <w:szCs w:val="21"/>
          <w:u w:val="single"/>
        </w:rPr>
        <w:t xml:space="preserve">（计划于何时验收/供应商提出验收申请之日起   日内组织验收） </w:t>
      </w:r>
    </w:p>
    <w:p w14:paraId="3C89F1D0">
      <w:pPr>
        <w:adjustRightInd w:val="0"/>
        <w:snapToGrid w:val="0"/>
        <w:ind w:firstLine="420"/>
        <w:rPr>
          <w:rFonts w:ascii="宋体" w:hAnsi="宋体"/>
          <w:bCs/>
          <w:color w:val="auto"/>
          <w:szCs w:val="21"/>
        </w:rPr>
      </w:pPr>
      <w:r>
        <w:rPr>
          <w:rFonts w:hint="eastAsia" w:ascii="宋体" w:hAnsi="宋体"/>
          <w:bCs/>
          <w:color w:val="auto"/>
          <w:szCs w:val="21"/>
        </w:rPr>
        <w:t>（3）履约验收方式：</w:t>
      </w:r>
      <w:r>
        <w:rPr>
          <w:rFonts w:hint="eastAsia" w:ascii="宋体" w:hAnsi="宋体" w:cs="宋体"/>
          <w:color w:val="auto"/>
          <w:szCs w:val="21"/>
        </w:rPr>
        <w:sym w:font="Wingdings" w:char="00A8"/>
      </w:r>
      <w:r>
        <w:rPr>
          <w:rFonts w:hint="eastAsia" w:ascii="宋体" w:hAnsi="宋体"/>
          <w:bCs/>
          <w:color w:val="auto"/>
          <w:szCs w:val="21"/>
        </w:rPr>
        <w:t xml:space="preserve">一次性验收         </w:t>
      </w:r>
    </w:p>
    <w:p w14:paraId="2182005F">
      <w:pPr>
        <w:adjustRightInd w:val="0"/>
        <w:snapToGrid w:val="0"/>
        <w:ind w:firstLine="420"/>
        <w:rPr>
          <w:rFonts w:ascii="宋体" w:hAnsi="宋体"/>
          <w:bCs/>
          <w:color w:val="auto"/>
          <w:szCs w:val="21"/>
        </w:rPr>
      </w:pPr>
      <w:r>
        <w:rPr>
          <w:rFonts w:hint="eastAsia" w:ascii="宋体" w:hAnsi="宋体"/>
          <w:bCs/>
          <w:color w:val="auto"/>
          <w:szCs w:val="21"/>
        </w:rPr>
        <w:t xml:space="preserve">                       </w:t>
      </w:r>
      <w:r>
        <w:rPr>
          <w:rFonts w:hint="eastAsia" w:ascii="宋体" w:hAnsi="宋体" w:cs="宋体"/>
          <w:color w:val="auto"/>
          <w:szCs w:val="21"/>
        </w:rPr>
        <w:sym w:font="Wingdings" w:char="00A8"/>
      </w:r>
      <w:r>
        <w:rPr>
          <w:rFonts w:hint="eastAsia" w:ascii="宋体" w:hAnsi="宋体"/>
          <w:bCs/>
          <w:color w:val="auto"/>
          <w:szCs w:val="21"/>
        </w:rPr>
        <w:t>分期/分项验收：</w:t>
      </w:r>
      <w:r>
        <w:rPr>
          <w:rFonts w:hint="eastAsia" w:ascii="宋体" w:hAnsi="宋体"/>
          <w:bCs/>
          <w:color w:val="auto"/>
          <w:szCs w:val="21"/>
          <w:u w:val="single"/>
        </w:rPr>
        <w:t xml:space="preserve"> （应明确分期</w:t>
      </w:r>
      <w:r>
        <w:rPr>
          <w:rFonts w:ascii="宋体" w:hAnsi="宋体"/>
          <w:bCs/>
          <w:color w:val="auto"/>
          <w:szCs w:val="21"/>
          <w:u w:val="single"/>
          <w:lang w:val="en"/>
        </w:rPr>
        <w:t>/</w:t>
      </w:r>
      <w:r>
        <w:rPr>
          <w:rFonts w:hint="eastAsia" w:ascii="宋体" w:hAnsi="宋体"/>
          <w:bCs/>
          <w:color w:val="auto"/>
          <w:szCs w:val="21"/>
          <w:u w:val="single"/>
          <w:lang w:val="en"/>
        </w:rPr>
        <w:t>分项验收的工作安排</w:t>
      </w:r>
      <w:r>
        <w:rPr>
          <w:rFonts w:hint="eastAsia" w:ascii="宋体" w:hAnsi="宋体"/>
          <w:bCs/>
          <w:color w:val="auto"/>
          <w:szCs w:val="21"/>
          <w:u w:val="single"/>
        </w:rPr>
        <w:t xml:space="preserve">）  </w:t>
      </w:r>
    </w:p>
    <w:p w14:paraId="1A428899">
      <w:pPr>
        <w:adjustRightInd w:val="0"/>
        <w:snapToGrid w:val="0"/>
        <w:ind w:firstLine="420"/>
        <w:rPr>
          <w:rFonts w:ascii="宋体" w:hAnsi="宋体"/>
          <w:bCs/>
          <w:color w:val="auto"/>
          <w:szCs w:val="21"/>
        </w:rPr>
      </w:pPr>
      <w:r>
        <w:rPr>
          <w:rFonts w:hint="eastAsia" w:ascii="宋体" w:hAnsi="宋体"/>
          <w:bCs/>
          <w:color w:val="auto"/>
          <w:szCs w:val="21"/>
        </w:rPr>
        <w:t>（4）履约验收程序：</w:t>
      </w:r>
      <w:r>
        <w:rPr>
          <w:rFonts w:hint="eastAsia" w:ascii="宋体" w:hAnsi="宋体"/>
          <w:bCs/>
          <w:color w:val="auto"/>
          <w:szCs w:val="21"/>
          <w:u w:val="single"/>
        </w:rPr>
        <w:t xml:space="preserve">                                         </w:t>
      </w:r>
    </w:p>
    <w:p w14:paraId="409EFCFD">
      <w:pPr>
        <w:adjustRightInd w:val="0"/>
        <w:snapToGrid w:val="0"/>
        <w:ind w:firstLine="420"/>
        <w:rPr>
          <w:rFonts w:ascii="宋体" w:hAnsi="宋体"/>
          <w:bCs/>
          <w:color w:val="auto"/>
          <w:szCs w:val="21"/>
          <w:u w:val="single"/>
        </w:rPr>
      </w:pPr>
      <w:r>
        <w:rPr>
          <w:rFonts w:hint="eastAsia" w:ascii="宋体" w:hAnsi="宋体"/>
          <w:bCs/>
          <w:color w:val="auto"/>
          <w:szCs w:val="21"/>
        </w:rPr>
        <w:t>（5）履约验收的内容：</w:t>
      </w:r>
      <w:r>
        <w:rPr>
          <w:rFonts w:hint="eastAsia" w:ascii="宋体" w:hAnsi="宋体"/>
          <w:bCs/>
          <w:color w:val="auto"/>
          <w:szCs w:val="21"/>
          <w:u w:val="single"/>
        </w:rPr>
        <w:t xml:space="preserve"> （应当包括每一项技术和商务要求的履约情况，特别是落实政府采购扶持中小企业，支持绿色发展和乡村振兴等政策情况）                                      </w:t>
      </w:r>
    </w:p>
    <w:p w14:paraId="15F0E07E">
      <w:pPr>
        <w:adjustRightInd w:val="0"/>
        <w:snapToGrid w:val="0"/>
        <w:ind w:firstLine="420"/>
        <w:rPr>
          <w:rFonts w:ascii="宋体" w:hAnsi="宋体"/>
          <w:bCs/>
          <w:color w:val="auto"/>
          <w:szCs w:val="21"/>
          <w:u w:val="single"/>
        </w:rPr>
      </w:pPr>
      <w:r>
        <w:rPr>
          <w:rFonts w:hint="eastAsia" w:ascii="宋体" w:hAnsi="宋体"/>
          <w:bCs/>
          <w:color w:val="auto"/>
          <w:szCs w:val="21"/>
        </w:rPr>
        <w:t>（6）履约验收标准：</w:t>
      </w:r>
      <w:r>
        <w:rPr>
          <w:rFonts w:hint="eastAsia" w:ascii="宋体" w:hAnsi="宋体"/>
          <w:bCs/>
          <w:color w:val="auto"/>
          <w:szCs w:val="21"/>
          <w:u w:val="single"/>
        </w:rPr>
        <w:t xml:space="preserve">                                         </w:t>
      </w:r>
    </w:p>
    <w:p w14:paraId="30CB2228">
      <w:pPr>
        <w:pStyle w:val="145"/>
        <w:ind w:firstLine="420"/>
        <w:rPr>
          <w:rFonts w:ascii="宋体" w:hAnsi="宋体" w:eastAsia="宋体" w:cs="宋体"/>
          <w:color w:val="auto"/>
          <w:sz w:val="21"/>
        </w:rPr>
      </w:pPr>
      <w:r>
        <w:rPr>
          <w:rFonts w:hint="eastAsia" w:ascii="宋体" w:hAnsi="宋体" w:eastAsia="宋体" w:cs="宋体"/>
          <w:bCs/>
          <w:color w:val="auto"/>
          <w:sz w:val="21"/>
        </w:rPr>
        <w:t>（7）是否以采购活动中供应商提供的样品作为参考：</w:t>
      </w:r>
      <w:r>
        <w:rPr>
          <w:rFonts w:hint="eastAsia" w:ascii="宋体" w:hAnsi="宋体" w:eastAsia="宋体" w:cs="宋体"/>
          <w:color w:val="auto"/>
          <w:sz w:val="21"/>
        </w:rPr>
        <w:sym w:font="Wingdings" w:char="00A8"/>
      </w:r>
      <w:r>
        <w:rPr>
          <w:rFonts w:hint="eastAsia" w:ascii="宋体" w:hAnsi="宋体" w:eastAsia="宋体" w:cs="宋体"/>
          <w:bCs/>
          <w:color w:val="auto"/>
          <w:sz w:val="21"/>
        </w:rPr>
        <w:t xml:space="preserve">是  </w:t>
      </w:r>
      <w:r>
        <w:rPr>
          <w:rFonts w:hint="eastAsia" w:ascii="宋体" w:hAnsi="宋体" w:eastAsia="宋体" w:cs="宋体"/>
          <w:color w:val="auto"/>
          <w:sz w:val="21"/>
        </w:rPr>
        <w:sym w:font="Wingdings" w:char="00A8"/>
      </w:r>
      <w:r>
        <w:rPr>
          <w:rFonts w:hint="eastAsia" w:ascii="宋体" w:hAnsi="宋体" w:eastAsia="宋体" w:cs="宋体"/>
          <w:bCs/>
          <w:color w:val="auto"/>
          <w:sz w:val="21"/>
        </w:rPr>
        <w:t>否</w:t>
      </w:r>
    </w:p>
    <w:p w14:paraId="40C78062">
      <w:pPr>
        <w:adjustRightInd w:val="0"/>
        <w:snapToGrid w:val="0"/>
        <w:ind w:firstLine="420"/>
        <w:rPr>
          <w:rFonts w:ascii="宋体" w:hAnsi="宋体" w:cs="宋体"/>
          <w:bCs/>
          <w:color w:val="auto"/>
          <w:szCs w:val="21"/>
          <w:u w:val="single"/>
        </w:rPr>
      </w:pPr>
      <w:r>
        <w:rPr>
          <w:rFonts w:hint="eastAsia" w:ascii="宋体" w:hAnsi="宋体" w:cs="宋体"/>
          <w:bCs/>
          <w:color w:val="auto"/>
          <w:szCs w:val="21"/>
        </w:rPr>
        <w:t>（8）履约验收其他事项：</w:t>
      </w:r>
      <w:r>
        <w:rPr>
          <w:rFonts w:hint="eastAsia" w:ascii="宋体" w:hAnsi="宋体" w:cs="宋体"/>
          <w:bCs/>
          <w:color w:val="auto"/>
          <w:szCs w:val="21"/>
          <w:u w:val="single"/>
        </w:rPr>
        <w:t xml:space="preserve">      （产权过户登记等）          </w:t>
      </w:r>
    </w:p>
    <w:p w14:paraId="761C862B">
      <w:pPr>
        <w:numPr>
          <w:ilvl w:val="0"/>
          <w:numId w:val="6"/>
        </w:numPr>
        <w:adjustRightInd w:val="0"/>
        <w:snapToGrid w:val="0"/>
        <w:ind w:firstLine="422"/>
        <w:rPr>
          <w:rFonts w:ascii="宋体" w:hAnsi="宋体"/>
          <w:b/>
          <w:color w:val="auto"/>
          <w:szCs w:val="21"/>
        </w:rPr>
      </w:pPr>
      <w:r>
        <w:rPr>
          <w:rFonts w:hint="eastAsia" w:ascii="宋体" w:hAnsi="宋体"/>
          <w:b/>
          <w:color w:val="auto"/>
          <w:szCs w:val="21"/>
        </w:rPr>
        <w:t>组成合同的文件</w:t>
      </w:r>
    </w:p>
    <w:p w14:paraId="0E002F12">
      <w:pPr>
        <w:adjustRightInd w:val="0"/>
        <w:snapToGrid w:val="0"/>
        <w:ind w:firstLine="420"/>
        <w:rPr>
          <w:rFonts w:ascii="宋体" w:hAnsi="宋体"/>
          <w:color w:val="auto"/>
          <w:szCs w:val="21"/>
        </w:rPr>
      </w:pPr>
      <w:r>
        <w:rPr>
          <w:rFonts w:hint="eastAsia" w:ascii="宋体" w:hAnsi="宋体"/>
          <w:color w:val="auto"/>
          <w:szCs w:val="21"/>
        </w:rPr>
        <w:t>本协议书与下列文件一起构成合同文件，如下述文件之间有任何抵触、矛盾或歧义，应按以下顺序解释：</w:t>
      </w:r>
    </w:p>
    <w:p w14:paraId="6FEBBD51">
      <w:pPr>
        <w:adjustRightInd w:val="0"/>
        <w:snapToGrid w:val="0"/>
        <w:ind w:firstLine="420"/>
        <w:rPr>
          <w:rFonts w:ascii="宋体" w:hAnsi="宋体"/>
          <w:color w:val="auto"/>
          <w:szCs w:val="21"/>
        </w:rPr>
      </w:pPr>
      <w:r>
        <w:rPr>
          <w:rFonts w:hint="eastAsia" w:ascii="宋体" w:hAnsi="宋体"/>
          <w:color w:val="auto"/>
          <w:szCs w:val="21"/>
        </w:rPr>
        <w:t>（1）政府采购合同协议书及其变更、补充协议</w:t>
      </w:r>
    </w:p>
    <w:p w14:paraId="02674242">
      <w:pPr>
        <w:adjustRightInd w:val="0"/>
        <w:snapToGrid w:val="0"/>
        <w:ind w:firstLine="420"/>
        <w:rPr>
          <w:rFonts w:ascii="宋体" w:hAnsi="宋体"/>
          <w:color w:val="auto"/>
          <w:szCs w:val="21"/>
        </w:rPr>
      </w:pPr>
      <w:r>
        <w:rPr>
          <w:rFonts w:hint="eastAsia" w:ascii="宋体" w:hAnsi="宋体"/>
          <w:color w:val="auto"/>
          <w:szCs w:val="21"/>
        </w:rPr>
        <w:t>（2）政府采购合同专用条款</w:t>
      </w:r>
    </w:p>
    <w:p w14:paraId="3DD48659">
      <w:pPr>
        <w:adjustRightInd w:val="0"/>
        <w:snapToGrid w:val="0"/>
        <w:ind w:firstLine="420"/>
        <w:rPr>
          <w:rFonts w:ascii="宋体" w:hAnsi="宋体"/>
          <w:color w:val="auto"/>
          <w:szCs w:val="21"/>
        </w:rPr>
      </w:pPr>
      <w:r>
        <w:rPr>
          <w:rFonts w:hint="eastAsia" w:ascii="宋体" w:hAnsi="宋体"/>
          <w:color w:val="auto"/>
          <w:szCs w:val="21"/>
        </w:rPr>
        <w:t>（3）政府采购合同通用条款</w:t>
      </w:r>
    </w:p>
    <w:p w14:paraId="713B07AB">
      <w:pPr>
        <w:adjustRightInd w:val="0"/>
        <w:snapToGrid w:val="0"/>
        <w:ind w:firstLine="420"/>
        <w:rPr>
          <w:rFonts w:ascii="宋体" w:hAnsi="宋体"/>
          <w:color w:val="auto"/>
          <w:szCs w:val="21"/>
        </w:rPr>
      </w:pPr>
      <w:r>
        <w:rPr>
          <w:rFonts w:hint="eastAsia" w:ascii="宋体" w:hAnsi="宋体"/>
          <w:color w:val="auto"/>
          <w:szCs w:val="21"/>
        </w:rPr>
        <w:t>（4）中标（成交）通知书</w:t>
      </w:r>
    </w:p>
    <w:p w14:paraId="2B415D23">
      <w:pPr>
        <w:adjustRightInd w:val="0"/>
        <w:snapToGrid w:val="0"/>
        <w:ind w:firstLine="420"/>
        <w:rPr>
          <w:rFonts w:ascii="宋体" w:hAnsi="宋体"/>
          <w:color w:val="auto"/>
          <w:szCs w:val="21"/>
        </w:rPr>
      </w:pPr>
      <w:r>
        <w:rPr>
          <w:rFonts w:hint="eastAsia" w:ascii="宋体" w:hAnsi="宋体"/>
          <w:color w:val="auto"/>
          <w:szCs w:val="21"/>
        </w:rPr>
        <w:t>（5）投标（响应）文件</w:t>
      </w:r>
    </w:p>
    <w:p w14:paraId="2242EB1A">
      <w:pPr>
        <w:adjustRightInd w:val="0"/>
        <w:snapToGrid w:val="0"/>
        <w:ind w:firstLine="420"/>
        <w:rPr>
          <w:rFonts w:ascii="宋体" w:hAnsi="宋体"/>
          <w:color w:val="auto"/>
          <w:szCs w:val="21"/>
        </w:rPr>
      </w:pPr>
      <w:r>
        <w:rPr>
          <w:rFonts w:hint="eastAsia" w:ascii="宋体" w:hAnsi="宋体"/>
          <w:color w:val="auto"/>
          <w:szCs w:val="21"/>
        </w:rPr>
        <w:t>（6）采购文件</w:t>
      </w:r>
    </w:p>
    <w:p w14:paraId="464666CE">
      <w:pPr>
        <w:adjustRightInd w:val="0"/>
        <w:snapToGrid w:val="0"/>
        <w:ind w:firstLine="420"/>
        <w:rPr>
          <w:rFonts w:ascii="宋体" w:hAnsi="宋体"/>
          <w:color w:val="auto"/>
          <w:szCs w:val="21"/>
        </w:rPr>
      </w:pPr>
      <w:r>
        <w:rPr>
          <w:rFonts w:hint="eastAsia" w:ascii="宋体" w:hAnsi="宋体"/>
          <w:color w:val="auto"/>
          <w:szCs w:val="21"/>
        </w:rPr>
        <w:t>（7）有关技术文件，图纸</w:t>
      </w:r>
    </w:p>
    <w:p w14:paraId="448E7730">
      <w:pPr>
        <w:pStyle w:val="145"/>
        <w:ind w:firstLine="420"/>
        <w:rPr>
          <w:rFonts w:ascii="宋体" w:hAnsi="宋体" w:eastAsia="宋体" w:cs="宋体"/>
          <w:color w:val="auto"/>
          <w:kern w:val="2"/>
          <w:sz w:val="21"/>
        </w:rPr>
      </w:pPr>
      <w:r>
        <w:rPr>
          <w:rFonts w:hint="eastAsia" w:ascii="宋体" w:hAnsi="宋体" w:eastAsia="宋体" w:cs="宋体"/>
          <w:color w:val="auto"/>
          <w:sz w:val="21"/>
        </w:rPr>
        <w:t>（8）</w:t>
      </w:r>
      <w:r>
        <w:rPr>
          <w:rFonts w:hint="eastAsia" w:ascii="宋体" w:hAnsi="宋体" w:eastAsia="宋体" w:cs="宋体"/>
          <w:color w:val="auto"/>
          <w:kern w:val="2"/>
          <w:sz w:val="21"/>
        </w:rPr>
        <w:t>国家法律、行政法规和规章制度规定或合同约定的作为合同组成部分的其他文件</w:t>
      </w:r>
    </w:p>
    <w:p w14:paraId="4852C2B1">
      <w:pPr>
        <w:numPr>
          <w:ilvl w:val="0"/>
          <w:numId w:val="6"/>
        </w:numPr>
        <w:adjustRightInd w:val="0"/>
        <w:snapToGrid w:val="0"/>
        <w:ind w:firstLine="422"/>
        <w:rPr>
          <w:rFonts w:ascii="宋体" w:hAnsi="宋体"/>
          <w:b/>
          <w:color w:val="auto"/>
          <w:szCs w:val="21"/>
        </w:rPr>
      </w:pPr>
      <w:r>
        <w:rPr>
          <w:rFonts w:hint="eastAsia" w:ascii="宋体" w:hAnsi="宋体"/>
          <w:b/>
          <w:color w:val="auto"/>
          <w:szCs w:val="21"/>
        </w:rPr>
        <w:t>合同生效</w:t>
      </w:r>
    </w:p>
    <w:p w14:paraId="70F908D6">
      <w:pPr>
        <w:adjustRightInd w:val="0"/>
        <w:snapToGrid w:val="0"/>
        <w:ind w:firstLine="420"/>
        <w:rPr>
          <w:rFonts w:ascii="宋体" w:hAnsi="宋体"/>
          <w:color w:val="auto"/>
          <w:szCs w:val="21"/>
        </w:rPr>
      </w:pPr>
      <w:r>
        <w:rPr>
          <w:rFonts w:hint="eastAsia" w:ascii="宋体" w:hAnsi="宋体"/>
          <w:color w:val="auto"/>
          <w:szCs w:val="21"/>
        </w:rPr>
        <w:t>本合同自</w:t>
      </w:r>
      <w:r>
        <w:rPr>
          <w:rFonts w:hint="eastAsia" w:ascii="宋体" w:hAnsi="宋体"/>
          <w:color w:val="auto"/>
          <w:szCs w:val="21"/>
          <w:u w:val="single"/>
        </w:rPr>
        <w:t xml:space="preserve">                             </w:t>
      </w:r>
      <w:r>
        <w:rPr>
          <w:rFonts w:hint="eastAsia" w:ascii="宋体" w:hAnsi="宋体"/>
          <w:color w:val="auto"/>
          <w:szCs w:val="21"/>
        </w:rPr>
        <w:t>生效。</w:t>
      </w:r>
    </w:p>
    <w:p w14:paraId="79B0D28B">
      <w:pPr>
        <w:numPr>
          <w:ilvl w:val="0"/>
          <w:numId w:val="6"/>
        </w:numPr>
        <w:adjustRightInd w:val="0"/>
        <w:snapToGrid w:val="0"/>
        <w:ind w:firstLine="422"/>
        <w:rPr>
          <w:rFonts w:ascii="宋体" w:hAnsi="宋体"/>
          <w:b/>
          <w:color w:val="auto"/>
          <w:szCs w:val="21"/>
        </w:rPr>
      </w:pPr>
      <w:r>
        <w:rPr>
          <w:rFonts w:hint="eastAsia" w:ascii="宋体" w:hAnsi="宋体"/>
          <w:b/>
          <w:color w:val="auto"/>
          <w:szCs w:val="21"/>
        </w:rPr>
        <w:t>合同份数</w:t>
      </w:r>
    </w:p>
    <w:p w14:paraId="55AF3221">
      <w:pPr>
        <w:adjustRightInd w:val="0"/>
        <w:snapToGrid w:val="0"/>
        <w:ind w:firstLine="420"/>
        <w:rPr>
          <w:rFonts w:ascii="宋体" w:hAnsi="宋体"/>
          <w:color w:val="auto"/>
          <w:szCs w:val="21"/>
        </w:rPr>
      </w:pPr>
      <w:r>
        <w:rPr>
          <w:rFonts w:hint="eastAsia" w:ascii="宋体" w:hAnsi="宋体"/>
          <w:color w:val="auto"/>
          <w:szCs w:val="21"/>
        </w:rPr>
        <w:t>本合同一式</w:t>
      </w:r>
      <w:r>
        <w:rPr>
          <w:rFonts w:hint="eastAsia" w:ascii="宋体" w:hAnsi="宋体"/>
          <w:color w:val="auto"/>
          <w:szCs w:val="21"/>
          <w:u w:val="single"/>
        </w:rPr>
        <w:t xml:space="preserve">    </w:t>
      </w:r>
      <w:r>
        <w:rPr>
          <w:rFonts w:hint="eastAsia" w:ascii="宋体" w:hAnsi="宋体"/>
          <w:color w:val="auto"/>
          <w:szCs w:val="21"/>
        </w:rPr>
        <w:t>份，甲方执</w:t>
      </w:r>
      <w:r>
        <w:rPr>
          <w:rFonts w:hint="eastAsia" w:ascii="宋体" w:hAnsi="宋体"/>
          <w:color w:val="auto"/>
          <w:szCs w:val="21"/>
          <w:u w:val="single"/>
        </w:rPr>
        <w:t xml:space="preserve">    </w:t>
      </w:r>
      <w:r>
        <w:rPr>
          <w:rFonts w:hint="eastAsia" w:ascii="宋体" w:hAnsi="宋体"/>
          <w:color w:val="auto"/>
          <w:szCs w:val="21"/>
        </w:rPr>
        <w:t>份，乙方执</w:t>
      </w:r>
      <w:r>
        <w:rPr>
          <w:rFonts w:hint="eastAsia" w:ascii="宋体" w:hAnsi="宋体"/>
          <w:color w:val="auto"/>
          <w:szCs w:val="21"/>
          <w:u w:val="single"/>
        </w:rPr>
        <w:t xml:space="preserve">    </w:t>
      </w:r>
      <w:r>
        <w:rPr>
          <w:rFonts w:hint="eastAsia" w:ascii="宋体" w:hAnsi="宋体"/>
          <w:color w:val="auto"/>
          <w:szCs w:val="21"/>
        </w:rPr>
        <w:t>份，均具有同等法律效力。</w:t>
      </w:r>
    </w:p>
    <w:p w14:paraId="682A7FFA">
      <w:pPr>
        <w:adjustRightInd w:val="0"/>
        <w:snapToGrid w:val="0"/>
        <w:ind w:firstLine="420"/>
        <w:rPr>
          <w:rFonts w:ascii="宋体" w:hAnsi="宋体"/>
          <w:color w:val="auto"/>
          <w:szCs w:val="21"/>
        </w:rPr>
      </w:pPr>
      <w:r>
        <w:rPr>
          <w:rFonts w:hint="eastAsia" w:ascii="宋体" w:hAnsi="宋体"/>
          <w:color w:val="auto"/>
          <w:szCs w:val="21"/>
        </w:rPr>
        <w:t>合同订立时间：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142E43C2">
      <w:pPr>
        <w:adjustRightInd w:val="0"/>
        <w:snapToGrid w:val="0"/>
        <w:ind w:firstLine="420"/>
        <w:rPr>
          <w:rFonts w:ascii="宋体" w:hAnsi="宋体"/>
          <w:color w:val="auto"/>
          <w:szCs w:val="21"/>
        </w:rPr>
      </w:pPr>
      <w:r>
        <w:rPr>
          <w:rFonts w:hint="eastAsia" w:ascii="宋体" w:hAnsi="宋体"/>
          <w:color w:val="auto"/>
          <w:szCs w:val="21"/>
        </w:rPr>
        <w:t>合同订立地点：</w:t>
      </w:r>
      <w:r>
        <w:rPr>
          <w:rFonts w:hint="eastAsia" w:ascii="宋体" w:hAnsi="宋体"/>
          <w:color w:val="auto"/>
          <w:szCs w:val="21"/>
          <w:u w:val="single"/>
        </w:rPr>
        <w:t xml:space="preserve">                           </w:t>
      </w:r>
    </w:p>
    <w:p w14:paraId="6218C22E">
      <w:pPr>
        <w:adjustRightInd w:val="0"/>
        <w:snapToGrid w:val="0"/>
        <w:ind w:firstLine="420"/>
        <w:rPr>
          <w:color w:val="auto"/>
        </w:rPr>
      </w:pPr>
      <w:r>
        <w:rPr>
          <w:rFonts w:hint="eastAsia" w:ascii="宋体" w:hAnsi="宋体"/>
          <w:color w:val="auto"/>
          <w:szCs w:val="21"/>
        </w:rPr>
        <w:t>附件：具体标的及其技术要求和商务要求、联合协议、分包意向协议等。</w:t>
      </w:r>
    </w:p>
    <w:p w14:paraId="07AC7191">
      <w:pPr>
        <w:pStyle w:val="95"/>
        <w:rPr>
          <w:color w:val="auto"/>
        </w:rPr>
      </w:pPr>
    </w:p>
    <w:p w14:paraId="4E95B937">
      <w:pPr>
        <w:pStyle w:val="5"/>
        <w:ind w:firstLine="643"/>
        <w:rPr>
          <w:rFonts w:ascii="宋体" w:hAnsi="宋体"/>
          <w:b w:val="0"/>
          <w:bCs w:val="0"/>
          <w:color w:val="auto"/>
          <w:sz w:val="21"/>
          <w:szCs w:val="21"/>
        </w:rPr>
      </w:pPr>
      <w:r>
        <w:rPr>
          <w:color w:val="auto"/>
          <w:lang w:val="en"/>
        </w:rPr>
        <w:t xml:space="preserve">   </w:t>
      </w:r>
    </w:p>
    <w:p w14:paraId="315F998C">
      <w:pPr>
        <w:ind w:firstLine="420"/>
        <w:rPr>
          <w:color w:val="auto"/>
        </w:rPr>
      </w:pPr>
      <w:r>
        <w:rPr>
          <w:rFonts w:hint="eastAsia"/>
          <w:color w:val="auto"/>
        </w:rPr>
        <w:br w:type="page"/>
      </w:r>
    </w:p>
    <w:p w14:paraId="52062475">
      <w:pPr>
        <w:pStyle w:val="95"/>
        <w:rPr>
          <w:color w:val="auto"/>
        </w:rPr>
      </w:pPr>
    </w:p>
    <w:tbl>
      <w:tblPr>
        <w:tblStyle w:val="41"/>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50"/>
        <w:gridCol w:w="2869"/>
        <w:gridCol w:w="2354"/>
        <w:gridCol w:w="2517"/>
      </w:tblGrid>
      <w:tr w14:paraId="3AFD5B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90" w:hRule="atLeast"/>
        </w:trPr>
        <w:tc>
          <w:tcPr>
            <w:tcW w:w="2562" w:type="pct"/>
            <w:gridSpan w:val="2"/>
            <w:tcBorders>
              <w:bottom w:val="single" w:color="auto" w:sz="2" w:space="0"/>
              <w:right w:val="single" w:color="auto" w:sz="2" w:space="0"/>
            </w:tcBorders>
            <w:vAlign w:val="center"/>
          </w:tcPr>
          <w:p w14:paraId="39A1D454">
            <w:pPr>
              <w:adjustRightInd w:val="0"/>
              <w:snapToGrid w:val="0"/>
              <w:spacing w:line="300" w:lineRule="exact"/>
              <w:ind w:firstLine="420"/>
              <w:jc w:val="center"/>
              <w:rPr>
                <w:color w:val="auto"/>
              </w:rPr>
            </w:pPr>
            <w:r>
              <w:rPr>
                <w:color w:val="auto"/>
                <w:szCs w:val="21"/>
              </w:rPr>
              <w:t>甲方</w:t>
            </w:r>
            <w:r>
              <w:rPr>
                <w:rFonts w:hint="eastAsia"/>
                <w:color w:val="auto"/>
                <w:szCs w:val="21"/>
              </w:rPr>
              <w:t>（采购人</w:t>
            </w:r>
            <w:r>
              <w:rPr>
                <w:rFonts w:hint="eastAsia" w:ascii="宋体" w:hAnsi="宋体"/>
                <w:color w:val="auto"/>
                <w:szCs w:val="21"/>
              </w:rPr>
              <w:t>、受采购人委托签订合同的单位或</w:t>
            </w:r>
            <w:r>
              <w:rPr>
                <w:rFonts w:hint="eastAsia"/>
                <w:color w:val="auto"/>
                <w:szCs w:val="21"/>
              </w:rPr>
              <w:t>采购文件约定的合同甲方）</w:t>
            </w:r>
          </w:p>
        </w:tc>
        <w:tc>
          <w:tcPr>
            <w:tcW w:w="2437" w:type="pct"/>
            <w:gridSpan w:val="2"/>
            <w:tcBorders>
              <w:left w:val="single" w:color="auto" w:sz="2" w:space="0"/>
              <w:bottom w:val="single" w:color="auto" w:sz="2" w:space="0"/>
            </w:tcBorders>
            <w:vAlign w:val="center"/>
          </w:tcPr>
          <w:p w14:paraId="0BF59DC8">
            <w:pPr>
              <w:adjustRightInd w:val="0"/>
              <w:snapToGrid w:val="0"/>
              <w:spacing w:line="300" w:lineRule="exact"/>
              <w:ind w:firstLine="420"/>
              <w:jc w:val="center"/>
              <w:rPr>
                <w:color w:val="auto"/>
              </w:rPr>
            </w:pPr>
            <w:r>
              <w:rPr>
                <w:color w:val="auto"/>
                <w:szCs w:val="21"/>
              </w:rPr>
              <w:t>乙方</w:t>
            </w:r>
            <w:r>
              <w:rPr>
                <w:rFonts w:hint="eastAsia"/>
                <w:color w:val="auto"/>
                <w:szCs w:val="21"/>
              </w:rPr>
              <w:t>（供应商）</w:t>
            </w:r>
          </w:p>
        </w:tc>
      </w:tr>
      <w:tr w14:paraId="3D5752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27C25937">
            <w:pPr>
              <w:adjustRightInd w:val="0"/>
              <w:snapToGrid w:val="0"/>
              <w:spacing w:line="300" w:lineRule="exact"/>
              <w:ind w:firstLine="420"/>
              <w:jc w:val="center"/>
              <w:rPr>
                <w:color w:val="auto"/>
                <w:szCs w:val="21"/>
              </w:rPr>
            </w:pPr>
            <w:r>
              <w:rPr>
                <w:color w:val="auto"/>
                <w:szCs w:val="21"/>
              </w:rPr>
              <w:t>单位名称</w:t>
            </w:r>
            <w:r>
              <w:rPr>
                <w:rFonts w:hint="eastAsia"/>
                <w:color w:val="auto"/>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56127589">
            <w:pPr>
              <w:adjustRightInd w:val="0"/>
              <w:snapToGrid w:val="0"/>
              <w:spacing w:line="300" w:lineRule="exact"/>
              <w:ind w:firstLine="420"/>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4004327">
            <w:pPr>
              <w:adjustRightInd w:val="0"/>
              <w:snapToGrid w:val="0"/>
              <w:spacing w:line="300" w:lineRule="exact"/>
              <w:ind w:firstLine="420"/>
              <w:jc w:val="center"/>
              <w:rPr>
                <w:color w:val="auto"/>
                <w:szCs w:val="21"/>
              </w:rPr>
            </w:pPr>
            <w:r>
              <w:rPr>
                <w:color w:val="auto"/>
                <w:szCs w:val="21"/>
              </w:rPr>
              <w:t>单位名称</w:t>
            </w:r>
            <w:r>
              <w:rPr>
                <w:rFonts w:hint="eastAsia"/>
                <w:color w:val="auto"/>
                <w:szCs w:val="21"/>
              </w:rPr>
              <w:t>（公章或合同章）</w:t>
            </w:r>
          </w:p>
        </w:tc>
        <w:tc>
          <w:tcPr>
            <w:tcW w:w="1259" w:type="pct"/>
            <w:tcBorders>
              <w:top w:val="single" w:color="auto" w:sz="2" w:space="0"/>
              <w:left w:val="single" w:color="auto" w:sz="2" w:space="0"/>
              <w:bottom w:val="single" w:color="auto" w:sz="2" w:space="0"/>
            </w:tcBorders>
            <w:vAlign w:val="center"/>
          </w:tcPr>
          <w:p w14:paraId="5B22F5CA">
            <w:pPr>
              <w:adjustRightInd w:val="0"/>
              <w:snapToGrid w:val="0"/>
              <w:spacing w:line="300" w:lineRule="exact"/>
              <w:ind w:firstLine="500"/>
              <w:jc w:val="center"/>
              <w:rPr>
                <w:color w:val="auto"/>
                <w:spacing w:val="20"/>
                <w:szCs w:val="21"/>
              </w:rPr>
            </w:pPr>
          </w:p>
        </w:tc>
      </w:tr>
      <w:tr w14:paraId="5E4796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00589D6F">
            <w:pPr>
              <w:adjustRightInd w:val="0"/>
              <w:snapToGrid w:val="0"/>
              <w:spacing w:line="300" w:lineRule="exact"/>
              <w:ind w:firstLine="420"/>
              <w:jc w:val="center"/>
              <w:rPr>
                <w:color w:val="auto"/>
                <w:szCs w:val="21"/>
              </w:rPr>
            </w:pPr>
            <w:r>
              <w:rPr>
                <w:color w:val="auto"/>
                <w:szCs w:val="21"/>
              </w:rPr>
              <w:t>法定代表人</w:t>
            </w:r>
          </w:p>
          <w:p w14:paraId="7DAFC09C">
            <w:pPr>
              <w:adjustRightInd w:val="0"/>
              <w:snapToGrid w:val="0"/>
              <w:spacing w:line="300" w:lineRule="exact"/>
              <w:ind w:firstLine="100" w:firstLineChars="48"/>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1436" w:type="pct"/>
            <w:vMerge w:val="restart"/>
            <w:tcBorders>
              <w:top w:val="single" w:color="auto" w:sz="2" w:space="0"/>
              <w:left w:val="single" w:color="auto" w:sz="2" w:space="0"/>
              <w:right w:val="single" w:color="auto" w:sz="2" w:space="0"/>
            </w:tcBorders>
            <w:vAlign w:val="center"/>
          </w:tcPr>
          <w:p w14:paraId="3EFEEDF1">
            <w:pPr>
              <w:adjustRightInd w:val="0"/>
              <w:snapToGrid w:val="0"/>
              <w:spacing w:line="300" w:lineRule="exact"/>
              <w:ind w:firstLine="420"/>
              <w:jc w:val="center"/>
              <w:rPr>
                <w:color w:val="auto"/>
                <w:szCs w:val="21"/>
              </w:rPr>
            </w:pPr>
          </w:p>
        </w:tc>
        <w:tc>
          <w:tcPr>
            <w:tcW w:w="1178" w:type="pct"/>
            <w:tcBorders>
              <w:top w:val="single" w:color="auto" w:sz="2" w:space="0"/>
              <w:left w:val="single" w:color="auto" w:sz="2" w:space="0"/>
              <w:right w:val="single" w:color="auto" w:sz="2" w:space="0"/>
            </w:tcBorders>
            <w:vAlign w:val="center"/>
          </w:tcPr>
          <w:p w14:paraId="0523FCB6">
            <w:pPr>
              <w:adjustRightInd w:val="0"/>
              <w:snapToGrid w:val="0"/>
              <w:spacing w:line="300" w:lineRule="exact"/>
              <w:ind w:firstLine="420"/>
              <w:jc w:val="center"/>
              <w:rPr>
                <w:color w:val="auto"/>
                <w:szCs w:val="21"/>
              </w:rPr>
            </w:pPr>
            <w:r>
              <w:rPr>
                <w:color w:val="auto"/>
                <w:szCs w:val="21"/>
              </w:rPr>
              <w:t>法定代表人</w:t>
            </w:r>
          </w:p>
          <w:p w14:paraId="5CE7BC32">
            <w:pPr>
              <w:adjustRightInd w:val="0"/>
              <w:snapToGrid w:val="0"/>
              <w:spacing w:line="300" w:lineRule="exact"/>
              <w:ind w:firstLine="420"/>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1259" w:type="pct"/>
            <w:tcBorders>
              <w:top w:val="single" w:color="auto" w:sz="2" w:space="0"/>
              <w:left w:val="single" w:color="auto" w:sz="2" w:space="0"/>
              <w:bottom w:val="single" w:color="auto" w:sz="2" w:space="0"/>
            </w:tcBorders>
            <w:vAlign w:val="center"/>
          </w:tcPr>
          <w:p w14:paraId="0AC6DC62">
            <w:pPr>
              <w:adjustRightInd w:val="0"/>
              <w:snapToGrid w:val="0"/>
              <w:spacing w:line="300" w:lineRule="exact"/>
              <w:ind w:firstLine="420"/>
              <w:jc w:val="center"/>
              <w:rPr>
                <w:color w:val="auto"/>
                <w:szCs w:val="21"/>
              </w:rPr>
            </w:pPr>
          </w:p>
        </w:tc>
      </w:tr>
      <w:tr w14:paraId="27DCA5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0C11FF37">
            <w:pPr>
              <w:adjustRightInd w:val="0"/>
              <w:snapToGrid w:val="0"/>
              <w:spacing w:line="300" w:lineRule="exact"/>
              <w:ind w:firstLine="420"/>
              <w:jc w:val="center"/>
              <w:rPr>
                <w:color w:val="auto"/>
                <w:szCs w:val="21"/>
              </w:rPr>
            </w:pPr>
          </w:p>
        </w:tc>
        <w:tc>
          <w:tcPr>
            <w:tcW w:w="1436" w:type="pct"/>
            <w:vMerge w:val="continue"/>
            <w:tcBorders>
              <w:left w:val="single" w:color="auto" w:sz="2" w:space="0"/>
              <w:bottom w:val="single" w:color="auto" w:sz="2" w:space="0"/>
              <w:right w:val="single" w:color="auto" w:sz="2" w:space="0"/>
            </w:tcBorders>
            <w:vAlign w:val="center"/>
          </w:tcPr>
          <w:p w14:paraId="111085B3">
            <w:pPr>
              <w:adjustRightInd w:val="0"/>
              <w:snapToGrid w:val="0"/>
              <w:spacing w:line="300" w:lineRule="exact"/>
              <w:ind w:firstLine="420"/>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8D59FFB">
            <w:pPr>
              <w:adjustRightInd w:val="0"/>
              <w:snapToGrid w:val="0"/>
              <w:spacing w:line="300" w:lineRule="exact"/>
              <w:ind w:firstLine="420"/>
              <w:jc w:val="center"/>
              <w:rPr>
                <w:color w:val="auto"/>
                <w:szCs w:val="21"/>
              </w:rPr>
            </w:pPr>
            <w:r>
              <w:rPr>
                <w:rFonts w:hint="eastAsia"/>
                <w:color w:val="auto"/>
                <w:szCs w:val="21"/>
              </w:rPr>
              <w:t>拥有者性别</w:t>
            </w:r>
          </w:p>
        </w:tc>
        <w:tc>
          <w:tcPr>
            <w:tcW w:w="1259" w:type="pct"/>
            <w:tcBorders>
              <w:top w:val="single" w:color="auto" w:sz="2" w:space="0"/>
              <w:left w:val="single" w:color="auto" w:sz="2" w:space="0"/>
              <w:bottom w:val="single" w:color="auto" w:sz="2" w:space="0"/>
            </w:tcBorders>
            <w:vAlign w:val="center"/>
          </w:tcPr>
          <w:p w14:paraId="150C0258">
            <w:pPr>
              <w:adjustRightInd w:val="0"/>
              <w:snapToGrid w:val="0"/>
              <w:spacing w:line="300" w:lineRule="exact"/>
              <w:ind w:firstLine="500"/>
              <w:jc w:val="center"/>
              <w:rPr>
                <w:color w:val="auto"/>
                <w:spacing w:val="20"/>
                <w:szCs w:val="21"/>
              </w:rPr>
            </w:pPr>
          </w:p>
        </w:tc>
      </w:tr>
      <w:tr w14:paraId="41DB44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BEF77AB">
            <w:pPr>
              <w:adjustRightInd w:val="0"/>
              <w:snapToGrid w:val="0"/>
              <w:spacing w:line="300" w:lineRule="exact"/>
              <w:ind w:firstLine="420"/>
              <w:jc w:val="center"/>
              <w:rPr>
                <w:color w:val="auto"/>
                <w:szCs w:val="21"/>
              </w:rPr>
            </w:pPr>
            <w:r>
              <w:rPr>
                <w:rFonts w:hint="eastAsia"/>
                <w:color w:val="auto"/>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6F67F051">
            <w:pPr>
              <w:adjustRightInd w:val="0"/>
              <w:snapToGrid w:val="0"/>
              <w:spacing w:line="300" w:lineRule="exact"/>
              <w:ind w:firstLine="420"/>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EC09067">
            <w:pPr>
              <w:adjustRightInd w:val="0"/>
              <w:snapToGrid w:val="0"/>
              <w:spacing w:line="300" w:lineRule="exact"/>
              <w:ind w:firstLine="420"/>
              <w:jc w:val="center"/>
              <w:rPr>
                <w:color w:val="auto"/>
                <w:szCs w:val="21"/>
              </w:rPr>
            </w:pPr>
            <w:r>
              <w:rPr>
                <w:rFonts w:hint="eastAsia"/>
                <w:color w:val="auto"/>
                <w:szCs w:val="21"/>
              </w:rPr>
              <w:t>住  所</w:t>
            </w:r>
          </w:p>
        </w:tc>
        <w:tc>
          <w:tcPr>
            <w:tcW w:w="1259" w:type="pct"/>
            <w:tcBorders>
              <w:top w:val="single" w:color="auto" w:sz="2" w:space="0"/>
              <w:left w:val="single" w:color="auto" w:sz="2" w:space="0"/>
              <w:bottom w:val="single" w:color="auto" w:sz="2" w:space="0"/>
            </w:tcBorders>
            <w:vAlign w:val="center"/>
          </w:tcPr>
          <w:p w14:paraId="41A9ADA9">
            <w:pPr>
              <w:adjustRightInd w:val="0"/>
              <w:snapToGrid w:val="0"/>
              <w:spacing w:line="300" w:lineRule="exact"/>
              <w:ind w:firstLine="500"/>
              <w:jc w:val="center"/>
              <w:rPr>
                <w:color w:val="auto"/>
                <w:spacing w:val="20"/>
                <w:szCs w:val="21"/>
              </w:rPr>
            </w:pPr>
          </w:p>
        </w:tc>
      </w:tr>
      <w:tr w14:paraId="06AEFA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7046451">
            <w:pPr>
              <w:adjustRightInd w:val="0"/>
              <w:snapToGrid w:val="0"/>
              <w:spacing w:line="300" w:lineRule="exact"/>
              <w:ind w:firstLine="420"/>
              <w:jc w:val="center"/>
              <w:rPr>
                <w:color w:val="auto"/>
                <w:szCs w:val="21"/>
              </w:rPr>
            </w:pPr>
            <w:r>
              <w:rPr>
                <w:color w:val="auto"/>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710689E9">
            <w:pPr>
              <w:adjustRightInd w:val="0"/>
              <w:snapToGrid w:val="0"/>
              <w:spacing w:line="300" w:lineRule="exact"/>
              <w:ind w:firstLine="420"/>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A81782D">
            <w:pPr>
              <w:adjustRightInd w:val="0"/>
              <w:snapToGrid w:val="0"/>
              <w:spacing w:line="300" w:lineRule="exact"/>
              <w:ind w:firstLine="420"/>
              <w:jc w:val="center"/>
              <w:rPr>
                <w:color w:val="auto"/>
                <w:szCs w:val="21"/>
              </w:rPr>
            </w:pPr>
            <w:r>
              <w:rPr>
                <w:color w:val="auto"/>
                <w:szCs w:val="21"/>
              </w:rPr>
              <w:t>联 系 人</w:t>
            </w:r>
          </w:p>
        </w:tc>
        <w:tc>
          <w:tcPr>
            <w:tcW w:w="1259" w:type="pct"/>
            <w:tcBorders>
              <w:top w:val="single" w:color="auto" w:sz="2" w:space="0"/>
              <w:left w:val="single" w:color="auto" w:sz="2" w:space="0"/>
              <w:bottom w:val="single" w:color="auto" w:sz="2" w:space="0"/>
            </w:tcBorders>
            <w:vAlign w:val="center"/>
          </w:tcPr>
          <w:p w14:paraId="3426C261">
            <w:pPr>
              <w:adjustRightInd w:val="0"/>
              <w:snapToGrid w:val="0"/>
              <w:spacing w:line="300" w:lineRule="exact"/>
              <w:ind w:firstLine="500"/>
              <w:jc w:val="center"/>
              <w:rPr>
                <w:color w:val="auto"/>
                <w:spacing w:val="20"/>
                <w:szCs w:val="21"/>
              </w:rPr>
            </w:pPr>
          </w:p>
        </w:tc>
      </w:tr>
      <w:tr w14:paraId="098D3A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2F86E02">
            <w:pPr>
              <w:adjustRightInd w:val="0"/>
              <w:snapToGrid w:val="0"/>
              <w:spacing w:line="300" w:lineRule="exact"/>
              <w:ind w:firstLine="420"/>
              <w:jc w:val="center"/>
              <w:rPr>
                <w:color w:val="auto"/>
                <w:szCs w:val="21"/>
              </w:rPr>
            </w:pPr>
            <w:r>
              <w:rPr>
                <w:color w:val="auto"/>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0C60230">
            <w:pPr>
              <w:adjustRightInd w:val="0"/>
              <w:snapToGrid w:val="0"/>
              <w:spacing w:line="300" w:lineRule="exact"/>
              <w:ind w:firstLine="420"/>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4233954">
            <w:pPr>
              <w:adjustRightInd w:val="0"/>
              <w:snapToGrid w:val="0"/>
              <w:spacing w:line="300" w:lineRule="exact"/>
              <w:ind w:firstLine="420"/>
              <w:jc w:val="center"/>
              <w:rPr>
                <w:color w:val="auto"/>
                <w:szCs w:val="21"/>
              </w:rPr>
            </w:pPr>
            <w:r>
              <w:rPr>
                <w:color w:val="auto"/>
                <w:szCs w:val="21"/>
              </w:rPr>
              <w:t>联系电话</w:t>
            </w:r>
          </w:p>
        </w:tc>
        <w:tc>
          <w:tcPr>
            <w:tcW w:w="1259" w:type="pct"/>
            <w:tcBorders>
              <w:top w:val="single" w:color="auto" w:sz="2" w:space="0"/>
              <w:left w:val="single" w:color="auto" w:sz="2" w:space="0"/>
              <w:bottom w:val="single" w:color="auto" w:sz="2" w:space="0"/>
            </w:tcBorders>
            <w:vAlign w:val="center"/>
          </w:tcPr>
          <w:p w14:paraId="0AEEBF65">
            <w:pPr>
              <w:adjustRightInd w:val="0"/>
              <w:snapToGrid w:val="0"/>
              <w:spacing w:line="300" w:lineRule="exact"/>
              <w:ind w:firstLine="500"/>
              <w:jc w:val="center"/>
              <w:rPr>
                <w:color w:val="auto"/>
                <w:spacing w:val="20"/>
                <w:szCs w:val="21"/>
              </w:rPr>
            </w:pPr>
          </w:p>
        </w:tc>
      </w:tr>
      <w:tr w14:paraId="5566EB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B9C1C35">
            <w:pPr>
              <w:adjustRightInd w:val="0"/>
              <w:snapToGrid w:val="0"/>
              <w:spacing w:line="300" w:lineRule="exact"/>
              <w:ind w:firstLine="420"/>
              <w:jc w:val="center"/>
              <w:rPr>
                <w:color w:val="auto"/>
                <w:szCs w:val="21"/>
              </w:rPr>
            </w:pPr>
            <w:r>
              <w:rPr>
                <w:rFonts w:hint="eastAsia"/>
                <w:color w:val="auto"/>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AA7B8A3">
            <w:pPr>
              <w:adjustRightInd w:val="0"/>
              <w:snapToGrid w:val="0"/>
              <w:spacing w:line="300" w:lineRule="exact"/>
              <w:ind w:firstLine="420"/>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7A5770C">
            <w:pPr>
              <w:adjustRightInd w:val="0"/>
              <w:snapToGrid w:val="0"/>
              <w:spacing w:line="300" w:lineRule="exact"/>
              <w:ind w:firstLine="420"/>
              <w:jc w:val="center"/>
              <w:rPr>
                <w:color w:val="auto"/>
                <w:szCs w:val="21"/>
              </w:rPr>
            </w:pPr>
            <w:r>
              <w:rPr>
                <w:rFonts w:hint="eastAsia"/>
                <w:color w:val="auto"/>
                <w:szCs w:val="21"/>
              </w:rPr>
              <w:t>通信地址</w:t>
            </w:r>
          </w:p>
        </w:tc>
        <w:tc>
          <w:tcPr>
            <w:tcW w:w="1259" w:type="pct"/>
            <w:tcBorders>
              <w:top w:val="single" w:color="auto" w:sz="2" w:space="0"/>
              <w:left w:val="single" w:color="auto" w:sz="2" w:space="0"/>
              <w:bottom w:val="single" w:color="auto" w:sz="2" w:space="0"/>
            </w:tcBorders>
            <w:vAlign w:val="center"/>
          </w:tcPr>
          <w:p w14:paraId="41AEDDDA">
            <w:pPr>
              <w:adjustRightInd w:val="0"/>
              <w:snapToGrid w:val="0"/>
              <w:spacing w:line="300" w:lineRule="exact"/>
              <w:ind w:firstLine="500"/>
              <w:jc w:val="center"/>
              <w:rPr>
                <w:color w:val="auto"/>
                <w:spacing w:val="20"/>
                <w:szCs w:val="21"/>
              </w:rPr>
            </w:pPr>
          </w:p>
        </w:tc>
      </w:tr>
      <w:tr w14:paraId="7D8065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6590062">
            <w:pPr>
              <w:adjustRightInd w:val="0"/>
              <w:snapToGrid w:val="0"/>
              <w:spacing w:line="300" w:lineRule="exact"/>
              <w:ind w:firstLine="420"/>
              <w:jc w:val="center"/>
              <w:rPr>
                <w:color w:val="auto"/>
                <w:szCs w:val="21"/>
              </w:rPr>
            </w:pPr>
            <w:r>
              <w:rPr>
                <w:color w:val="auto"/>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7060B4E">
            <w:pPr>
              <w:adjustRightInd w:val="0"/>
              <w:snapToGrid w:val="0"/>
              <w:spacing w:line="300" w:lineRule="exact"/>
              <w:ind w:firstLine="420"/>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3E63BEB">
            <w:pPr>
              <w:adjustRightInd w:val="0"/>
              <w:snapToGrid w:val="0"/>
              <w:spacing w:line="300" w:lineRule="exact"/>
              <w:ind w:firstLine="420"/>
              <w:jc w:val="center"/>
              <w:rPr>
                <w:color w:val="auto"/>
                <w:szCs w:val="21"/>
              </w:rPr>
            </w:pPr>
            <w:r>
              <w:rPr>
                <w:color w:val="auto"/>
                <w:szCs w:val="21"/>
              </w:rPr>
              <w:t>邮政编码</w:t>
            </w:r>
          </w:p>
        </w:tc>
        <w:tc>
          <w:tcPr>
            <w:tcW w:w="1259" w:type="pct"/>
            <w:tcBorders>
              <w:top w:val="single" w:color="auto" w:sz="2" w:space="0"/>
              <w:left w:val="single" w:color="auto" w:sz="2" w:space="0"/>
              <w:bottom w:val="single" w:color="auto" w:sz="2" w:space="0"/>
            </w:tcBorders>
            <w:vAlign w:val="center"/>
          </w:tcPr>
          <w:p w14:paraId="6623C062">
            <w:pPr>
              <w:adjustRightInd w:val="0"/>
              <w:snapToGrid w:val="0"/>
              <w:spacing w:line="300" w:lineRule="exact"/>
              <w:ind w:firstLine="500"/>
              <w:jc w:val="center"/>
              <w:rPr>
                <w:color w:val="auto"/>
                <w:spacing w:val="20"/>
                <w:szCs w:val="21"/>
              </w:rPr>
            </w:pPr>
          </w:p>
        </w:tc>
      </w:tr>
      <w:tr w14:paraId="084C2E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1F0971A">
            <w:pPr>
              <w:adjustRightInd w:val="0"/>
              <w:snapToGrid w:val="0"/>
              <w:spacing w:line="300" w:lineRule="exact"/>
              <w:ind w:firstLine="420"/>
              <w:jc w:val="center"/>
              <w:rPr>
                <w:color w:val="auto"/>
                <w:szCs w:val="21"/>
              </w:rPr>
            </w:pPr>
            <w:r>
              <w:rPr>
                <w:rFonts w:hint="eastAsia"/>
                <w:color w:val="auto"/>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77E5DB1">
            <w:pPr>
              <w:adjustRightInd w:val="0"/>
              <w:snapToGrid w:val="0"/>
              <w:spacing w:line="300" w:lineRule="exact"/>
              <w:ind w:firstLine="420"/>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5259EE7">
            <w:pPr>
              <w:adjustRightInd w:val="0"/>
              <w:snapToGrid w:val="0"/>
              <w:spacing w:line="300" w:lineRule="exact"/>
              <w:ind w:firstLine="420"/>
              <w:jc w:val="center"/>
              <w:rPr>
                <w:color w:val="auto"/>
                <w:szCs w:val="21"/>
              </w:rPr>
            </w:pPr>
            <w:r>
              <w:rPr>
                <w:rFonts w:hint="eastAsia"/>
                <w:color w:val="auto"/>
                <w:szCs w:val="21"/>
              </w:rPr>
              <w:t>电子邮箱</w:t>
            </w:r>
          </w:p>
        </w:tc>
        <w:tc>
          <w:tcPr>
            <w:tcW w:w="1259" w:type="pct"/>
            <w:tcBorders>
              <w:top w:val="single" w:color="auto" w:sz="2" w:space="0"/>
              <w:left w:val="single" w:color="auto" w:sz="2" w:space="0"/>
              <w:bottom w:val="single" w:color="auto" w:sz="2" w:space="0"/>
            </w:tcBorders>
            <w:vAlign w:val="center"/>
          </w:tcPr>
          <w:p w14:paraId="6A1C7C00">
            <w:pPr>
              <w:adjustRightInd w:val="0"/>
              <w:snapToGrid w:val="0"/>
              <w:spacing w:line="300" w:lineRule="exact"/>
              <w:ind w:firstLine="500"/>
              <w:jc w:val="center"/>
              <w:rPr>
                <w:color w:val="auto"/>
                <w:spacing w:val="20"/>
                <w:szCs w:val="21"/>
              </w:rPr>
            </w:pPr>
          </w:p>
        </w:tc>
      </w:tr>
      <w:tr w14:paraId="4842A8F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F0E7730">
            <w:pPr>
              <w:adjustRightInd w:val="0"/>
              <w:snapToGrid w:val="0"/>
              <w:spacing w:line="300" w:lineRule="exact"/>
              <w:ind w:firstLine="420"/>
              <w:jc w:val="center"/>
              <w:rPr>
                <w:color w:val="auto"/>
                <w:szCs w:val="21"/>
              </w:rPr>
            </w:pPr>
            <w:r>
              <w:rPr>
                <w:rFonts w:hint="eastAsia"/>
                <w:color w:val="auto"/>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0D0E353">
            <w:pPr>
              <w:adjustRightInd w:val="0"/>
              <w:snapToGrid w:val="0"/>
              <w:spacing w:line="300" w:lineRule="exact"/>
              <w:ind w:firstLine="420"/>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89F492E">
            <w:pPr>
              <w:adjustRightInd w:val="0"/>
              <w:snapToGrid w:val="0"/>
              <w:spacing w:line="300" w:lineRule="exact"/>
              <w:ind w:firstLine="420"/>
              <w:jc w:val="center"/>
              <w:rPr>
                <w:color w:val="auto"/>
                <w:szCs w:val="21"/>
              </w:rPr>
            </w:pPr>
            <w:r>
              <w:rPr>
                <w:rFonts w:hint="eastAsia"/>
                <w:color w:val="auto"/>
                <w:szCs w:val="21"/>
              </w:rPr>
              <w:t>统一社会信用代码</w:t>
            </w:r>
          </w:p>
        </w:tc>
        <w:tc>
          <w:tcPr>
            <w:tcW w:w="1259" w:type="pct"/>
            <w:tcBorders>
              <w:top w:val="single" w:color="auto" w:sz="2" w:space="0"/>
              <w:left w:val="single" w:color="auto" w:sz="2" w:space="0"/>
              <w:bottom w:val="single" w:color="auto" w:sz="2" w:space="0"/>
            </w:tcBorders>
            <w:vAlign w:val="center"/>
          </w:tcPr>
          <w:p w14:paraId="16173CA2">
            <w:pPr>
              <w:adjustRightInd w:val="0"/>
              <w:snapToGrid w:val="0"/>
              <w:spacing w:line="300" w:lineRule="exact"/>
              <w:ind w:firstLine="500"/>
              <w:jc w:val="center"/>
              <w:rPr>
                <w:color w:val="auto"/>
                <w:spacing w:val="20"/>
                <w:szCs w:val="21"/>
              </w:rPr>
            </w:pPr>
          </w:p>
        </w:tc>
      </w:tr>
      <w:tr w14:paraId="7C2C1F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FBA2E7A">
            <w:pPr>
              <w:adjustRightInd w:val="0"/>
              <w:snapToGrid w:val="0"/>
              <w:spacing w:line="300" w:lineRule="exact"/>
              <w:ind w:firstLine="420"/>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0B23DA4F">
            <w:pPr>
              <w:adjustRightInd w:val="0"/>
              <w:snapToGrid w:val="0"/>
              <w:spacing w:line="300" w:lineRule="exact"/>
              <w:ind w:firstLine="420"/>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3825F6E">
            <w:pPr>
              <w:adjustRightInd w:val="0"/>
              <w:snapToGrid w:val="0"/>
              <w:spacing w:line="300" w:lineRule="exact"/>
              <w:ind w:firstLine="420"/>
              <w:jc w:val="center"/>
              <w:rPr>
                <w:color w:val="auto"/>
                <w:szCs w:val="21"/>
              </w:rPr>
            </w:pPr>
            <w:r>
              <w:rPr>
                <w:color w:val="auto"/>
                <w:szCs w:val="21"/>
              </w:rPr>
              <w:t>开户名称</w:t>
            </w:r>
          </w:p>
        </w:tc>
        <w:tc>
          <w:tcPr>
            <w:tcW w:w="1259" w:type="pct"/>
            <w:tcBorders>
              <w:top w:val="single" w:color="auto" w:sz="2" w:space="0"/>
              <w:left w:val="single" w:color="auto" w:sz="2" w:space="0"/>
              <w:bottom w:val="single" w:color="auto" w:sz="2" w:space="0"/>
            </w:tcBorders>
            <w:vAlign w:val="center"/>
          </w:tcPr>
          <w:p w14:paraId="1546D71E">
            <w:pPr>
              <w:adjustRightInd w:val="0"/>
              <w:snapToGrid w:val="0"/>
              <w:spacing w:line="300" w:lineRule="exact"/>
              <w:ind w:firstLine="500"/>
              <w:jc w:val="center"/>
              <w:rPr>
                <w:color w:val="auto"/>
                <w:spacing w:val="20"/>
                <w:szCs w:val="21"/>
              </w:rPr>
            </w:pPr>
          </w:p>
        </w:tc>
      </w:tr>
      <w:tr w14:paraId="326C90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5BB6F50">
            <w:pPr>
              <w:adjustRightInd w:val="0"/>
              <w:snapToGrid w:val="0"/>
              <w:spacing w:line="300" w:lineRule="exact"/>
              <w:ind w:firstLine="420"/>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80F5564">
            <w:pPr>
              <w:adjustRightInd w:val="0"/>
              <w:snapToGrid w:val="0"/>
              <w:spacing w:line="300" w:lineRule="exact"/>
              <w:ind w:firstLine="420"/>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5910182">
            <w:pPr>
              <w:adjustRightInd w:val="0"/>
              <w:snapToGrid w:val="0"/>
              <w:spacing w:line="300" w:lineRule="exact"/>
              <w:ind w:firstLine="420"/>
              <w:jc w:val="center"/>
              <w:rPr>
                <w:color w:val="auto"/>
                <w:szCs w:val="21"/>
              </w:rPr>
            </w:pPr>
            <w:r>
              <w:rPr>
                <w:color w:val="auto"/>
                <w:szCs w:val="21"/>
              </w:rPr>
              <w:t>开户银行</w:t>
            </w:r>
          </w:p>
        </w:tc>
        <w:tc>
          <w:tcPr>
            <w:tcW w:w="1259" w:type="pct"/>
            <w:tcBorders>
              <w:top w:val="single" w:color="auto" w:sz="2" w:space="0"/>
              <w:left w:val="single" w:color="auto" w:sz="2" w:space="0"/>
              <w:bottom w:val="single" w:color="auto" w:sz="2" w:space="0"/>
            </w:tcBorders>
            <w:vAlign w:val="center"/>
          </w:tcPr>
          <w:p w14:paraId="727E6B9D">
            <w:pPr>
              <w:adjustRightInd w:val="0"/>
              <w:snapToGrid w:val="0"/>
              <w:spacing w:line="300" w:lineRule="exact"/>
              <w:ind w:firstLine="500"/>
              <w:jc w:val="center"/>
              <w:rPr>
                <w:color w:val="auto"/>
                <w:spacing w:val="20"/>
                <w:szCs w:val="21"/>
              </w:rPr>
            </w:pPr>
          </w:p>
        </w:tc>
      </w:tr>
      <w:tr w14:paraId="496C35F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EF5FB67">
            <w:pPr>
              <w:adjustRightInd w:val="0"/>
              <w:snapToGrid w:val="0"/>
              <w:spacing w:line="300" w:lineRule="exact"/>
              <w:ind w:firstLine="420"/>
              <w:jc w:val="center"/>
              <w:rPr>
                <w:color w:val="auto"/>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8EADFFB">
            <w:pPr>
              <w:adjustRightInd w:val="0"/>
              <w:snapToGrid w:val="0"/>
              <w:spacing w:line="300" w:lineRule="exact"/>
              <w:ind w:firstLine="420"/>
              <w:jc w:val="center"/>
              <w:rPr>
                <w:color w:val="auto"/>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C5033CF">
            <w:pPr>
              <w:adjustRightInd w:val="0"/>
              <w:snapToGrid w:val="0"/>
              <w:spacing w:line="300" w:lineRule="exact"/>
              <w:ind w:firstLine="420"/>
              <w:jc w:val="center"/>
              <w:rPr>
                <w:color w:val="auto"/>
                <w:szCs w:val="21"/>
              </w:rPr>
            </w:pPr>
            <w:r>
              <w:rPr>
                <w:color w:val="auto"/>
                <w:szCs w:val="21"/>
              </w:rPr>
              <w:t>银行账号</w:t>
            </w:r>
          </w:p>
        </w:tc>
        <w:tc>
          <w:tcPr>
            <w:tcW w:w="1259" w:type="pct"/>
            <w:tcBorders>
              <w:top w:val="single" w:color="auto" w:sz="2" w:space="0"/>
              <w:left w:val="single" w:color="auto" w:sz="2" w:space="0"/>
              <w:bottom w:val="single" w:color="auto" w:sz="2" w:space="0"/>
            </w:tcBorders>
            <w:vAlign w:val="center"/>
          </w:tcPr>
          <w:p w14:paraId="3139AD54">
            <w:pPr>
              <w:adjustRightInd w:val="0"/>
              <w:snapToGrid w:val="0"/>
              <w:spacing w:line="300" w:lineRule="exact"/>
              <w:ind w:firstLine="500"/>
              <w:jc w:val="center"/>
              <w:rPr>
                <w:color w:val="auto"/>
                <w:spacing w:val="20"/>
                <w:szCs w:val="21"/>
              </w:rPr>
            </w:pPr>
          </w:p>
        </w:tc>
      </w:tr>
      <w:tr w14:paraId="05AA85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5AB5DC09">
            <w:pPr>
              <w:pStyle w:val="20"/>
              <w:adjustRightInd w:val="0"/>
              <w:snapToGrid w:val="0"/>
              <w:spacing w:before="156" w:beforeLines="50" w:line="360" w:lineRule="auto"/>
              <w:ind w:firstLine="0" w:firstLineChars="0"/>
              <w:jc w:val="left"/>
              <w:rPr>
                <w:color w:val="auto"/>
                <w:spacing w:val="20"/>
                <w:szCs w:val="21"/>
              </w:rPr>
            </w:pPr>
            <w:r>
              <w:rPr>
                <w:rFonts w:hint="eastAsia" w:ascii="宋体" w:hAnsi="宋体" w:eastAsia="宋体" w:cs="宋体"/>
                <w:color w:val="auto"/>
                <w:sz w:val="21"/>
                <w:szCs w:val="21"/>
              </w:rPr>
              <w:t>注：涉及联合体或其他合同主体的信息应按上表格式加列。</w:t>
            </w:r>
          </w:p>
        </w:tc>
      </w:tr>
    </w:tbl>
    <w:p w14:paraId="6798A922">
      <w:pPr>
        <w:pStyle w:val="5"/>
        <w:adjustRightInd w:val="0"/>
        <w:snapToGrid w:val="0"/>
        <w:spacing w:before="156" w:beforeLines="50"/>
        <w:ind w:firstLine="422"/>
        <w:jc w:val="center"/>
        <w:rPr>
          <w:rFonts w:ascii="黑体" w:hAnsi="黑体"/>
          <w:color w:val="auto"/>
          <w:sz w:val="28"/>
          <w:szCs w:val="28"/>
        </w:rPr>
      </w:pPr>
      <w:r>
        <w:rPr>
          <w:rFonts w:ascii="宋体" w:hAnsi="宋体"/>
          <w:color w:val="auto"/>
          <w:sz w:val="21"/>
          <w:szCs w:val="21"/>
          <w:u w:val="single"/>
        </w:rPr>
        <w:br w:type="page"/>
      </w:r>
      <w:bookmarkStart w:id="116" w:name="_Toc27624"/>
      <w:r>
        <w:rPr>
          <w:rFonts w:hint="eastAsia" w:ascii="黑体" w:hAnsi="黑体"/>
          <w:b w:val="0"/>
          <w:bCs w:val="0"/>
          <w:color w:val="auto"/>
          <w:sz w:val="28"/>
          <w:szCs w:val="28"/>
        </w:rPr>
        <w:t>第二节 政府采购合同通用条款</w:t>
      </w:r>
      <w:bookmarkEnd w:id="116"/>
    </w:p>
    <w:p w14:paraId="615293CA">
      <w:pPr>
        <w:tabs>
          <w:tab w:val="left" w:pos="8820"/>
          <w:tab w:val="left" w:pos="9345"/>
          <w:tab w:val="left" w:pos="9765"/>
        </w:tabs>
        <w:adjustRightInd w:val="0"/>
        <w:snapToGrid w:val="0"/>
        <w:ind w:firstLine="482"/>
        <w:jc w:val="left"/>
        <w:rPr>
          <w:rFonts w:ascii="宋体" w:hAnsi="宋体"/>
          <w:b/>
          <w:bCs/>
          <w:color w:val="auto"/>
          <w:sz w:val="24"/>
        </w:rPr>
      </w:pPr>
      <w:r>
        <w:rPr>
          <w:rFonts w:hint="eastAsia" w:ascii="宋体" w:hAnsi="宋体"/>
          <w:b/>
          <w:color w:val="auto"/>
          <w:sz w:val="24"/>
        </w:rPr>
        <w:t xml:space="preserve">1. </w:t>
      </w:r>
      <w:r>
        <w:rPr>
          <w:rFonts w:hint="eastAsia" w:ascii="宋体" w:hAnsi="宋体"/>
          <w:b/>
          <w:bCs/>
          <w:color w:val="auto"/>
          <w:sz w:val="24"/>
        </w:rPr>
        <w:t>定义</w:t>
      </w:r>
    </w:p>
    <w:p w14:paraId="7BB221DE">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1.1合同当事人</w:t>
      </w:r>
    </w:p>
    <w:p w14:paraId="7EE5C347">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（1）采购人（以下称甲方）是指使用财政性资金，通过政府采购方式向供应商购买货物及其相关服务的国家机关、事业单位、团体组织。</w:t>
      </w:r>
    </w:p>
    <w:p w14:paraId="51D316AC">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（2）供应商（以下称乙方）是指参加政府采购活动并且中标（成交），向采购人提供合同约定的货物及其相关服务的法人、非法人组织或者自然人。</w:t>
      </w:r>
    </w:p>
    <w:p w14:paraId="22E6E644">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（3）其他合同主体是指除采购人和供应商以外，</w:t>
      </w:r>
      <w:r>
        <w:rPr>
          <w:rFonts w:hint="eastAsia" w:ascii="宋体" w:hAnsi="宋体" w:cs="宋体"/>
          <w:bCs/>
          <w:color w:val="auto"/>
          <w:szCs w:val="21"/>
        </w:rPr>
        <w:t>依法参与合同缔结或履行，享有权利、承担义务的合同当事人</w:t>
      </w:r>
      <w:r>
        <w:rPr>
          <w:rFonts w:hint="eastAsia" w:ascii="宋体" w:hAnsi="宋体"/>
          <w:color w:val="auto"/>
          <w:szCs w:val="21"/>
        </w:rPr>
        <w:t>。</w:t>
      </w:r>
    </w:p>
    <w:p w14:paraId="1CA59B37">
      <w:pPr>
        <w:tabs>
          <w:tab w:val="left" w:pos="570"/>
          <w:tab w:val="left" w:pos="9240"/>
          <w:tab w:val="left" w:pos="9555"/>
        </w:tabs>
        <w:adjustRightInd w:val="0"/>
        <w:snapToGrid w:val="0"/>
        <w:ind w:firstLine="420"/>
        <w:jc w:val="left"/>
        <w:rPr>
          <w:rFonts w:ascii="宋体" w:hAnsi="宋体"/>
          <w:color w:val="auto"/>
          <w:szCs w:val="21"/>
        </w:rPr>
      </w:pPr>
      <w:r>
        <w:rPr>
          <w:rFonts w:hint="eastAsia" w:ascii="宋体" w:hAnsi="宋体"/>
          <w:color w:val="auto"/>
          <w:szCs w:val="21"/>
        </w:rPr>
        <w:t>1.2本合同下列术语应解释为：</w:t>
      </w:r>
    </w:p>
    <w:p w14:paraId="495A3703">
      <w:pPr>
        <w:adjustRightInd w:val="0"/>
        <w:snapToGrid w:val="0"/>
        <w:ind w:firstLine="420"/>
        <w:jc w:val="left"/>
        <w:rPr>
          <w:rFonts w:ascii="宋体" w:hAnsi="宋体"/>
          <w:color w:val="auto"/>
          <w:szCs w:val="21"/>
        </w:rPr>
      </w:pPr>
      <w:r>
        <w:rPr>
          <w:rFonts w:hint="eastAsia" w:ascii="宋体" w:hAnsi="宋体"/>
          <w:color w:val="auto"/>
          <w:szCs w:val="21"/>
        </w:rPr>
        <w:t>（1）“合同”系指</w:t>
      </w:r>
      <w:r>
        <w:rPr>
          <w:rFonts w:hint="eastAsia" w:ascii="宋体" w:hAnsi="宋体" w:cs="宋体"/>
          <w:bCs/>
          <w:color w:val="auto"/>
          <w:szCs w:val="21"/>
        </w:rPr>
        <w:t>合同当事人意思表示达成一致的任何协议，包括签署的</w:t>
      </w:r>
      <w:r>
        <w:rPr>
          <w:rFonts w:hint="eastAsia" w:ascii="宋体" w:hAnsi="宋体"/>
          <w:color w:val="auto"/>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rPr>
        <w:t>国家法律、行政法规和规章制度规定或合同约定的作为合同组成部分的其他文件</w:t>
      </w:r>
      <w:r>
        <w:rPr>
          <w:rFonts w:hint="eastAsia" w:ascii="宋体" w:hAnsi="宋体"/>
          <w:color w:val="auto"/>
          <w:szCs w:val="21"/>
        </w:rPr>
        <w:t>。</w:t>
      </w:r>
    </w:p>
    <w:p w14:paraId="0D991CF2">
      <w:pPr>
        <w:tabs>
          <w:tab w:val="left" w:pos="570"/>
          <w:tab w:val="left" w:pos="9240"/>
          <w:tab w:val="left" w:pos="9555"/>
        </w:tabs>
        <w:adjustRightInd w:val="0"/>
        <w:snapToGrid w:val="0"/>
        <w:ind w:firstLine="420"/>
        <w:jc w:val="left"/>
        <w:rPr>
          <w:rFonts w:ascii="宋体" w:hAnsi="宋体"/>
          <w:color w:val="auto"/>
          <w:szCs w:val="21"/>
        </w:rPr>
      </w:pPr>
      <w:r>
        <w:rPr>
          <w:rFonts w:hint="eastAsia" w:ascii="宋体" w:hAnsi="宋体"/>
          <w:color w:val="auto"/>
          <w:szCs w:val="21"/>
        </w:rPr>
        <w:t>（2）“合同价款”系指根据本合同规定乙方在全面履行合同义务后甲方应支付给乙方的价款。</w:t>
      </w:r>
    </w:p>
    <w:p w14:paraId="38C3F2A8">
      <w:pPr>
        <w:tabs>
          <w:tab w:val="left" w:pos="570"/>
          <w:tab w:val="left" w:pos="9240"/>
          <w:tab w:val="left" w:pos="9555"/>
        </w:tabs>
        <w:adjustRightInd w:val="0"/>
        <w:snapToGrid w:val="0"/>
        <w:ind w:firstLine="420"/>
        <w:jc w:val="left"/>
        <w:rPr>
          <w:rFonts w:ascii="宋体" w:hAnsi="宋体"/>
          <w:color w:val="auto"/>
          <w:szCs w:val="21"/>
        </w:rPr>
      </w:pPr>
      <w:r>
        <w:rPr>
          <w:rFonts w:hint="eastAsia" w:ascii="宋体" w:hAnsi="宋体"/>
          <w:color w:val="auto"/>
          <w:szCs w:val="21"/>
        </w:rPr>
        <w:t>（3）“货物”系指乙方根据本合同规定须向甲方提供的各种形态和种类的物品，包括原材料、设备、产品（包括软件）及相关的其备品备件、工具、手册及</w:t>
      </w:r>
      <w:r>
        <w:rPr>
          <w:rFonts w:ascii="宋体" w:hAnsi="宋体"/>
          <w:color w:val="auto"/>
          <w:szCs w:val="21"/>
          <w:lang w:val="en"/>
        </w:rPr>
        <w:t>其他</w:t>
      </w:r>
      <w:r>
        <w:rPr>
          <w:rFonts w:hint="eastAsia" w:ascii="宋体" w:hAnsi="宋体"/>
          <w:color w:val="auto"/>
          <w:szCs w:val="21"/>
        </w:rPr>
        <w:t>技术资料和材料等。</w:t>
      </w:r>
    </w:p>
    <w:p w14:paraId="536AC25F">
      <w:pPr>
        <w:adjustRightInd w:val="0"/>
        <w:snapToGrid w:val="0"/>
        <w:ind w:firstLine="420"/>
        <w:jc w:val="left"/>
        <w:rPr>
          <w:rFonts w:ascii="宋体" w:hAnsi="宋体"/>
          <w:color w:val="auto"/>
          <w:szCs w:val="21"/>
          <w:highlight w:val="yellow"/>
        </w:rPr>
      </w:pPr>
      <w:r>
        <w:rPr>
          <w:rFonts w:hint="eastAsia" w:ascii="宋体" w:hAnsi="宋体"/>
          <w:color w:val="auto"/>
          <w:szCs w:val="21"/>
        </w:rPr>
        <w:t>（4）“相关服务”系指根据合同规定，乙方应提供的与货物有关的技术、管理和</w:t>
      </w:r>
      <w:r>
        <w:rPr>
          <w:rFonts w:ascii="宋体" w:hAnsi="宋体"/>
          <w:color w:val="auto"/>
          <w:szCs w:val="21"/>
          <w:lang w:val="en"/>
        </w:rPr>
        <w:t>其他</w:t>
      </w:r>
      <w:r>
        <w:rPr>
          <w:rFonts w:hint="eastAsia" w:ascii="宋体" w:hAnsi="宋体"/>
          <w:color w:val="auto"/>
          <w:szCs w:val="21"/>
        </w:rPr>
        <w:t>服务，包括但不限于：管理和质量保证、运输、保险、检验、现场准备、安装、集成、调试、培训、维修、废弃处置、技术支持等以及合同中规定乙方应承担的</w:t>
      </w:r>
      <w:r>
        <w:rPr>
          <w:rFonts w:ascii="宋体" w:hAnsi="宋体"/>
          <w:color w:val="auto"/>
          <w:szCs w:val="21"/>
          <w:lang w:val="en"/>
        </w:rPr>
        <w:t>其他</w:t>
      </w:r>
      <w:r>
        <w:rPr>
          <w:rFonts w:hint="eastAsia" w:ascii="宋体" w:hAnsi="宋体"/>
          <w:color w:val="auto"/>
          <w:szCs w:val="21"/>
        </w:rPr>
        <w:t>义务。</w:t>
      </w:r>
    </w:p>
    <w:p w14:paraId="748E1A13">
      <w:pPr>
        <w:adjustRightInd w:val="0"/>
        <w:snapToGrid w:val="0"/>
        <w:ind w:firstLine="420"/>
        <w:jc w:val="left"/>
        <w:rPr>
          <w:rFonts w:ascii="宋体" w:hAnsi="宋体"/>
          <w:color w:val="auto"/>
          <w:szCs w:val="21"/>
          <w:highlight w:val="yellow"/>
        </w:rPr>
      </w:pPr>
      <w:r>
        <w:rPr>
          <w:rFonts w:hint="eastAsia" w:ascii="宋体" w:hAnsi="宋体"/>
          <w:color w:val="auto"/>
          <w:szCs w:val="21"/>
        </w:rPr>
        <w:t>（5）“分包”系指中标（成交）供应商按采购文件、投标（响应）文件的规定，根据分包意向协议，将中标（成交）项目中的部分履约内容，分给具有相应资质条件的供应商履行合同的行为。</w:t>
      </w:r>
    </w:p>
    <w:p w14:paraId="175B564A">
      <w:pPr>
        <w:tabs>
          <w:tab w:val="left" w:pos="570"/>
          <w:tab w:val="left" w:pos="9240"/>
          <w:tab w:val="left" w:pos="9555"/>
        </w:tabs>
        <w:adjustRightInd w:val="0"/>
        <w:snapToGrid w:val="0"/>
        <w:ind w:firstLine="420"/>
        <w:jc w:val="left"/>
        <w:rPr>
          <w:rFonts w:ascii="宋体" w:hAnsi="宋体"/>
          <w:color w:val="auto"/>
          <w:szCs w:val="21"/>
        </w:rPr>
      </w:pPr>
      <w:r>
        <w:rPr>
          <w:rFonts w:hint="eastAsia" w:ascii="宋体" w:hAnsi="宋体"/>
          <w:color w:val="auto"/>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rPr>
        <w:t>政府采购合同专用条款</w:t>
      </w:r>
      <w:r>
        <w:rPr>
          <w:rFonts w:hint="eastAsia" w:ascii="宋体" w:hAnsi="宋体"/>
          <w:color w:val="auto"/>
          <w:szCs w:val="21"/>
        </w:rPr>
        <w:t>】。</w:t>
      </w:r>
    </w:p>
    <w:p w14:paraId="54E5CB8B">
      <w:pPr>
        <w:tabs>
          <w:tab w:val="left" w:pos="570"/>
          <w:tab w:val="left" w:pos="9240"/>
          <w:tab w:val="left" w:pos="9555"/>
        </w:tabs>
        <w:adjustRightInd w:val="0"/>
        <w:snapToGrid w:val="0"/>
        <w:ind w:firstLine="420"/>
        <w:jc w:val="left"/>
        <w:rPr>
          <w:rFonts w:ascii="宋体" w:hAnsi="宋体"/>
          <w:color w:val="auto"/>
          <w:szCs w:val="21"/>
        </w:rPr>
      </w:pPr>
      <w:r>
        <w:rPr>
          <w:rFonts w:hint="eastAsia" w:ascii="宋体" w:hAnsi="宋体"/>
          <w:color w:val="auto"/>
          <w:szCs w:val="21"/>
        </w:rPr>
        <w:t>（7）其他术语解释，见【</w:t>
      </w:r>
      <w:r>
        <w:rPr>
          <w:rFonts w:hint="eastAsia" w:ascii="宋体" w:hAnsi="宋体"/>
          <w:b/>
          <w:bCs/>
          <w:color w:val="auto"/>
          <w:szCs w:val="21"/>
        </w:rPr>
        <w:t>政府采购合同专用条款</w:t>
      </w:r>
      <w:r>
        <w:rPr>
          <w:rFonts w:hint="eastAsia" w:ascii="宋体" w:hAnsi="宋体"/>
          <w:color w:val="auto"/>
          <w:szCs w:val="21"/>
        </w:rPr>
        <w:t>】。</w:t>
      </w:r>
    </w:p>
    <w:p w14:paraId="011AAB08">
      <w:pPr>
        <w:numPr>
          <w:ilvl w:val="0"/>
          <w:numId w:val="9"/>
        </w:numPr>
        <w:autoSpaceDE w:val="0"/>
        <w:autoSpaceDN w:val="0"/>
        <w:adjustRightInd w:val="0"/>
        <w:snapToGrid w:val="0"/>
        <w:ind w:firstLine="482"/>
        <w:jc w:val="left"/>
        <w:rPr>
          <w:rFonts w:ascii="宋体" w:hAnsi="宋体"/>
          <w:b/>
          <w:bCs/>
          <w:color w:val="auto"/>
          <w:sz w:val="24"/>
        </w:rPr>
      </w:pPr>
      <w:r>
        <w:rPr>
          <w:rFonts w:hint="eastAsia" w:ascii="宋体" w:hAnsi="宋体"/>
          <w:b/>
          <w:color w:val="auto"/>
          <w:sz w:val="24"/>
        </w:rPr>
        <w:t>合同标的及金额</w:t>
      </w:r>
    </w:p>
    <w:p w14:paraId="44482AA9">
      <w:pPr>
        <w:autoSpaceDE w:val="0"/>
        <w:autoSpaceDN w:val="0"/>
        <w:adjustRightInd w:val="0"/>
        <w:snapToGrid w:val="0"/>
        <w:ind w:firstLine="420"/>
        <w:jc w:val="left"/>
        <w:rPr>
          <w:rFonts w:ascii="宋体" w:hAnsi="宋体"/>
          <w:b/>
          <w:bCs/>
          <w:i/>
          <w:iCs/>
          <w:color w:val="auto"/>
          <w:szCs w:val="21"/>
        </w:rPr>
      </w:pPr>
      <w:r>
        <w:rPr>
          <w:rFonts w:hint="eastAsia" w:ascii="宋体" w:hAnsi="宋体"/>
          <w:color w:val="auto"/>
          <w:szCs w:val="21"/>
        </w:rPr>
        <w:t>2.1 合同标的及金额应与中标（成交）结果一致。乙方为履行本合同而发生的所有费用均应包含在合同价款中，甲方不再另行支付</w:t>
      </w:r>
      <w:r>
        <w:rPr>
          <w:rFonts w:ascii="宋体" w:hAnsi="宋体"/>
          <w:color w:val="auto"/>
          <w:szCs w:val="21"/>
          <w:lang w:val="en"/>
        </w:rPr>
        <w:t>其他</w:t>
      </w:r>
      <w:r>
        <w:rPr>
          <w:rFonts w:hint="eastAsia" w:ascii="宋体" w:hAnsi="宋体"/>
          <w:color w:val="auto"/>
          <w:szCs w:val="21"/>
        </w:rPr>
        <w:t>任何费用。</w:t>
      </w:r>
    </w:p>
    <w:p w14:paraId="1EF09CFC">
      <w:pPr>
        <w:adjustRightInd w:val="0"/>
        <w:snapToGrid w:val="0"/>
        <w:ind w:firstLine="482"/>
        <w:jc w:val="left"/>
        <w:rPr>
          <w:rFonts w:ascii="宋体" w:hAnsi="宋体"/>
          <w:b/>
          <w:color w:val="auto"/>
          <w:sz w:val="24"/>
        </w:rPr>
      </w:pPr>
      <w:r>
        <w:rPr>
          <w:rFonts w:hint="eastAsia" w:ascii="宋体" w:hAnsi="宋体"/>
          <w:b/>
          <w:color w:val="auto"/>
          <w:sz w:val="24"/>
        </w:rPr>
        <w:t>3. 履行合同的时间、地点和方式</w:t>
      </w:r>
    </w:p>
    <w:p w14:paraId="6677B05C">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 xml:space="preserve">3.1 </w:t>
      </w:r>
      <w:r>
        <w:rPr>
          <w:rFonts w:hint="eastAsia" w:ascii="宋体" w:hAnsi="宋体" w:cs="宋体"/>
          <w:color w:val="auto"/>
          <w:szCs w:val="21"/>
        </w:rPr>
        <w:t>乙方应当在约定的时间、地点，按照约定方式履行合同。</w:t>
      </w:r>
    </w:p>
    <w:p w14:paraId="447476C0">
      <w:pPr>
        <w:autoSpaceDE w:val="0"/>
        <w:autoSpaceDN w:val="0"/>
        <w:adjustRightInd w:val="0"/>
        <w:snapToGrid w:val="0"/>
        <w:ind w:firstLine="482"/>
        <w:jc w:val="left"/>
        <w:rPr>
          <w:rFonts w:ascii="宋体" w:hAnsi="宋体"/>
          <w:b/>
          <w:bCs/>
          <w:color w:val="auto"/>
          <w:sz w:val="24"/>
        </w:rPr>
      </w:pPr>
      <w:r>
        <w:rPr>
          <w:rFonts w:hint="eastAsia" w:ascii="宋体" w:hAnsi="宋体"/>
          <w:b/>
          <w:bCs/>
          <w:color w:val="auto"/>
          <w:sz w:val="24"/>
        </w:rPr>
        <w:t>4. 甲方的权利和义务</w:t>
      </w:r>
    </w:p>
    <w:p w14:paraId="1301A821">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4.1</w:t>
      </w:r>
      <w:r>
        <w:rPr>
          <w:rFonts w:ascii="宋体" w:hAnsi="宋体"/>
          <w:color w:val="auto"/>
          <w:szCs w:val="21"/>
        </w:rPr>
        <w:t xml:space="preserve"> 签署合同后，甲方</w:t>
      </w:r>
      <w:r>
        <w:rPr>
          <w:rFonts w:hint="eastAsia" w:ascii="宋体" w:hAnsi="宋体"/>
          <w:color w:val="auto"/>
          <w:szCs w:val="21"/>
        </w:rPr>
        <w:t>应</w:t>
      </w:r>
      <w:r>
        <w:rPr>
          <w:rFonts w:ascii="宋体" w:hAnsi="宋体"/>
          <w:color w:val="auto"/>
          <w:szCs w:val="21"/>
        </w:rPr>
        <w:t>确定</w:t>
      </w:r>
      <w:r>
        <w:rPr>
          <w:rFonts w:hint="eastAsia" w:ascii="宋体" w:hAnsi="宋体"/>
          <w:color w:val="auto"/>
          <w:szCs w:val="21"/>
        </w:rPr>
        <w:t>项目负责人（或项目联系人）</w:t>
      </w:r>
      <w:r>
        <w:rPr>
          <w:rFonts w:ascii="宋体" w:hAnsi="宋体"/>
          <w:color w:val="auto"/>
          <w:szCs w:val="21"/>
        </w:rPr>
        <w:t>，负责与本合同有关的事务。</w:t>
      </w:r>
      <w:r>
        <w:rPr>
          <w:rFonts w:hint="eastAsia" w:ascii="宋体" w:hAnsi="宋体"/>
          <w:color w:val="auto"/>
          <w:szCs w:val="21"/>
        </w:rPr>
        <w:t>甲方有权对乙方的履约行为进行检查，并</w:t>
      </w:r>
      <w:r>
        <w:rPr>
          <w:rFonts w:ascii="宋体" w:hAnsi="宋体"/>
          <w:color w:val="auto"/>
          <w:szCs w:val="21"/>
        </w:rPr>
        <w:t>及时确认乙方提交的事项</w:t>
      </w:r>
      <w:r>
        <w:rPr>
          <w:rFonts w:hint="eastAsia" w:ascii="宋体" w:hAnsi="宋体"/>
          <w:color w:val="auto"/>
          <w:szCs w:val="21"/>
        </w:rPr>
        <w:t>。甲方应当</w:t>
      </w:r>
      <w:r>
        <w:rPr>
          <w:rFonts w:ascii="宋体" w:hAnsi="宋体"/>
          <w:color w:val="auto"/>
          <w:szCs w:val="21"/>
        </w:rPr>
        <w:t>配合乙方完成</w:t>
      </w:r>
      <w:r>
        <w:rPr>
          <w:rFonts w:hint="eastAsia" w:ascii="宋体" w:hAnsi="宋体"/>
          <w:color w:val="auto"/>
          <w:szCs w:val="21"/>
        </w:rPr>
        <w:t>相关项目</w:t>
      </w:r>
      <w:r>
        <w:rPr>
          <w:rFonts w:ascii="宋体" w:hAnsi="宋体"/>
          <w:color w:val="auto"/>
          <w:szCs w:val="21"/>
        </w:rPr>
        <w:t>实施工作。</w:t>
      </w:r>
    </w:p>
    <w:p w14:paraId="681CBF86">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 xml:space="preserve">4.2 </w:t>
      </w:r>
      <w:r>
        <w:rPr>
          <w:rFonts w:ascii="宋体" w:hAnsi="宋体"/>
          <w:color w:val="auto"/>
          <w:szCs w:val="21"/>
        </w:rPr>
        <w:t>甲方有权要求乙方按时提交各阶段有关</w:t>
      </w:r>
      <w:r>
        <w:rPr>
          <w:rFonts w:hint="eastAsia" w:ascii="宋体" w:hAnsi="宋体"/>
          <w:color w:val="auto"/>
          <w:szCs w:val="21"/>
        </w:rPr>
        <w:t>安排计划</w:t>
      </w:r>
      <w:r>
        <w:rPr>
          <w:rFonts w:ascii="宋体" w:hAnsi="宋体"/>
          <w:color w:val="auto"/>
          <w:szCs w:val="21"/>
        </w:rPr>
        <w:t>，并有权</w:t>
      </w:r>
      <w:r>
        <w:rPr>
          <w:rFonts w:hint="eastAsia" w:ascii="宋体" w:hAnsi="宋体"/>
          <w:color w:val="auto"/>
          <w:szCs w:val="21"/>
        </w:rPr>
        <w:t>定期核对乙方提供货物数量、规格、质量等内容。甲方</w:t>
      </w:r>
      <w:r>
        <w:rPr>
          <w:rFonts w:ascii="宋体" w:hAnsi="宋体"/>
          <w:color w:val="auto"/>
          <w:szCs w:val="21"/>
        </w:rPr>
        <w:t>有权督促乙方工作并要求乙方</w:t>
      </w:r>
      <w:r>
        <w:rPr>
          <w:rFonts w:hint="eastAsia" w:ascii="宋体" w:hAnsi="宋体"/>
          <w:color w:val="auto"/>
          <w:szCs w:val="21"/>
        </w:rPr>
        <w:t>更</w:t>
      </w:r>
      <w:r>
        <w:rPr>
          <w:rFonts w:ascii="宋体" w:hAnsi="宋体"/>
          <w:color w:val="auto"/>
          <w:szCs w:val="21"/>
        </w:rPr>
        <w:t>换不符合要求的</w:t>
      </w:r>
      <w:r>
        <w:rPr>
          <w:rFonts w:hint="eastAsia" w:ascii="宋体" w:hAnsi="宋体"/>
          <w:color w:val="auto"/>
          <w:szCs w:val="21"/>
        </w:rPr>
        <w:t>货物</w:t>
      </w:r>
      <w:r>
        <w:rPr>
          <w:rFonts w:ascii="宋体" w:hAnsi="宋体"/>
          <w:color w:val="auto"/>
          <w:szCs w:val="21"/>
        </w:rPr>
        <w:t>。</w:t>
      </w:r>
    </w:p>
    <w:p w14:paraId="3F641D99">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4.</w:t>
      </w:r>
      <w:r>
        <w:rPr>
          <w:rFonts w:ascii="宋体" w:hAnsi="宋体"/>
          <w:color w:val="auto"/>
          <w:szCs w:val="21"/>
        </w:rPr>
        <w:t>3</w:t>
      </w:r>
      <w:r>
        <w:rPr>
          <w:rFonts w:hint="eastAsia" w:ascii="宋体" w:hAnsi="宋体"/>
          <w:color w:val="auto"/>
          <w:szCs w:val="21"/>
        </w:rPr>
        <w:t xml:space="preserve"> </w:t>
      </w:r>
      <w:r>
        <w:rPr>
          <w:rFonts w:ascii="宋体" w:hAnsi="宋体"/>
          <w:color w:val="auto"/>
          <w:szCs w:val="21"/>
        </w:rPr>
        <w:t>甲方</w:t>
      </w:r>
      <w:r>
        <w:rPr>
          <w:rFonts w:hint="eastAsia" w:ascii="宋体" w:hAnsi="宋体"/>
          <w:color w:val="auto"/>
          <w:szCs w:val="21"/>
        </w:rPr>
        <w:t>有权要求乙方对缺陷部分予以修复，并按合同约定享有货物保修及其他合同约定的权利。</w:t>
      </w:r>
    </w:p>
    <w:p w14:paraId="7DD1A748">
      <w:pPr>
        <w:snapToGrid w:val="0"/>
        <w:ind w:firstLine="420"/>
        <w:rPr>
          <w:rFonts w:eastAsia="华文楷体"/>
          <w:color w:val="auto"/>
        </w:rPr>
      </w:pPr>
      <w:r>
        <w:rPr>
          <w:rFonts w:ascii="宋体" w:hAnsi="宋体"/>
          <w:color w:val="auto"/>
          <w:szCs w:val="21"/>
        </w:rPr>
        <w:t>4.4 甲方应当按照合同约定及时对交付的货物进行验收</w:t>
      </w:r>
      <w:r>
        <w:rPr>
          <w:rFonts w:hint="eastAsia" w:ascii="宋体" w:hAnsi="宋体"/>
          <w:color w:val="auto"/>
          <w:szCs w:val="21"/>
        </w:rPr>
        <w:t>，</w:t>
      </w:r>
      <w:r>
        <w:rPr>
          <w:rFonts w:hint="eastAsia" w:ascii="宋体" w:hAnsi="宋体" w:cs="宋体"/>
          <w:color w:val="auto"/>
          <w:szCs w:val="21"/>
        </w:rPr>
        <w:t>未</w:t>
      </w:r>
      <w:r>
        <w:rPr>
          <w:rFonts w:hint="eastAsia" w:ascii="宋体" w:hAnsi="宋体"/>
          <w:color w:val="auto"/>
          <w:szCs w:val="21"/>
        </w:rPr>
        <w:t>在</w:t>
      </w:r>
      <w:r>
        <w:rPr>
          <w:rFonts w:hint="eastAsia" w:ascii="宋体" w:hAnsi="宋体" w:cs="宋体"/>
          <w:b/>
          <w:bCs/>
          <w:color w:val="auto"/>
          <w:szCs w:val="21"/>
        </w:rPr>
        <w:t>【政府采购合同专用条款】</w:t>
      </w:r>
      <w:r>
        <w:rPr>
          <w:rFonts w:hint="eastAsia" w:ascii="宋体" w:hAnsi="宋体" w:cs="宋体"/>
          <w:color w:val="auto"/>
          <w:szCs w:val="21"/>
        </w:rPr>
        <w:t>约定的期限内对乙方履约提出任何异议或者向乙方作出任何说明的，</w:t>
      </w:r>
      <w:r>
        <w:rPr>
          <w:rFonts w:hint="eastAsia" w:ascii="宋体" w:hAnsi="宋体"/>
          <w:color w:val="auto"/>
          <w:szCs w:val="21"/>
        </w:rPr>
        <w:t>视为验收通过。</w:t>
      </w:r>
    </w:p>
    <w:p w14:paraId="328611FD">
      <w:pPr>
        <w:autoSpaceDE w:val="0"/>
        <w:autoSpaceDN w:val="0"/>
        <w:adjustRightInd w:val="0"/>
        <w:snapToGrid w:val="0"/>
        <w:ind w:firstLine="420"/>
        <w:jc w:val="left"/>
        <w:rPr>
          <w:rFonts w:ascii="宋体" w:hAnsi="宋体"/>
          <w:color w:val="auto"/>
          <w:szCs w:val="21"/>
        </w:rPr>
      </w:pPr>
      <w:r>
        <w:rPr>
          <w:rFonts w:ascii="宋体" w:hAnsi="宋体"/>
          <w:color w:val="auto"/>
          <w:szCs w:val="21"/>
        </w:rPr>
        <w:t>4</w:t>
      </w:r>
      <w:r>
        <w:rPr>
          <w:rFonts w:hint="eastAsia" w:ascii="宋体" w:hAnsi="宋体"/>
          <w:color w:val="auto"/>
          <w:szCs w:val="21"/>
        </w:rPr>
        <w:t>.</w:t>
      </w:r>
      <w:r>
        <w:rPr>
          <w:rFonts w:ascii="宋体" w:hAnsi="宋体"/>
          <w:color w:val="auto"/>
          <w:szCs w:val="21"/>
        </w:rPr>
        <w:t xml:space="preserve">5 </w:t>
      </w:r>
      <w:r>
        <w:rPr>
          <w:rFonts w:hint="eastAsia" w:ascii="宋体" w:hAnsi="宋体"/>
          <w:color w:val="auto"/>
          <w:szCs w:val="21"/>
        </w:rPr>
        <w:t>甲方应当根据合同约定及时向乙方支付合同价款</w:t>
      </w:r>
      <w:r>
        <w:rPr>
          <w:rFonts w:ascii="宋体" w:hAnsi="宋体"/>
          <w:color w:val="auto"/>
          <w:szCs w:val="21"/>
        </w:rPr>
        <w:t>，不得以内部人员变更、履行内部付款流程等为由，拒绝或迟延支付。</w:t>
      </w:r>
    </w:p>
    <w:p w14:paraId="2F1C8556">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4.6</w:t>
      </w:r>
      <w:r>
        <w:rPr>
          <w:rFonts w:ascii="宋体" w:hAnsi="宋体"/>
          <w:color w:val="auto"/>
          <w:szCs w:val="21"/>
        </w:rPr>
        <w:t xml:space="preserve"> </w:t>
      </w:r>
      <w:r>
        <w:rPr>
          <w:rFonts w:hint="eastAsia" w:ascii="宋体" w:hAnsi="宋体"/>
          <w:color w:val="auto"/>
          <w:szCs w:val="21"/>
        </w:rPr>
        <w:t>国家法律法规规定及</w:t>
      </w:r>
      <w:r>
        <w:rPr>
          <w:rFonts w:hint="eastAsia" w:ascii="宋体" w:hAnsi="宋体" w:cs="宋体"/>
          <w:b/>
          <w:bCs/>
          <w:color w:val="auto"/>
          <w:szCs w:val="21"/>
        </w:rPr>
        <w:t>【政府采购合同专用条款】</w:t>
      </w:r>
      <w:r>
        <w:rPr>
          <w:rFonts w:hint="eastAsia" w:ascii="宋体" w:hAnsi="宋体"/>
          <w:color w:val="auto"/>
          <w:szCs w:val="21"/>
        </w:rPr>
        <w:t>约定应由甲方承担的其他义务和责任。</w:t>
      </w:r>
    </w:p>
    <w:p w14:paraId="42A12B25">
      <w:pPr>
        <w:autoSpaceDE w:val="0"/>
        <w:autoSpaceDN w:val="0"/>
        <w:adjustRightInd w:val="0"/>
        <w:snapToGrid w:val="0"/>
        <w:ind w:firstLine="482"/>
        <w:jc w:val="left"/>
        <w:rPr>
          <w:rFonts w:ascii="宋体" w:hAnsi="宋体"/>
          <w:b/>
          <w:bCs/>
          <w:color w:val="auto"/>
          <w:sz w:val="24"/>
        </w:rPr>
      </w:pPr>
      <w:r>
        <w:rPr>
          <w:rFonts w:hint="eastAsia" w:ascii="宋体" w:hAnsi="宋体"/>
          <w:b/>
          <w:bCs/>
          <w:color w:val="auto"/>
          <w:sz w:val="24"/>
        </w:rPr>
        <w:t>5. 乙方的权利和义务</w:t>
      </w:r>
    </w:p>
    <w:p w14:paraId="05FD3BB5">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 xml:space="preserve">5.1 </w:t>
      </w:r>
      <w:r>
        <w:rPr>
          <w:rFonts w:ascii="宋体" w:hAnsi="宋体"/>
          <w:color w:val="auto"/>
          <w:szCs w:val="21"/>
        </w:rPr>
        <w:t>签署合同后，乙方</w:t>
      </w:r>
      <w:r>
        <w:rPr>
          <w:rFonts w:hint="eastAsia" w:ascii="宋体" w:hAnsi="宋体"/>
          <w:color w:val="auto"/>
          <w:szCs w:val="21"/>
        </w:rPr>
        <w:t>应</w:t>
      </w:r>
      <w:r>
        <w:rPr>
          <w:rFonts w:ascii="宋体" w:hAnsi="宋体"/>
          <w:color w:val="auto"/>
          <w:szCs w:val="21"/>
        </w:rPr>
        <w:t>确定</w:t>
      </w:r>
      <w:r>
        <w:rPr>
          <w:rFonts w:hint="eastAsia" w:ascii="宋体" w:hAnsi="宋体"/>
          <w:color w:val="auto"/>
          <w:szCs w:val="21"/>
        </w:rPr>
        <w:t>项目负责人（或项目联系人）</w:t>
      </w:r>
      <w:r>
        <w:rPr>
          <w:rFonts w:ascii="宋体" w:hAnsi="宋体"/>
          <w:color w:val="auto"/>
          <w:szCs w:val="21"/>
        </w:rPr>
        <w:t>，负责与本合同有关的事务。</w:t>
      </w:r>
    </w:p>
    <w:p w14:paraId="0ECAAF49">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5.</w:t>
      </w:r>
      <w:r>
        <w:rPr>
          <w:rFonts w:ascii="宋体" w:hAnsi="宋体"/>
          <w:color w:val="auto"/>
          <w:szCs w:val="21"/>
        </w:rPr>
        <w:t>2 乙方应按照合同要求</w:t>
      </w:r>
      <w:r>
        <w:rPr>
          <w:rFonts w:hint="eastAsia" w:ascii="宋体" w:hAnsi="宋体"/>
          <w:color w:val="auto"/>
          <w:szCs w:val="21"/>
        </w:rPr>
        <w:t>履约</w:t>
      </w:r>
      <w:r>
        <w:rPr>
          <w:rFonts w:ascii="宋体" w:hAnsi="宋体"/>
          <w:color w:val="auto"/>
          <w:szCs w:val="21"/>
        </w:rPr>
        <w:t>，充分合理安排，确保</w:t>
      </w:r>
      <w:r>
        <w:rPr>
          <w:rFonts w:hint="eastAsia" w:ascii="宋体" w:hAnsi="宋体"/>
          <w:color w:val="auto"/>
          <w:szCs w:val="21"/>
        </w:rPr>
        <w:t>提供的货物及相关服务符合合同有关</w:t>
      </w:r>
      <w:r>
        <w:rPr>
          <w:rFonts w:ascii="宋体" w:hAnsi="宋体"/>
          <w:color w:val="auto"/>
          <w:szCs w:val="21"/>
        </w:rPr>
        <w:t>要求</w:t>
      </w:r>
      <w:r>
        <w:rPr>
          <w:rFonts w:hint="eastAsia" w:ascii="宋体" w:hAnsi="宋体"/>
          <w:color w:val="auto"/>
          <w:szCs w:val="21"/>
        </w:rPr>
        <w:t>。接受项目行业管理部门及政府有关部门的指导，配合甲方的履约检查及验收，并</w:t>
      </w:r>
      <w:r>
        <w:rPr>
          <w:rFonts w:ascii="宋体" w:hAnsi="宋体"/>
          <w:color w:val="auto"/>
          <w:szCs w:val="21"/>
        </w:rPr>
        <w:t>负责项目实施过程中的所有协调工作。</w:t>
      </w:r>
    </w:p>
    <w:p w14:paraId="3AD48D2D">
      <w:pPr>
        <w:pStyle w:val="2"/>
        <w:spacing w:line="400" w:lineRule="exact"/>
        <w:ind w:firstLine="422" w:firstLineChars="176"/>
        <w:rPr>
          <w:rFonts w:ascii="宋体" w:hAnsi="宋体" w:cs="宋体"/>
          <w:color w:val="auto"/>
          <w:szCs w:val="21"/>
        </w:rPr>
      </w:pPr>
      <w:r>
        <w:rPr>
          <w:rFonts w:hint="eastAsia" w:ascii="宋体" w:hAnsi="宋体"/>
          <w:color w:val="auto"/>
          <w:szCs w:val="21"/>
        </w:rPr>
        <w:t>5.</w:t>
      </w:r>
      <w:r>
        <w:rPr>
          <w:rFonts w:ascii="宋体" w:hAnsi="宋体"/>
          <w:color w:val="auto"/>
          <w:szCs w:val="21"/>
        </w:rPr>
        <w:t>3</w:t>
      </w:r>
      <w:r>
        <w:rPr>
          <w:rFonts w:hint="eastAsia" w:ascii="宋体" w:hAnsi="宋体"/>
          <w:color w:val="auto"/>
          <w:szCs w:val="21"/>
        </w:rPr>
        <w:t>乙方有权</w:t>
      </w:r>
      <w:r>
        <w:rPr>
          <w:rFonts w:hint="eastAsia" w:ascii="宋体" w:hAnsi="宋体" w:cs="宋体"/>
          <w:color w:val="auto"/>
          <w:szCs w:val="21"/>
        </w:rPr>
        <w:t>根据合同约定向甲方收取合同价款。</w:t>
      </w:r>
    </w:p>
    <w:p w14:paraId="3DDDA21B">
      <w:pPr>
        <w:pStyle w:val="2"/>
        <w:spacing w:line="400" w:lineRule="exact"/>
        <w:ind w:firstLine="422" w:firstLineChars="176"/>
        <w:rPr>
          <w:rFonts w:ascii="宋体" w:hAnsi="宋体" w:cs="宋体"/>
          <w:color w:val="auto"/>
          <w:szCs w:val="21"/>
        </w:rPr>
      </w:pPr>
      <w:r>
        <w:rPr>
          <w:rFonts w:hint="eastAsia" w:ascii="宋体" w:hAnsi="宋体"/>
          <w:color w:val="auto"/>
          <w:szCs w:val="21"/>
        </w:rPr>
        <w:t>5.</w:t>
      </w:r>
      <w:r>
        <w:rPr>
          <w:rFonts w:ascii="宋体" w:hAnsi="宋体"/>
          <w:color w:val="auto"/>
          <w:szCs w:val="21"/>
        </w:rPr>
        <w:t>4</w:t>
      </w:r>
      <w:r>
        <w:rPr>
          <w:rFonts w:hint="eastAsia" w:ascii="宋体" w:hAnsi="宋体" w:cs="宋体"/>
          <w:color w:val="auto"/>
          <w:szCs w:val="21"/>
        </w:rPr>
        <w:t>国家法律法规规定</w:t>
      </w:r>
      <w:r>
        <w:rPr>
          <w:rFonts w:hint="eastAsia" w:ascii="宋体" w:hAnsi="宋体"/>
          <w:color w:val="auto"/>
          <w:szCs w:val="21"/>
        </w:rPr>
        <w:t>及</w:t>
      </w:r>
      <w:r>
        <w:rPr>
          <w:rFonts w:hint="eastAsia" w:ascii="宋体" w:hAnsi="宋体" w:cs="宋体"/>
          <w:b/>
          <w:bCs/>
          <w:color w:val="auto"/>
          <w:szCs w:val="21"/>
        </w:rPr>
        <w:t>【政府采购合同专用条款】</w:t>
      </w:r>
      <w:r>
        <w:rPr>
          <w:rFonts w:hint="eastAsia" w:ascii="宋体" w:hAnsi="宋体" w:cs="宋体"/>
          <w:color w:val="auto"/>
          <w:szCs w:val="21"/>
        </w:rPr>
        <w:t>约定应由乙方承担的其他义务和责任。</w:t>
      </w:r>
    </w:p>
    <w:p w14:paraId="111F3DD2">
      <w:pPr>
        <w:numPr>
          <w:ilvl w:val="0"/>
          <w:numId w:val="10"/>
        </w:numPr>
        <w:autoSpaceDE w:val="0"/>
        <w:autoSpaceDN w:val="0"/>
        <w:adjustRightInd w:val="0"/>
        <w:snapToGrid w:val="0"/>
        <w:ind w:firstLine="482"/>
        <w:jc w:val="left"/>
        <w:rPr>
          <w:rFonts w:ascii="宋体" w:hAnsi="宋体"/>
          <w:b/>
          <w:bCs/>
          <w:color w:val="auto"/>
          <w:sz w:val="24"/>
        </w:rPr>
      </w:pPr>
      <w:r>
        <w:rPr>
          <w:rFonts w:hint="eastAsia" w:ascii="宋体" w:hAnsi="宋体"/>
          <w:b/>
          <w:bCs/>
          <w:color w:val="auto"/>
          <w:sz w:val="24"/>
        </w:rPr>
        <w:t>合同履行</w:t>
      </w:r>
    </w:p>
    <w:p w14:paraId="25B96B4C">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6.1 甲乙双方应当按照</w:t>
      </w:r>
      <w:r>
        <w:rPr>
          <w:rFonts w:hint="eastAsia" w:ascii="宋体" w:hAnsi="宋体" w:cs="宋体"/>
          <w:b/>
          <w:bCs/>
          <w:color w:val="auto"/>
          <w:szCs w:val="21"/>
        </w:rPr>
        <w:t>【政府采购合同专用条款】</w:t>
      </w:r>
      <w:r>
        <w:rPr>
          <w:rFonts w:hint="eastAsia" w:ascii="宋体" w:hAnsi="宋体"/>
          <w:color w:val="auto"/>
          <w:szCs w:val="21"/>
        </w:rPr>
        <w:t>约定顺序履行合同义务；如果没有先后顺序的，应当同时履行。</w:t>
      </w:r>
    </w:p>
    <w:p w14:paraId="4D05B0DB">
      <w:pPr>
        <w:autoSpaceDE w:val="0"/>
        <w:autoSpaceDN w:val="0"/>
        <w:adjustRightInd w:val="0"/>
        <w:snapToGrid w:val="0"/>
        <w:ind w:firstLine="420"/>
        <w:jc w:val="left"/>
        <w:rPr>
          <w:color w:val="auto"/>
        </w:rPr>
      </w:pPr>
      <w:r>
        <w:rPr>
          <w:rFonts w:hint="eastAsia" w:ascii="宋体" w:hAnsi="宋体"/>
          <w:color w:val="auto"/>
          <w:szCs w:val="21"/>
        </w:rPr>
        <w:t>6.2 甲乙双方按照合同约定顺序履行合同义务时，应当先履行一方未履行的，后履行一方有权拒绝其履行请求。先履行一方履行不符合约定的，后履行一方有权拒绝其相应的履行请求。</w:t>
      </w:r>
    </w:p>
    <w:p w14:paraId="4B2ED877">
      <w:pPr>
        <w:adjustRightInd w:val="0"/>
        <w:snapToGrid w:val="0"/>
        <w:ind w:firstLine="482"/>
        <w:jc w:val="left"/>
        <w:rPr>
          <w:rFonts w:ascii="宋体" w:hAnsi="宋体"/>
          <w:b/>
          <w:bCs/>
          <w:color w:val="auto"/>
          <w:sz w:val="24"/>
        </w:rPr>
      </w:pPr>
      <w:r>
        <w:rPr>
          <w:rFonts w:hint="eastAsia" w:ascii="宋体" w:hAnsi="宋体"/>
          <w:b/>
          <w:bCs/>
          <w:color w:val="auto"/>
          <w:sz w:val="24"/>
        </w:rPr>
        <w:t>7. 货物包装、运输、保险和交付要求</w:t>
      </w:r>
    </w:p>
    <w:p w14:paraId="0E4E7AC8">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7.1 本合同</w:t>
      </w:r>
      <w:r>
        <w:rPr>
          <w:rFonts w:hint="eastAsia" w:ascii="宋体" w:hAnsi="宋体"/>
          <w:bCs/>
          <w:color w:val="auto"/>
          <w:szCs w:val="21"/>
        </w:rPr>
        <w:t>涉及商品包装、快递包装的，</w:t>
      </w:r>
      <w:r>
        <w:rPr>
          <w:rFonts w:hint="eastAsia" w:ascii="宋体" w:hAnsi="宋体"/>
          <w:color w:val="auto"/>
          <w:szCs w:val="21"/>
        </w:rPr>
        <w:t>除</w:t>
      </w:r>
      <w:r>
        <w:rPr>
          <w:rFonts w:hint="eastAsia" w:ascii="宋体" w:hAnsi="宋体"/>
          <w:b/>
          <w:color w:val="auto"/>
          <w:szCs w:val="21"/>
        </w:rPr>
        <w:t>【政府采购合同专用条款】</w:t>
      </w:r>
      <w:r>
        <w:rPr>
          <w:rFonts w:hint="eastAsia" w:ascii="宋体" w:hAnsi="宋体"/>
          <w:bCs/>
          <w:color w:val="auto"/>
          <w:szCs w:val="21"/>
        </w:rPr>
        <w:t>另有约定外，</w:t>
      </w:r>
      <w:r>
        <w:rPr>
          <w:rFonts w:hint="eastAsia" w:ascii="宋体" w:hAnsi="宋体"/>
          <w:color w:val="auto"/>
          <w:szCs w:val="21"/>
        </w:rPr>
        <w:t>包装应适应远距离运输、防潮、防震、防锈和防野蛮装卸等要求，确保货物安全无损地运抵</w:t>
      </w:r>
      <w:r>
        <w:rPr>
          <w:rFonts w:hint="eastAsia" w:ascii="宋体" w:hAnsi="宋体"/>
          <w:b/>
          <w:color w:val="auto"/>
          <w:szCs w:val="21"/>
        </w:rPr>
        <w:t>【政府采购合同专用条款】</w:t>
      </w:r>
      <w:r>
        <w:rPr>
          <w:rFonts w:hint="eastAsia" w:ascii="宋体" w:hAnsi="宋体"/>
          <w:bCs/>
          <w:color w:val="auto"/>
          <w:szCs w:val="21"/>
        </w:rPr>
        <w:t>约定的</w:t>
      </w:r>
      <w:r>
        <w:rPr>
          <w:rFonts w:hint="eastAsia" w:ascii="宋体" w:hAnsi="宋体"/>
          <w:color w:val="auto"/>
          <w:szCs w:val="21"/>
        </w:rPr>
        <w:t>指定现场。</w:t>
      </w:r>
    </w:p>
    <w:p w14:paraId="35AA9BBA">
      <w:pPr>
        <w:adjustRightInd w:val="0"/>
        <w:snapToGrid w:val="0"/>
        <w:ind w:firstLine="420"/>
        <w:jc w:val="left"/>
        <w:rPr>
          <w:rFonts w:ascii="宋体" w:hAnsi="宋体"/>
          <w:color w:val="auto"/>
          <w:szCs w:val="21"/>
        </w:rPr>
      </w:pPr>
      <w:r>
        <w:rPr>
          <w:rFonts w:hint="eastAsia" w:ascii="宋体" w:hAnsi="宋体"/>
          <w:color w:val="auto"/>
          <w:szCs w:val="21"/>
        </w:rPr>
        <w:t>7.2 除</w:t>
      </w:r>
      <w:r>
        <w:rPr>
          <w:rFonts w:hint="eastAsia" w:ascii="宋体" w:hAnsi="宋体"/>
          <w:b/>
          <w:color w:val="auto"/>
          <w:szCs w:val="21"/>
        </w:rPr>
        <w:t>【政府采购合同专用条款】</w:t>
      </w:r>
      <w:r>
        <w:rPr>
          <w:rFonts w:hint="eastAsia" w:ascii="宋体" w:hAnsi="宋体"/>
          <w:bCs/>
          <w:color w:val="auto"/>
          <w:szCs w:val="21"/>
        </w:rPr>
        <w:t>另有约定外，</w:t>
      </w:r>
      <w:r>
        <w:rPr>
          <w:rFonts w:hint="eastAsia" w:ascii="宋体" w:hAnsi="宋体"/>
          <w:color w:val="auto"/>
          <w:szCs w:val="21"/>
        </w:rPr>
        <w:t>乙方负责办理将货物运抵本合同规定的交货地点，并装卸、交付至甲方的一切运输事项，相关费用应包含在合同价款中。</w:t>
      </w:r>
    </w:p>
    <w:p w14:paraId="2BCD2759">
      <w:pPr>
        <w:adjustRightInd w:val="0"/>
        <w:snapToGrid w:val="0"/>
        <w:ind w:firstLine="420"/>
        <w:jc w:val="left"/>
        <w:rPr>
          <w:rFonts w:ascii="宋体" w:hAnsi="宋体"/>
          <w:color w:val="auto"/>
          <w:szCs w:val="21"/>
        </w:rPr>
      </w:pPr>
      <w:r>
        <w:rPr>
          <w:rFonts w:hint="eastAsia" w:ascii="宋体" w:hAnsi="宋体"/>
          <w:color w:val="auto"/>
          <w:szCs w:val="21"/>
        </w:rPr>
        <w:t>7.3 货物保险要求按</w:t>
      </w:r>
      <w:r>
        <w:rPr>
          <w:rFonts w:hint="eastAsia" w:ascii="宋体" w:hAnsi="宋体"/>
          <w:b/>
          <w:color w:val="auto"/>
          <w:szCs w:val="21"/>
        </w:rPr>
        <w:t>【政府采购合同专用条款】</w:t>
      </w:r>
      <w:r>
        <w:rPr>
          <w:rFonts w:hint="eastAsia" w:ascii="宋体" w:hAnsi="宋体"/>
          <w:bCs/>
          <w:color w:val="auto"/>
          <w:szCs w:val="21"/>
        </w:rPr>
        <w:t>规定执行</w:t>
      </w:r>
      <w:r>
        <w:rPr>
          <w:rFonts w:hint="eastAsia" w:ascii="宋体" w:hAnsi="宋体"/>
          <w:color w:val="auto"/>
          <w:szCs w:val="21"/>
        </w:rPr>
        <w:t>。</w:t>
      </w:r>
    </w:p>
    <w:p w14:paraId="00CD25AD">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BD44313">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 xml:space="preserve">7.5 </w:t>
      </w:r>
      <w:r>
        <w:rPr>
          <w:rFonts w:hint="eastAsia" w:ascii="宋体" w:hAnsi="宋体" w:cs="宋体"/>
          <w:color w:val="auto"/>
          <w:szCs w:val="21"/>
        </w:rPr>
        <w:t>乙方在运输到达之前应提前通知甲方，并提示货物运输装卸的注意事项，甲方配合乙方做好货物的接收工作。</w:t>
      </w:r>
    </w:p>
    <w:p w14:paraId="5AA946FC">
      <w:pPr>
        <w:pStyle w:val="145"/>
        <w:ind w:firstLine="420"/>
        <w:rPr>
          <w:color w:val="auto"/>
          <w:sz w:val="21"/>
        </w:rPr>
      </w:pPr>
      <w:r>
        <w:rPr>
          <w:rFonts w:hint="eastAsia" w:ascii="宋体" w:hAnsi="宋体" w:eastAsia="宋体" w:cs="Times New Roman"/>
          <w:color w:val="auto"/>
          <w:kern w:val="2"/>
          <w:sz w:val="21"/>
        </w:rPr>
        <w:t>7.6 如因包装、运输问题导致货物损毁、丢失或者品质下降，甲方有权要求降价、换货、拒收部分或整批货物，由此产生的费用和损失，均由乙方承担。</w:t>
      </w:r>
    </w:p>
    <w:p w14:paraId="574AADBC">
      <w:pPr>
        <w:adjustRightInd w:val="0"/>
        <w:snapToGrid w:val="0"/>
        <w:ind w:firstLine="482"/>
        <w:jc w:val="left"/>
        <w:rPr>
          <w:rFonts w:ascii="宋体" w:hAnsi="宋体"/>
          <w:b/>
          <w:color w:val="auto"/>
          <w:sz w:val="24"/>
        </w:rPr>
      </w:pPr>
      <w:r>
        <w:rPr>
          <w:rFonts w:hint="eastAsia" w:ascii="宋体" w:hAnsi="宋体"/>
          <w:b/>
          <w:color w:val="auto"/>
          <w:sz w:val="24"/>
        </w:rPr>
        <w:t>8. 质量标准和保证</w:t>
      </w:r>
    </w:p>
    <w:p w14:paraId="7777CAB6">
      <w:pPr>
        <w:pStyle w:val="23"/>
        <w:adjustRightInd w:val="0"/>
        <w:snapToGrid w:val="0"/>
        <w:ind w:firstLine="420"/>
        <w:jc w:val="left"/>
        <w:rPr>
          <w:rFonts w:hAnsi="宋体"/>
          <w:b/>
          <w:color w:val="auto"/>
        </w:rPr>
      </w:pPr>
      <w:r>
        <w:rPr>
          <w:rFonts w:hint="eastAsia" w:hAnsi="宋体"/>
          <w:color w:val="auto"/>
        </w:rPr>
        <w:t>8.1 质量标准</w:t>
      </w:r>
    </w:p>
    <w:p w14:paraId="1FEBB9E5">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（1）本合同下提供的货物应符合合同</w:t>
      </w:r>
      <w:r>
        <w:rPr>
          <w:rFonts w:hint="eastAsia" w:ascii="宋体" w:hAnsi="宋体" w:cs="宋体"/>
          <w:color w:val="auto"/>
          <w:szCs w:val="21"/>
        </w:rPr>
        <w:t>约定的品牌、规格型号、技术性能、配置、质量、数量等要求。</w:t>
      </w:r>
      <w:r>
        <w:rPr>
          <w:rFonts w:hint="eastAsia" w:ascii="宋体" w:hAnsi="宋体"/>
          <w:color w:val="auto"/>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D1CD252">
      <w:pPr>
        <w:pStyle w:val="23"/>
        <w:adjustRightInd w:val="0"/>
        <w:snapToGrid w:val="0"/>
        <w:ind w:firstLine="420"/>
        <w:jc w:val="left"/>
        <w:rPr>
          <w:rFonts w:hAnsi="宋体"/>
          <w:color w:val="auto"/>
        </w:rPr>
      </w:pPr>
      <w:r>
        <w:rPr>
          <w:rFonts w:hint="eastAsia" w:hAnsi="宋体"/>
          <w:color w:val="auto"/>
        </w:rPr>
        <w:t>（2）采用中华人民共和国法定计量单位。</w:t>
      </w:r>
    </w:p>
    <w:p w14:paraId="6ECBA332">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（3）乙方所提供的货物应符合国家有关安全、环保、卫生的规定。</w:t>
      </w:r>
    </w:p>
    <w:p w14:paraId="46ECDB48">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（4）乙方应向甲方提交所提供货物的技术文件，包括相应的中文技术文件，如：产品目录、图纸、操作手册、使用说明、维护手册或服务指南等。上述文件应包装好随货物一同发运。</w:t>
      </w:r>
    </w:p>
    <w:p w14:paraId="2647573B">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8.2 保证</w:t>
      </w:r>
    </w:p>
    <w:p w14:paraId="3169EB6F">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（1）乙方应保证提供的货物完全符合合同规定的质量、规格和性能要求。乙方应保证货物在正确安装、正常使用和保养条件下，</w:t>
      </w:r>
      <w:r>
        <w:rPr>
          <w:rFonts w:hint="eastAsia" w:ascii="宋体" w:hAnsi="宋体" w:cs="宋体"/>
          <w:color w:val="auto"/>
          <w:szCs w:val="21"/>
        </w:rPr>
        <w:t>在其使用寿命期内具备合同约定的性能</w:t>
      </w:r>
      <w:r>
        <w:rPr>
          <w:rFonts w:hint="eastAsia" w:ascii="宋体" w:hAnsi="宋体"/>
          <w:color w:val="auto"/>
          <w:szCs w:val="21"/>
        </w:rPr>
        <w:t>。存在质量保证期的，货物最终交付验收合格后在</w:t>
      </w:r>
      <w:r>
        <w:rPr>
          <w:rFonts w:hint="eastAsia" w:ascii="宋体" w:hAnsi="宋体"/>
          <w:b/>
          <w:color w:val="auto"/>
          <w:szCs w:val="21"/>
        </w:rPr>
        <w:t>【政府采购合同专用条款】</w:t>
      </w:r>
      <w:r>
        <w:rPr>
          <w:rFonts w:hint="eastAsia" w:ascii="宋体" w:hAnsi="宋体"/>
          <w:color w:val="auto"/>
          <w:szCs w:val="21"/>
        </w:rPr>
        <w:t>规定或乙方书面承诺（两者以较长的为准）的质量保证期内，本保证保持有效。</w:t>
      </w:r>
    </w:p>
    <w:p w14:paraId="2702AB78">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（2）在质量保证期内所发现的缺陷，甲方应尽快以书面形式通知乙方。</w:t>
      </w:r>
    </w:p>
    <w:p w14:paraId="7229F04E">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（3）乙方收到通知后，应在</w:t>
      </w:r>
      <w:r>
        <w:rPr>
          <w:rFonts w:hint="eastAsia" w:ascii="宋体" w:hAnsi="宋体"/>
          <w:b/>
          <w:color w:val="auto"/>
          <w:szCs w:val="21"/>
        </w:rPr>
        <w:t>【政府采购合同专用条款】</w:t>
      </w:r>
      <w:r>
        <w:rPr>
          <w:rFonts w:hint="eastAsia" w:ascii="宋体" w:hAnsi="宋体"/>
          <w:color w:val="auto"/>
          <w:szCs w:val="21"/>
        </w:rPr>
        <w:t>规定的响应时间内以合理的速度免费维修或更换有缺陷的货物或部件。</w:t>
      </w:r>
    </w:p>
    <w:p w14:paraId="74B4A6DF">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20595A82">
      <w:pPr>
        <w:adjustRightInd w:val="0"/>
        <w:snapToGrid w:val="0"/>
        <w:ind w:firstLine="420"/>
        <w:jc w:val="left"/>
        <w:rPr>
          <w:color w:val="auto"/>
        </w:rPr>
      </w:pPr>
      <w:r>
        <w:rPr>
          <w:rFonts w:hint="eastAsia" w:ascii="宋体" w:hAnsi="宋体"/>
          <w:color w:val="auto"/>
          <w:szCs w:val="21"/>
        </w:rPr>
        <w:t>（5）乙方在约定的时间内未能弥补缺陷，甲方可采取必要的补救措施，但其风险和费用将由乙方承担，甲方根据合同约定对乙方行使的其他权利不受影响。</w:t>
      </w:r>
    </w:p>
    <w:p w14:paraId="692C6387">
      <w:pPr>
        <w:adjustRightInd w:val="0"/>
        <w:snapToGrid w:val="0"/>
        <w:ind w:firstLine="482"/>
        <w:jc w:val="left"/>
        <w:rPr>
          <w:rFonts w:ascii="宋体" w:hAnsi="宋体"/>
          <w:b/>
          <w:bCs/>
          <w:color w:val="auto"/>
          <w:sz w:val="24"/>
        </w:rPr>
      </w:pPr>
      <w:r>
        <w:rPr>
          <w:rFonts w:hint="eastAsia" w:ascii="宋体" w:hAnsi="宋体"/>
          <w:b/>
          <w:bCs/>
          <w:color w:val="auto"/>
          <w:sz w:val="24"/>
        </w:rPr>
        <w:t>9. 权利瑕疵担保</w:t>
      </w:r>
    </w:p>
    <w:p w14:paraId="1CF59F57">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9.1 乙方保证对其出售的货物享有合法的权利。</w:t>
      </w:r>
    </w:p>
    <w:p w14:paraId="6BEB14BE">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 xml:space="preserve">9.2 </w:t>
      </w:r>
      <w:r>
        <w:rPr>
          <w:rFonts w:hint="eastAsia" w:ascii="宋体" w:hAnsi="宋体" w:cs="宋体"/>
          <w:color w:val="auto"/>
          <w:szCs w:val="15"/>
        </w:rPr>
        <w:t>乙方保证在交付的货物上不存在抵押权等担保物权。</w:t>
      </w:r>
    </w:p>
    <w:p w14:paraId="56DF64CA">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9.3 如甲方使用上述货物构成对第三人侵权的，则由乙方承担全部责任。</w:t>
      </w:r>
    </w:p>
    <w:p w14:paraId="6AC12F9E">
      <w:pPr>
        <w:autoSpaceDE w:val="0"/>
        <w:autoSpaceDN w:val="0"/>
        <w:adjustRightInd w:val="0"/>
        <w:snapToGrid w:val="0"/>
        <w:ind w:firstLine="482"/>
        <w:jc w:val="left"/>
        <w:rPr>
          <w:rFonts w:ascii="宋体" w:hAnsi="宋体"/>
          <w:b/>
          <w:bCs/>
          <w:color w:val="auto"/>
          <w:sz w:val="24"/>
        </w:rPr>
      </w:pPr>
      <w:r>
        <w:rPr>
          <w:rFonts w:hint="eastAsia" w:ascii="宋体" w:hAnsi="宋体"/>
          <w:b/>
          <w:bCs/>
          <w:color w:val="auto"/>
          <w:sz w:val="24"/>
        </w:rPr>
        <w:t>10. 知识产权保护</w:t>
      </w:r>
    </w:p>
    <w:p w14:paraId="1E295E94">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10.1 乙方对其所销售的货物应当享有知识产权或经权利人合法授权，保证没有侵犯任何第三人的知识产权等权利。</w:t>
      </w:r>
      <w:bookmarkStart w:id="117" w:name="_Hlk163047038"/>
      <w:r>
        <w:rPr>
          <w:rFonts w:hint="eastAsia" w:ascii="宋体" w:hAnsi="宋体" w:cs="宋体"/>
          <w:color w:val="auto"/>
          <w:szCs w:val="15"/>
        </w:rPr>
        <w:t>因违反前述约定对第三人构成侵权的，应当由乙方向第三人承担法律责任；甲方依法向第三人赔偿后，有权向乙方追偿。甲方有其他损失的，乙方应当赔偿</w:t>
      </w:r>
      <w:bookmarkEnd w:id="117"/>
      <w:r>
        <w:rPr>
          <w:rFonts w:hint="eastAsia" w:ascii="宋体" w:hAnsi="宋体"/>
          <w:color w:val="auto"/>
          <w:szCs w:val="21"/>
        </w:rPr>
        <w:t>。</w:t>
      </w:r>
    </w:p>
    <w:p w14:paraId="1DCCB81D">
      <w:pPr>
        <w:autoSpaceDE w:val="0"/>
        <w:autoSpaceDN w:val="0"/>
        <w:adjustRightInd w:val="0"/>
        <w:snapToGrid w:val="0"/>
        <w:ind w:firstLine="482"/>
        <w:jc w:val="left"/>
        <w:rPr>
          <w:rFonts w:ascii="宋体" w:hAnsi="宋体"/>
          <w:b/>
          <w:bCs/>
          <w:color w:val="auto"/>
          <w:sz w:val="24"/>
        </w:rPr>
      </w:pPr>
      <w:r>
        <w:rPr>
          <w:rFonts w:hint="eastAsia" w:ascii="宋体" w:hAnsi="宋体"/>
          <w:b/>
          <w:bCs/>
          <w:color w:val="auto"/>
          <w:sz w:val="24"/>
        </w:rPr>
        <w:t>11. 保密义务</w:t>
      </w:r>
    </w:p>
    <w:p w14:paraId="607B33FB">
      <w:pPr>
        <w:autoSpaceDE w:val="0"/>
        <w:autoSpaceDN w:val="0"/>
        <w:adjustRightInd w:val="0"/>
        <w:snapToGrid w:val="0"/>
        <w:ind w:firstLine="420"/>
        <w:jc w:val="left"/>
        <w:rPr>
          <w:rFonts w:ascii="宋体" w:hAnsi="宋体" w:cs="宋体"/>
          <w:color w:val="auto"/>
          <w:szCs w:val="15"/>
        </w:rPr>
      </w:pPr>
      <w:r>
        <w:rPr>
          <w:rFonts w:hint="eastAsia" w:ascii="宋体" w:hAnsi="宋体" w:cs="宋体"/>
          <w:color w:val="auto"/>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rPr>
        <w:t>【政府采购合同专用条款】</w:t>
      </w:r>
      <w:r>
        <w:rPr>
          <w:rFonts w:hint="eastAsia" w:ascii="宋体" w:hAnsi="宋体" w:cs="宋体"/>
          <w:color w:val="auto"/>
          <w:szCs w:val="15"/>
        </w:rPr>
        <w:t>中约定。</w:t>
      </w:r>
    </w:p>
    <w:p w14:paraId="264ED6D5">
      <w:pPr>
        <w:autoSpaceDE w:val="0"/>
        <w:autoSpaceDN w:val="0"/>
        <w:adjustRightInd w:val="0"/>
        <w:snapToGrid w:val="0"/>
        <w:ind w:firstLine="482"/>
        <w:jc w:val="left"/>
        <w:rPr>
          <w:rFonts w:ascii="宋体" w:hAnsi="宋体"/>
          <w:b/>
          <w:bCs/>
          <w:color w:val="auto"/>
          <w:sz w:val="24"/>
        </w:rPr>
      </w:pPr>
      <w:r>
        <w:rPr>
          <w:rFonts w:hint="eastAsia" w:ascii="宋体" w:hAnsi="宋体"/>
          <w:b/>
          <w:bCs/>
          <w:color w:val="auto"/>
          <w:sz w:val="24"/>
        </w:rPr>
        <w:t>12. 合同价款支付</w:t>
      </w:r>
    </w:p>
    <w:p w14:paraId="24019E5A">
      <w:pPr>
        <w:adjustRightInd w:val="0"/>
        <w:snapToGrid w:val="0"/>
        <w:ind w:firstLine="420"/>
        <w:jc w:val="left"/>
        <w:rPr>
          <w:rFonts w:ascii="宋体" w:hAnsi="宋体"/>
          <w:color w:val="auto"/>
          <w:szCs w:val="21"/>
        </w:rPr>
      </w:pPr>
      <w:r>
        <w:rPr>
          <w:rFonts w:hint="eastAsia" w:ascii="宋体" w:hAnsi="宋体"/>
          <w:color w:val="auto"/>
          <w:szCs w:val="21"/>
        </w:rPr>
        <w:t>12.1 合同价款支付按照国库集中支付制度及财政管理相关规定执行。</w:t>
      </w:r>
    </w:p>
    <w:p w14:paraId="426388E0">
      <w:pPr>
        <w:pStyle w:val="5"/>
        <w:ind w:firstLine="420"/>
        <w:rPr>
          <w:rFonts w:eastAsia="宋体"/>
          <w:color w:val="auto"/>
        </w:rPr>
      </w:pPr>
      <w:r>
        <w:rPr>
          <w:rFonts w:hint="eastAsia" w:ascii="宋体" w:hAnsi="宋体"/>
          <w:b w:val="0"/>
          <w:bCs w:val="0"/>
          <w:color w:val="auto"/>
          <w:sz w:val="21"/>
          <w:szCs w:val="21"/>
        </w:rPr>
        <w:t xml:space="preserve">12.2 </w:t>
      </w:r>
      <w:r>
        <w:rPr>
          <w:rFonts w:hint="eastAsia" w:ascii="宋体" w:hAnsi="宋体" w:eastAsia="宋体"/>
          <w:b w:val="0"/>
          <w:bCs w:val="0"/>
          <w:color w:val="auto"/>
          <w:sz w:val="21"/>
          <w:szCs w:val="21"/>
        </w:rPr>
        <w:t>对于满足合同约定支付条件的，甲方原则上应当自收到发票后10个工作日内将资金支付到合同约定的</w:t>
      </w:r>
      <w:r>
        <w:rPr>
          <w:rFonts w:hint="eastAsia" w:ascii="宋体" w:hAnsi="宋体"/>
          <w:b w:val="0"/>
          <w:bCs w:val="0"/>
          <w:color w:val="auto"/>
          <w:sz w:val="21"/>
          <w:szCs w:val="21"/>
        </w:rPr>
        <w:t>乙方</w:t>
      </w:r>
      <w:r>
        <w:rPr>
          <w:rFonts w:hint="eastAsia" w:ascii="宋体" w:hAnsi="宋体" w:eastAsia="宋体"/>
          <w:b w:val="0"/>
          <w:bCs w:val="0"/>
          <w:color w:val="auto"/>
          <w:sz w:val="21"/>
          <w:szCs w:val="21"/>
        </w:rPr>
        <w:t>账户，不得以机构变动、人员更替、政策调整等为由迟延付款，不得将采购文件和合同中未规定的义务作为向乙方付款的条件。具体合同价款支付时间在【</w:t>
      </w:r>
      <w:r>
        <w:rPr>
          <w:rFonts w:hint="eastAsia" w:ascii="宋体" w:hAnsi="宋体" w:eastAsia="宋体"/>
          <w:color w:val="auto"/>
          <w:sz w:val="21"/>
          <w:szCs w:val="21"/>
        </w:rPr>
        <w:t>政府采购合同专用条款</w:t>
      </w:r>
      <w:r>
        <w:rPr>
          <w:rFonts w:hint="eastAsia" w:ascii="宋体" w:hAnsi="宋体" w:eastAsia="宋体"/>
          <w:b w:val="0"/>
          <w:bCs w:val="0"/>
          <w:color w:val="auto"/>
          <w:sz w:val="21"/>
          <w:szCs w:val="21"/>
        </w:rPr>
        <w:t>】中</w:t>
      </w:r>
      <w:r>
        <w:rPr>
          <w:rFonts w:hint="eastAsia" w:ascii="宋体" w:hAnsi="宋体"/>
          <w:b w:val="0"/>
          <w:bCs w:val="0"/>
          <w:color w:val="auto"/>
          <w:sz w:val="21"/>
          <w:szCs w:val="21"/>
        </w:rPr>
        <w:t>约</w:t>
      </w:r>
      <w:r>
        <w:rPr>
          <w:rFonts w:hint="eastAsia" w:ascii="宋体" w:hAnsi="宋体" w:eastAsia="宋体"/>
          <w:b w:val="0"/>
          <w:bCs w:val="0"/>
          <w:color w:val="auto"/>
          <w:sz w:val="21"/>
          <w:szCs w:val="21"/>
        </w:rPr>
        <w:t>定。</w:t>
      </w:r>
    </w:p>
    <w:p w14:paraId="0DCE0AE3">
      <w:pPr>
        <w:pStyle w:val="2"/>
        <w:spacing w:line="400" w:lineRule="exact"/>
        <w:ind w:firstLine="482"/>
        <w:rPr>
          <w:rFonts w:ascii="宋体" w:hAnsi="宋体"/>
          <w:b/>
          <w:bCs/>
          <w:color w:val="auto"/>
        </w:rPr>
      </w:pPr>
      <w:r>
        <w:rPr>
          <w:rFonts w:hint="eastAsia" w:ascii="宋体" w:hAnsi="宋体"/>
          <w:b/>
          <w:bCs/>
          <w:color w:val="auto"/>
        </w:rPr>
        <w:t>13. 履约保证金</w:t>
      </w:r>
    </w:p>
    <w:p w14:paraId="142348EE">
      <w:pPr>
        <w:adjustRightInd w:val="0"/>
        <w:snapToGrid w:val="0"/>
        <w:ind w:firstLine="420"/>
        <w:jc w:val="left"/>
        <w:rPr>
          <w:rFonts w:ascii="宋体" w:hAnsi="宋体"/>
          <w:color w:val="auto"/>
          <w:szCs w:val="21"/>
        </w:rPr>
      </w:pPr>
      <w:r>
        <w:rPr>
          <w:rFonts w:hint="eastAsia" w:ascii="宋体" w:hAnsi="宋体"/>
          <w:color w:val="auto"/>
          <w:szCs w:val="21"/>
        </w:rPr>
        <w:t xml:space="preserve">13.1 </w:t>
      </w:r>
      <w:r>
        <w:rPr>
          <w:rFonts w:hint="eastAsia" w:ascii="宋体" w:hAnsi="宋体" w:cs="宋体"/>
          <w:color w:val="auto"/>
          <w:szCs w:val="15"/>
        </w:rPr>
        <w:t>乙方应当以支票、汇票、本票或者金融机构、担保机构出具的保函等非现金形式提交。</w:t>
      </w:r>
    </w:p>
    <w:p w14:paraId="7AA6BECF">
      <w:pPr>
        <w:adjustRightInd w:val="0"/>
        <w:snapToGrid w:val="0"/>
        <w:ind w:firstLine="420"/>
        <w:jc w:val="left"/>
        <w:rPr>
          <w:rFonts w:ascii="宋体" w:hAnsi="宋体"/>
          <w:color w:val="auto"/>
          <w:szCs w:val="21"/>
        </w:rPr>
      </w:pPr>
      <w:r>
        <w:rPr>
          <w:rFonts w:hint="eastAsia" w:ascii="宋体" w:hAnsi="宋体"/>
          <w:color w:val="auto"/>
          <w:szCs w:val="21"/>
        </w:rPr>
        <w:t>13.2 如果乙方出现</w:t>
      </w:r>
      <w:r>
        <w:rPr>
          <w:rFonts w:hint="eastAsia" w:ascii="宋体" w:hAnsi="宋体" w:cs="宋体"/>
          <w:b/>
          <w:bCs/>
          <w:color w:val="auto"/>
          <w:szCs w:val="15"/>
        </w:rPr>
        <w:t>【政府采购合同专用条款】</w:t>
      </w:r>
      <w:r>
        <w:rPr>
          <w:rFonts w:hint="eastAsia" w:ascii="宋体" w:hAnsi="宋体" w:cs="宋体"/>
          <w:color w:val="auto"/>
          <w:szCs w:val="15"/>
        </w:rPr>
        <w:t>约定情形的</w:t>
      </w:r>
      <w:r>
        <w:rPr>
          <w:rFonts w:hint="eastAsia" w:ascii="宋体" w:hAnsi="宋体"/>
          <w:color w:val="auto"/>
          <w:szCs w:val="21"/>
        </w:rPr>
        <w:t>，履约保证金不予退还；如果乙方未能按合同约定全面履行义务，甲方有权从履约保证金中取得补偿或赔偿，且不影响甲方要求乙方承担合同约定的超过履约保证金的违约责任的权利。</w:t>
      </w:r>
    </w:p>
    <w:p w14:paraId="60DCCBAC">
      <w:pPr>
        <w:ind w:firstLine="420"/>
        <w:rPr>
          <w:color w:val="auto"/>
        </w:rPr>
      </w:pPr>
      <w:r>
        <w:rPr>
          <w:rFonts w:hint="eastAsia" w:ascii="宋体" w:hAnsi="宋体"/>
          <w:color w:val="auto"/>
          <w:szCs w:val="21"/>
        </w:rPr>
        <w:t>13.3 甲方在项目通过验收后按照</w:t>
      </w:r>
      <w:r>
        <w:rPr>
          <w:rFonts w:hint="eastAsia" w:ascii="宋体" w:hAnsi="宋体"/>
          <w:b/>
          <w:color w:val="auto"/>
          <w:szCs w:val="21"/>
        </w:rPr>
        <w:t>【政府采购合同专用条款】</w:t>
      </w:r>
      <w:r>
        <w:rPr>
          <w:rFonts w:hint="eastAsia" w:ascii="宋体" w:hAnsi="宋体"/>
          <w:color w:val="auto"/>
          <w:szCs w:val="21"/>
        </w:rPr>
        <w:t>规定的时间内将履约保证金退还乙方；逾期退还的，乙方可要求甲方支付违约金，违约金按照</w:t>
      </w:r>
      <w:r>
        <w:rPr>
          <w:rFonts w:hint="eastAsia" w:ascii="宋体" w:hAnsi="宋体"/>
          <w:b/>
          <w:color w:val="auto"/>
          <w:szCs w:val="21"/>
        </w:rPr>
        <w:t>【政府采购合同专用条款】</w:t>
      </w:r>
      <w:r>
        <w:rPr>
          <w:rFonts w:hint="eastAsia" w:ascii="宋体" w:hAnsi="宋体"/>
          <w:color w:val="auto"/>
          <w:szCs w:val="21"/>
        </w:rPr>
        <w:t>规定支付。</w:t>
      </w:r>
    </w:p>
    <w:p w14:paraId="20ED7F03">
      <w:pPr>
        <w:autoSpaceDE w:val="0"/>
        <w:autoSpaceDN w:val="0"/>
        <w:adjustRightInd w:val="0"/>
        <w:snapToGrid w:val="0"/>
        <w:ind w:firstLine="482"/>
        <w:jc w:val="left"/>
        <w:rPr>
          <w:rFonts w:ascii="宋体" w:hAnsi="宋体"/>
          <w:b/>
          <w:color w:val="auto"/>
          <w:sz w:val="24"/>
        </w:rPr>
      </w:pPr>
      <w:r>
        <w:rPr>
          <w:rFonts w:hint="eastAsia" w:ascii="宋体" w:hAnsi="宋体"/>
          <w:b/>
          <w:bCs/>
          <w:color w:val="auto"/>
          <w:sz w:val="24"/>
        </w:rPr>
        <w:t xml:space="preserve">14. </w:t>
      </w:r>
      <w:r>
        <w:rPr>
          <w:rFonts w:hint="eastAsia"/>
          <w:b/>
          <w:color w:val="auto"/>
          <w:sz w:val="24"/>
        </w:rPr>
        <w:t>售后</w:t>
      </w:r>
      <w:r>
        <w:rPr>
          <w:rFonts w:hint="eastAsia" w:ascii="宋体" w:hAnsi="宋体"/>
          <w:b/>
          <w:color w:val="auto"/>
          <w:sz w:val="24"/>
        </w:rPr>
        <w:t>服务</w:t>
      </w:r>
    </w:p>
    <w:p w14:paraId="538ACEFA">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14.1 除项目不涉及或采购活动中明确约定无须承担外，乙方还应提供下列服务：</w:t>
      </w:r>
    </w:p>
    <w:p w14:paraId="07C12E92">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（1）货物的现场移动、安装、调试、启动监督及技术支持；</w:t>
      </w:r>
    </w:p>
    <w:p w14:paraId="4110B3DB">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（2）提供货物组装和维修所需的专用工具和辅助材料；</w:t>
      </w:r>
    </w:p>
    <w:p w14:paraId="0E2A3F21">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（3）在</w:t>
      </w:r>
      <w:r>
        <w:rPr>
          <w:rFonts w:hint="eastAsia" w:ascii="宋体" w:hAnsi="宋体" w:cs="宋体"/>
          <w:b/>
          <w:bCs/>
          <w:color w:val="auto"/>
          <w:szCs w:val="15"/>
        </w:rPr>
        <w:t>【政府采购合同专用条款】</w:t>
      </w:r>
      <w:r>
        <w:rPr>
          <w:rFonts w:hint="eastAsia" w:ascii="宋体" w:hAnsi="宋体"/>
          <w:color w:val="auto"/>
          <w:szCs w:val="21"/>
        </w:rPr>
        <w:t>约定的期限内对所有的货物实施运行监督、维修，但前提条件是该服务并不能免除乙方在质量保证期内所承担的义务；</w:t>
      </w:r>
    </w:p>
    <w:p w14:paraId="334DFA02">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（4）在制造商所在地或指定现场就货物的安装、启动、运营、维护、废弃处置等对甲方操作人员进行培训</w:t>
      </w:r>
      <w:r>
        <w:rPr>
          <w:rFonts w:hint="eastAsia" w:ascii="宋体" w:hAnsi="宋体" w:cs="宋体"/>
          <w:color w:val="auto"/>
          <w:szCs w:val="15"/>
        </w:rPr>
        <w:t>；</w:t>
      </w:r>
    </w:p>
    <w:p w14:paraId="66276E77">
      <w:pPr>
        <w:pStyle w:val="145"/>
        <w:ind w:firstLine="420"/>
        <w:rPr>
          <w:rFonts w:ascii="宋体" w:hAnsi="宋体" w:eastAsia="宋体" w:cs="宋体"/>
          <w:color w:val="auto"/>
          <w:sz w:val="21"/>
        </w:rPr>
      </w:pPr>
      <w:r>
        <w:rPr>
          <w:rFonts w:hint="eastAsia" w:ascii="宋体" w:hAnsi="宋体" w:eastAsia="宋体" w:cs="宋体"/>
          <w:color w:val="auto"/>
          <w:sz w:val="21"/>
        </w:rPr>
        <w:t>（5）依照法律、行政法规的规定或者按照</w:t>
      </w:r>
      <w:r>
        <w:rPr>
          <w:rFonts w:hint="eastAsia" w:ascii="宋体" w:hAnsi="宋体" w:eastAsia="宋体" w:cs="宋体"/>
          <w:b/>
          <w:bCs/>
          <w:color w:val="auto"/>
          <w:sz w:val="21"/>
        </w:rPr>
        <w:t>【政府采购合同专用条款】</w:t>
      </w:r>
      <w:r>
        <w:rPr>
          <w:rFonts w:hint="eastAsia" w:ascii="宋体" w:hAnsi="宋体" w:eastAsia="宋体" w:cs="宋体"/>
          <w:color w:val="auto"/>
          <w:sz w:val="21"/>
        </w:rPr>
        <w:t>约定，货物在有效使用年限届满后应予回收的，乙方负有自行或者委托第三人对货物予以回收的义务；</w:t>
      </w:r>
    </w:p>
    <w:p w14:paraId="54A84804">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（6）</w:t>
      </w:r>
      <w:r>
        <w:rPr>
          <w:rFonts w:hint="eastAsia" w:ascii="宋体" w:hAnsi="宋体"/>
          <w:b/>
          <w:color w:val="auto"/>
          <w:szCs w:val="21"/>
        </w:rPr>
        <w:t>【政府采购合同专用条款】</w:t>
      </w:r>
      <w:r>
        <w:rPr>
          <w:rFonts w:hint="eastAsia" w:ascii="宋体" w:hAnsi="宋体"/>
          <w:color w:val="auto"/>
          <w:szCs w:val="21"/>
        </w:rPr>
        <w:t>规定由乙方提供的其他服务。</w:t>
      </w:r>
    </w:p>
    <w:p w14:paraId="7DBF33D3">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14.2 乙方提供的售后服务的费用已包含在合同价款中，甲方不再另行支付。</w:t>
      </w:r>
    </w:p>
    <w:p w14:paraId="5D7E833F">
      <w:pPr>
        <w:adjustRightInd w:val="0"/>
        <w:snapToGrid w:val="0"/>
        <w:ind w:firstLine="482"/>
        <w:jc w:val="left"/>
        <w:rPr>
          <w:rFonts w:ascii="宋体" w:hAnsi="宋体"/>
          <w:b/>
          <w:bCs/>
          <w:color w:val="auto"/>
          <w:sz w:val="24"/>
        </w:rPr>
      </w:pPr>
      <w:r>
        <w:rPr>
          <w:rFonts w:hint="eastAsia" w:ascii="宋体" w:hAnsi="宋体"/>
          <w:b/>
          <w:bCs/>
          <w:color w:val="auto"/>
          <w:sz w:val="24"/>
        </w:rPr>
        <w:t>15. 违约责任</w:t>
      </w:r>
    </w:p>
    <w:p w14:paraId="45697DA2">
      <w:pPr>
        <w:adjustRightInd w:val="0"/>
        <w:snapToGrid w:val="0"/>
        <w:ind w:firstLine="420"/>
        <w:jc w:val="left"/>
        <w:rPr>
          <w:rFonts w:ascii="宋体" w:hAnsi="宋体"/>
          <w:bCs/>
          <w:color w:val="auto"/>
          <w:szCs w:val="21"/>
        </w:rPr>
      </w:pPr>
      <w:r>
        <w:rPr>
          <w:rFonts w:hint="eastAsia" w:ascii="宋体" w:hAnsi="宋体"/>
          <w:bCs/>
          <w:color w:val="auto"/>
          <w:szCs w:val="21"/>
        </w:rPr>
        <w:t>15.1质量瑕疵的违约责任</w:t>
      </w:r>
    </w:p>
    <w:p w14:paraId="002C0CD5">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乙方提供的产品不符合合同约定的质量标准或存在产品质量缺陷，甲方有权要求乙方根据</w:t>
      </w:r>
      <w:r>
        <w:rPr>
          <w:rFonts w:hint="eastAsia" w:ascii="宋体" w:hAnsi="宋体"/>
          <w:b/>
          <w:color w:val="auto"/>
          <w:szCs w:val="21"/>
        </w:rPr>
        <w:t>【政府采购合同专用条款】</w:t>
      </w:r>
      <w:r>
        <w:rPr>
          <w:rFonts w:hint="eastAsia" w:ascii="宋体" w:hAnsi="宋体"/>
          <w:bCs/>
          <w:color w:val="auto"/>
          <w:szCs w:val="21"/>
        </w:rPr>
        <w:t>要求</w:t>
      </w:r>
      <w:r>
        <w:rPr>
          <w:rFonts w:hint="eastAsia" w:ascii="宋体" w:hAnsi="宋体"/>
          <w:color w:val="auto"/>
          <w:szCs w:val="21"/>
        </w:rPr>
        <w:t>及时修理、重作、更换，并承担由此给甲方造成的损失。</w:t>
      </w:r>
    </w:p>
    <w:p w14:paraId="6A85F016">
      <w:pPr>
        <w:autoSpaceDE w:val="0"/>
        <w:autoSpaceDN w:val="0"/>
        <w:adjustRightInd w:val="0"/>
        <w:snapToGrid w:val="0"/>
        <w:ind w:firstLine="420"/>
        <w:jc w:val="left"/>
        <w:rPr>
          <w:rFonts w:ascii="宋体" w:hAnsi="宋体"/>
          <w:bCs/>
          <w:color w:val="auto"/>
          <w:szCs w:val="21"/>
        </w:rPr>
      </w:pPr>
      <w:r>
        <w:rPr>
          <w:rFonts w:hint="eastAsia" w:ascii="宋体" w:hAnsi="宋体"/>
          <w:bCs/>
          <w:color w:val="auto"/>
          <w:szCs w:val="21"/>
        </w:rPr>
        <w:t>15.2 迟延交货的违约责任</w:t>
      </w:r>
    </w:p>
    <w:p w14:paraId="62E83750">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541FBC9">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（2）如果乙方没有按照合同规定的时间交货和提供相关服务，甲方有权从货款中扣除误期赔偿费而不影响合同项下的其他补救方法，赔偿费按</w:t>
      </w:r>
      <w:r>
        <w:rPr>
          <w:rFonts w:hint="eastAsia" w:ascii="宋体" w:hAnsi="宋体"/>
          <w:b/>
          <w:color w:val="auto"/>
          <w:szCs w:val="21"/>
        </w:rPr>
        <w:t>【政府采购合同专用条款】</w:t>
      </w:r>
      <w:r>
        <w:rPr>
          <w:rFonts w:hint="eastAsia" w:ascii="宋体" w:hAnsi="宋体"/>
          <w:color w:val="auto"/>
          <w:szCs w:val="21"/>
        </w:rPr>
        <w:t>规定执行。如果涉及公共利益，且赔偿金额无法弥补公共利益损失，甲方可要求继续履行或者采取其他补救措施。</w:t>
      </w:r>
    </w:p>
    <w:p w14:paraId="1062D7CE">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15.3 迟延支付的违约责任</w:t>
      </w:r>
    </w:p>
    <w:p w14:paraId="58C76771">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甲方存在迟延支付乙方合同款项的，应当承担</w:t>
      </w:r>
      <w:r>
        <w:rPr>
          <w:rFonts w:hint="eastAsia" w:ascii="宋体" w:hAnsi="宋体"/>
          <w:b/>
          <w:bCs/>
          <w:color w:val="auto"/>
          <w:szCs w:val="21"/>
        </w:rPr>
        <w:t>【政府采购合同专用条款】</w:t>
      </w:r>
      <w:r>
        <w:rPr>
          <w:rFonts w:hint="eastAsia" w:ascii="宋体" w:hAnsi="宋体"/>
          <w:color w:val="auto"/>
          <w:szCs w:val="21"/>
        </w:rPr>
        <w:t>规定的逾期付款利息。</w:t>
      </w:r>
    </w:p>
    <w:p w14:paraId="1882F53C">
      <w:pPr>
        <w:adjustRightInd w:val="0"/>
        <w:snapToGrid w:val="0"/>
        <w:ind w:firstLine="420"/>
        <w:jc w:val="left"/>
        <w:rPr>
          <w:rFonts w:ascii="宋体" w:hAnsi="宋体"/>
          <w:color w:val="auto"/>
          <w:szCs w:val="21"/>
        </w:rPr>
      </w:pPr>
      <w:r>
        <w:rPr>
          <w:rFonts w:hint="eastAsia" w:ascii="宋体" w:hAnsi="宋体"/>
          <w:bCs/>
          <w:color w:val="auto"/>
          <w:szCs w:val="21"/>
        </w:rPr>
        <w:t>15.4其他违约责任根据项目实际需要按</w:t>
      </w:r>
      <w:r>
        <w:rPr>
          <w:rFonts w:hint="eastAsia" w:ascii="宋体" w:hAnsi="宋体"/>
          <w:b/>
          <w:bCs/>
          <w:color w:val="auto"/>
          <w:szCs w:val="21"/>
        </w:rPr>
        <w:t>【政府采购合同专用条款】</w:t>
      </w:r>
      <w:r>
        <w:rPr>
          <w:rFonts w:hint="eastAsia" w:ascii="宋体" w:hAnsi="宋体"/>
          <w:color w:val="auto"/>
          <w:szCs w:val="21"/>
        </w:rPr>
        <w:t>规定执行。</w:t>
      </w:r>
    </w:p>
    <w:p w14:paraId="47E7155D">
      <w:pPr>
        <w:numPr>
          <w:ilvl w:val="0"/>
          <w:numId w:val="11"/>
        </w:numPr>
        <w:autoSpaceDE w:val="0"/>
        <w:autoSpaceDN w:val="0"/>
        <w:adjustRightInd w:val="0"/>
        <w:snapToGrid w:val="0"/>
        <w:ind w:firstLine="482"/>
        <w:jc w:val="left"/>
        <w:rPr>
          <w:rFonts w:ascii="宋体" w:hAnsi="宋体"/>
          <w:b/>
          <w:color w:val="auto"/>
          <w:sz w:val="24"/>
        </w:rPr>
      </w:pPr>
      <w:r>
        <w:rPr>
          <w:rFonts w:hint="eastAsia" w:ascii="宋体" w:hAnsi="宋体"/>
          <w:b/>
          <w:color w:val="auto"/>
          <w:sz w:val="24"/>
        </w:rPr>
        <w:t>合同变更、中止与终止</w:t>
      </w:r>
    </w:p>
    <w:p w14:paraId="1643A93E">
      <w:pPr>
        <w:adjustRightInd w:val="0"/>
        <w:snapToGrid w:val="0"/>
        <w:ind w:firstLine="420"/>
        <w:jc w:val="left"/>
        <w:rPr>
          <w:rFonts w:ascii="宋体" w:hAnsi="宋体"/>
          <w:color w:val="auto"/>
          <w:szCs w:val="21"/>
        </w:rPr>
      </w:pPr>
      <w:r>
        <w:rPr>
          <w:rFonts w:hint="eastAsia" w:ascii="宋体" w:hAnsi="宋体"/>
          <w:color w:val="auto"/>
          <w:szCs w:val="21"/>
        </w:rPr>
        <w:t xml:space="preserve">    16.1合同的变更</w:t>
      </w:r>
    </w:p>
    <w:p w14:paraId="79FB4B32">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政府采购合同履行中，在不改变合同其他条款的前提下，甲方可以在合同价款10%的范围内追加与合同标的相同的货物，并就此与乙方协商一致后签订补充协议。</w:t>
      </w:r>
    </w:p>
    <w:p w14:paraId="6B4F2E46">
      <w:pPr>
        <w:adjustRightInd w:val="0"/>
        <w:snapToGrid w:val="0"/>
        <w:ind w:firstLine="420"/>
        <w:jc w:val="left"/>
        <w:rPr>
          <w:rFonts w:ascii="宋体" w:hAnsi="宋体"/>
          <w:color w:val="auto"/>
          <w:szCs w:val="21"/>
        </w:rPr>
      </w:pPr>
      <w:r>
        <w:rPr>
          <w:rFonts w:hint="eastAsia" w:ascii="宋体" w:hAnsi="宋体"/>
          <w:color w:val="auto"/>
          <w:szCs w:val="21"/>
        </w:rPr>
        <w:t>16.2合同的中止</w:t>
      </w:r>
    </w:p>
    <w:p w14:paraId="570B80D2">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（1）合同履行过程中因供应商就采购文件、采购过程或结果提起投诉的，甲方认为有必要的，可以中止合同的履行。</w:t>
      </w:r>
    </w:p>
    <w:p w14:paraId="12E231F1">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6247A5F">
      <w:pPr>
        <w:pStyle w:val="145"/>
        <w:ind w:firstLine="420"/>
        <w:jc w:val="both"/>
        <w:rPr>
          <w:color w:val="auto"/>
          <w:sz w:val="21"/>
        </w:rPr>
      </w:pPr>
      <w:r>
        <w:rPr>
          <w:rFonts w:hint="eastAsia" w:ascii="宋体" w:hAnsi="宋体" w:eastAsia="宋体" w:cs="宋体"/>
          <w:color w:val="auto"/>
          <w:sz w:val="21"/>
        </w:rPr>
        <w:t>（3）乙方分立、合并或者变更住所的，应当及时以书面形式告知甲方。乙方没有及时告知甲方，致使合同履行发生困难的，甲方可以中止合同履行并要求乙方承担由此给甲方造成的损失。</w:t>
      </w:r>
    </w:p>
    <w:p w14:paraId="782B8DB2">
      <w:pPr>
        <w:snapToGrid w:val="0"/>
        <w:ind w:firstLine="420"/>
        <w:jc w:val="left"/>
        <w:rPr>
          <w:color w:val="auto"/>
        </w:rPr>
      </w:pPr>
      <w:r>
        <w:rPr>
          <w:rFonts w:hint="eastAsia" w:ascii="宋体" w:hAnsi="宋体"/>
          <w:color w:val="auto"/>
          <w:szCs w:val="21"/>
        </w:rPr>
        <w:t>（4）甲方不得以行政区划调整、政府换届、机构或者职能调整以及相关责任人更替为由中止合同。</w:t>
      </w:r>
    </w:p>
    <w:p w14:paraId="5AE851B6">
      <w:pPr>
        <w:adjustRightInd w:val="0"/>
        <w:snapToGrid w:val="0"/>
        <w:ind w:firstLine="420"/>
        <w:jc w:val="left"/>
        <w:rPr>
          <w:rFonts w:ascii="宋体" w:hAnsi="宋体"/>
          <w:color w:val="auto"/>
          <w:szCs w:val="21"/>
        </w:rPr>
      </w:pPr>
      <w:r>
        <w:rPr>
          <w:rFonts w:hint="eastAsia" w:ascii="宋体" w:hAnsi="宋体"/>
          <w:color w:val="auto"/>
          <w:szCs w:val="21"/>
        </w:rPr>
        <w:t>16.3合同的终止</w:t>
      </w:r>
    </w:p>
    <w:p w14:paraId="412CADA4">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（1）合同因有效期限届满而终止；</w:t>
      </w:r>
    </w:p>
    <w:p w14:paraId="183BD9D2">
      <w:pPr>
        <w:snapToGrid w:val="0"/>
        <w:ind w:firstLine="420"/>
        <w:rPr>
          <w:rFonts w:ascii="宋体" w:hAnsi="宋体" w:cs="宋体"/>
          <w:color w:val="auto"/>
          <w:szCs w:val="21"/>
        </w:rPr>
      </w:pPr>
      <w:r>
        <w:rPr>
          <w:rFonts w:hint="eastAsia" w:ascii="宋体" w:hAnsi="宋体"/>
          <w:color w:val="auto"/>
          <w:szCs w:val="21"/>
        </w:rPr>
        <w:t>（2）乙方未按合同约定履行，构成根本性违约的，甲方有权终止合同，</w:t>
      </w:r>
      <w:r>
        <w:rPr>
          <w:rFonts w:hint="eastAsia" w:ascii="宋体" w:hAnsi="宋体" w:cs="宋体"/>
          <w:color w:val="auto"/>
          <w:szCs w:val="21"/>
        </w:rPr>
        <w:t>并追究乙方的违约责任</w:t>
      </w:r>
      <w:r>
        <w:rPr>
          <w:rFonts w:hint="eastAsia" w:ascii="宋体" w:hAnsi="宋体"/>
          <w:color w:val="auto"/>
          <w:szCs w:val="21"/>
        </w:rPr>
        <w:t>。</w:t>
      </w:r>
    </w:p>
    <w:p w14:paraId="21AA8C37">
      <w:pPr>
        <w:pStyle w:val="145"/>
        <w:rPr>
          <w:rFonts w:ascii="宋体" w:hAnsi="宋体"/>
          <w:color w:val="auto"/>
        </w:rPr>
      </w:pPr>
      <w:r>
        <w:rPr>
          <w:rFonts w:hint="eastAsia" w:ascii="宋体" w:hAnsi="宋体"/>
          <w:color w:val="auto"/>
        </w:rPr>
        <w:t xml:space="preserve">16.4 </w:t>
      </w:r>
      <w:r>
        <w:rPr>
          <w:rFonts w:hint="eastAsia" w:ascii="宋体" w:hAnsi="宋体" w:eastAsia="宋体" w:cs="Times New Roman"/>
          <w:color w:val="auto"/>
          <w:kern w:val="2"/>
          <w:sz w:val="21"/>
        </w:rPr>
        <w:t>涉及国家利益、社会公共利益的情形</w:t>
      </w:r>
    </w:p>
    <w:p w14:paraId="098842CE">
      <w:pPr>
        <w:pStyle w:val="145"/>
        <w:ind w:firstLine="420"/>
        <w:jc w:val="both"/>
        <w:rPr>
          <w:color w:val="auto"/>
          <w:sz w:val="21"/>
        </w:rPr>
      </w:pPr>
      <w:r>
        <w:rPr>
          <w:rFonts w:hint="eastAsia" w:ascii="宋体" w:hAnsi="宋体" w:eastAsia="宋体" w:cs="宋体"/>
          <w:color w:val="auto"/>
          <w:sz w:val="21"/>
        </w:rPr>
        <w:t>政府采购合同继续履行将损害国家利益和社会公共利益的，双方当事人应当变更、中止或者终止合同。有过错的一方应当承担赔偿责任，双方都有过错的，各自承担相应的责任。</w:t>
      </w:r>
    </w:p>
    <w:p w14:paraId="616B222F">
      <w:pPr>
        <w:autoSpaceDE w:val="0"/>
        <w:autoSpaceDN w:val="0"/>
        <w:adjustRightInd w:val="0"/>
        <w:snapToGrid w:val="0"/>
        <w:ind w:firstLine="482"/>
        <w:jc w:val="left"/>
        <w:rPr>
          <w:rFonts w:ascii="宋体" w:hAnsi="宋体"/>
          <w:b/>
          <w:bCs/>
          <w:color w:val="auto"/>
          <w:sz w:val="24"/>
        </w:rPr>
      </w:pPr>
      <w:r>
        <w:rPr>
          <w:rFonts w:hint="eastAsia" w:ascii="宋体" w:hAnsi="宋体"/>
          <w:b/>
          <w:bCs/>
          <w:color w:val="auto"/>
          <w:sz w:val="24"/>
        </w:rPr>
        <w:t>17. 合同分包</w:t>
      </w:r>
    </w:p>
    <w:p w14:paraId="28E7A6BB">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17.1 乙方不得将合同转包给其他供应商。涉及合同分包的，乙方应根据采购文件和投标（响应）文件规定进行合同分包。</w:t>
      </w:r>
    </w:p>
    <w:p w14:paraId="3E3924C2">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17.2 乙方执行政府采购政策向中小企业依法分包的，乙方应当按采购文件和投标（响应）文件签订分包意向协议，分包意向协议属于本合同组成部分。</w:t>
      </w:r>
    </w:p>
    <w:p w14:paraId="18C7A5E3">
      <w:pPr>
        <w:autoSpaceDE w:val="0"/>
        <w:autoSpaceDN w:val="0"/>
        <w:adjustRightInd w:val="0"/>
        <w:snapToGrid w:val="0"/>
        <w:ind w:firstLine="482"/>
        <w:jc w:val="left"/>
        <w:rPr>
          <w:rFonts w:ascii="宋体" w:hAnsi="宋体"/>
          <w:b/>
          <w:bCs/>
          <w:color w:val="auto"/>
          <w:sz w:val="24"/>
        </w:rPr>
      </w:pPr>
      <w:r>
        <w:rPr>
          <w:rFonts w:hint="eastAsia" w:ascii="宋体" w:hAnsi="宋体"/>
          <w:b/>
          <w:bCs/>
          <w:color w:val="auto"/>
          <w:sz w:val="24"/>
        </w:rPr>
        <w:t>18. 不可抗力</w:t>
      </w:r>
    </w:p>
    <w:p w14:paraId="608B5ECC">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18.1 不可抗力是指合同双方不能预见、不能避免且不能克服的客观情况。</w:t>
      </w:r>
    </w:p>
    <w:p w14:paraId="1233AAD9">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18.2 任何一方对由于不可抗力造成的部分或全部不能履行合同不承担违约责任。但迟延履行后发生不可抗力的，不能免除责任。</w:t>
      </w:r>
    </w:p>
    <w:p w14:paraId="50A496D1">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30B9F20">
      <w:pPr>
        <w:autoSpaceDE w:val="0"/>
        <w:autoSpaceDN w:val="0"/>
        <w:adjustRightInd w:val="0"/>
        <w:snapToGrid w:val="0"/>
        <w:ind w:firstLine="482"/>
        <w:jc w:val="left"/>
        <w:rPr>
          <w:rFonts w:ascii="宋体" w:hAnsi="宋体"/>
          <w:b/>
          <w:bCs/>
          <w:color w:val="auto"/>
          <w:sz w:val="24"/>
        </w:rPr>
      </w:pPr>
      <w:r>
        <w:rPr>
          <w:rFonts w:hint="eastAsia" w:ascii="宋体" w:hAnsi="宋体"/>
          <w:b/>
          <w:bCs/>
          <w:color w:val="auto"/>
          <w:sz w:val="24"/>
        </w:rPr>
        <w:t>19. 解决争议的方法</w:t>
      </w:r>
    </w:p>
    <w:p w14:paraId="43E9612A">
      <w:pPr>
        <w:pStyle w:val="145"/>
        <w:ind w:firstLine="420"/>
        <w:jc w:val="both"/>
        <w:rPr>
          <w:rFonts w:ascii="宋体" w:hAnsi="宋体" w:eastAsia="宋体" w:cs="宋体"/>
          <w:color w:val="auto"/>
          <w:sz w:val="21"/>
        </w:rPr>
      </w:pPr>
      <w:r>
        <w:rPr>
          <w:rFonts w:hint="eastAsia" w:ascii="宋体" w:hAnsi="宋体" w:eastAsia="宋体" w:cs="宋体"/>
          <w:color w:val="auto"/>
          <w:sz w:val="21"/>
        </w:rPr>
        <w:t>19.1 因本合同及合同有关事项发生的争议，由甲乙双方友好协商解决。协商不成时，可以向有关组织申请调解。合同一方或双方不愿调解或调解不成的，可以通过仲裁或诉讼的方式解决争议。</w:t>
      </w:r>
    </w:p>
    <w:p w14:paraId="6B4F4163">
      <w:pPr>
        <w:pStyle w:val="145"/>
        <w:ind w:firstLine="420"/>
        <w:jc w:val="both"/>
        <w:rPr>
          <w:rFonts w:ascii="宋体" w:hAnsi="宋体" w:eastAsia="宋体" w:cs="宋体"/>
          <w:color w:val="auto"/>
          <w:sz w:val="21"/>
        </w:rPr>
      </w:pPr>
      <w:r>
        <w:rPr>
          <w:rFonts w:hint="eastAsia" w:ascii="宋体" w:hAnsi="宋体" w:eastAsia="宋体" w:cs="宋体"/>
          <w:color w:val="auto"/>
          <w:sz w:val="21"/>
        </w:rPr>
        <w:t>19.2 选择仲裁的，应在</w:t>
      </w:r>
      <w:r>
        <w:rPr>
          <w:rFonts w:hint="eastAsia" w:ascii="宋体" w:hAnsi="宋体" w:eastAsia="宋体" w:cs="宋体"/>
          <w:b/>
          <w:bCs/>
          <w:color w:val="auto"/>
          <w:sz w:val="21"/>
        </w:rPr>
        <w:t>【政府采购合同专用条款】</w:t>
      </w:r>
      <w:r>
        <w:rPr>
          <w:rFonts w:hint="eastAsia" w:ascii="宋体" w:hAnsi="宋体" w:eastAsia="宋体" w:cs="宋体"/>
          <w:color w:val="auto"/>
          <w:sz w:val="21"/>
        </w:rPr>
        <w:t>中明确仲裁机构及仲裁地；通过诉讼方式解决的，可以在</w:t>
      </w:r>
      <w:r>
        <w:rPr>
          <w:rFonts w:hint="eastAsia" w:ascii="宋体" w:hAnsi="宋体" w:eastAsia="宋体" w:cs="宋体"/>
          <w:b/>
          <w:bCs/>
          <w:color w:val="auto"/>
          <w:sz w:val="21"/>
        </w:rPr>
        <w:t>【政府采购合同专用条款】</w:t>
      </w:r>
      <w:r>
        <w:rPr>
          <w:rFonts w:hint="eastAsia" w:ascii="宋体" w:hAnsi="宋体" w:eastAsia="宋体" w:cs="宋体"/>
          <w:color w:val="auto"/>
          <w:sz w:val="21"/>
        </w:rPr>
        <w:t>中进一步约定选择与争议有实际联系的地点的人民法院管辖，但管辖法院的约定不得违反级别管辖和专属管辖的规定。</w:t>
      </w:r>
    </w:p>
    <w:p w14:paraId="05356ED0">
      <w:pPr>
        <w:pStyle w:val="145"/>
        <w:ind w:firstLine="420"/>
        <w:jc w:val="both"/>
        <w:rPr>
          <w:rFonts w:ascii="宋体" w:hAnsi="宋体" w:eastAsia="宋体" w:cs="宋体"/>
          <w:color w:val="auto"/>
          <w:sz w:val="21"/>
        </w:rPr>
      </w:pPr>
      <w:r>
        <w:rPr>
          <w:rFonts w:hint="eastAsia" w:ascii="宋体" w:hAnsi="宋体" w:eastAsia="宋体" w:cs="宋体"/>
          <w:color w:val="auto"/>
          <w:sz w:val="21"/>
        </w:rPr>
        <w:t>19.3 如甲乙双方有争议的事项不影响合同其他部分的履行，在争议解决期间，合同其他部分应当继续履行。</w:t>
      </w:r>
    </w:p>
    <w:p w14:paraId="633E2594">
      <w:pPr>
        <w:autoSpaceDE w:val="0"/>
        <w:autoSpaceDN w:val="0"/>
        <w:adjustRightInd w:val="0"/>
        <w:snapToGrid w:val="0"/>
        <w:ind w:firstLine="482"/>
        <w:jc w:val="left"/>
        <w:rPr>
          <w:rFonts w:ascii="宋体" w:hAnsi="宋体"/>
          <w:color w:val="auto"/>
          <w:sz w:val="24"/>
        </w:rPr>
      </w:pPr>
      <w:r>
        <w:rPr>
          <w:rFonts w:hint="eastAsia" w:ascii="宋体" w:hAnsi="宋体"/>
          <w:b/>
          <w:color w:val="auto"/>
          <w:sz w:val="24"/>
        </w:rPr>
        <w:t>20. 政府采购政策</w:t>
      </w:r>
    </w:p>
    <w:p w14:paraId="273EC3F8">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 xml:space="preserve">20.1 </w:t>
      </w:r>
      <w:r>
        <w:rPr>
          <w:rFonts w:hint="eastAsia" w:ascii="宋体" w:hAnsi="宋体" w:cs="宋体"/>
          <w:color w:val="auto"/>
          <w:lang w:val="en-GB"/>
        </w:rPr>
        <w:t>本合同应当按照规定执行政府采购政策。</w:t>
      </w:r>
    </w:p>
    <w:p w14:paraId="17A4F74F">
      <w:pPr>
        <w:autoSpaceDE w:val="0"/>
        <w:autoSpaceDN w:val="0"/>
        <w:adjustRightInd w:val="0"/>
        <w:snapToGrid w:val="0"/>
        <w:ind w:firstLine="420"/>
        <w:jc w:val="left"/>
        <w:rPr>
          <w:rFonts w:ascii="宋体" w:hAnsi="宋体"/>
          <w:color w:val="auto"/>
          <w:szCs w:val="21"/>
        </w:rPr>
      </w:pPr>
      <w:r>
        <w:rPr>
          <w:rFonts w:ascii="宋体" w:hAnsi="宋体"/>
          <w:color w:val="auto"/>
          <w:szCs w:val="21"/>
        </w:rPr>
        <w:t>2</w:t>
      </w:r>
      <w:r>
        <w:rPr>
          <w:rFonts w:hint="eastAsia" w:ascii="宋体" w:hAnsi="宋体"/>
          <w:color w:val="auto"/>
          <w:szCs w:val="21"/>
        </w:rPr>
        <w:t>0.2 本合同依法执行政府采购政策的方式和内容，属于合同履约验收的范围。</w:t>
      </w:r>
      <w:r>
        <w:rPr>
          <w:rFonts w:hint="eastAsia" w:ascii="宋体" w:hAnsi="宋体" w:cs="宋体"/>
          <w:color w:val="auto"/>
        </w:rPr>
        <w:t>甲乙双方</w:t>
      </w:r>
      <w:r>
        <w:rPr>
          <w:rFonts w:hint="eastAsia" w:ascii="宋体" w:hAnsi="宋体" w:cs="宋体"/>
          <w:color w:val="auto"/>
          <w:lang w:val="en-GB"/>
        </w:rPr>
        <w:t>未按规定要求执行政</w:t>
      </w:r>
      <w:r>
        <w:rPr>
          <w:rFonts w:hint="eastAsia" w:ascii="宋体" w:hAnsi="宋体"/>
          <w:color w:val="auto"/>
          <w:szCs w:val="21"/>
          <w:lang w:val="en-GB"/>
        </w:rPr>
        <w:t>府采购政策造成损失的</w:t>
      </w:r>
      <w:r>
        <w:rPr>
          <w:rFonts w:hint="eastAsia" w:ascii="宋体" w:hAnsi="宋体"/>
          <w:color w:val="auto"/>
          <w:szCs w:val="21"/>
        </w:rPr>
        <w:t>，有过错的一方应当承担赔偿责任，双方都有过错的，各自承担相应的责任。</w:t>
      </w:r>
    </w:p>
    <w:p w14:paraId="56EB7055">
      <w:pPr>
        <w:autoSpaceDE w:val="0"/>
        <w:autoSpaceDN w:val="0"/>
        <w:adjustRightInd w:val="0"/>
        <w:snapToGrid w:val="0"/>
        <w:ind w:firstLine="420"/>
        <w:jc w:val="left"/>
        <w:rPr>
          <w:rFonts w:ascii="宋体" w:hAnsi="宋体"/>
          <w:color w:val="auto"/>
          <w:szCs w:val="21"/>
        </w:rPr>
      </w:pPr>
      <w:r>
        <w:rPr>
          <w:rFonts w:hint="eastAsia" w:ascii="宋体" w:hAnsi="宋体"/>
          <w:color w:val="auto"/>
          <w:szCs w:val="21"/>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1AF83C2">
      <w:pPr>
        <w:autoSpaceDE w:val="0"/>
        <w:autoSpaceDN w:val="0"/>
        <w:adjustRightInd w:val="0"/>
        <w:snapToGrid w:val="0"/>
        <w:ind w:firstLine="482"/>
        <w:jc w:val="left"/>
        <w:rPr>
          <w:rFonts w:ascii="宋体" w:hAnsi="宋体"/>
          <w:b/>
          <w:color w:val="auto"/>
          <w:sz w:val="24"/>
        </w:rPr>
      </w:pPr>
      <w:r>
        <w:rPr>
          <w:rFonts w:hint="eastAsia" w:ascii="宋体" w:hAnsi="宋体"/>
          <w:b/>
          <w:color w:val="auto"/>
          <w:sz w:val="24"/>
        </w:rPr>
        <w:t>21. 法律适用</w:t>
      </w:r>
    </w:p>
    <w:p w14:paraId="56C87995">
      <w:pPr>
        <w:pStyle w:val="145"/>
        <w:ind w:firstLine="420"/>
        <w:jc w:val="both"/>
        <w:rPr>
          <w:rFonts w:ascii="宋体" w:hAnsi="宋体" w:eastAsia="宋体" w:cs="宋体"/>
          <w:color w:val="auto"/>
          <w:sz w:val="21"/>
        </w:rPr>
      </w:pPr>
      <w:r>
        <w:rPr>
          <w:rFonts w:hint="eastAsia" w:ascii="宋体" w:hAnsi="宋体" w:eastAsia="宋体" w:cs="宋体"/>
          <w:color w:val="auto"/>
          <w:sz w:val="21"/>
        </w:rPr>
        <w:t>21.1 本合同的订立、生效、解释、履行及与本合同有关的争议解决，均适用法律、行政法规。</w:t>
      </w:r>
    </w:p>
    <w:p w14:paraId="38981CF5">
      <w:pPr>
        <w:pStyle w:val="145"/>
        <w:ind w:firstLine="420"/>
        <w:jc w:val="both"/>
        <w:rPr>
          <w:rFonts w:ascii="宋体" w:hAnsi="宋体" w:eastAsia="宋体" w:cs="宋体"/>
          <w:color w:val="auto"/>
          <w:sz w:val="21"/>
        </w:rPr>
      </w:pPr>
      <w:r>
        <w:rPr>
          <w:rFonts w:hint="eastAsia" w:ascii="宋体" w:hAnsi="宋体" w:eastAsia="宋体" w:cs="宋体"/>
          <w:color w:val="auto"/>
          <w:sz w:val="21"/>
        </w:rPr>
        <w:t>21.2 本合同条款与法律、行政法规的强制性规定不一致的，双方当事人应按照法律、行政法规的强制性规定修改本合同的相关条款。</w:t>
      </w:r>
    </w:p>
    <w:p w14:paraId="105C52B4">
      <w:pPr>
        <w:autoSpaceDE w:val="0"/>
        <w:autoSpaceDN w:val="0"/>
        <w:adjustRightInd w:val="0"/>
        <w:snapToGrid w:val="0"/>
        <w:jc w:val="left"/>
        <w:rPr>
          <w:rFonts w:ascii="宋体" w:hAnsi="宋体"/>
          <w:b/>
          <w:color w:val="auto"/>
          <w:sz w:val="24"/>
        </w:rPr>
      </w:pPr>
      <w:r>
        <w:rPr>
          <w:rFonts w:hint="eastAsia" w:ascii="宋体" w:hAnsi="宋体"/>
          <w:b/>
          <w:color w:val="auto"/>
          <w:sz w:val="24"/>
        </w:rPr>
        <w:t>22. 通知</w:t>
      </w:r>
    </w:p>
    <w:p w14:paraId="1471A14F">
      <w:pPr>
        <w:pStyle w:val="145"/>
        <w:ind w:firstLine="420"/>
        <w:jc w:val="both"/>
        <w:rPr>
          <w:rFonts w:ascii="宋体" w:hAnsi="宋体" w:eastAsia="宋体" w:cs="宋体"/>
          <w:color w:val="auto"/>
          <w:sz w:val="21"/>
        </w:rPr>
      </w:pPr>
      <w:r>
        <w:rPr>
          <w:rFonts w:hint="eastAsia" w:ascii="宋体" w:hAnsi="宋体" w:eastAsia="宋体" w:cs="宋体"/>
          <w:color w:val="auto"/>
          <w:sz w:val="21"/>
        </w:rPr>
        <w:t>22.1 本合同任何一方向对方发出的通知、信件、数据电文等，应当发送至本合同第一部分《政府采购合同协议书》所约定的通讯地址、联系人、联系电话或电子邮箱。</w:t>
      </w:r>
    </w:p>
    <w:p w14:paraId="38B0828A">
      <w:pPr>
        <w:pStyle w:val="145"/>
        <w:ind w:firstLine="0" w:firstLineChars="0"/>
        <w:jc w:val="both"/>
        <w:rPr>
          <w:color w:val="auto"/>
          <w:sz w:val="21"/>
        </w:rPr>
      </w:pPr>
      <w:r>
        <w:rPr>
          <w:rFonts w:hint="eastAsia" w:ascii="宋体" w:hAnsi="宋体" w:eastAsia="宋体" w:cs="宋体"/>
          <w:color w:val="auto"/>
          <w:sz w:val="21"/>
        </w:rPr>
        <w:t xml:space="preserve">    22.2 一方当事人变更名称、住所、联系人、联系电话或电子邮箱等信息的，应当在变更后3日内及时书面通知对方，对方实际收到变更通知前的送达仍为有效送达。</w:t>
      </w:r>
    </w:p>
    <w:p w14:paraId="68072927">
      <w:pPr>
        <w:adjustRightInd w:val="0"/>
        <w:snapToGrid w:val="0"/>
        <w:ind w:firstLine="420"/>
        <w:jc w:val="left"/>
        <w:rPr>
          <w:rFonts w:ascii="宋体" w:hAnsi="宋体"/>
          <w:color w:val="auto"/>
          <w:szCs w:val="21"/>
        </w:rPr>
      </w:pPr>
      <w:r>
        <w:rPr>
          <w:rFonts w:hint="eastAsia" w:ascii="宋体" w:hAnsi="宋体"/>
          <w:color w:val="auto"/>
          <w:szCs w:val="21"/>
        </w:rPr>
        <w:t>22.3本合同一方给另一方的通知均应采用书面形式，传真或快递送到本合同中规定的对方的地址和办理签收手续。</w:t>
      </w:r>
    </w:p>
    <w:p w14:paraId="0CB75348">
      <w:pPr>
        <w:adjustRightInd w:val="0"/>
        <w:snapToGrid w:val="0"/>
        <w:ind w:firstLine="420"/>
        <w:jc w:val="left"/>
        <w:rPr>
          <w:rFonts w:ascii="宋体" w:hAnsi="宋体"/>
          <w:color w:val="auto"/>
          <w:szCs w:val="21"/>
        </w:rPr>
      </w:pPr>
      <w:r>
        <w:rPr>
          <w:rFonts w:hint="eastAsia" w:ascii="宋体" w:hAnsi="宋体"/>
          <w:color w:val="auto"/>
          <w:szCs w:val="21"/>
        </w:rPr>
        <w:t>22.4通知以送达之日或通知书中规定的生效之日起生效，两者中以较迟之日为准。</w:t>
      </w:r>
    </w:p>
    <w:p w14:paraId="52B52942">
      <w:pPr>
        <w:numPr>
          <w:ilvl w:val="0"/>
          <w:numId w:val="12"/>
        </w:numPr>
        <w:adjustRightInd w:val="0"/>
        <w:snapToGrid w:val="0"/>
        <w:ind w:firstLine="482"/>
        <w:jc w:val="left"/>
        <w:rPr>
          <w:rFonts w:ascii="宋体" w:hAnsi="宋体"/>
          <w:b/>
          <w:bCs/>
          <w:color w:val="auto"/>
          <w:sz w:val="24"/>
        </w:rPr>
      </w:pPr>
      <w:r>
        <w:rPr>
          <w:rFonts w:hint="eastAsia" w:ascii="宋体" w:hAnsi="宋体"/>
          <w:b/>
          <w:bCs/>
          <w:color w:val="auto"/>
          <w:sz w:val="24"/>
        </w:rPr>
        <w:t>合同未尽事项</w:t>
      </w:r>
    </w:p>
    <w:p w14:paraId="5A3D5849">
      <w:pPr>
        <w:adjustRightInd w:val="0"/>
        <w:snapToGrid w:val="0"/>
        <w:ind w:firstLine="420"/>
        <w:jc w:val="left"/>
        <w:rPr>
          <w:rFonts w:ascii="宋体" w:hAnsi="宋体"/>
          <w:bCs/>
          <w:color w:val="auto"/>
          <w:szCs w:val="21"/>
        </w:rPr>
      </w:pPr>
      <w:r>
        <w:rPr>
          <w:rFonts w:hint="eastAsia" w:ascii="宋体" w:hAnsi="宋体"/>
          <w:bCs/>
          <w:color w:val="auto"/>
          <w:szCs w:val="21"/>
        </w:rPr>
        <w:t>23.1合同未尽事项见</w:t>
      </w:r>
      <w:r>
        <w:rPr>
          <w:rFonts w:hint="eastAsia" w:ascii="宋体" w:hAnsi="宋体"/>
          <w:b/>
          <w:color w:val="auto"/>
          <w:szCs w:val="21"/>
        </w:rPr>
        <w:t>【政府采购合同专用条款】</w:t>
      </w:r>
      <w:r>
        <w:rPr>
          <w:rFonts w:hint="eastAsia" w:ascii="宋体" w:hAnsi="宋体"/>
          <w:bCs/>
          <w:color w:val="auto"/>
          <w:szCs w:val="21"/>
        </w:rPr>
        <w:t>。</w:t>
      </w:r>
    </w:p>
    <w:p w14:paraId="4A9709AF">
      <w:pPr>
        <w:adjustRightInd w:val="0"/>
        <w:snapToGrid w:val="0"/>
        <w:ind w:firstLine="420"/>
        <w:jc w:val="left"/>
        <w:rPr>
          <w:rFonts w:ascii="黑体" w:hAnsi="华文中宋" w:eastAsia="黑体"/>
          <w:color w:val="auto"/>
          <w:sz w:val="28"/>
          <w:szCs w:val="28"/>
        </w:rPr>
      </w:pPr>
      <w:r>
        <w:rPr>
          <w:rFonts w:hint="eastAsia" w:ascii="宋体" w:hAnsi="宋体"/>
          <w:bCs/>
          <w:color w:val="auto"/>
          <w:szCs w:val="21"/>
        </w:rPr>
        <w:t>23.2 合同附件与合同正文具有同等的法律效力。</w:t>
      </w:r>
      <w:bookmarkStart w:id="118" w:name="_Toc20313"/>
    </w:p>
    <w:p w14:paraId="23529A81">
      <w:pPr>
        <w:adjustRightInd w:val="0"/>
        <w:snapToGrid w:val="0"/>
        <w:ind w:firstLine="560"/>
        <w:jc w:val="center"/>
        <w:rPr>
          <w:rFonts w:ascii="黑体" w:hAnsi="华文中宋" w:eastAsia="黑体"/>
          <w:color w:val="auto"/>
          <w:sz w:val="28"/>
          <w:szCs w:val="28"/>
        </w:rPr>
      </w:pPr>
      <w:r>
        <w:rPr>
          <w:rFonts w:hint="eastAsia" w:ascii="黑体" w:hAnsi="华文中宋" w:eastAsia="黑体"/>
          <w:color w:val="auto"/>
          <w:sz w:val="28"/>
          <w:szCs w:val="28"/>
        </w:rPr>
        <w:br w:type="page"/>
      </w:r>
    </w:p>
    <w:p w14:paraId="791EBEB4">
      <w:pPr>
        <w:pStyle w:val="5"/>
        <w:adjustRightInd w:val="0"/>
        <w:snapToGrid w:val="0"/>
        <w:ind w:firstLine="560"/>
        <w:jc w:val="center"/>
        <w:rPr>
          <w:rFonts w:ascii="黑体" w:hAnsi="华文中宋"/>
          <w:b w:val="0"/>
          <w:bCs w:val="0"/>
          <w:color w:val="auto"/>
          <w:sz w:val="28"/>
          <w:szCs w:val="28"/>
        </w:rPr>
      </w:pPr>
      <w:r>
        <w:rPr>
          <w:rFonts w:hint="eastAsia" w:ascii="黑体" w:hAnsi="华文中宋"/>
          <w:b w:val="0"/>
          <w:bCs w:val="0"/>
          <w:color w:val="auto"/>
          <w:sz w:val="28"/>
          <w:szCs w:val="28"/>
        </w:rPr>
        <w:t>第三节 政府采购合同专用条款</w:t>
      </w:r>
      <w:bookmarkEnd w:id="118"/>
    </w:p>
    <w:tbl>
      <w:tblPr>
        <w:tblStyle w:val="41"/>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893FD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431C6E">
            <w:pPr>
              <w:adjustRightInd w:val="0"/>
              <w:snapToGrid w:val="0"/>
              <w:jc w:val="center"/>
              <w:rPr>
                <w:rFonts w:ascii="宋体" w:hAnsi="宋体"/>
                <w:color w:val="auto"/>
                <w:szCs w:val="21"/>
              </w:rPr>
            </w:pPr>
            <w:r>
              <w:rPr>
                <w:rFonts w:hint="eastAsia" w:ascii="宋体" w:hAnsi="宋体"/>
                <w:color w:val="auto"/>
                <w:szCs w:val="21"/>
              </w:rPr>
              <w:t>第二节</w:t>
            </w:r>
          </w:p>
          <w:p w14:paraId="26105E15">
            <w:pPr>
              <w:adjustRightInd w:val="0"/>
              <w:snapToGrid w:val="0"/>
              <w:jc w:val="center"/>
              <w:rPr>
                <w:rFonts w:ascii="宋体" w:hAnsi="宋体"/>
                <w:color w:val="auto"/>
                <w:szCs w:val="21"/>
              </w:rPr>
            </w:pPr>
            <w:r>
              <w:rPr>
                <w:rFonts w:hint="eastAsia" w:ascii="宋体" w:hAnsi="宋体"/>
                <w:color w:val="auto"/>
                <w:szCs w:val="21"/>
              </w:rPr>
              <w:t>第1.2（6）项</w:t>
            </w:r>
          </w:p>
        </w:tc>
        <w:tc>
          <w:tcPr>
            <w:tcW w:w="1742" w:type="dxa"/>
            <w:vAlign w:val="center"/>
          </w:tcPr>
          <w:p w14:paraId="09EE58E4">
            <w:pPr>
              <w:adjustRightInd w:val="0"/>
              <w:snapToGrid w:val="0"/>
              <w:jc w:val="left"/>
              <w:rPr>
                <w:rFonts w:ascii="宋体" w:hAnsi="宋体"/>
                <w:color w:val="auto"/>
                <w:szCs w:val="21"/>
              </w:rPr>
            </w:pPr>
            <w:r>
              <w:rPr>
                <w:rFonts w:hint="eastAsia" w:ascii="宋体" w:hAnsi="宋体"/>
                <w:color w:val="auto"/>
                <w:szCs w:val="21"/>
              </w:rPr>
              <w:t>联合体具体要求</w:t>
            </w:r>
          </w:p>
        </w:tc>
        <w:tc>
          <w:tcPr>
            <w:tcW w:w="5170" w:type="dxa"/>
            <w:vAlign w:val="center"/>
          </w:tcPr>
          <w:p w14:paraId="0AD7725B">
            <w:pPr>
              <w:adjustRightInd w:val="0"/>
              <w:snapToGrid w:val="0"/>
              <w:ind w:firstLine="420"/>
              <w:jc w:val="left"/>
              <w:rPr>
                <w:rFonts w:ascii="宋体" w:hAnsi="宋体"/>
                <w:color w:val="auto"/>
                <w:szCs w:val="21"/>
              </w:rPr>
            </w:pPr>
          </w:p>
        </w:tc>
      </w:tr>
      <w:tr w14:paraId="6ED2CC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798BDA1">
            <w:pPr>
              <w:adjustRightInd w:val="0"/>
              <w:snapToGrid w:val="0"/>
              <w:jc w:val="center"/>
              <w:rPr>
                <w:rFonts w:ascii="宋体" w:hAnsi="宋体"/>
                <w:color w:val="auto"/>
                <w:szCs w:val="21"/>
              </w:rPr>
            </w:pPr>
            <w:r>
              <w:rPr>
                <w:rFonts w:hint="eastAsia" w:ascii="宋体" w:hAnsi="宋体"/>
                <w:color w:val="auto"/>
                <w:szCs w:val="21"/>
              </w:rPr>
              <w:t>第二节</w:t>
            </w:r>
          </w:p>
          <w:p w14:paraId="62CC7F86">
            <w:pPr>
              <w:adjustRightInd w:val="0"/>
              <w:snapToGrid w:val="0"/>
              <w:jc w:val="center"/>
              <w:rPr>
                <w:rFonts w:ascii="宋体" w:hAnsi="宋体"/>
                <w:color w:val="auto"/>
                <w:szCs w:val="21"/>
              </w:rPr>
            </w:pPr>
            <w:r>
              <w:rPr>
                <w:rFonts w:hint="eastAsia" w:ascii="宋体" w:hAnsi="宋体"/>
                <w:color w:val="auto"/>
                <w:szCs w:val="21"/>
              </w:rPr>
              <w:t>第1.2（7）项</w:t>
            </w:r>
          </w:p>
        </w:tc>
        <w:tc>
          <w:tcPr>
            <w:tcW w:w="1742" w:type="dxa"/>
            <w:vAlign w:val="center"/>
          </w:tcPr>
          <w:p w14:paraId="64E44D39">
            <w:pPr>
              <w:adjustRightInd w:val="0"/>
              <w:snapToGrid w:val="0"/>
              <w:jc w:val="left"/>
              <w:rPr>
                <w:rFonts w:ascii="宋体" w:hAnsi="宋体"/>
                <w:color w:val="auto"/>
                <w:szCs w:val="21"/>
              </w:rPr>
            </w:pPr>
            <w:r>
              <w:rPr>
                <w:rFonts w:hint="eastAsia" w:ascii="宋体" w:hAnsi="宋体"/>
                <w:color w:val="auto"/>
                <w:szCs w:val="21"/>
              </w:rPr>
              <w:t>其他术语解释</w:t>
            </w:r>
          </w:p>
        </w:tc>
        <w:tc>
          <w:tcPr>
            <w:tcW w:w="5170" w:type="dxa"/>
            <w:vAlign w:val="center"/>
          </w:tcPr>
          <w:p w14:paraId="4C2A41C1">
            <w:pPr>
              <w:adjustRightInd w:val="0"/>
              <w:snapToGrid w:val="0"/>
              <w:ind w:firstLine="420"/>
              <w:jc w:val="left"/>
              <w:rPr>
                <w:rFonts w:ascii="宋体" w:hAnsi="宋体"/>
                <w:color w:val="auto"/>
                <w:szCs w:val="21"/>
              </w:rPr>
            </w:pPr>
          </w:p>
        </w:tc>
      </w:tr>
      <w:tr w14:paraId="04453E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95B389C">
            <w:pPr>
              <w:adjustRightInd w:val="0"/>
              <w:snapToGrid w:val="0"/>
              <w:jc w:val="center"/>
              <w:rPr>
                <w:rFonts w:ascii="宋体" w:hAnsi="宋体"/>
                <w:color w:val="auto"/>
                <w:szCs w:val="21"/>
              </w:rPr>
            </w:pPr>
            <w:r>
              <w:rPr>
                <w:rFonts w:hint="eastAsia" w:ascii="宋体" w:hAnsi="宋体"/>
                <w:color w:val="auto"/>
                <w:szCs w:val="21"/>
              </w:rPr>
              <w:t>第二节</w:t>
            </w:r>
          </w:p>
          <w:p w14:paraId="6A36A26E">
            <w:pPr>
              <w:adjustRightInd w:val="0"/>
              <w:snapToGrid w:val="0"/>
              <w:jc w:val="center"/>
              <w:rPr>
                <w:rFonts w:ascii="宋体" w:hAnsi="宋体"/>
                <w:color w:val="auto"/>
                <w:szCs w:val="21"/>
              </w:rPr>
            </w:pPr>
            <w:r>
              <w:rPr>
                <w:rFonts w:hint="eastAsia" w:ascii="宋体" w:hAnsi="宋体"/>
                <w:color w:val="auto"/>
                <w:szCs w:val="21"/>
              </w:rPr>
              <w:t>第4.4款</w:t>
            </w:r>
          </w:p>
        </w:tc>
        <w:tc>
          <w:tcPr>
            <w:tcW w:w="1742" w:type="dxa"/>
            <w:vAlign w:val="center"/>
          </w:tcPr>
          <w:p w14:paraId="373E8B48">
            <w:pPr>
              <w:adjustRightInd w:val="0"/>
              <w:snapToGrid w:val="0"/>
              <w:jc w:val="left"/>
              <w:rPr>
                <w:rFonts w:ascii="宋体" w:hAnsi="宋体"/>
                <w:color w:val="auto"/>
                <w:szCs w:val="21"/>
              </w:rPr>
            </w:pPr>
            <w:r>
              <w:rPr>
                <w:rFonts w:hint="eastAsia" w:ascii="宋体" w:hAnsi="宋体"/>
                <w:color w:val="auto"/>
                <w:szCs w:val="21"/>
              </w:rPr>
              <w:t>履约验收中甲方提出异议或作出说明的期限</w:t>
            </w:r>
          </w:p>
        </w:tc>
        <w:tc>
          <w:tcPr>
            <w:tcW w:w="5170" w:type="dxa"/>
            <w:vAlign w:val="center"/>
          </w:tcPr>
          <w:p w14:paraId="1C16C5EF">
            <w:pPr>
              <w:adjustRightInd w:val="0"/>
              <w:snapToGrid w:val="0"/>
              <w:ind w:firstLine="420"/>
              <w:jc w:val="left"/>
              <w:rPr>
                <w:rFonts w:ascii="宋体" w:hAnsi="宋体"/>
                <w:color w:val="auto"/>
                <w:szCs w:val="21"/>
              </w:rPr>
            </w:pPr>
            <w:r>
              <w:rPr>
                <w:rFonts w:hint="eastAsia" w:ascii="宋体" w:hAnsi="宋体"/>
                <w:color w:val="auto"/>
                <w:szCs w:val="21"/>
              </w:rPr>
              <w:t>初步验收结束之日起5个工作日内</w:t>
            </w:r>
          </w:p>
        </w:tc>
      </w:tr>
      <w:tr w14:paraId="77EB62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8DD9078">
            <w:pPr>
              <w:adjustRightInd w:val="0"/>
              <w:snapToGrid w:val="0"/>
              <w:jc w:val="center"/>
              <w:rPr>
                <w:rFonts w:ascii="宋体" w:hAnsi="宋体"/>
                <w:color w:val="auto"/>
                <w:szCs w:val="21"/>
              </w:rPr>
            </w:pPr>
            <w:r>
              <w:rPr>
                <w:rFonts w:hint="eastAsia" w:ascii="宋体" w:hAnsi="宋体"/>
                <w:color w:val="auto"/>
                <w:szCs w:val="21"/>
              </w:rPr>
              <w:t>第二节</w:t>
            </w:r>
          </w:p>
          <w:p w14:paraId="725528AB">
            <w:pPr>
              <w:adjustRightInd w:val="0"/>
              <w:snapToGrid w:val="0"/>
              <w:jc w:val="center"/>
              <w:rPr>
                <w:rFonts w:ascii="宋体" w:hAnsi="宋体"/>
                <w:color w:val="auto"/>
                <w:szCs w:val="21"/>
              </w:rPr>
            </w:pPr>
            <w:r>
              <w:rPr>
                <w:rFonts w:hint="eastAsia" w:ascii="宋体" w:hAnsi="宋体"/>
                <w:color w:val="auto"/>
                <w:szCs w:val="21"/>
              </w:rPr>
              <w:t>第4.6款</w:t>
            </w:r>
          </w:p>
        </w:tc>
        <w:tc>
          <w:tcPr>
            <w:tcW w:w="1742" w:type="dxa"/>
            <w:vAlign w:val="center"/>
          </w:tcPr>
          <w:p w14:paraId="58BEDA2F">
            <w:pPr>
              <w:adjustRightInd w:val="0"/>
              <w:snapToGrid w:val="0"/>
              <w:jc w:val="left"/>
              <w:rPr>
                <w:rFonts w:ascii="宋体" w:hAnsi="宋体"/>
                <w:color w:val="auto"/>
                <w:szCs w:val="21"/>
              </w:rPr>
            </w:pPr>
            <w:r>
              <w:rPr>
                <w:rFonts w:hint="eastAsia" w:ascii="宋体" w:hAnsi="宋体"/>
                <w:color w:val="auto"/>
                <w:szCs w:val="21"/>
              </w:rPr>
              <w:t>约定甲方承担的其他义务和责任</w:t>
            </w:r>
          </w:p>
        </w:tc>
        <w:tc>
          <w:tcPr>
            <w:tcW w:w="5170" w:type="dxa"/>
            <w:vAlign w:val="center"/>
          </w:tcPr>
          <w:p w14:paraId="344FEB8A">
            <w:pPr>
              <w:adjustRightInd w:val="0"/>
              <w:snapToGrid w:val="0"/>
              <w:ind w:firstLine="420"/>
              <w:jc w:val="left"/>
              <w:rPr>
                <w:rFonts w:ascii="宋体" w:hAnsi="宋体"/>
                <w:color w:val="auto"/>
                <w:szCs w:val="21"/>
              </w:rPr>
            </w:pPr>
            <w:r>
              <w:rPr>
                <w:rFonts w:hint="eastAsia" w:ascii="宋体" w:hAnsi="宋体"/>
                <w:color w:val="auto"/>
                <w:szCs w:val="21"/>
              </w:rPr>
              <w:t>甲方若不能按合同约定按时付款，视为违约。每逾期一日，甲方应按当次应付款额的千分之三向乙方支付违约金，最高不超过当次应付款额的5%，但乙方不得因此中断服务，否则由此产生的损失及责任均由乙方承担。</w:t>
            </w:r>
          </w:p>
        </w:tc>
      </w:tr>
      <w:tr w14:paraId="77680D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95CBEE4">
            <w:pPr>
              <w:adjustRightInd w:val="0"/>
              <w:snapToGrid w:val="0"/>
              <w:jc w:val="center"/>
              <w:rPr>
                <w:rFonts w:ascii="宋体" w:hAnsi="宋体"/>
                <w:color w:val="auto"/>
                <w:szCs w:val="21"/>
              </w:rPr>
            </w:pPr>
            <w:r>
              <w:rPr>
                <w:rFonts w:hint="eastAsia" w:ascii="宋体" w:hAnsi="宋体"/>
                <w:color w:val="auto"/>
                <w:szCs w:val="21"/>
              </w:rPr>
              <w:t>第二节</w:t>
            </w:r>
          </w:p>
          <w:p w14:paraId="11B01221">
            <w:pPr>
              <w:snapToGrid w:val="0"/>
              <w:jc w:val="center"/>
              <w:rPr>
                <w:color w:val="auto"/>
              </w:rPr>
            </w:pPr>
            <w:r>
              <w:rPr>
                <w:rFonts w:hint="eastAsia" w:ascii="宋体" w:hAnsi="宋体"/>
                <w:color w:val="auto"/>
                <w:szCs w:val="21"/>
              </w:rPr>
              <w:t>第5.4款</w:t>
            </w:r>
          </w:p>
        </w:tc>
        <w:tc>
          <w:tcPr>
            <w:tcW w:w="1742" w:type="dxa"/>
            <w:vAlign w:val="center"/>
          </w:tcPr>
          <w:p w14:paraId="50982C51">
            <w:pPr>
              <w:adjustRightInd w:val="0"/>
              <w:snapToGrid w:val="0"/>
              <w:jc w:val="left"/>
              <w:rPr>
                <w:rFonts w:ascii="宋体" w:hAnsi="宋体"/>
                <w:color w:val="auto"/>
                <w:szCs w:val="21"/>
              </w:rPr>
            </w:pPr>
            <w:r>
              <w:rPr>
                <w:rFonts w:hint="eastAsia" w:ascii="宋体" w:hAnsi="宋体"/>
                <w:color w:val="auto"/>
                <w:szCs w:val="21"/>
              </w:rPr>
              <w:t>约定乙方承担的其他义务和责任</w:t>
            </w:r>
          </w:p>
        </w:tc>
        <w:tc>
          <w:tcPr>
            <w:tcW w:w="5170" w:type="dxa"/>
            <w:vAlign w:val="center"/>
          </w:tcPr>
          <w:p w14:paraId="69B53B5C">
            <w:pPr>
              <w:adjustRightInd w:val="0"/>
              <w:snapToGrid w:val="0"/>
              <w:ind w:firstLine="420"/>
              <w:jc w:val="left"/>
              <w:rPr>
                <w:rFonts w:ascii="宋体" w:hAnsi="宋体"/>
                <w:color w:val="auto"/>
                <w:szCs w:val="21"/>
              </w:rPr>
            </w:pPr>
            <w:r>
              <w:rPr>
                <w:rFonts w:hint="eastAsia" w:ascii="宋体" w:hAnsi="宋体"/>
                <w:color w:val="auto"/>
                <w:szCs w:val="21"/>
              </w:rPr>
              <w:t>1．乙方须按本项目招标文件及本合同规定的设备及配套设施的性能、技术要求、质量标准向甲方提供未经使用的全新产品，设备及配套设施必须符合中华人民共和国国家标准及行业标准。</w:t>
            </w:r>
          </w:p>
          <w:p w14:paraId="3C2D406D">
            <w:pPr>
              <w:adjustRightInd w:val="0"/>
              <w:snapToGrid w:val="0"/>
              <w:ind w:firstLine="420"/>
              <w:jc w:val="left"/>
              <w:rPr>
                <w:rFonts w:ascii="宋体" w:hAnsi="宋体"/>
                <w:color w:val="auto"/>
                <w:szCs w:val="21"/>
              </w:rPr>
            </w:pPr>
            <w:r>
              <w:rPr>
                <w:rFonts w:hint="eastAsia" w:ascii="宋体" w:hAnsi="宋体"/>
                <w:color w:val="auto"/>
                <w:szCs w:val="21"/>
              </w:rPr>
              <w:t>2.乙方负责对设备及配套设施进行安装和调试，并承担相应的费用，直至设备及配套设施正常使用。</w:t>
            </w:r>
          </w:p>
          <w:p w14:paraId="6DC010E8">
            <w:pPr>
              <w:adjustRightInd w:val="0"/>
              <w:snapToGrid w:val="0"/>
              <w:ind w:firstLine="420"/>
              <w:jc w:val="left"/>
              <w:rPr>
                <w:rFonts w:ascii="宋体" w:hAnsi="宋体"/>
                <w:color w:val="auto"/>
                <w:szCs w:val="21"/>
              </w:rPr>
            </w:pPr>
            <w:r>
              <w:rPr>
                <w:rFonts w:hint="eastAsia" w:ascii="宋体" w:hAnsi="宋体"/>
                <w:color w:val="auto"/>
                <w:szCs w:val="21"/>
              </w:rPr>
              <w:t>3．需要安装的设备及配套设施，乙方须根据甲方的安装场地，在签订合同后五个工作日内提出设备及配套设施布置图、安装示意图，在甲方签字确认后，乙方负责现场安装、调试。</w:t>
            </w:r>
          </w:p>
          <w:p w14:paraId="71EC457C">
            <w:pPr>
              <w:adjustRightInd w:val="0"/>
              <w:snapToGrid w:val="0"/>
              <w:ind w:firstLine="420"/>
              <w:jc w:val="left"/>
              <w:rPr>
                <w:rFonts w:ascii="宋体" w:hAnsi="宋体"/>
                <w:color w:val="auto"/>
                <w:szCs w:val="21"/>
              </w:rPr>
            </w:pPr>
            <w:r>
              <w:rPr>
                <w:rFonts w:hint="eastAsia" w:ascii="宋体" w:hAnsi="宋体"/>
                <w:color w:val="auto"/>
                <w:szCs w:val="21"/>
              </w:rPr>
              <w:t>4．为使本项目设备及配套设施的交货、安装、调试、培训、验收工作有序顺利进行，双方同意各自成立专门项目组，以便设备及配套设施质量与技术条件的交流与协商。技术资料及文件的移交、签收，以双方代表的签名为依据。</w:t>
            </w:r>
          </w:p>
          <w:p w14:paraId="385DF0B0">
            <w:pPr>
              <w:adjustRightInd w:val="0"/>
              <w:snapToGrid w:val="0"/>
              <w:ind w:firstLine="420"/>
              <w:jc w:val="left"/>
              <w:rPr>
                <w:rFonts w:ascii="宋体" w:hAnsi="宋体"/>
                <w:color w:val="auto"/>
                <w:szCs w:val="21"/>
              </w:rPr>
            </w:pPr>
            <w:r>
              <w:rPr>
                <w:rFonts w:hint="eastAsia" w:ascii="宋体" w:hAnsi="宋体"/>
                <w:color w:val="auto"/>
                <w:szCs w:val="21"/>
              </w:rPr>
              <w:t>5．设备及配套设施在安装、调试中，安全管理及安全事故的所有责任由乙方承担。</w:t>
            </w:r>
          </w:p>
          <w:p w14:paraId="62955F60">
            <w:pPr>
              <w:adjustRightInd w:val="0"/>
              <w:snapToGrid w:val="0"/>
              <w:ind w:firstLine="420"/>
              <w:jc w:val="left"/>
              <w:rPr>
                <w:rFonts w:ascii="宋体" w:hAnsi="宋体"/>
                <w:color w:val="auto"/>
                <w:szCs w:val="21"/>
              </w:rPr>
            </w:pPr>
            <w:r>
              <w:rPr>
                <w:rFonts w:hint="eastAsia" w:ascii="宋体" w:hAnsi="宋体"/>
                <w:color w:val="auto"/>
                <w:szCs w:val="21"/>
              </w:rPr>
              <w:t>6．安装调试完毕后，乙方应将所有的技术资料、操作手册及系统测试报告等文件资料交给甲方，并提供完善的场地竣工图纸。</w:t>
            </w:r>
          </w:p>
          <w:p w14:paraId="09D96768">
            <w:pPr>
              <w:adjustRightInd w:val="0"/>
              <w:snapToGrid w:val="0"/>
              <w:ind w:firstLine="420"/>
              <w:jc w:val="left"/>
              <w:rPr>
                <w:rFonts w:ascii="宋体" w:hAnsi="宋体"/>
                <w:color w:val="auto"/>
                <w:szCs w:val="21"/>
              </w:rPr>
            </w:pPr>
            <w:r>
              <w:rPr>
                <w:rFonts w:hint="eastAsia" w:ascii="宋体" w:hAnsi="宋体"/>
                <w:color w:val="auto"/>
                <w:szCs w:val="21"/>
              </w:rPr>
              <w:t>7．乙方应自带用以安装、调试过程中所需的各种工具、仪器仪表及易损件。</w:t>
            </w:r>
          </w:p>
        </w:tc>
      </w:tr>
      <w:tr w14:paraId="44CBC7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66EC62">
            <w:pPr>
              <w:adjustRightInd w:val="0"/>
              <w:snapToGrid w:val="0"/>
              <w:jc w:val="center"/>
              <w:rPr>
                <w:rFonts w:ascii="宋体" w:hAnsi="宋体" w:cs="宋体"/>
                <w:color w:val="auto"/>
                <w:szCs w:val="21"/>
              </w:rPr>
            </w:pPr>
            <w:r>
              <w:rPr>
                <w:rFonts w:hint="eastAsia" w:ascii="宋体" w:hAnsi="宋体" w:cs="宋体"/>
                <w:color w:val="auto"/>
                <w:szCs w:val="21"/>
              </w:rPr>
              <w:t>第二节</w:t>
            </w:r>
          </w:p>
          <w:p w14:paraId="1EFA5B57">
            <w:pPr>
              <w:snapToGrid w:val="0"/>
              <w:jc w:val="center"/>
              <w:rPr>
                <w:rFonts w:ascii="宋体" w:hAnsi="宋体" w:cs="宋体"/>
                <w:color w:val="auto"/>
                <w:szCs w:val="21"/>
              </w:rPr>
            </w:pPr>
            <w:r>
              <w:rPr>
                <w:rFonts w:hint="eastAsia" w:ascii="宋体" w:hAnsi="宋体" w:cs="宋体"/>
                <w:color w:val="auto"/>
                <w:szCs w:val="21"/>
              </w:rPr>
              <w:t>第6.1款</w:t>
            </w:r>
          </w:p>
        </w:tc>
        <w:tc>
          <w:tcPr>
            <w:tcW w:w="1742" w:type="dxa"/>
            <w:vAlign w:val="center"/>
          </w:tcPr>
          <w:p w14:paraId="41E6AA79">
            <w:pPr>
              <w:adjustRightInd w:val="0"/>
              <w:snapToGrid w:val="0"/>
              <w:jc w:val="left"/>
              <w:rPr>
                <w:rFonts w:ascii="宋体" w:hAnsi="宋体" w:cs="宋体"/>
                <w:color w:val="auto"/>
                <w:szCs w:val="21"/>
              </w:rPr>
            </w:pPr>
            <w:r>
              <w:rPr>
                <w:rFonts w:hint="eastAsia" w:ascii="宋体" w:hAnsi="宋体" w:cs="宋体"/>
                <w:color w:val="auto"/>
                <w:szCs w:val="21"/>
              </w:rPr>
              <w:t>履行合同义务的顺序</w:t>
            </w:r>
          </w:p>
        </w:tc>
        <w:tc>
          <w:tcPr>
            <w:tcW w:w="5170" w:type="dxa"/>
            <w:vAlign w:val="center"/>
          </w:tcPr>
          <w:p w14:paraId="1F961920">
            <w:pPr>
              <w:adjustRightInd w:val="0"/>
              <w:snapToGrid w:val="0"/>
              <w:ind w:firstLine="420"/>
              <w:jc w:val="left"/>
              <w:rPr>
                <w:rFonts w:ascii="宋体" w:hAnsi="宋体" w:cs="宋体"/>
                <w:color w:val="auto"/>
                <w:szCs w:val="21"/>
              </w:rPr>
            </w:pPr>
            <w:r>
              <w:rPr>
                <w:rFonts w:hint="eastAsia" w:ascii="宋体" w:hAnsi="宋体" w:cs="宋体"/>
                <w:color w:val="auto"/>
                <w:szCs w:val="21"/>
              </w:rPr>
              <w:t>按合同内容同时履约</w:t>
            </w:r>
          </w:p>
        </w:tc>
      </w:tr>
      <w:tr w14:paraId="3C8DB1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780CB373">
            <w:pPr>
              <w:adjustRightInd w:val="0"/>
              <w:snapToGrid w:val="0"/>
              <w:jc w:val="center"/>
              <w:rPr>
                <w:rFonts w:ascii="宋体" w:hAnsi="宋体" w:cs="宋体"/>
                <w:color w:val="auto"/>
                <w:szCs w:val="21"/>
              </w:rPr>
            </w:pPr>
            <w:r>
              <w:rPr>
                <w:rFonts w:hint="eastAsia" w:ascii="宋体" w:hAnsi="宋体" w:cs="宋体"/>
                <w:color w:val="auto"/>
                <w:szCs w:val="21"/>
              </w:rPr>
              <w:t>第二节</w:t>
            </w:r>
          </w:p>
          <w:p w14:paraId="3C4547D9">
            <w:pPr>
              <w:adjustRightInd w:val="0"/>
              <w:snapToGrid w:val="0"/>
              <w:jc w:val="center"/>
              <w:rPr>
                <w:rFonts w:ascii="宋体" w:hAnsi="宋体" w:cs="宋体"/>
                <w:color w:val="auto"/>
                <w:szCs w:val="21"/>
              </w:rPr>
            </w:pPr>
            <w:r>
              <w:rPr>
                <w:rFonts w:hint="eastAsia" w:ascii="宋体" w:hAnsi="宋体" w:cs="宋体"/>
                <w:color w:val="auto"/>
                <w:szCs w:val="21"/>
              </w:rPr>
              <w:t>第7.1款</w:t>
            </w:r>
          </w:p>
        </w:tc>
        <w:tc>
          <w:tcPr>
            <w:tcW w:w="1742" w:type="dxa"/>
            <w:vAlign w:val="center"/>
          </w:tcPr>
          <w:p w14:paraId="1D46B77F">
            <w:pPr>
              <w:adjustRightInd w:val="0"/>
              <w:snapToGrid w:val="0"/>
              <w:jc w:val="left"/>
              <w:rPr>
                <w:rFonts w:ascii="宋体" w:hAnsi="宋体" w:cs="宋体"/>
                <w:color w:val="auto"/>
                <w:szCs w:val="21"/>
              </w:rPr>
            </w:pPr>
            <w:r>
              <w:rPr>
                <w:rFonts w:hint="eastAsia" w:ascii="宋体" w:hAnsi="宋体" w:cs="宋体"/>
                <w:color w:val="auto"/>
                <w:szCs w:val="21"/>
              </w:rPr>
              <w:t>包装特殊要求</w:t>
            </w:r>
          </w:p>
        </w:tc>
        <w:tc>
          <w:tcPr>
            <w:tcW w:w="5170" w:type="dxa"/>
            <w:vAlign w:val="center"/>
          </w:tcPr>
          <w:p w14:paraId="0496505E">
            <w:pPr>
              <w:ind w:firstLine="420"/>
              <w:rPr>
                <w:rFonts w:ascii="宋体" w:hAnsi="宋体" w:cs="宋体"/>
                <w:color w:val="auto"/>
                <w:szCs w:val="21"/>
              </w:rPr>
            </w:pPr>
            <w:r>
              <w:rPr>
                <w:rFonts w:hint="eastAsia" w:ascii="宋体" w:hAnsi="宋体" w:cs="宋体"/>
                <w:color w:val="auto"/>
                <w:szCs w:val="21"/>
              </w:rPr>
              <w:t>1．乙方应在设备及配套设施发运前对其进行满足于运输距离、防潮、防震、防锈和防破损装卸要求的包装以保证设备及配套设施在运输和装卸过程中不受损伤，由于包装不当造成设备及配套设施在运输和装卸过程中有任何损坏或丢失，由乙方负责。</w:t>
            </w:r>
          </w:p>
          <w:p w14:paraId="7E51BDB4">
            <w:pPr>
              <w:ind w:firstLine="420"/>
              <w:rPr>
                <w:rFonts w:ascii="宋体" w:hAnsi="宋体" w:cs="宋体"/>
                <w:color w:val="auto"/>
                <w:szCs w:val="21"/>
              </w:rPr>
            </w:pPr>
            <w:r>
              <w:rPr>
                <w:rFonts w:hint="eastAsia" w:ascii="宋体" w:hAnsi="宋体" w:cs="宋体"/>
                <w:color w:val="auto"/>
                <w:szCs w:val="21"/>
              </w:rPr>
              <w:t>2．如因包装质量问题影响甲方的使用的，甲方有权要求降价、换货、拒收部分或整批产品。乙方须以不褪色和明显字样在每件包装箱表面作出标记，以便甲方收货时进行清点。</w:t>
            </w:r>
          </w:p>
          <w:p w14:paraId="5AAB7267">
            <w:pPr>
              <w:ind w:firstLine="420"/>
              <w:rPr>
                <w:rFonts w:ascii="宋体" w:hAnsi="宋体" w:cs="宋体"/>
                <w:color w:val="auto"/>
                <w:szCs w:val="21"/>
              </w:rPr>
            </w:pPr>
          </w:p>
        </w:tc>
      </w:tr>
      <w:tr w14:paraId="2D15BE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C613503">
            <w:pPr>
              <w:adjustRightInd w:val="0"/>
              <w:snapToGrid w:val="0"/>
              <w:jc w:val="center"/>
              <w:rPr>
                <w:rFonts w:ascii="宋体" w:hAnsi="宋体" w:cs="宋体"/>
                <w:color w:val="auto"/>
                <w:szCs w:val="21"/>
              </w:rPr>
            </w:pPr>
          </w:p>
        </w:tc>
        <w:tc>
          <w:tcPr>
            <w:tcW w:w="1742" w:type="dxa"/>
            <w:vAlign w:val="center"/>
          </w:tcPr>
          <w:p w14:paraId="7134BC23">
            <w:pPr>
              <w:adjustRightInd w:val="0"/>
              <w:snapToGrid w:val="0"/>
              <w:jc w:val="left"/>
              <w:rPr>
                <w:rFonts w:ascii="宋体" w:hAnsi="宋体" w:cs="宋体"/>
                <w:color w:val="auto"/>
                <w:szCs w:val="21"/>
              </w:rPr>
            </w:pPr>
            <w:r>
              <w:rPr>
                <w:rFonts w:hint="eastAsia" w:ascii="宋体" w:hAnsi="宋体" w:cs="宋体"/>
                <w:color w:val="auto"/>
                <w:szCs w:val="21"/>
              </w:rPr>
              <w:t>指定现场</w:t>
            </w:r>
          </w:p>
        </w:tc>
        <w:tc>
          <w:tcPr>
            <w:tcW w:w="5170" w:type="dxa"/>
            <w:vAlign w:val="center"/>
          </w:tcPr>
          <w:p w14:paraId="38F120D7">
            <w:pPr>
              <w:ind w:firstLine="420"/>
              <w:rPr>
                <w:rFonts w:ascii="宋体" w:hAnsi="宋体" w:cs="宋体"/>
                <w:color w:val="auto"/>
                <w:szCs w:val="21"/>
              </w:rPr>
            </w:pPr>
            <w:r>
              <w:rPr>
                <w:rFonts w:hint="eastAsia" w:ascii="宋体" w:hAnsi="宋体" w:cs="宋体"/>
                <w:color w:val="auto"/>
                <w:szCs w:val="21"/>
              </w:rPr>
              <w:t>钦州市滨海大道12号（北部湾大学）</w:t>
            </w:r>
          </w:p>
        </w:tc>
      </w:tr>
      <w:tr w14:paraId="114861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B661E8C">
            <w:pPr>
              <w:adjustRightInd w:val="0"/>
              <w:snapToGrid w:val="0"/>
              <w:jc w:val="center"/>
              <w:rPr>
                <w:rFonts w:ascii="宋体" w:hAnsi="宋体" w:cs="宋体"/>
                <w:color w:val="auto"/>
                <w:szCs w:val="21"/>
              </w:rPr>
            </w:pPr>
            <w:r>
              <w:rPr>
                <w:rFonts w:hint="eastAsia" w:ascii="宋体" w:hAnsi="宋体" w:cs="宋体"/>
                <w:color w:val="auto"/>
                <w:szCs w:val="21"/>
              </w:rPr>
              <w:t>第二节</w:t>
            </w:r>
          </w:p>
          <w:p w14:paraId="3CDCD76C">
            <w:pPr>
              <w:adjustRightInd w:val="0"/>
              <w:snapToGrid w:val="0"/>
              <w:jc w:val="center"/>
              <w:rPr>
                <w:rFonts w:ascii="宋体" w:hAnsi="宋体" w:cs="宋体"/>
                <w:color w:val="auto"/>
                <w:szCs w:val="21"/>
              </w:rPr>
            </w:pPr>
            <w:r>
              <w:rPr>
                <w:rFonts w:hint="eastAsia" w:ascii="宋体" w:hAnsi="宋体" w:cs="宋体"/>
                <w:color w:val="auto"/>
                <w:szCs w:val="21"/>
              </w:rPr>
              <w:t>第7.2款</w:t>
            </w:r>
          </w:p>
        </w:tc>
        <w:tc>
          <w:tcPr>
            <w:tcW w:w="1742" w:type="dxa"/>
            <w:vAlign w:val="center"/>
          </w:tcPr>
          <w:p w14:paraId="62D1A55B">
            <w:pPr>
              <w:adjustRightInd w:val="0"/>
              <w:snapToGrid w:val="0"/>
              <w:jc w:val="left"/>
              <w:rPr>
                <w:rFonts w:ascii="宋体" w:hAnsi="宋体" w:cs="宋体"/>
                <w:color w:val="auto"/>
                <w:szCs w:val="21"/>
              </w:rPr>
            </w:pPr>
            <w:r>
              <w:rPr>
                <w:rFonts w:hint="eastAsia" w:ascii="宋体" w:hAnsi="宋体" w:cs="宋体"/>
                <w:color w:val="auto"/>
                <w:szCs w:val="21"/>
              </w:rPr>
              <w:t>运输特殊要求</w:t>
            </w:r>
          </w:p>
        </w:tc>
        <w:tc>
          <w:tcPr>
            <w:tcW w:w="5170" w:type="dxa"/>
            <w:vAlign w:val="center"/>
          </w:tcPr>
          <w:p w14:paraId="62E34923">
            <w:pPr>
              <w:ind w:firstLine="420"/>
              <w:rPr>
                <w:rFonts w:ascii="宋体" w:hAnsi="宋体" w:cs="宋体"/>
                <w:color w:val="auto"/>
                <w:szCs w:val="21"/>
              </w:rPr>
            </w:pPr>
            <w:r>
              <w:rPr>
                <w:rFonts w:hint="eastAsia" w:ascii="宋体" w:hAnsi="宋体" w:cs="宋体"/>
                <w:color w:val="auto"/>
                <w:szCs w:val="21"/>
              </w:rPr>
              <w:t>1．乙方负责将设备及配套设施安全运送到甲方指定地点并承担相应运输费用。设备及配套设施在运输过程中发生损坏和丢失时，乙方应在甲乙双方协商确定的补货期限内尽快补货，但不能超出本合同约定的交货时间。</w:t>
            </w:r>
          </w:p>
          <w:p w14:paraId="627EE901">
            <w:pPr>
              <w:ind w:firstLine="420"/>
              <w:rPr>
                <w:rFonts w:ascii="宋体" w:hAnsi="宋体" w:cs="宋体"/>
                <w:color w:val="auto"/>
                <w:szCs w:val="21"/>
              </w:rPr>
            </w:pPr>
            <w:r>
              <w:rPr>
                <w:rFonts w:hint="eastAsia" w:ascii="宋体" w:hAnsi="宋体" w:cs="宋体"/>
                <w:color w:val="auto"/>
                <w:szCs w:val="21"/>
              </w:rPr>
              <w:t>2．乙方应将全部设备及配套设施一次性运至交货地点，并于发运手续办理完毕后二十四小时内或货到甲方前四十八小时将到货名称、型号、数量、外形尺寸、包装形式及注意事项等以书面形式通知甲方，以便甲方准备接货。如因乙方没有按时通知甲方而导致甲方不能及时接货的，后果由乙方承担。</w:t>
            </w:r>
          </w:p>
          <w:p w14:paraId="6B356D8A">
            <w:pPr>
              <w:ind w:firstLine="420"/>
              <w:rPr>
                <w:rFonts w:ascii="宋体" w:hAnsi="宋体" w:cs="宋体"/>
                <w:color w:val="auto"/>
                <w:szCs w:val="21"/>
              </w:rPr>
            </w:pPr>
            <w:r>
              <w:rPr>
                <w:rFonts w:hint="eastAsia" w:ascii="宋体" w:hAnsi="宋体" w:cs="宋体"/>
                <w:color w:val="auto"/>
                <w:szCs w:val="21"/>
              </w:rPr>
              <w:t>3．设备及配套设施在交货前发生的风险均由乙方负责。</w:t>
            </w:r>
          </w:p>
          <w:p w14:paraId="66093314">
            <w:pPr>
              <w:ind w:firstLine="420"/>
              <w:rPr>
                <w:rFonts w:ascii="宋体" w:hAnsi="宋体" w:cs="宋体"/>
                <w:color w:val="auto"/>
                <w:szCs w:val="21"/>
              </w:rPr>
            </w:pPr>
            <w:r>
              <w:rPr>
                <w:rFonts w:hint="eastAsia" w:ascii="宋体" w:hAnsi="宋体" w:cs="宋体"/>
                <w:color w:val="auto"/>
                <w:szCs w:val="21"/>
              </w:rPr>
              <w:t>4．设备及配套设施由乙方负责卸车并送到指定施工现场。设备及配套设施到达指定地点后，在甲方没有签收之前，设备及配套设施由乙方负责保管。</w:t>
            </w:r>
          </w:p>
          <w:p w14:paraId="5C3F5AAB">
            <w:pPr>
              <w:ind w:firstLine="420"/>
              <w:rPr>
                <w:rFonts w:ascii="宋体" w:hAnsi="宋体" w:cs="宋体"/>
                <w:color w:val="auto"/>
                <w:szCs w:val="21"/>
              </w:rPr>
            </w:pPr>
            <w:r>
              <w:rPr>
                <w:rFonts w:hint="eastAsia" w:ascii="宋体" w:hAnsi="宋体" w:cs="宋体"/>
                <w:color w:val="auto"/>
                <w:szCs w:val="21"/>
              </w:rPr>
              <w:t>5．乙方交付设备及配套设施时必须提供所交付设备及配套设施的清单、生产厂家的供货证明及售后服务承诺书、产品合格证、质量保证书、使用说明书、产品检疫书、发票、保修单、保险单等单证。如乙方不能提供相关证明文件，甲方可邀请国家相关权威部门或国家主管部门对设备及配套设施进行检验，费用由乙方负责。</w:t>
            </w:r>
          </w:p>
        </w:tc>
      </w:tr>
      <w:tr w14:paraId="101FCF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3528E73">
            <w:pPr>
              <w:adjustRightInd w:val="0"/>
              <w:snapToGrid w:val="0"/>
              <w:jc w:val="center"/>
              <w:rPr>
                <w:rFonts w:ascii="宋体" w:hAnsi="宋体" w:cs="宋体"/>
                <w:color w:val="auto"/>
                <w:szCs w:val="21"/>
              </w:rPr>
            </w:pPr>
            <w:r>
              <w:rPr>
                <w:rFonts w:hint="eastAsia" w:ascii="宋体" w:hAnsi="宋体" w:cs="宋体"/>
                <w:color w:val="auto"/>
                <w:szCs w:val="21"/>
              </w:rPr>
              <w:t>第二节</w:t>
            </w:r>
          </w:p>
          <w:p w14:paraId="2EFDA716">
            <w:pPr>
              <w:adjustRightInd w:val="0"/>
              <w:snapToGrid w:val="0"/>
              <w:jc w:val="center"/>
              <w:rPr>
                <w:rFonts w:ascii="宋体" w:hAnsi="宋体" w:cs="宋体"/>
                <w:color w:val="auto"/>
                <w:szCs w:val="21"/>
              </w:rPr>
            </w:pPr>
            <w:r>
              <w:rPr>
                <w:rFonts w:hint="eastAsia" w:ascii="宋体" w:hAnsi="宋体" w:cs="宋体"/>
                <w:color w:val="auto"/>
                <w:szCs w:val="21"/>
              </w:rPr>
              <w:t>第7.3款</w:t>
            </w:r>
          </w:p>
        </w:tc>
        <w:tc>
          <w:tcPr>
            <w:tcW w:w="1742" w:type="dxa"/>
            <w:vAlign w:val="center"/>
          </w:tcPr>
          <w:p w14:paraId="70EBCE85">
            <w:pPr>
              <w:adjustRightInd w:val="0"/>
              <w:snapToGrid w:val="0"/>
              <w:jc w:val="left"/>
              <w:rPr>
                <w:rFonts w:ascii="宋体" w:hAnsi="宋体" w:cs="宋体"/>
                <w:color w:val="auto"/>
                <w:szCs w:val="21"/>
              </w:rPr>
            </w:pPr>
            <w:r>
              <w:rPr>
                <w:rFonts w:hint="eastAsia" w:ascii="宋体" w:hAnsi="宋体" w:cs="宋体"/>
                <w:color w:val="auto"/>
                <w:szCs w:val="21"/>
              </w:rPr>
              <w:t>保险要求</w:t>
            </w:r>
          </w:p>
        </w:tc>
        <w:tc>
          <w:tcPr>
            <w:tcW w:w="5170" w:type="dxa"/>
            <w:vAlign w:val="center"/>
          </w:tcPr>
          <w:p w14:paraId="7909B6AD">
            <w:pPr>
              <w:ind w:firstLine="420"/>
              <w:rPr>
                <w:rFonts w:ascii="宋体" w:hAnsi="宋体" w:cs="宋体"/>
                <w:color w:val="auto"/>
                <w:szCs w:val="21"/>
              </w:rPr>
            </w:pPr>
            <w:r>
              <w:rPr>
                <w:rFonts w:hint="eastAsia" w:ascii="宋体" w:hAnsi="宋体" w:cs="宋体"/>
                <w:color w:val="auto"/>
                <w:szCs w:val="21"/>
              </w:rPr>
              <w:t>乙方负责货物运输、安装及售后服务所需的保险</w:t>
            </w:r>
          </w:p>
        </w:tc>
      </w:tr>
      <w:tr w14:paraId="0FDA28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CA2730">
            <w:pPr>
              <w:adjustRightInd w:val="0"/>
              <w:snapToGrid w:val="0"/>
              <w:jc w:val="center"/>
              <w:rPr>
                <w:rFonts w:ascii="宋体" w:hAnsi="宋体" w:cs="宋体"/>
                <w:color w:val="auto"/>
                <w:szCs w:val="21"/>
              </w:rPr>
            </w:pPr>
            <w:r>
              <w:rPr>
                <w:rFonts w:hint="eastAsia" w:ascii="宋体" w:hAnsi="宋体" w:cs="宋体"/>
                <w:color w:val="auto"/>
                <w:szCs w:val="21"/>
              </w:rPr>
              <w:t>第二节</w:t>
            </w:r>
          </w:p>
          <w:p w14:paraId="11E98067">
            <w:pPr>
              <w:adjustRightInd w:val="0"/>
              <w:snapToGrid w:val="0"/>
              <w:jc w:val="center"/>
              <w:rPr>
                <w:rFonts w:ascii="宋体" w:hAnsi="宋体" w:cs="宋体"/>
                <w:color w:val="auto"/>
                <w:szCs w:val="21"/>
              </w:rPr>
            </w:pPr>
            <w:r>
              <w:rPr>
                <w:rFonts w:hint="eastAsia" w:ascii="宋体" w:hAnsi="宋体" w:cs="宋体"/>
                <w:color w:val="auto"/>
                <w:szCs w:val="21"/>
              </w:rPr>
              <w:t>第8.2（1）项</w:t>
            </w:r>
          </w:p>
        </w:tc>
        <w:tc>
          <w:tcPr>
            <w:tcW w:w="1742" w:type="dxa"/>
            <w:vAlign w:val="center"/>
          </w:tcPr>
          <w:p w14:paraId="1EA1286B">
            <w:pPr>
              <w:adjustRightInd w:val="0"/>
              <w:snapToGrid w:val="0"/>
              <w:jc w:val="left"/>
              <w:rPr>
                <w:rFonts w:ascii="宋体" w:hAnsi="宋体" w:cs="宋体"/>
                <w:color w:val="auto"/>
                <w:szCs w:val="21"/>
              </w:rPr>
            </w:pPr>
            <w:r>
              <w:rPr>
                <w:rFonts w:hint="eastAsia" w:ascii="宋体" w:hAnsi="宋体" w:cs="宋体"/>
                <w:color w:val="auto"/>
                <w:szCs w:val="21"/>
              </w:rPr>
              <w:t>质量保证期</w:t>
            </w:r>
          </w:p>
        </w:tc>
        <w:tc>
          <w:tcPr>
            <w:tcW w:w="5170" w:type="dxa"/>
            <w:vAlign w:val="center"/>
          </w:tcPr>
          <w:p w14:paraId="7AD735EE">
            <w:pPr>
              <w:spacing w:line="360" w:lineRule="auto"/>
              <w:rPr>
                <w:rFonts w:ascii="宋体" w:hAnsi="宋体" w:cs="宋体"/>
                <w:color w:val="auto"/>
                <w:szCs w:val="21"/>
              </w:rPr>
            </w:pPr>
            <w:r>
              <w:rPr>
                <w:rFonts w:hint="eastAsia" w:ascii="宋体" w:hAnsi="宋体" w:cs="宋体"/>
                <w:color w:val="auto"/>
                <w:szCs w:val="21"/>
              </w:rPr>
              <w:t>免费</w:t>
            </w:r>
            <w:r>
              <w:rPr>
                <w:rFonts w:hint="eastAsia" w:ascii="宋体" w:hAnsi="宋体" w:cs="宋体"/>
                <w:color w:val="auto"/>
                <w:szCs w:val="21"/>
                <w:lang w:val="zh-CN"/>
              </w:rPr>
              <w:t>保修期：按国家有关产品“三包”规定执行“三包”，免费保修期不得少于</w:t>
            </w:r>
            <w:r>
              <w:rPr>
                <w:rFonts w:hint="eastAsia" w:ascii="宋体" w:hAnsi="宋体" w:cs="宋体"/>
                <w:color w:val="auto"/>
                <w:szCs w:val="21"/>
              </w:rPr>
              <w:t>1</w:t>
            </w:r>
            <w:r>
              <w:rPr>
                <w:rFonts w:hint="eastAsia" w:ascii="宋体" w:hAnsi="宋体" w:cs="宋体"/>
                <w:color w:val="auto"/>
                <w:szCs w:val="21"/>
                <w:lang w:val="zh-CN"/>
              </w:rPr>
              <w:t>年（</w:t>
            </w:r>
            <w:r>
              <w:rPr>
                <w:rFonts w:hint="eastAsia" w:ascii="宋体" w:hAnsi="宋体" w:cs="宋体"/>
                <w:color w:val="auto"/>
                <w:szCs w:val="21"/>
              </w:rPr>
              <w:t>按采购需求和响应文件填写</w:t>
            </w:r>
            <w:r>
              <w:rPr>
                <w:rFonts w:hint="eastAsia" w:ascii="宋体" w:hAnsi="宋体" w:cs="宋体"/>
                <w:color w:val="auto"/>
                <w:szCs w:val="21"/>
                <w:lang w:val="zh-CN"/>
              </w:rPr>
              <w:t>）。</w:t>
            </w:r>
          </w:p>
        </w:tc>
      </w:tr>
      <w:tr w14:paraId="632A28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645AB7">
            <w:pPr>
              <w:adjustRightInd w:val="0"/>
              <w:snapToGrid w:val="0"/>
              <w:jc w:val="center"/>
              <w:rPr>
                <w:rFonts w:ascii="宋体" w:hAnsi="宋体" w:cs="宋体"/>
                <w:color w:val="auto"/>
                <w:szCs w:val="21"/>
              </w:rPr>
            </w:pPr>
            <w:r>
              <w:rPr>
                <w:rFonts w:hint="eastAsia" w:ascii="宋体" w:hAnsi="宋体" w:cs="宋体"/>
                <w:color w:val="auto"/>
                <w:szCs w:val="21"/>
              </w:rPr>
              <w:t>第二节</w:t>
            </w:r>
          </w:p>
          <w:p w14:paraId="11D3B2F6">
            <w:pPr>
              <w:adjustRightInd w:val="0"/>
              <w:snapToGrid w:val="0"/>
              <w:jc w:val="center"/>
              <w:rPr>
                <w:rFonts w:ascii="宋体" w:hAnsi="宋体" w:cs="宋体"/>
                <w:color w:val="auto"/>
                <w:szCs w:val="21"/>
              </w:rPr>
            </w:pPr>
            <w:r>
              <w:rPr>
                <w:rFonts w:hint="eastAsia" w:ascii="宋体" w:hAnsi="宋体" w:cs="宋体"/>
                <w:color w:val="auto"/>
                <w:szCs w:val="21"/>
              </w:rPr>
              <w:t>第8.2（3）项</w:t>
            </w:r>
          </w:p>
        </w:tc>
        <w:tc>
          <w:tcPr>
            <w:tcW w:w="1742" w:type="dxa"/>
            <w:vAlign w:val="center"/>
          </w:tcPr>
          <w:p w14:paraId="6730DC60">
            <w:pPr>
              <w:adjustRightInd w:val="0"/>
              <w:snapToGrid w:val="0"/>
              <w:jc w:val="left"/>
              <w:rPr>
                <w:rFonts w:ascii="宋体" w:hAnsi="宋体" w:cs="宋体"/>
                <w:color w:val="auto"/>
                <w:szCs w:val="21"/>
              </w:rPr>
            </w:pPr>
            <w:r>
              <w:rPr>
                <w:rFonts w:hint="eastAsia" w:ascii="宋体" w:hAnsi="宋体" w:cs="宋体"/>
                <w:color w:val="auto"/>
                <w:szCs w:val="21"/>
              </w:rPr>
              <w:t>货物质量缺陷</w:t>
            </w:r>
          </w:p>
          <w:p w14:paraId="624BD3C8">
            <w:pPr>
              <w:adjustRightInd w:val="0"/>
              <w:snapToGrid w:val="0"/>
              <w:jc w:val="left"/>
              <w:rPr>
                <w:rFonts w:ascii="宋体" w:hAnsi="宋体" w:cs="宋体"/>
                <w:color w:val="auto"/>
                <w:szCs w:val="21"/>
              </w:rPr>
            </w:pPr>
            <w:r>
              <w:rPr>
                <w:rFonts w:hint="eastAsia" w:ascii="宋体" w:hAnsi="宋体" w:cs="宋体"/>
                <w:color w:val="auto"/>
                <w:szCs w:val="21"/>
              </w:rPr>
              <w:t>响应时间</w:t>
            </w:r>
          </w:p>
        </w:tc>
        <w:tc>
          <w:tcPr>
            <w:tcW w:w="5170" w:type="dxa"/>
            <w:vAlign w:val="center"/>
          </w:tcPr>
          <w:p w14:paraId="6B4D74D4">
            <w:pPr>
              <w:adjustRightInd w:val="0"/>
              <w:snapToGrid w:val="0"/>
              <w:ind w:firstLine="420"/>
              <w:jc w:val="left"/>
              <w:rPr>
                <w:rFonts w:ascii="宋体" w:hAnsi="宋体" w:cs="宋体"/>
                <w:color w:val="auto"/>
                <w:szCs w:val="21"/>
              </w:rPr>
            </w:pPr>
            <w:r>
              <w:rPr>
                <w:rFonts w:hint="eastAsia" w:ascii="宋体" w:hAnsi="宋体" w:cs="宋体"/>
                <w:color w:val="auto"/>
                <w:szCs w:val="21"/>
              </w:rPr>
              <w:t>五个日历日内提供合格的产品</w:t>
            </w:r>
          </w:p>
          <w:p w14:paraId="2044787C">
            <w:pPr>
              <w:adjustRightInd w:val="0"/>
              <w:snapToGrid w:val="0"/>
              <w:jc w:val="left"/>
              <w:rPr>
                <w:rFonts w:ascii="宋体" w:hAnsi="宋体" w:cs="宋体"/>
                <w:color w:val="auto"/>
                <w:szCs w:val="21"/>
              </w:rPr>
            </w:pPr>
          </w:p>
        </w:tc>
      </w:tr>
      <w:tr w14:paraId="59BBCA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A0A019">
            <w:pPr>
              <w:snapToGrid w:val="0"/>
              <w:ind w:firstLine="420"/>
              <w:jc w:val="center"/>
              <w:rPr>
                <w:rFonts w:ascii="宋体" w:hAnsi="宋体" w:cs="宋体"/>
                <w:color w:val="auto"/>
                <w:szCs w:val="21"/>
              </w:rPr>
            </w:pPr>
            <w:r>
              <w:rPr>
                <w:rFonts w:hint="eastAsia" w:ascii="宋体" w:hAnsi="宋体" w:cs="宋体"/>
                <w:color w:val="auto"/>
                <w:szCs w:val="21"/>
              </w:rPr>
              <w:t>第二节</w:t>
            </w:r>
          </w:p>
          <w:p w14:paraId="4870C692">
            <w:pPr>
              <w:pStyle w:val="145"/>
              <w:ind w:firstLine="0" w:firstLineChars="0"/>
              <w:jc w:val="center"/>
              <w:rPr>
                <w:rFonts w:ascii="宋体" w:hAnsi="宋体" w:eastAsia="宋体" w:cs="宋体"/>
                <w:color w:val="auto"/>
                <w:sz w:val="21"/>
              </w:rPr>
            </w:pPr>
            <w:r>
              <w:rPr>
                <w:rFonts w:hint="eastAsia" w:ascii="宋体" w:hAnsi="宋体" w:eastAsia="宋体" w:cs="宋体"/>
                <w:color w:val="auto"/>
                <w:sz w:val="21"/>
              </w:rPr>
              <w:t>第11.1款</w:t>
            </w:r>
          </w:p>
        </w:tc>
        <w:tc>
          <w:tcPr>
            <w:tcW w:w="1742" w:type="dxa"/>
            <w:vAlign w:val="center"/>
          </w:tcPr>
          <w:p w14:paraId="73C1A77D">
            <w:pPr>
              <w:adjustRightInd w:val="0"/>
              <w:snapToGrid w:val="0"/>
              <w:rPr>
                <w:rFonts w:ascii="宋体" w:hAnsi="宋体" w:cs="宋体"/>
                <w:color w:val="auto"/>
                <w:szCs w:val="21"/>
              </w:rPr>
            </w:pPr>
            <w:r>
              <w:rPr>
                <w:rFonts w:hint="eastAsia" w:ascii="宋体" w:hAnsi="宋体" w:cs="宋体"/>
                <w:color w:val="auto"/>
                <w:szCs w:val="21"/>
              </w:rPr>
              <w:t>其他应当保密的信息</w:t>
            </w:r>
          </w:p>
        </w:tc>
        <w:tc>
          <w:tcPr>
            <w:tcW w:w="5170" w:type="dxa"/>
            <w:vAlign w:val="center"/>
          </w:tcPr>
          <w:p w14:paraId="43ACF355">
            <w:pPr>
              <w:spacing w:line="360" w:lineRule="auto"/>
              <w:ind w:firstLine="420"/>
              <w:rPr>
                <w:rFonts w:ascii="宋体" w:hAnsi="宋体" w:cs="宋体"/>
                <w:color w:val="auto"/>
                <w:szCs w:val="21"/>
              </w:rPr>
            </w:pPr>
            <w:r>
              <w:rPr>
                <w:rFonts w:hint="eastAsia" w:ascii="宋体" w:hAnsi="宋体" w:cs="宋体"/>
                <w:color w:val="auto"/>
                <w:szCs w:val="21"/>
              </w:rPr>
              <w:t>非经甲方事先书面同意，乙方不得将甲方在本合同签署及履行过程中披露的的任何标准、规范、计划、图纸、模型、样品、资料或其他信息披露给任何第三人；乙方向与执行本合同的有关人员提供上述文件时，应保证有关人员遵守保密义务；由于乙方或人员引起泄密而造成甲方损失的，由乙方赔偿全部损失。</w:t>
            </w:r>
          </w:p>
        </w:tc>
      </w:tr>
      <w:tr w14:paraId="0AA0E8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0CF20B4">
            <w:pPr>
              <w:adjustRightInd w:val="0"/>
              <w:snapToGrid w:val="0"/>
              <w:ind w:firstLine="420"/>
              <w:jc w:val="center"/>
              <w:rPr>
                <w:rFonts w:ascii="宋体" w:hAnsi="宋体" w:cs="宋体"/>
                <w:color w:val="auto"/>
                <w:szCs w:val="21"/>
              </w:rPr>
            </w:pPr>
            <w:r>
              <w:rPr>
                <w:rFonts w:hint="eastAsia" w:ascii="宋体" w:hAnsi="宋体" w:cs="宋体"/>
                <w:color w:val="auto"/>
                <w:szCs w:val="21"/>
              </w:rPr>
              <w:t>第二节</w:t>
            </w:r>
          </w:p>
          <w:p w14:paraId="6E91685D">
            <w:pPr>
              <w:adjustRightInd w:val="0"/>
              <w:snapToGrid w:val="0"/>
              <w:ind w:firstLine="420"/>
              <w:jc w:val="center"/>
              <w:rPr>
                <w:rFonts w:ascii="宋体" w:hAnsi="宋体" w:cs="宋体"/>
                <w:color w:val="auto"/>
                <w:szCs w:val="21"/>
              </w:rPr>
            </w:pPr>
            <w:r>
              <w:rPr>
                <w:rFonts w:hint="eastAsia" w:ascii="宋体" w:hAnsi="宋体" w:cs="宋体"/>
                <w:color w:val="auto"/>
                <w:szCs w:val="21"/>
              </w:rPr>
              <w:t>第12.2款</w:t>
            </w:r>
          </w:p>
        </w:tc>
        <w:tc>
          <w:tcPr>
            <w:tcW w:w="1742" w:type="dxa"/>
            <w:vAlign w:val="center"/>
          </w:tcPr>
          <w:p w14:paraId="30EC4D8C">
            <w:pPr>
              <w:adjustRightInd w:val="0"/>
              <w:snapToGrid w:val="0"/>
              <w:jc w:val="left"/>
              <w:rPr>
                <w:rFonts w:ascii="宋体" w:hAnsi="宋体" w:cs="宋体"/>
                <w:color w:val="auto"/>
                <w:szCs w:val="21"/>
              </w:rPr>
            </w:pPr>
            <w:r>
              <w:rPr>
                <w:rFonts w:hint="eastAsia" w:ascii="宋体" w:hAnsi="宋体" w:cs="宋体"/>
                <w:color w:val="auto"/>
                <w:szCs w:val="21"/>
              </w:rPr>
              <w:t>合同价款支付时间</w:t>
            </w:r>
          </w:p>
        </w:tc>
        <w:tc>
          <w:tcPr>
            <w:tcW w:w="5170" w:type="dxa"/>
            <w:vAlign w:val="center"/>
          </w:tcPr>
          <w:p w14:paraId="67C57986">
            <w:pPr>
              <w:spacing w:line="360" w:lineRule="auto"/>
              <w:ind w:firstLine="420"/>
              <w:rPr>
                <w:rFonts w:ascii="宋体" w:hAnsi="宋体" w:cs="宋体"/>
                <w:color w:val="auto"/>
                <w:szCs w:val="21"/>
              </w:rPr>
            </w:pPr>
            <w:r>
              <w:rPr>
                <w:rFonts w:hint="eastAsia" w:ascii="宋体" w:hAnsi="宋体" w:cs="宋体"/>
                <w:color w:val="auto"/>
                <w:szCs w:val="21"/>
              </w:rPr>
              <w:t>1.签订合同后，由乙方开出合同总金额的30%的增值税专用发票及请款函，甲方自收到齐全的付款材料之日起十个工作日内预付给乙方合同总金额的30%，即人民币</w:t>
            </w:r>
            <w:r>
              <w:rPr>
                <w:rFonts w:hint="eastAsia" w:ascii="宋体" w:hAnsi="宋体" w:cs="宋体"/>
                <w:color w:val="auto"/>
                <w:szCs w:val="21"/>
                <w:u w:val="single"/>
                <w:shd w:val="clear" w:color="auto" w:fill="FFFFFF"/>
              </w:rPr>
              <w:t xml:space="preserve">   元整</w:t>
            </w:r>
            <w:r>
              <w:rPr>
                <w:rFonts w:hint="eastAsia" w:ascii="宋体" w:hAnsi="宋体" w:cs="宋体"/>
                <w:color w:val="auto"/>
                <w:szCs w:val="21"/>
              </w:rPr>
              <w:t>（¥</w:t>
            </w:r>
            <w:r>
              <w:rPr>
                <w:rFonts w:hint="eastAsia" w:ascii="宋体" w:hAnsi="宋体" w:cs="宋体"/>
                <w:color w:val="auto"/>
                <w:szCs w:val="21"/>
                <w:u w:val="single"/>
                <w:shd w:val="clear" w:color="auto" w:fill="FFFFFF"/>
              </w:rPr>
              <w:t xml:space="preserve">   </w:t>
            </w:r>
            <w:r>
              <w:rPr>
                <w:rFonts w:hint="eastAsia" w:ascii="宋体" w:hAnsi="宋体" w:cs="宋体"/>
                <w:color w:val="auto"/>
                <w:szCs w:val="21"/>
              </w:rPr>
              <w:t>）。</w:t>
            </w:r>
          </w:p>
          <w:p w14:paraId="588F2F8B">
            <w:pPr>
              <w:spacing w:line="360" w:lineRule="auto"/>
              <w:ind w:firstLine="420"/>
              <w:rPr>
                <w:rFonts w:ascii="宋体" w:hAnsi="宋体" w:cs="宋体"/>
                <w:color w:val="auto"/>
                <w:szCs w:val="21"/>
              </w:rPr>
            </w:pPr>
            <w:r>
              <w:rPr>
                <w:rFonts w:hint="eastAsia" w:ascii="宋体" w:hAnsi="宋体" w:cs="宋体"/>
                <w:color w:val="auto"/>
                <w:szCs w:val="21"/>
              </w:rPr>
              <w:t>2.乙方将所有设备及配套设施安装调试完毕，并正常运转，且为甲方培训结束，甲方无疑问后，经甲方最终验收合格，由乙方开出合同总金额的70%增值税专用发票及请款函，甲方自收到齐全的请款材料之日起二十个工作日内支付给乙方合同总金额的70%，即人民币</w:t>
            </w:r>
            <w:r>
              <w:rPr>
                <w:rFonts w:hint="eastAsia" w:ascii="宋体" w:hAnsi="宋体" w:cs="宋体"/>
                <w:color w:val="auto"/>
                <w:szCs w:val="21"/>
                <w:u w:val="single"/>
                <w:shd w:val="clear" w:color="auto" w:fill="FFFFFF"/>
              </w:rPr>
              <w:t xml:space="preserve"> 元整</w:t>
            </w:r>
            <w:r>
              <w:rPr>
                <w:rFonts w:hint="eastAsia" w:ascii="宋体" w:hAnsi="宋体" w:cs="宋体"/>
                <w:color w:val="auto"/>
                <w:szCs w:val="21"/>
              </w:rPr>
              <w:t>（¥</w:t>
            </w:r>
            <w:r>
              <w:rPr>
                <w:rFonts w:hint="eastAsia" w:ascii="宋体" w:hAnsi="宋体" w:cs="宋体"/>
                <w:color w:val="auto"/>
                <w:szCs w:val="21"/>
                <w:u w:val="single"/>
                <w:shd w:val="clear" w:color="auto" w:fill="FFFFFF"/>
              </w:rPr>
              <w:t xml:space="preserve">   </w:t>
            </w:r>
            <w:r>
              <w:rPr>
                <w:rFonts w:hint="eastAsia" w:ascii="宋体" w:hAnsi="宋体" w:cs="宋体"/>
                <w:color w:val="auto"/>
                <w:szCs w:val="21"/>
              </w:rPr>
              <w:t>）。</w:t>
            </w:r>
          </w:p>
        </w:tc>
      </w:tr>
      <w:tr w14:paraId="5A5D8A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C53BDC7">
            <w:pPr>
              <w:adjustRightInd w:val="0"/>
              <w:snapToGrid w:val="0"/>
              <w:jc w:val="center"/>
              <w:rPr>
                <w:rFonts w:ascii="宋体" w:hAnsi="宋体" w:cs="宋体"/>
                <w:color w:val="auto"/>
                <w:szCs w:val="21"/>
              </w:rPr>
            </w:pPr>
            <w:r>
              <w:rPr>
                <w:rFonts w:hint="eastAsia" w:ascii="宋体" w:hAnsi="宋体" w:cs="宋体"/>
                <w:color w:val="auto"/>
                <w:szCs w:val="21"/>
              </w:rPr>
              <w:t>第二节</w:t>
            </w:r>
          </w:p>
          <w:p w14:paraId="58CB2DC9">
            <w:pPr>
              <w:adjustRightInd w:val="0"/>
              <w:snapToGrid w:val="0"/>
              <w:jc w:val="center"/>
              <w:rPr>
                <w:rFonts w:ascii="宋体" w:hAnsi="宋体" w:cs="宋体"/>
                <w:color w:val="auto"/>
                <w:szCs w:val="21"/>
              </w:rPr>
            </w:pPr>
            <w:r>
              <w:rPr>
                <w:rFonts w:hint="eastAsia" w:ascii="宋体" w:hAnsi="宋体" w:cs="宋体"/>
                <w:color w:val="auto"/>
                <w:szCs w:val="21"/>
              </w:rPr>
              <w:t>第13.2款</w:t>
            </w:r>
          </w:p>
        </w:tc>
        <w:tc>
          <w:tcPr>
            <w:tcW w:w="1742" w:type="dxa"/>
            <w:vAlign w:val="center"/>
          </w:tcPr>
          <w:p w14:paraId="35ED2B81">
            <w:pPr>
              <w:adjustRightInd w:val="0"/>
              <w:snapToGrid w:val="0"/>
              <w:jc w:val="left"/>
              <w:rPr>
                <w:rFonts w:ascii="宋体" w:hAnsi="宋体" w:cs="宋体"/>
                <w:color w:val="auto"/>
                <w:szCs w:val="21"/>
              </w:rPr>
            </w:pPr>
            <w:r>
              <w:rPr>
                <w:rFonts w:hint="eastAsia" w:ascii="宋体" w:hAnsi="宋体" w:cs="宋体"/>
                <w:color w:val="auto"/>
                <w:szCs w:val="21"/>
              </w:rPr>
              <w:t>履约保证金不予退还的情形</w:t>
            </w:r>
          </w:p>
        </w:tc>
        <w:tc>
          <w:tcPr>
            <w:tcW w:w="5170" w:type="dxa"/>
            <w:vAlign w:val="center"/>
          </w:tcPr>
          <w:p w14:paraId="6D264198">
            <w:pPr>
              <w:adjustRightInd w:val="0"/>
              <w:snapToGrid w:val="0"/>
              <w:ind w:firstLine="420"/>
              <w:jc w:val="left"/>
              <w:rPr>
                <w:rFonts w:ascii="宋体" w:hAnsi="宋体" w:cs="宋体"/>
                <w:color w:val="auto"/>
                <w:szCs w:val="21"/>
              </w:rPr>
            </w:pPr>
            <w:r>
              <w:rPr>
                <w:rFonts w:hint="eastAsia" w:ascii="宋体" w:hAnsi="宋体" w:cs="宋体"/>
                <w:color w:val="auto"/>
                <w:szCs w:val="21"/>
              </w:rPr>
              <w:t>乙方不按合同执行的</w:t>
            </w:r>
          </w:p>
        </w:tc>
      </w:tr>
      <w:tr w14:paraId="15974D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EE7FD99">
            <w:pPr>
              <w:adjustRightInd w:val="0"/>
              <w:snapToGrid w:val="0"/>
              <w:jc w:val="center"/>
              <w:rPr>
                <w:rFonts w:ascii="宋体" w:hAnsi="宋体" w:cs="宋体"/>
                <w:color w:val="auto"/>
                <w:szCs w:val="21"/>
              </w:rPr>
            </w:pPr>
            <w:r>
              <w:rPr>
                <w:rFonts w:hint="eastAsia" w:ascii="宋体" w:hAnsi="宋体" w:cs="宋体"/>
                <w:color w:val="auto"/>
                <w:szCs w:val="21"/>
              </w:rPr>
              <w:t>第二节</w:t>
            </w:r>
          </w:p>
          <w:p w14:paraId="799A6B20">
            <w:pPr>
              <w:adjustRightInd w:val="0"/>
              <w:snapToGrid w:val="0"/>
              <w:jc w:val="center"/>
              <w:rPr>
                <w:rFonts w:ascii="宋体" w:hAnsi="宋体" w:cs="宋体"/>
                <w:color w:val="auto"/>
                <w:szCs w:val="21"/>
              </w:rPr>
            </w:pPr>
            <w:r>
              <w:rPr>
                <w:rFonts w:hint="eastAsia" w:ascii="宋体" w:hAnsi="宋体" w:cs="宋体"/>
                <w:color w:val="auto"/>
                <w:szCs w:val="21"/>
              </w:rPr>
              <w:t>第13.3款</w:t>
            </w:r>
          </w:p>
        </w:tc>
        <w:tc>
          <w:tcPr>
            <w:tcW w:w="1742" w:type="dxa"/>
            <w:vAlign w:val="center"/>
          </w:tcPr>
          <w:p w14:paraId="0CC77A84">
            <w:pPr>
              <w:adjustRightInd w:val="0"/>
              <w:snapToGrid w:val="0"/>
              <w:jc w:val="left"/>
              <w:rPr>
                <w:rFonts w:ascii="宋体" w:hAnsi="宋体" w:cs="宋体"/>
                <w:color w:val="auto"/>
                <w:szCs w:val="21"/>
              </w:rPr>
            </w:pPr>
            <w:r>
              <w:rPr>
                <w:rFonts w:hint="eastAsia" w:ascii="宋体" w:hAnsi="宋体" w:cs="宋体"/>
                <w:color w:val="auto"/>
                <w:szCs w:val="21"/>
              </w:rPr>
              <w:t>履约保证金退还时间及逾期退还的违约金</w:t>
            </w:r>
          </w:p>
        </w:tc>
        <w:tc>
          <w:tcPr>
            <w:tcW w:w="5170" w:type="dxa"/>
            <w:vAlign w:val="center"/>
          </w:tcPr>
          <w:p w14:paraId="3F73ACEF">
            <w:pPr>
              <w:spacing w:line="360" w:lineRule="auto"/>
              <w:ind w:firstLine="420"/>
              <w:rPr>
                <w:rFonts w:ascii="宋体" w:hAnsi="宋体" w:cs="宋体"/>
                <w:color w:val="auto"/>
                <w:szCs w:val="21"/>
              </w:rPr>
            </w:pPr>
            <w:r>
              <w:rPr>
                <w:rFonts w:hint="eastAsia" w:ascii="宋体" w:hAnsi="宋体" w:cs="宋体"/>
                <w:color w:val="auto"/>
                <w:szCs w:val="21"/>
              </w:rPr>
              <w:t>合同签订后，如乙方按合同履约的，并按照售后服务要求履行承诺且无质量问题的，自最终验收合格之日起，质保期期满后由乙方向甲方发出退款函，甲方自收到齐全的退付材料之日起十个工作日之内向乙方支付（无息）。如乙方不按双方签订的合同履约的，履约保证金不予退还；因乙方违约造成甲方损失的，还须按造成的实际损失另行赔偿。</w:t>
            </w:r>
          </w:p>
        </w:tc>
      </w:tr>
      <w:tr w14:paraId="359F99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D8E3B93">
            <w:pPr>
              <w:adjustRightInd w:val="0"/>
              <w:snapToGrid w:val="0"/>
              <w:jc w:val="center"/>
              <w:rPr>
                <w:rFonts w:ascii="宋体" w:hAnsi="宋体" w:cs="宋体"/>
                <w:color w:val="auto"/>
                <w:szCs w:val="21"/>
              </w:rPr>
            </w:pPr>
            <w:r>
              <w:rPr>
                <w:rFonts w:hint="eastAsia" w:ascii="宋体" w:hAnsi="宋体" w:cs="宋体"/>
                <w:color w:val="auto"/>
                <w:szCs w:val="21"/>
              </w:rPr>
              <w:t>第二节</w:t>
            </w:r>
          </w:p>
          <w:p w14:paraId="61A26188">
            <w:pPr>
              <w:adjustRightInd w:val="0"/>
              <w:snapToGrid w:val="0"/>
              <w:jc w:val="center"/>
              <w:rPr>
                <w:rFonts w:ascii="宋体" w:hAnsi="宋体" w:cs="宋体"/>
                <w:color w:val="auto"/>
                <w:szCs w:val="21"/>
              </w:rPr>
            </w:pPr>
            <w:r>
              <w:rPr>
                <w:rFonts w:hint="eastAsia" w:ascii="宋体" w:hAnsi="宋体" w:cs="宋体"/>
                <w:color w:val="auto"/>
                <w:szCs w:val="21"/>
              </w:rPr>
              <w:t>第14.1（3）项</w:t>
            </w:r>
          </w:p>
        </w:tc>
        <w:tc>
          <w:tcPr>
            <w:tcW w:w="1742" w:type="dxa"/>
            <w:vAlign w:val="center"/>
          </w:tcPr>
          <w:p w14:paraId="2F9008AE">
            <w:pPr>
              <w:adjustRightInd w:val="0"/>
              <w:snapToGrid w:val="0"/>
              <w:jc w:val="left"/>
              <w:rPr>
                <w:rFonts w:ascii="宋体" w:hAnsi="宋体" w:cs="宋体"/>
                <w:color w:val="auto"/>
                <w:szCs w:val="21"/>
              </w:rPr>
            </w:pPr>
            <w:r>
              <w:rPr>
                <w:rFonts w:hint="eastAsia" w:ascii="宋体" w:hAnsi="宋体" w:cs="宋体"/>
                <w:color w:val="auto"/>
                <w:szCs w:val="21"/>
              </w:rPr>
              <w:t>运行监督、维修期限</w:t>
            </w:r>
          </w:p>
        </w:tc>
        <w:tc>
          <w:tcPr>
            <w:tcW w:w="5170" w:type="dxa"/>
            <w:vAlign w:val="center"/>
          </w:tcPr>
          <w:p w14:paraId="7C428B4D">
            <w:pPr>
              <w:spacing w:line="360" w:lineRule="auto"/>
              <w:ind w:firstLine="420"/>
              <w:rPr>
                <w:rFonts w:ascii="宋体" w:hAnsi="宋体" w:cs="宋体"/>
                <w:color w:val="auto"/>
                <w:szCs w:val="21"/>
              </w:rPr>
            </w:pPr>
            <w:r>
              <w:rPr>
                <w:rFonts w:hint="eastAsia" w:ascii="宋体" w:hAnsi="宋体" w:cs="宋体"/>
                <w:color w:val="auto"/>
                <w:szCs w:val="21"/>
              </w:rPr>
              <w:t>在质保期内，乙方提供7×24的完全免费上门保修服务（免费人工、免费配件），当接到甲方维修问题通知后2小时内进行响应，4小时内上门服务，到达现场后24小时内维修好。若24个小时内无法维修好的设备，供应商必须提供不低于故障设备规格型号档次的备用设备，直到故障设备修复，供应商对所有设备实行终身维护。</w:t>
            </w:r>
          </w:p>
        </w:tc>
      </w:tr>
      <w:tr w14:paraId="260B78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AF6D689">
            <w:pPr>
              <w:adjustRightInd w:val="0"/>
              <w:snapToGrid w:val="0"/>
              <w:jc w:val="center"/>
              <w:rPr>
                <w:rFonts w:ascii="宋体" w:hAnsi="宋体" w:cs="宋体"/>
                <w:color w:val="auto"/>
                <w:szCs w:val="21"/>
              </w:rPr>
            </w:pPr>
            <w:r>
              <w:rPr>
                <w:rFonts w:hint="eastAsia" w:ascii="宋体" w:hAnsi="宋体" w:cs="宋体"/>
                <w:color w:val="auto"/>
                <w:szCs w:val="21"/>
              </w:rPr>
              <w:t>第二节</w:t>
            </w:r>
          </w:p>
          <w:p w14:paraId="4567E255">
            <w:pPr>
              <w:adjustRightInd w:val="0"/>
              <w:snapToGrid w:val="0"/>
              <w:jc w:val="center"/>
              <w:rPr>
                <w:rFonts w:ascii="宋体" w:hAnsi="宋体" w:cs="宋体"/>
                <w:color w:val="auto"/>
                <w:szCs w:val="21"/>
              </w:rPr>
            </w:pPr>
            <w:r>
              <w:rPr>
                <w:rFonts w:hint="eastAsia" w:ascii="宋体" w:hAnsi="宋体" w:cs="宋体"/>
                <w:color w:val="auto"/>
                <w:szCs w:val="21"/>
              </w:rPr>
              <w:t>第14.1（5）项</w:t>
            </w:r>
          </w:p>
        </w:tc>
        <w:tc>
          <w:tcPr>
            <w:tcW w:w="1742" w:type="dxa"/>
            <w:vAlign w:val="center"/>
          </w:tcPr>
          <w:p w14:paraId="506CFAF0">
            <w:pPr>
              <w:adjustRightInd w:val="0"/>
              <w:snapToGrid w:val="0"/>
              <w:jc w:val="left"/>
              <w:rPr>
                <w:rFonts w:ascii="宋体" w:hAnsi="宋体" w:cs="宋体"/>
                <w:color w:val="auto"/>
                <w:szCs w:val="21"/>
              </w:rPr>
            </w:pPr>
            <w:r>
              <w:rPr>
                <w:rFonts w:hint="eastAsia" w:ascii="宋体" w:hAnsi="宋体" w:cs="宋体"/>
                <w:color w:val="auto"/>
                <w:szCs w:val="21"/>
              </w:rPr>
              <w:t>货物回收的约定</w:t>
            </w:r>
          </w:p>
        </w:tc>
        <w:tc>
          <w:tcPr>
            <w:tcW w:w="5170" w:type="dxa"/>
            <w:vAlign w:val="center"/>
          </w:tcPr>
          <w:p w14:paraId="3D36228A">
            <w:pPr>
              <w:adjustRightInd w:val="0"/>
              <w:snapToGrid w:val="0"/>
              <w:ind w:firstLine="420"/>
              <w:jc w:val="left"/>
              <w:rPr>
                <w:rFonts w:ascii="宋体" w:hAnsi="宋体" w:cs="宋体"/>
                <w:color w:val="auto"/>
                <w:szCs w:val="21"/>
              </w:rPr>
            </w:pPr>
            <w:r>
              <w:rPr>
                <w:rFonts w:hint="eastAsia" w:ascii="宋体" w:hAnsi="宋体" w:cs="宋体"/>
                <w:color w:val="auto"/>
                <w:szCs w:val="21"/>
              </w:rPr>
              <w:t>无</w:t>
            </w:r>
          </w:p>
        </w:tc>
      </w:tr>
      <w:tr w14:paraId="4E5801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972CEE">
            <w:pPr>
              <w:adjustRightInd w:val="0"/>
              <w:snapToGrid w:val="0"/>
              <w:jc w:val="center"/>
              <w:rPr>
                <w:rFonts w:ascii="宋体" w:hAnsi="宋体" w:cs="宋体"/>
                <w:color w:val="auto"/>
                <w:szCs w:val="21"/>
              </w:rPr>
            </w:pPr>
            <w:r>
              <w:rPr>
                <w:rFonts w:hint="eastAsia" w:ascii="宋体" w:hAnsi="宋体" w:cs="宋体"/>
                <w:color w:val="auto"/>
                <w:szCs w:val="21"/>
              </w:rPr>
              <w:t>第二节</w:t>
            </w:r>
          </w:p>
          <w:p w14:paraId="74ADDFF5">
            <w:pPr>
              <w:adjustRightInd w:val="0"/>
              <w:snapToGrid w:val="0"/>
              <w:jc w:val="center"/>
              <w:rPr>
                <w:rFonts w:ascii="宋体" w:hAnsi="宋体" w:cs="宋体"/>
                <w:color w:val="auto"/>
                <w:szCs w:val="21"/>
              </w:rPr>
            </w:pPr>
            <w:r>
              <w:rPr>
                <w:rFonts w:hint="eastAsia" w:ascii="宋体" w:hAnsi="宋体" w:cs="宋体"/>
                <w:color w:val="auto"/>
                <w:szCs w:val="21"/>
              </w:rPr>
              <w:t>第14.1（6）项</w:t>
            </w:r>
          </w:p>
        </w:tc>
        <w:tc>
          <w:tcPr>
            <w:tcW w:w="1742" w:type="dxa"/>
            <w:vAlign w:val="center"/>
          </w:tcPr>
          <w:p w14:paraId="05CEC4CB">
            <w:pPr>
              <w:adjustRightInd w:val="0"/>
              <w:snapToGrid w:val="0"/>
              <w:jc w:val="left"/>
              <w:rPr>
                <w:rFonts w:ascii="宋体" w:hAnsi="宋体" w:cs="宋体"/>
                <w:color w:val="auto"/>
                <w:szCs w:val="21"/>
              </w:rPr>
            </w:pPr>
            <w:r>
              <w:rPr>
                <w:rFonts w:hint="eastAsia" w:ascii="宋体" w:hAnsi="宋体" w:cs="宋体"/>
                <w:color w:val="auto"/>
                <w:szCs w:val="21"/>
              </w:rPr>
              <w:t>乙方提供的其他服务</w:t>
            </w:r>
          </w:p>
        </w:tc>
        <w:tc>
          <w:tcPr>
            <w:tcW w:w="5170" w:type="dxa"/>
            <w:vAlign w:val="center"/>
          </w:tcPr>
          <w:p w14:paraId="5700C014">
            <w:pPr>
              <w:spacing w:line="360" w:lineRule="auto"/>
              <w:ind w:firstLine="420"/>
              <w:rPr>
                <w:rFonts w:ascii="宋体" w:hAnsi="宋体" w:cs="宋体"/>
                <w:color w:val="auto"/>
                <w:szCs w:val="21"/>
              </w:rPr>
            </w:pPr>
            <w:r>
              <w:rPr>
                <w:rFonts w:hint="eastAsia" w:ascii="宋体" w:hAnsi="宋体" w:cs="宋体"/>
                <w:color w:val="auto"/>
                <w:szCs w:val="21"/>
              </w:rPr>
              <w:t>1．乙方负责为甲方人员培训使用设备及配套设施维护维修人员三至五人。培训费用已包含在设备及配套设施总价款内。</w:t>
            </w:r>
          </w:p>
          <w:p w14:paraId="66EC4EA9">
            <w:pPr>
              <w:spacing w:line="360" w:lineRule="auto"/>
              <w:ind w:firstLine="420"/>
              <w:rPr>
                <w:rFonts w:ascii="宋体" w:hAnsi="宋体" w:cs="宋体"/>
                <w:color w:val="auto"/>
                <w:szCs w:val="21"/>
              </w:rPr>
            </w:pPr>
            <w:r>
              <w:rPr>
                <w:rFonts w:hint="eastAsia" w:ascii="宋体" w:hAnsi="宋体" w:cs="宋体"/>
                <w:color w:val="auto"/>
                <w:szCs w:val="21"/>
              </w:rPr>
              <w:t>培训目标：使操作人员达到（1）能独立进行设备及配套设施操作使用；（2）能独立进行设备及配套设施的日常维护和常见故障检查和解决。</w:t>
            </w:r>
          </w:p>
          <w:p w14:paraId="11958986">
            <w:pPr>
              <w:spacing w:line="360" w:lineRule="auto"/>
              <w:ind w:firstLine="420"/>
              <w:rPr>
                <w:rFonts w:ascii="宋体" w:hAnsi="宋体" w:cs="宋体"/>
                <w:color w:val="auto"/>
                <w:szCs w:val="21"/>
              </w:rPr>
            </w:pPr>
            <w:r>
              <w:rPr>
                <w:rFonts w:hint="eastAsia" w:ascii="宋体" w:hAnsi="宋体" w:cs="宋体"/>
                <w:color w:val="auto"/>
                <w:szCs w:val="21"/>
              </w:rPr>
              <w:t>培训地点：设备及配套设施安装的地点（甲方所在地）。</w:t>
            </w:r>
          </w:p>
          <w:p w14:paraId="09263597">
            <w:pPr>
              <w:spacing w:line="360" w:lineRule="auto"/>
              <w:ind w:firstLine="420"/>
              <w:rPr>
                <w:rFonts w:ascii="宋体" w:hAnsi="宋体" w:cs="宋体"/>
                <w:color w:val="auto"/>
                <w:szCs w:val="21"/>
              </w:rPr>
            </w:pPr>
            <w:r>
              <w:rPr>
                <w:rFonts w:hint="eastAsia" w:ascii="宋体" w:hAnsi="宋体" w:cs="宋体"/>
                <w:color w:val="auto"/>
                <w:szCs w:val="21"/>
              </w:rPr>
              <w:t>2．乙方所提供的设备及配套设施在质保期内，若出现非人为的质量问题，乙方负责免费整件更换新设备及配套设施。</w:t>
            </w:r>
          </w:p>
          <w:p w14:paraId="66D0E2CD">
            <w:pPr>
              <w:spacing w:line="360" w:lineRule="auto"/>
              <w:ind w:firstLine="420"/>
              <w:rPr>
                <w:rFonts w:ascii="宋体" w:hAnsi="宋体" w:cs="宋体"/>
                <w:color w:val="auto"/>
                <w:szCs w:val="21"/>
              </w:rPr>
            </w:pPr>
            <w:r>
              <w:rPr>
                <w:rFonts w:hint="eastAsia" w:ascii="宋体" w:hAnsi="宋体" w:cs="宋体"/>
                <w:color w:val="auto"/>
                <w:szCs w:val="21"/>
              </w:rPr>
              <w:t>3．所有设备及配套设施质保期间出现非人为故障，乙方负责提供免费的上门维修、零部件更换等服务。设备及配套设施因甲方使用不当造成的损坏，乙方负责成本维修。</w:t>
            </w:r>
          </w:p>
          <w:p w14:paraId="4DBDD8B2">
            <w:pPr>
              <w:spacing w:line="360" w:lineRule="auto"/>
              <w:ind w:firstLine="420"/>
              <w:rPr>
                <w:rFonts w:ascii="宋体" w:hAnsi="宋体" w:cs="宋体"/>
                <w:color w:val="auto"/>
                <w:szCs w:val="21"/>
              </w:rPr>
            </w:pPr>
            <w:r>
              <w:rPr>
                <w:rFonts w:hint="eastAsia" w:ascii="宋体" w:hAnsi="宋体" w:cs="宋体"/>
                <w:color w:val="auto"/>
                <w:szCs w:val="21"/>
              </w:rPr>
              <w:t>4．质保期内，乙方借故推脱或无理由拒绝甲方提出的维修、更换服务请求，甲方可以自行解决，并对维修或更换服务以实际发生的费用或按市场价从履约保证金内扣除；因乙方违约造成甲方损失的，还须按造成的实际损失另行赔偿。</w:t>
            </w:r>
          </w:p>
          <w:p w14:paraId="0B3157C7">
            <w:pPr>
              <w:spacing w:line="360" w:lineRule="auto"/>
              <w:ind w:firstLine="420"/>
              <w:rPr>
                <w:rFonts w:ascii="宋体" w:hAnsi="宋体" w:cs="宋体"/>
                <w:color w:val="auto"/>
                <w:szCs w:val="21"/>
              </w:rPr>
            </w:pPr>
            <w:r>
              <w:rPr>
                <w:rFonts w:hint="eastAsia" w:ascii="宋体" w:hAnsi="宋体" w:cs="宋体"/>
                <w:color w:val="auto"/>
                <w:szCs w:val="21"/>
              </w:rPr>
              <w:t>5．质保期内，设备及配套设施经维修或更换后仍无法达到质量标准，甲方有权退货并按造成的实际损失向乙方索赔。</w:t>
            </w:r>
          </w:p>
          <w:p w14:paraId="7D3C8DED">
            <w:pPr>
              <w:spacing w:line="360" w:lineRule="auto"/>
              <w:ind w:firstLine="420"/>
              <w:rPr>
                <w:rFonts w:ascii="宋体" w:hAnsi="宋体" w:cs="宋体"/>
                <w:color w:val="auto"/>
                <w:szCs w:val="21"/>
              </w:rPr>
            </w:pPr>
          </w:p>
        </w:tc>
      </w:tr>
      <w:tr w14:paraId="0E646F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3B3031">
            <w:pPr>
              <w:adjustRightInd w:val="0"/>
              <w:snapToGrid w:val="0"/>
              <w:jc w:val="center"/>
              <w:rPr>
                <w:rFonts w:ascii="宋体" w:hAnsi="宋体" w:cs="宋体"/>
                <w:color w:val="auto"/>
                <w:szCs w:val="21"/>
              </w:rPr>
            </w:pPr>
            <w:r>
              <w:rPr>
                <w:rFonts w:hint="eastAsia" w:ascii="宋体" w:hAnsi="宋体" w:cs="宋体"/>
                <w:color w:val="auto"/>
                <w:szCs w:val="21"/>
              </w:rPr>
              <w:t>第二节</w:t>
            </w:r>
          </w:p>
          <w:p w14:paraId="76C35105">
            <w:pPr>
              <w:adjustRightInd w:val="0"/>
              <w:snapToGrid w:val="0"/>
              <w:jc w:val="center"/>
              <w:rPr>
                <w:rFonts w:ascii="宋体" w:hAnsi="宋体" w:cs="宋体"/>
                <w:color w:val="auto"/>
                <w:szCs w:val="21"/>
              </w:rPr>
            </w:pPr>
            <w:r>
              <w:rPr>
                <w:rFonts w:hint="eastAsia" w:ascii="宋体" w:hAnsi="宋体" w:cs="宋体"/>
                <w:color w:val="auto"/>
                <w:szCs w:val="21"/>
              </w:rPr>
              <w:t>第15.1款</w:t>
            </w:r>
          </w:p>
        </w:tc>
        <w:tc>
          <w:tcPr>
            <w:tcW w:w="1742" w:type="dxa"/>
            <w:vAlign w:val="center"/>
          </w:tcPr>
          <w:p w14:paraId="378F2AD9">
            <w:pPr>
              <w:adjustRightInd w:val="0"/>
              <w:snapToGrid w:val="0"/>
              <w:jc w:val="left"/>
              <w:rPr>
                <w:rFonts w:ascii="宋体" w:hAnsi="宋体" w:cs="宋体"/>
                <w:color w:val="auto"/>
                <w:szCs w:val="21"/>
              </w:rPr>
            </w:pPr>
            <w:r>
              <w:rPr>
                <w:rFonts w:hint="eastAsia" w:ascii="宋体" w:hAnsi="宋体" w:cs="宋体"/>
                <w:color w:val="auto"/>
                <w:szCs w:val="21"/>
              </w:rPr>
              <w:t>修理、重作、更换相关具体规定</w:t>
            </w:r>
          </w:p>
        </w:tc>
        <w:tc>
          <w:tcPr>
            <w:tcW w:w="5170" w:type="dxa"/>
            <w:vAlign w:val="center"/>
          </w:tcPr>
          <w:p w14:paraId="377A14B4">
            <w:pPr>
              <w:spacing w:line="360" w:lineRule="auto"/>
              <w:ind w:firstLine="420"/>
              <w:rPr>
                <w:rFonts w:ascii="宋体" w:hAnsi="宋体" w:cs="宋体"/>
                <w:color w:val="auto"/>
                <w:szCs w:val="21"/>
              </w:rPr>
            </w:pPr>
            <w:r>
              <w:rPr>
                <w:rFonts w:hint="eastAsia" w:ascii="宋体" w:hAnsi="宋体" w:cs="宋体"/>
                <w:color w:val="auto"/>
                <w:szCs w:val="21"/>
              </w:rPr>
              <w:t>1.乙方所提供的设备及配套设施品牌、型号、规格、技术参数、质量不符合合同约定、招标文件规定、响应文件响应及样品标准的，甲方有权拒收设备及配套设施。因质量问题甲方不同意接收的，乙方应按合同总金额的15%一次性支付违约金给甲方；因乙方违约造成甲方损失的，还须按造成的实际损失另行赔偿。</w:t>
            </w:r>
          </w:p>
          <w:p w14:paraId="38CCE0B5">
            <w:pPr>
              <w:spacing w:line="360" w:lineRule="auto"/>
              <w:ind w:firstLine="420"/>
              <w:jc w:val="left"/>
              <w:rPr>
                <w:rFonts w:ascii="宋体" w:hAnsi="宋体" w:cs="宋体"/>
                <w:color w:val="auto"/>
                <w:szCs w:val="21"/>
              </w:rPr>
            </w:pPr>
            <w:r>
              <w:rPr>
                <w:rFonts w:hint="eastAsia" w:ascii="宋体" w:hAnsi="宋体" w:cs="宋体"/>
                <w:color w:val="auto"/>
                <w:szCs w:val="21"/>
              </w:rPr>
              <w:t>2.对于要求退换的设备及配套设施，如乙方不能按本合同要求于五个日历日内重新提供合格的产品或重新提供的产品仍不符合要求的，甲方有权单方面立即解除合同（政府采购项目的需上报政府采购监督管理部门），并没收乙方向甲方交纳的履约保证金，乙方须在收到甲方通知后五个工作日内退还合同总金额的30%预付款；</w:t>
            </w:r>
            <w:r>
              <w:rPr>
                <w:rFonts w:hint="eastAsia" w:ascii="宋体" w:hAnsi="宋体" w:cs="宋体"/>
                <w:color w:val="auto"/>
                <w:szCs w:val="21"/>
                <w:shd w:val="clear" w:color="auto" w:fill="FFFFFF"/>
              </w:rPr>
              <w:t>因乙方违约造成甲方损失的，还须按造成的实际损失另行赔偿。</w:t>
            </w:r>
          </w:p>
        </w:tc>
      </w:tr>
      <w:tr w14:paraId="6EE7FD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B1F248">
            <w:pPr>
              <w:adjustRightInd w:val="0"/>
              <w:snapToGrid w:val="0"/>
              <w:jc w:val="center"/>
              <w:rPr>
                <w:rFonts w:ascii="宋体" w:hAnsi="宋体" w:cs="宋体"/>
                <w:color w:val="auto"/>
                <w:szCs w:val="21"/>
              </w:rPr>
            </w:pPr>
            <w:r>
              <w:rPr>
                <w:rFonts w:hint="eastAsia" w:ascii="宋体" w:hAnsi="宋体" w:cs="宋体"/>
                <w:color w:val="auto"/>
                <w:szCs w:val="21"/>
              </w:rPr>
              <w:t>第二节</w:t>
            </w:r>
          </w:p>
          <w:p w14:paraId="4BE2095E">
            <w:pPr>
              <w:adjustRightInd w:val="0"/>
              <w:snapToGrid w:val="0"/>
              <w:jc w:val="center"/>
              <w:rPr>
                <w:rFonts w:ascii="宋体" w:hAnsi="宋体" w:cs="宋体"/>
                <w:color w:val="auto"/>
                <w:szCs w:val="21"/>
              </w:rPr>
            </w:pPr>
            <w:r>
              <w:rPr>
                <w:rFonts w:hint="eastAsia" w:ascii="宋体" w:hAnsi="宋体" w:cs="宋体"/>
                <w:color w:val="auto"/>
                <w:szCs w:val="21"/>
              </w:rPr>
              <w:t>第15.2（2）项</w:t>
            </w:r>
          </w:p>
        </w:tc>
        <w:tc>
          <w:tcPr>
            <w:tcW w:w="1742" w:type="dxa"/>
            <w:vAlign w:val="center"/>
          </w:tcPr>
          <w:p w14:paraId="09A432E4">
            <w:pPr>
              <w:adjustRightInd w:val="0"/>
              <w:snapToGrid w:val="0"/>
              <w:jc w:val="left"/>
              <w:rPr>
                <w:rFonts w:ascii="宋体" w:hAnsi="宋体" w:cs="宋体"/>
                <w:color w:val="auto"/>
                <w:szCs w:val="21"/>
              </w:rPr>
            </w:pPr>
            <w:r>
              <w:rPr>
                <w:rFonts w:hint="eastAsia" w:ascii="宋体" w:hAnsi="宋体" w:cs="宋体"/>
                <w:color w:val="auto"/>
                <w:szCs w:val="21"/>
              </w:rPr>
              <w:t>迟延交货赔偿费</w:t>
            </w:r>
          </w:p>
        </w:tc>
        <w:tc>
          <w:tcPr>
            <w:tcW w:w="5170" w:type="dxa"/>
            <w:vAlign w:val="center"/>
          </w:tcPr>
          <w:p w14:paraId="456217E1">
            <w:pPr>
              <w:spacing w:line="360" w:lineRule="auto"/>
              <w:ind w:firstLine="420"/>
              <w:jc w:val="left"/>
              <w:rPr>
                <w:rFonts w:ascii="宋体" w:hAnsi="宋体" w:cs="宋体"/>
                <w:color w:val="auto"/>
                <w:szCs w:val="21"/>
                <w:u w:val="single"/>
              </w:rPr>
            </w:pPr>
            <w:r>
              <w:rPr>
                <w:rFonts w:hint="eastAsia" w:ascii="宋体" w:hAnsi="宋体" w:cs="宋体"/>
                <w:color w:val="auto"/>
                <w:szCs w:val="21"/>
              </w:rPr>
              <w:t>乙方逾期交付设备及配套设施的（甲方最终验收不合格亦视为乙方逾期交付），乙方应向甲方支付逾期违约金，每日按合同总价的千分之三计算，最高不超合同总价的5%。逾期七天，甲方有权单方面立即解除合同（政府采购项目的需上报政府采购监督管理部门），除没收履约保证金外，乙方还应按本合同金额的15%承担违约责任。乙方须在收到甲方通知后五个工作日内退还合同总金额的30%预付款，且甲方有权从第三方采购。如造成甲方损失的，还须按造成的实际损失另行赔偿。</w:t>
            </w:r>
          </w:p>
        </w:tc>
      </w:tr>
      <w:tr w14:paraId="0E770A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ACA832">
            <w:pPr>
              <w:adjustRightInd w:val="0"/>
              <w:snapToGrid w:val="0"/>
              <w:jc w:val="center"/>
              <w:rPr>
                <w:rFonts w:ascii="宋体" w:hAnsi="宋体" w:cs="宋体"/>
                <w:color w:val="auto"/>
                <w:szCs w:val="21"/>
              </w:rPr>
            </w:pPr>
            <w:r>
              <w:rPr>
                <w:rFonts w:hint="eastAsia" w:ascii="宋体" w:hAnsi="宋体" w:cs="宋体"/>
                <w:color w:val="auto"/>
                <w:szCs w:val="21"/>
              </w:rPr>
              <w:t>第二节</w:t>
            </w:r>
          </w:p>
          <w:p w14:paraId="02CC46FA">
            <w:pPr>
              <w:adjustRightInd w:val="0"/>
              <w:snapToGrid w:val="0"/>
              <w:jc w:val="center"/>
              <w:rPr>
                <w:rFonts w:ascii="宋体" w:hAnsi="宋体" w:cs="宋体"/>
                <w:color w:val="auto"/>
                <w:szCs w:val="21"/>
              </w:rPr>
            </w:pPr>
            <w:r>
              <w:rPr>
                <w:rFonts w:hint="eastAsia" w:ascii="宋体" w:hAnsi="宋体" w:cs="宋体"/>
                <w:color w:val="auto"/>
                <w:szCs w:val="21"/>
              </w:rPr>
              <w:t>第15.3款</w:t>
            </w:r>
          </w:p>
        </w:tc>
        <w:tc>
          <w:tcPr>
            <w:tcW w:w="1742" w:type="dxa"/>
            <w:vAlign w:val="center"/>
          </w:tcPr>
          <w:p w14:paraId="434E0D05">
            <w:pPr>
              <w:adjustRightInd w:val="0"/>
              <w:snapToGrid w:val="0"/>
              <w:jc w:val="left"/>
              <w:rPr>
                <w:rFonts w:ascii="宋体" w:hAnsi="宋体" w:cs="宋体"/>
                <w:color w:val="auto"/>
                <w:szCs w:val="21"/>
              </w:rPr>
            </w:pPr>
            <w:r>
              <w:rPr>
                <w:rFonts w:hint="eastAsia" w:ascii="宋体" w:hAnsi="宋体" w:cs="宋体"/>
                <w:color w:val="auto"/>
                <w:szCs w:val="21"/>
              </w:rPr>
              <w:t>逾期付款利息</w:t>
            </w:r>
          </w:p>
        </w:tc>
        <w:tc>
          <w:tcPr>
            <w:tcW w:w="5170" w:type="dxa"/>
            <w:vAlign w:val="center"/>
          </w:tcPr>
          <w:p w14:paraId="2CCD49A7">
            <w:pPr>
              <w:adjustRightInd w:val="0"/>
              <w:snapToGrid w:val="0"/>
              <w:ind w:firstLine="420"/>
              <w:jc w:val="left"/>
              <w:rPr>
                <w:rFonts w:ascii="宋体" w:hAnsi="宋体" w:cs="宋体"/>
                <w:color w:val="auto"/>
                <w:szCs w:val="21"/>
                <w:u w:val="single"/>
              </w:rPr>
            </w:pPr>
            <w:r>
              <w:rPr>
                <w:rFonts w:hint="eastAsia" w:ascii="宋体" w:hAnsi="宋体" w:cs="宋体"/>
                <w:color w:val="auto"/>
                <w:szCs w:val="21"/>
              </w:rPr>
              <w:t>无</w:t>
            </w:r>
          </w:p>
        </w:tc>
      </w:tr>
      <w:tr w14:paraId="2C72F9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4DEEB73">
            <w:pPr>
              <w:adjustRightInd w:val="0"/>
              <w:snapToGrid w:val="0"/>
              <w:jc w:val="center"/>
              <w:rPr>
                <w:rFonts w:ascii="宋体" w:hAnsi="宋体" w:cs="宋体"/>
                <w:color w:val="auto"/>
                <w:szCs w:val="21"/>
              </w:rPr>
            </w:pPr>
            <w:r>
              <w:rPr>
                <w:rFonts w:hint="eastAsia" w:ascii="宋体" w:hAnsi="宋体" w:cs="宋体"/>
                <w:color w:val="auto"/>
                <w:szCs w:val="21"/>
              </w:rPr>
              <w:t>第二节</w:t>
            </w:r>
          </w:p>
          <w:p w14:paraId="1EB4DE26">
            <w:pPr>
              <w:adjustRightInd w:val="0"/>
              <w:snapToGrid w:val="0"/>
              <w:jc w:val="center"/>
              <w:rPr>
                <w:rFonts w:ascii="宋体" w:hAnsi="宋体" w:cs="宋体"/>
                <w:color w:val="auto"/>
                <w:szCs w:val="21"/>
              </w:rPr>
            </w:pPr>
            <w:r>
              <w:rPr>
                <w:rFonts w:hint="eastAsia" w:ascii="宋体" w:hAnsi="宋体" w:cs="宋体"/>
                <w:color w:val="auto"/>
                <w:szCs w:val="21"/>
              </w:rPr>
              <w:t>第15.4款</w:t>
            </w:r>
          </w:p>
        </w:tc>
        <w:tc>
          <w:tcPr>
            <w:tcW w:w="1742" w:type="dxa"/>
            <w:tcBorders>
              <w:left w:val="single" w:color="auto" w:sz="2" w:space="0"/>
              <w:bottom w:val="single" w:color="auto" w:sz="2" w:space="0"/>
              <w:right w:val="single" w:color="auto" w:sz="2" w:space="0"/>
            </w:tcBorders>
            <w:vAlign w:val="center"/>
          </w:tcPr>
          <w:p w14:paraId="684A645E">
            <w:pPr>
              <w:adjustRightInd w:val="0"/>
              <w:snapToGrid w:val="0"/>
              <w:jc w:val="left"/>
              <w:rPr>
                <w:rFonts w:ascii="宋体" w:hAnsi="宋体" w:cs="宋体"/>
                <w:color w:val="auto"/>
                <w:szCs w:val="21"/>
              </w:rPr>
            </w:pPr>
            <w:r>
              <w:rPr>
                <w:rFonts w:hint="eastAsia" w:ascii="宋体" w:hAnsi="宋体" w:cs="宋体"/>
                <w:color w:val="auto"/>
                <w:szCs w:val="21"/>
              </w:rPr>
              <w:t>其他违约责任</w:t>
            </w:r>
          </w:p>
        </w:tc>
        <w:tc>
          <w:tcPr>
            <w:tcW w:w="5170" w:type="dxa"/>
            <w:tcBorders>
              <w:left w:val="single" w:color="auto" w:sz="2" w:space="0"/>
              <w:bottom w:val="single" w:color="auto" w:sz="2" w:space="0"/>
            </w:tcBorders>
            <w:vAlign w:val="center"/>
          </w:tcPr>
          <w:p w14:paraId="18596C65">
            <w:pPr>
              <w:spacing w:line="360" w:lineRule="auto"/>
              <w:ind w:firstLine="420"/>
              <w:rPr>
                <w:rFonts w:ascii="宋体" w:hAnsi="宋体" w:cs="宋体"/>
                <w:color w:val="auto"/>
                <w:szCs w:val="21"/>
              </w:rPr>
            </w:pPr>
            <w:r>
              <w:rPr>
                <w:rFonts w:hint="eastAsia" w:ascii="宋体" w:hAnsi="宋体" w:cs="宋体"/>
                <w:color w:val="auto"/>
                <w:szCs w:val="21"/>
              </w:rPr>
              <w:t>1.设备及配套设施经甲方检验证实存在缺陷或零部件不符合合同约定的，甲方可以根据情况选择：</w:t>
            </w:r>
          </w:p>
          <w:p w14:paraId="70FE039A">
            <w:pPr>
              <w:spacing w:line="360" w:lineRule="auto"/>
              <w:ind w:firstLine="420"/>
              <w:rPr>
                <w:rFonts w:ascii="宋体" w:hAnsi="宋体" w:cs="宋体"/>
                <w:color w:val="auto"/>
                <w:szCs w:val="21"/>
              </w:rPr>
            </w:pPr>
            <w:r>
              <w:rPr>
                <w:rFonts w:hint="eastAsia" w:ascii="宋体" w:hAnsi="宋体" w:cs="宋体"/>
                <w:color w:val="auto"/>
                <w:szCs w:val="21"/>
              </w:rPr>
              <w:t>（1）退货，并要求乙方赔偿甲方损失；</w:t>
            </w:r>
          </w:p>
          <w:p w14:paraId="37297433">
            <w:pPr>
              <w:spacing w:line="360" w:lineRule="auto"/>
              <w:ind w:firstLine="420"/>
              <w:rPr>
                <w:rFonts w:ascii="宋体" w:hAnsi="宋体" w:cs="宋体"/>
                <w:color w:val="auto"/>
                <w:szCs w:val="21"/>
              </w:rPr>
            </w:pPr>
            <w:r>
              <w:rPr>
                <w:rFonts w:hint="eastAsia" w:ascii="宋体" w:hAnsi="宋体" w:cs="宋体"/>
                <w:color w:val="auto"/>
                <w:szCs w:val="21"/>
              </w:rPr>
              <w:t>（2）要求乙方更换有缺陷产品的零、部件和系统，或修理缺陷部分，以使产品达到合同约定的要求。</w:t>
            </w:r>
          </w:p>
          <w:p w14:paraId="1258885F">
            <w:pPr>
              <w:spacing w:line="360" w:lineRule="auto"/>
              <w:ind w:firstLine="420"/>
              <w:rPr>
                <w:rFonts w:ascii="宋体" w:hAnsi="宋体" w:cs="宋体"/>
                <w:color w:val="auto"/>
                <w:szCs w:val="21"/>
              </w:rPr>
            </w:pPr>
            <w:r>
              <w:rPr>
                <w:rFonts w:hint="eastAsia" w:ascii="宋体" w:hAnsi="宋体" w:cs="宋体"/>
                <w:color w:val="auto"/>
                <w:szCs w:val="21"/>
              </w:rPr>
              <w:t>无论甲方选择（1）或者（2），乙方均还应向甲方支付违约金，违约金按照合同总金额的15%计算。</w:t>
            </w:r>
          </w:p>
          <w:p w14:paraId="295A49EF">
            <w:pPr>
              <w:spacing w:line="360" w:lineRule="auto"/>
              <w:ind w:firstLine="420"/>
              <w:jc w:val="left"/>
              <w:outlineLvl w:val="0"/>
              <w:rPr>
                <w:rFonts w:ascii="宋体" w:hAnsi="宋体" w:cs="宋体"/>
                <w:color w:val="auto"/>
                <w:szCs w:val="21"/>
                <w:shd w:val="clear" w:color="auto" w:fill="FFFFFF"/>
              </w:rPr>
            </w:pPr>
            <w:r>
              <w:rPr>
                <w:rFonts w:hint="eastAsia" w:ascii="宋体" w:hAnsi="宋体" w:cs="宋体"/>
                <w:color w:val="auto"/>
                <w:szCs w:val="21"/>
              </w:rPr>
              <w:t>2.如因乙方自身原因导致合同无法履行的，甲方有权单方面立即解除合同（政府采购项目的需上报政府采购监督管理部门），乙方在收到甲方通知后五个工作日内退付合同总金额的30%预付款，除没收乙方的履约保证金外，乙方还须按照合同总金额的15%向甲方一次性支付违约金。</w:t>
            </w:r>
            <w:r>
              <w:rPr>
                <w:rFonts w:hint="eastAsia" w:ascii="宋体" w:hAnsi="宋体" w:cs="宋体"/>
                <w:color w:val="auto"/>
                <w:szCs w:val="21"/>
                <w:shd w:val="clear" w:color="auto" w:fill="FFFFFF"/>
              </w:rPr>
              <w:t>因乙方违约</w:t>
            </w:r>
            <w:r>
              <w:rPr>
                <w:rFonts w:hint="eastAsia" w:ascii="宋体" w:hAnsi="宋体" w:cs="宋体"/>
                <w:color w:val="auto"/>
                <w:szCs w:val="21"/>
              </w:rPr>
              <w:t>造成甲方损失的，还须按造成的实际损失另行赔偿。</w:t>
            </w:r>
          </w:p>
          <w:p w14:paraId="6A366705">
            <w:pPr>
              <w:spacing w:line="360" w:lineRule="auto"/>
              <w:ind w:firstLine="420"/>
              <w:rPr>
                <w:rFonts w:ascii="宋体" w:hAnsi="宋体" w:cs="宋体"/>
                <w:color w:val="auto"/>
                <w:szCs w:val="21"/>
                <w:u w:val="single"/>
              </w:rPr>
            </w:pPr>
          </w:p>
        </w:tc>
      </w:tr>
      <w:tr w14:paraId="26BF52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3C9000FA">
            <w:pPr>
              <w:adjustRightInd w:val="0"/>
              <w:snapToGrid w:val="0"/>
              <w:jc w:val="center"/>
              <w:rPr>
                <w:rFonts w:ascii="宋体" w:hAnsi="宋体" w:cs="宋体"/>
                <w:color w:val="auto"/>
                <w:szCs w:val="21"/>
              </w:rPr>
            </w:pPr>
            <w:r>
              <w:rPr>
                <w:rFonts w:hint="eastAsia" w:ascii="宋体" w:hAnsi="宋体" w:cs="宋体"/>
                <w:color w:val="auto"/>
                <w:szCs w:val="21"/>
              </w:rPr>
              <w:t>第二节</w:t>
            </w:r>
          </w:p>
          <w:p w14:paraId="193F8F9F">
            <w:pPr>
              <w:adjustRightInd w:val="0"/>
              <w:snapToGrid w:val="0"/>
              <w:jc w:val="center"/>
              <w:rPr>
                <w:rFonts w:ascii="宋体" w:hAnsi="宋体" w:cs="宋体"/>
                <w:color w:val="auto"/>
                <w:szCs w:val="21"/>
              </w:rPr>
            </w:pPr>
            <w:r>
              <w:rPr>
                <w:rFonts w:hint="eastAsia" w:ascii="宋体" w:hAnsi="宋体" w:cs="宋体"/>
                <w:color w:val="auto"/>
                <w:szCs w:val="21"/>
              </w:rPr>
              <w:t>第19.2款</w:t>
            </w:r>
          </w:p>
        </w:tc>
        <w:tc>
          <w:tcPr>
            <w:tcW w:w="1742" w:type="dxa"/>
            <w:tcBorders>
              <w:top w:val="single" w:color="auto" w:sz="2" w:space="0"/>
              <w:left w:val="single" w:color="auto" w:sz="2" w:space="0"/>
              <w:right w:val="single" w:color="auto" w:sz="2" w:space="0"/>
            </w:tcBorders>
            <w:vAlign w:val="center"/>
          </w:tcPr>
          <w:p w14:paraId="4B7AD2D5">
            <w:pPr>
              <w:adjustRightInd w:val="0"/>
              <w:snapToGrid w:val="0"/>
              <w:jc w:val="left"/>
              <w:rPr>
                <w:rFonts w:ascii="宋体" w:hAnsi="宋体" w:cs="宋体"/>
                <w:color w:val="auto"/>
                <w:szCs w:val="21"/>
              </w:rPr>
            </w:pPr>
            <w:r>
              <w:rPr>
                <w:rFonts w:hint="eastAsia" w:ascii="宋体" w:hAnsi="宋体" w:cs="宋体"/>
                <w:color w:val="auto"/>
                <w:szCs w:val="21"/>
              </w:rPr>
              <w:t>解决争议的方法</w:t>
            </w:r>
          </w:p>
        </w:tc>
        <w:tc>
          <w:tcPr>
            <w:tcW w:w="5170" w:type="dxa"/>
            <w:tcBorders>
              <w:top w:val="single" w:color="auto" w:sz="2" w:space="0"/>
              <w:left w:val="single" w:color="auto" w:sz="2" w:space="0"/>
            </w:tcBorders>
            <w:vAlign w:val="center"/>
          </w:tcPr>
          <w:p w14:paraId="70A6E3B4">
            <w:pPr>
              <w:autoSpaceDE w:val="0"/>
              <w:autoSpaceDN w:val="0"/>
              <w:adjustRightInd w:val="0"/>
              <w:snapToGrid w:val="0"/>
              <w:spacing w:line="400" w:lineRule="exact"/>
              <w:jc w:val="left"/>
              <w:rPr>
                <w:rFonts w:ascii="宋体" w:hAnsi="宋体" w:cs="宋体"/>
                <w:iCs/>
                <w:color w:val="auto"/>
                <w:szCs w:val="21"/>
              </w:rPr>
            </w:pPr>
            <w:r>
              <w:rPr>
                <w:rFonts w:hint="eastAsia" w:ascii="宋体" w:hAnsi="宋体" w:cs="宋体"/>
                <w:iCs/>
                <w:color w:val="auto"/>
                <w:szCs w:val="21"/>
              </w:rPr>
              <w:t>因本合同及合同有关事项发生的争议，按下列第</w:t>
            </w:r>
            <w:r>
              <w:rPr>
                <w:rFonts w:hint="eastAsia" w:ascii="宋体" w:hAnsi="宋体" w:cs="宋体"/>
                <w:iCs/>
                <w:color w:val="auto"/>
                <w:szCs w:val="21"/>
                <w:u w:val="single"/>
              </w:rPr>
              <w:t xml:space="preserve"> （2)  </w:t>
            </w:r>
            <w:r>
              <w:rPr>
                <w:rFonts w:hint="eastAsia" w:ascii="宋体" w:hAnsi="宋体" w:cs="宋体"/>
                <w:iCs/>
                <w:color w:val="auto"/>
                <w:szCs w:val="21"/>
              </w:rPr>
              <w:t>种方式解决：</w:t>
            </w:r>
          </w:p>
          <w:p w14:paraId="08A26649">
            <w:pPr>
              <w:autoSpaceDE w:val="0"/>
              <w:autoSpaceDN w:val="0"/>
              <w:adjustRightInd w:val="0"/>
              <w:snapToGrid w:val="0"/>
              <w:spacing w:line="400" w:lineRule="exact"/>
              <w:ind w:firstLine="420" w:firstLineChars="200"/>
              <w:jc w:val="left"/>
              <w:rPr>
                <w:rFonts w:ascii="宋体" w:hAnsi="宋体" w:cs="宋体"/>
                <w:iCs/>
                <w:color w:val="auto"/>
                <w:szCs w:val="21"/>
              </w:rPr>
            </w:pPr>
            <w:r>
              <w:rPr>
                <w:rFonts w:hint="eastAsia" w:ascii="宋体" w:hAnsi="宋体" w:cs="宋体"/>
                <w:iCs/>
                <w:color w:val="auto"/>
                <w:szCs w:val="21"/>
              </w:rPr>
              <w:t>（1）向</w:t>
            </w:r>
            <w:r>
              <w:rPr>
                <w:rFonts w:hint="eastAsia" w:ascii="宋体" w:hAnsi="宋体" w:cs="宋体"/>
                <w:iCs/>
                <w:color w:val="auto"/>
                <w:szCs w:val="21"/>
                <w:u w:val="single"/>
              </w:rPr>
              <w:t xml:space="preserve">  甲方所在地的  </w:t>
            </w:r>
            <w:r>
              <w:rPr>
                <w:rFonts w:hint="eastAsia" w:ascii="宋体" w:hAnsi="宋体" w:cs="宋体"/>
                <w:iCs/>
                <w:color w:val="auto"/>
                <w:szCs w:val="21"/>
              </w:rPr>
              <w:t>仲裁委员会申请仲裁，仲裁地点为</w:t>
            </w:r>
            <w:r>
              <w:rPr>
                <w:rFonts w:hint="eastAsia" w:ascii="宋体" w:hAnsi="宋体" w:cs="宋体"/>
                <w:iCs/>
                <w:color w:val="auto"/>
                <w:szCs w:val="21"/>
                <w:u w:val="single"/>
              </w:rPr>
              <w:t xml:space="preserve"> 钦州市  </w:t>
            </w:r>
            <w:r>
              <w:rPr>
                <w:rFonts w:hint="eastAsia" w:ascii="宋体" w:hAnsi="宋体" w:cs="宋体"/>
                <w:iCs/>
                <w:color w:val="auto"/>
                <w:szCs w:val="21"/>
              </w:rPr>
              <w:t>；</w:t>
            </w:r>
          </w:p>
          <w:p w14:paraId="20DBC896">
            <w:pPr>
              <w:adjustRightInd w:val="0"/>
              <w:snapToGrid w:val="0"/>
              <w:ind w:firstLine="420"/>
              <w:jc w:val="left"/>
              <w:rPr>
                <w:rFonts w:ascii="宋体" w:hAnsi="宋体" w:cs="宋体"/>
                <w:color w:val="auto"/>
                <w:szCs w:val="21"/>
                <w:u w:val="single"/>
              </w:rPr>
            </w:pPr>
            <w:r>
              <w:rPr>
                <w:rFonts w:hint="eastAsia" w:ascii="宋体" w:hAnsi="宋体" w:cs="宋体"/>
                <w:iCs/>
                <w:color w:val="auto"/>
                <w:szCs w:val="21"/>
              </w:rPr>
              <w:t>（2）向</w:t>
            </w:r>
            <w:r>
              <w:rPr>
                <w:rFonts w:hint="eastAsia" w:ascii="宋体" w:hAnsi="宋体" w:cs="宋体"/>
                <w:iCs/>
                <w:color w:val="auto"/>
                <w:szCs w:val="21"/>
                <w:u w:val="single"/>
              </w:rPr>
              <w:t xml:space="preserve">  钦州市  </w:t>
            </w:r>
            <w:r>
              <w:rPr>
                <w:rFonts w:hint="eastAsia" w:ascii="宋体" w:hAnsi="宋体" w:cs="宋体"/>
                <w:iCs/>
                <w:color w:val="auto"/>
                <w:szCs w:val="21"/>
              </w:rPr>
              <w:t>人民法院起诉。</w:t>
            </w:r>
          </w:p>
        </w:tc>
      </w:tr>
      <w:tr w14:paraId="3D127C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72B1160">
            <w:pPr>
              <w:adjustRightInd w:val="0"/>
              <w:snapToGrid w:val="0"/>
              <w:jc w:val="center"/>
              <w:rPr>
                <w:rFonts w:ascii="宋体" w:hAnsi="宋体" w:cs="宋体"/>
                <w:color w:val="auto"/>
                <w:szCs w:val="21"/>
              </w:rPr>
            </w:pPr>
            <w:r>
              <w:rPr>
                <w:rFonts w:hint="eastAsia" w:ascii="宋体" w:hAnsi="宋体" w:cs="宋体"/>
                <w:color w:val="auto"/>
                <w:szCs w:val="21"/>
              </w:rPr>
              <w:t>第二节</w:t>
            </w:r>
          </w:p>
          <w:p w14:paraId="52DBA7C1">
            <w:pPr>
              <w:adjustRightInd w:val="0"/>
              <w:snapToGrid w:val="0"/>
              <w:jc w:val="center"/>
              <w:rPr>
                <w:rFonts w:ascii="宋体" w:hAnsi="宋体" w:cs="宋体"/>
                <w:color w:val="auto"/>
                <w:szCs w:val="21"/>
              </w:rPr>
            </w:pPr>
            <w:r>
              <w:rPr>
                <w:rFonts w:hint="eastAsia" w:ascii="宋体" w:hAnsi="宋体" w:cs="宋体"/>
                <w:color w:val="auto"/>
                <w:szCs w:val="21"/>
              </w:rPr>
              <w:t>第23.1款</w:t>
            </w:r>
          </w:p>
        </w:tc>
        <w:tc>
          <w:tcPr>
            <w:tcW w:w="1742" w:type="dxa"/>
            <w:vAlign w:val="center"/>
          </w:tcPr>
          <w:p w14:paraId="28DE8EBC">
            <w:pPr>
              <w:adjustRightInd w:val="0"/>
              <w:snapToGrid w:val="0"/>
              <w:jc w:val="left"/>
              <w:rPr>
                <w:rFonts w:ascii="宋体" w:hAnsi="宋体" w:cs="宋体"/>
                <w:color w:val="auto"/>
                <w:szCs w:val="21"/>
              </w:rPr>
            </w:pPr>
            <w:r>
              <w:rPr>
                <w:rFonts w:hint="eastAsia" w:ascii="宋体" w:hAnsi="宋体" w:cs="宋体"/>
                <w:bCs/>
                <w:color w:val="auto"/>
                <w:szCs w:val="21"/>
              </w:rPr>
              <w:t>其他专用条款</w:t>
            </w:r>
          </w:p>
        </w:tc>
        <w:tc>
          <w:tcPr>
            <w:tcW w:w="5170" w:type="dxa"/>
            <w:vAlign w:val="center"/>
          </w:tcPr>
          <w:p w14:paraId="45A62272">
            <w:pPr>
              <w:spacing w:line="360" w:lineRule="auto"/>
              <w:ind w:firstLine="420"/>
              <w:rPr>
                <w:rFonts w:ascii="宋体" w:hAnsi="宋体" w:cs="宋体"/>
                <w:color w:val="auto"/>
                <w:szCs w:val="21"/>
              </w:rPr>
            </w:pPr>
            <w:r>
              <w:rPr>
                <w:rFonts w:hint="eastAsia" w:ascii="宋体" w:hAnsi="宋体" w:cs="宋体"/>
                <w:color w:val="auto"/>
                <w:szCs w:val="21"/>
              </w:rPr>
              <w:t>本合同设备及配套设施的验收共分两部分：</w:t>
            </w:r>
          </w:p>
          <w:p w14:paraId="05207F1B">
            <w:pPr>
              <w:spacing w:line="360" w:lineRule="auto"/>
              <w:ind w:firstLine="420"/>
              <w:rPr>
                <w:rFonts w:ascii="宋体" w:hAnsi="宋体" w:cs="宋体"/>
                <w:color w:val="auto"/>
                <w:szCs w:val="21"/>
              </w:rPr>
            </w:pPr>
            <w:r>
              <w:rPr>
                <w:rFonts w:hint="eastAsia" w:ascii="宋体" w:hAnsi="宋体" w:cs="宋体"/>
                <w:color w:val="auto"/>
                <w:szCs w:val="21"/>
              </w:rPr>
              <w:t>1．初步验收</w:t>
            </w:r>
          </w:p>
          <w:p w14:paraId="399407A9">
            <w:pPr>
              <w:spacing w:line="360" w:lineRule="auto"/>
              <w:ind w:firstLine="420"/>
              <w:rPr>
                <w:rFonts w:ascii="宋体" w:hAnsi="宋体" w:cs="宋体"/>
                <w:color w:val="auto"/>
                <w:szCs w:val="21"/>
              </w:rPr>
            </w:pPr>
            <w:r>
              <w:rPr>
                <w:rFonts w:hint="eastAsia" w:ascii="宋体" w:hAnsi="宋体" w:cs="宋体"/>
                <w:color w:val="auto"/>
                <w:szCs w:val="21"/>
              </w:rPr>
              <w:t>1.1乙方交货前应对设备及配套设施做出全面检查，并对验收文件进行整理列出清单，作为甲方收货验收和使用的技术条件依据，检验的结果应随设备及配套设施交甲方。</w:t>
            </w:r>
          </w:p>
          <w:p w14:paraId="3598D0ED">
            <w:pPr>
              <w:spacing w:line="360" w:lineRule="auto"/>
              <w:ind w:firstLine="420"/>
              <w:rPr>
                <w:rFonts w:ascii="宋体" w:hAnsi="宋体" w:cs="宋体"/>
                <w:color w:val="auto"/>
                <w:szCs w:val="21"/>
              </w:rPr>
            </w:pPr>
            <w:r>
              <w:rPr>
                <w:rFonts w:hint="eastAsia" w:ascii="宋体" w:hAnsi="宋体" w:cs="宋体"/>
                <w:color w:val="auto"/>
                <w:szCs w:val="21"/>
              </w:rPr>
              <w:t>1.2乙方将设备及配套设施运达约定的交货地点后，甲方应在七个工作日内对乙方提交的设备及配套设施依据响应文件的要求、响应文件的承诺、本合同规定的技术规格要求和国家标准或行业标准进行现场初步验收，对外观、说明书符合要求，性能达到技术要求的，给予签收。对不符合要求或有质量问题的设备及配套设施不予签收，可立即要求退换，乙方不得拒绝和延误。对于要求退换的设备及配套设施，乙方应于五个日历日内提供合格的产品。对于重新提供的产品，经现场初步验收，尚不符合要求的，甲方有权单方面立即解除合同，乙方须在收到甲方通知后五个工作日内退还合同总金额的30%预付款，</w:t>
            </w:r>
            <w:r>
              <w:rPr>
                <w:rFonts w:hint="eastAsia" w:ascii="宋体" w:hAnsi="宋体" w:cs="宋体"/>
                <w:color w:val="auto"/>
                <w:szCs w:val="21"/>
                <w:shd w:val="clear" w:color="auto" w:fill="FFFFFF"/>
              </w:rPr>
              <w:t>因乙方违约造成甲方损失的</w:t>
            </w:r>
            <w:r>
              <w:rPr>
                <w:rFonts w:hint="eastAsia" w:ascii="宋体" w:hAnsi="宋体" w:cs="宋体"/>
                <w:color w:val="auto"/>
                <w:szCs w:val="21"/>
              </w:rPr>
              <w:t>，还须按造成的实际损失另行赔偿。</w:t>
            </w:r>
          </w:p>
          <w:p w14:paraId="0FFA6092">
            <w:pPr>
              <w:spacing w:line="360" w:lineRule="auto"/>
              <w:ind w:firstLine="420"/>
              <w:rPr>
                <w:rFonts w:ascii="宋体" w:hAnsi="宋体" w:cs="宋体"/>
                <w:color w:val="auto"/>
                <w:szCs w:val="21"/>
              </w:rPr>
            </w:pPr>
            <w:r>
              <w:rPr>
                <w:rFonts w:hint="eastAsia" w:ascii="宋体" w:hAnsi="宋体" w:cs="宋体"/>
                <w:color w:val="auto"/>
                <w:szCs w:val="21"/>
              </w:rPr>
              <w:t>2．最终验收</w:t>
            </w:r>
          </w:p>
          <w:p w14:paraId="746DAE50">
            <w:pPr>
              <w:spacing w:line="360" w:lineRule="auto"/>
              <w:ind w:firstLine="420"/>
              <w:rPr>
                <w:rFonts w:ascii="宋体" w:hAnsi="宋体" w:cs="宋体"/>
                <w:color w:val="auto"/>
                <w:szCs w:val="21"/>
              </w:rPr>
            </w:pPr>
            <w:r>
              <w:rPr>
                <w:rFonts w:hint="eastAsia" w:ascii="宋体" w:hAnsi="宋体" w:cs="宋体"/>
                <w:color w:val="auto"/>
                <w:szCs w:val="21"/>
              </w:rPr>
              <w:t>2.1乙方对提供的设备及配套设施在使用前进行调试，乙方需负责安装并培训甲方的使用操作人员，直到符合技术要求。乙方在安装调试完成后需向甲方提交设备及配套设施的操作手册、说明书、技术文件、检测报告等文件资料,设备及配套设施在安装调试并试用符合要求后，方可做最终验收。对于技术复杂的设备及配套设施，甲方可请国家认可的专业检测机构或国家相关管理部门参与验收，并由其出具质量检测报告，检测合格的相关费用由甲方承担，检测不合格的则所有费用由乙方承担并将产品无条件退换。</w:t>
            </w:r>
          </w:p>
          <w:p w14:paraId="7D8B1991">
            <w:pPr>
              <w:spacing w:line="360" w:lineRule="auto"/>
              <w:ind w:firstLine="420"/>
              <w:rPr>
                <w:rFonts w:ascii="宋体" w:hAnsi="宋体" w:cs="宋体"/>
                <w:color w:val="auto"/>
                <w:szCs w:val="21"/>
              </w:rPr>
            </w:pPr>
            <w:r>
              <w:rPr>
                <w:rFonts w:hint="eastAsia" w:ascii="宋体" w:hAnsi="宋体" w:cs="宋体"/>
                <w:color w:val="auto"/>
                <w:szCs w:val="21"/>
              </w:rPr>
              <w:t>2.2甲方对乙方提供的设备及配套设施依照招标文件、响应文件及本合同规定的技术规格要求和国家有关标准及行业标准进行最终验收，性能达到技术要求的，给予签收，验收不合格的不予签收，视为乙方逾期交付，后果由乙方负责。</w:t>
            </w:r>
          </w:p>
          <w:p w14:paraId="032E64A4">
            <w:pPr>
              <w:spacing w:line="360" w:lineRule="auto"/>
              <w:ind w:firstLine="420"/>
              <w:rPr>
                <w:rFonts w:ascii="宋体" w:hAnsi="宋体" w:cs="宋体"/>
                <w:color w:val="auto"/>
                <w:szCs w:val="21"/>
              </w:rPr>
            </w:pPr>
            <w:r>
              <w:rPr>
                <w:rFonts w:hint="eastAsia" w:ascii="宋体" w:hAnsi="宋体" w:cs="宋体"/>
                <w:color w:val="auto"/>
                <w:szCs w:val="21"/>
              </w:rPr>
              <w:t>如设备及配套设施不能通过验收，乙方应退货。如甲方拒绝或无故拖延最终验收，导致最终验收不能按时完成，则认为合同设备及配套设施已通过最终验收，甲乙双方各自承担相应责任。</w:t>
            </w:r>
          </w:p>
        </w:tc>
      </w:tr>
    </w:tbl>
    <w:p w14:paraId="6D36E8CF">
      <w:pPr>
        <w:ind w:firstLine="420"/>
        <w:rPr>
          <w:rFonts w:ascii="宋体" w:hAnsi="宋体" w:cs="宋体"/>
          <w:color w:val="auto"/>
          <w:szCs w:val="21"/>
        </w:rPr>
      </w:pPr>
    </w:p>
    <w:p w14:paraId="2842B9D1">
      <w:pPr>
        <w:pStyle w:val="145"/>
        <w:rPr>
          <w:color w:val="auto"/>
        </w:rPr>
      </w:pPr>
    </w:p>
    <w:p w14:paraId="6C7DE92E">
      <w:pPr>
        <w:pStyle w:val="145"/>
        <w:rPr>
          <w:color w:val="auto"/>
        </w:rPr>
      </w:pPr>
    </w:p>
    <w:p w14:paraId="546478B1">
      <w:pPr>
        <w:pStyle w:val="145"/>
        <w:rPr>
          <w:color w:val="auto"/>
        </w:rPr>
      </w:pPr>
    </w:p>
    <w:p w14:paraId="45677531">
      <w:pPr>
        <w:pStyle w:val="145"/>
        <w:rPr>
          <w:color w:val="auto"/>
        </w:rPr>
      </w:pPr>
    </w:p>
    <w:p w14:paraId="18BE01DA">
      <w:pPr>
        <w:pStyle w:val="145"/>
        <w:rPr>
          <w:color w:val="auto"/>
        </w:rPr>
      </w:pPr>
    </w:p>
    <w:p w14:paraId="17DE01B8">
      <w:pPr>
        <w:pStyle w:val="145"/>
        <w:rPr>
          <w:color w:val="auto"/>
        </w:rPr>
      </w:pPr>
    </w:p>
    <w:p w14:paraId="30F8BCB0">
      <w:pPr>
        <w:pStyle w:val="145"/>
        <w:rPr>
          <w:color w:val="auto"/>
        </w:rPr>
      </w:pPr>
    </w:p>
    <w:p w14:paraId="19CB2341">
      <w:pPr>
        <w:pStyle w:val="145"/>
        <w:rPr>
          <w:color w:val="auto"/>
        </w:rPr>
      </w:pPr>
    </w:p>
    <w:p w14:paraId="419CC3F4">
      <w:pPr>
        <w:pStyle w:val="145"/>
        <w:rPr>
          <w:color w:val="auto"/>
        </w:rPr>
      </w:pPr>
    </w:p>
    <w:p w14:paraId="595B9764">
      <w:pPr>
        <w:pStyle w:val="145"/>
        <w:rPr>
          <w:color w:val="auto"/>
        </w:rPr>
      </w:pPr>
    </w:p>
    <w:p w14:paraId="6285D78D">
      <w:pPr>
        <w:pStyle w:val="145"/>
        <w:rPr>
          <w:color w:val="auto"/>
        </w:rPr>
      </w:pPr>
    </w:p>
    <w:p w14:paraId="26753807">
      <w:pPr>
        <w:pStyle w:val="145"/>
        <w:rPr>
          <w:color w:val="auto"/>
        </w:rPr>
      </w:pPr>
    </w:p>
    <w:p w14:paraId="2515229E">
      <w:pPr>
        <w:pStyle w:val="145"/>
        <w:rPr>
          <w:color w:val="auto"/>
        </w:rPr>
      </w:pPr>
    </w:p>
    <w:p w14:paraId="364D81E1">
      <w:pPr>
        <w:pStyle w:val="145"/>
        <w:rPr>
          <w:color w:val="auto"/>
        </w:rPr>
      </w:pPr>
    </w:p>
    <w:p w14:paraId="76B84EF4">
      <w:pPr>
        <w:pStyle w:val="145"/>
        <w:rPr>
          <w:color w:val="auto"/>
        </w:rPr>
      </w:pPr>
    </w:p>
    <w:p w14:paraId="7EC5FAF7">
      <w:pPr>
        <w:pStyle w:val="145"/>
        <w:rPr>
          <w:color w:val="auto"/>
        </w:rPr>
      </w:pPr>
    </w:p>
    <w:p w14:paraId="3E1F9709">
      <w:pPr>
        <w:pStyle w:val="145"/>
        <w:rPr>
          <w:color w:val="auto"/>
        </w:rPr>
      </w:pPr>
    </w:p>
    <w:p w14:paraId="1C1B5ABB">
      <w:pPr>
        <w:pStyle w:val="145"/>
        <w:rPr>
          <w:color w:val="auto"/>
        </w:rPr>
      </w:pPr>
    </w:p>
    <w:p w14:paraId="2E564529">
      <w:pPr>
        <w:pStyle w:val="145"/>
        <w:rPr>
          <w:color w:val="auto"/>
        </w:rPr>
      </w:pPr>
    </w:p>
    <w:p w14:paraId="2CDEC3B5">
      <w:pPr>
        <w:pStyle w:val="145"/>
        <w:rPr>
          <w:color w:val="auto"/>
        </w:rPr>
      </w:pPr>
    </w:p>
    <w:p w14:paraId="7EA54344">
      <w:pPr>
        <w:pStyle w:val="145"/>
        <w:rPr>
          <w:color w:val="auto"/>
        </w:rPr>
      </w:pPr>
    </w:p>
    <w:p w14:paraId="03A9C3AB">
      <w:pPr>
        <w:pStyle w:val="145"/>
        <w:rPr>
          <w:color w:val="auto"/>
        </w:rPr>
      </w:pPr>
    </w:p>
    <w:p w14:paraId="3190CCA0">
      <w:pPr>
        <w:pStyle w:val="145"/>
        <w:rPr>
          <w:color w:val="auto"/>
        </w:rPr>
      </w:pPr>
    </w:p>
    <w:p w14:paraId="628FC837">
      <w:pPr>
        <w:pStyle w:val="145"/>
        <w:rPr>
          <w:color w:val="auto"/>
        </w:rPr>
      </w:pPr>
    </w:p>
    <w:p w14:paraId="3D216AD3">
      <w:pPr>
        <w:rPr>
          <w:color w:val="auto"/>
        </w:rPr>
      </w:pPr>
    </w:p>
    <w:p w14:paraId="15B3E60D">
      <w:pPr>
        <w:rPr>
          <w:color w:val="auto"/>
        </w:rPr>
      </w:pPr>
    </w:p>
    <w:p w14:paraId="0979654F">
      <w:pPr>
        <w:rPr>
          <w:color w:val="auto"/>
        </w:rPr>
      </w:pPr>
    </w:p>
    <w:p w14:paraId="0970E64D">
      <w:pPr>
        <w:rPr>
          <w:color w:val="auto"/>
        </w:rPr>
      </w:pPr>
    </w:p>
    <w:p w14:paraId="4134FF94">
      <w:pPr>
        <w:pStyle w:val="4"/>
        <w:spacing w:line="400" w:lineRule="exact"/>
        <w:rPr>
          <w:rFonts w:ascii="方正小标宋_GBK" w:hAnsi="方正小标宋_GBK" w:eastAsia="方正小标宋_GBK"/>
          <w:color w:val="auto"/>
        </w:rPr>
      </w:pPr>
      <w:bookmarkStart w:id="119" w:name="_Toc92355028"/>
      <w:bookmarkStart w:id="120" w:name="_Toc397585460"/>
      <w:r>
        <w:rPr>
          <w:rFonts w:hint="eastAsia" w:ascii="方正小标宋_GBK" w:hAnsi="方正小标宋_GBK" w:eastAsia="方正小标宋_GBK"/>
          <w:color w:val="auto"/>
        </w:rPr>
        <w:t>第六章  响应文件格式</w:t>
      </w:r>
      <w:bookmarkEnd w:id="119"/>
      <w:bookmarkEnd w:id="120"/>
    </w:p>
    <w:p w14:paraId="555D8642">
      <w:pPr>
        <w:jc w:val="left"/>
        <w:rPr>
          <w:rFonts w:hAnsi="宋体"/>
          <w:color w:val="auto"/>
          <w:sz w:val="36"/>
          <w:szCs w:val="36"/>
        </w:rPr>
      </w:pPr>
      <w:r>
        <w:rPr>
          <w:b/>
          <w:color w:val="auto"/>
          <w:sz w:val="30"/>
          <w:szCs w:val="30"/>
        </w:rPr>
        <w:br w:type="page"/>
      </w:r>
      <w:r>
        <w:rPr>
          <w:rFonts w:hint="eastAsia" w:ascii="仿宋_GB2312"/>
          <w:b/>
          <w:bCs/>
          <w:color w:val="auto"/>
          <w:sz w:val="36"/>
          <w:szCs w:val="36"/>
        </w:rPr>
        <w:t>一、供应商资格文件</w:t>
      </w:r>
    </w:p>
    <w:p w14:paraId="5E530D07">
      <w:pPr>
        <w:tabs>
          <w:tab w:val="left" w:pos="3402"/>
        </w:tabs>
        <w:ind w:firstLine="602"/>
        <w:jc w:val="center"/>
        <w:rPr>
          <w:rFonts w:ascii="仿宋_GB2312" w:hAnsi="Adobe 仿宋 Std R" w:eastAsia="仿宋_GB2312"/>
          <w:b/>
          <w:color w:val="auto"/>
          <w:spacing w:val="10"/>
          <w:sz w:val="32"/>
          <w:szCs w:val="32"/>
        </w:rPr>
      </w:pPr>
      <w:bookmarkStart w:id="121" w:name="_Hlk111728366"/>
      <w:r>
        <w:rPr>
          <w:rFonts w:hint="eastAsia" w:ascii="仿宋_GB2312" w:hAnsi="Adobe 仿宋 Std R" w:eastAsia="仿宋_GB2312"/>
          <w:b/>
          <w:color w:val="auto"/>
          <w:spacing w:val="10"/>
          <w:sz w:val="32"/>
          <w:szCs w:val="32"/>
        </w:rPr>
        <w:t>供应商具备参加政府采购活动条件的承诺书</w:t>
      </w:r>
      <w:r>
        <w:rPr>
          <w:rFonts w:hint="eastAsia" w:ascii="仿宋_GB2312" w:hAnsi="Adobe 仿宋 Std R" w:eastAsia="仿宋_GB2312" w:cs="黑体"/>
          <w:bCs/>
          <w:color w:val="auto"/>
          <w:sz w:val="24"/>
        </w:rPr>
        <w:t>(格式)</w:t>
      </w:r>
    </w:p>
    <w:p w14:paraId="2EC1FDCC">
      <w:pPr>
        <w:tabs>
          <w:tab w:val="left" w:pos="3402"/>
        </w:tabs>
        <w:jc w:val="left"/>
        <w:rPr>
          <w:rFonts w:ascii="仿宋_GB2312" w:hAnsi="仿宋" w:eastAsia="仿宋_GB2312"/>
          <w:b/>
          <w:color w:val="auto"/>
          <w:spacing w:val="10"/>
          <w:szCs w:val="21"/>
        </w:rPr>
      </w:pPr>
    </w:p>
    <w:p w14:paraId="714F14A2">
      <w:pPr>
        <w:spacing w:line="520" w:lineRule="exact"/>
        <w:rPr>
          <w:rFonts w:ascii="宋体" w:hAnsi="宋体"/>
          <w:bCs/>
          <w:color w:val="auto"/>
          <w:szCs w:val="22"/>
        </w:rPr>
      </w:pPr>
      <w:r>
        <w:rPr>
          <w:rFonts w:hint="eastAsia" w:ascii="宋体" w:hAnsi="宋体"/>
          <w:bCs/>
          <w:color w:val="auto"/>
          <w:szCs w:val="22"/>
        </w:rPr>
        <w:t>钦州市政府采购中心：</w:t>
      </w:r>
    </w:p>
    <w:p w14:paraId="49F236F2">
      <w:pPr>
        <w:spacing w:line="520" w:lineRule="exact"/>
        <w:ind w:firstLine="420"/>
        <w:rPr>
          <w:rFonts w:ascii="宋体" w:hAnsi="宋体"/>
          <w:bCs/>
          <w:color w:val="auto"/>
          <w:szCs w:val="22"/>
        </w:rPr>
      </w:pPr>
      <w:r>
        <w:rPr>
          <w:rFonts w:hint="eastAsia" w:ascii="宋体" w:hAnsi="宋体"/>
          <w:bCs/>
          <w:color w:val="auto"/>
          <w:szCs w:val="22"/>
        </w:rPr>
        <w:t>根据《中华人民共和国政府采购法》实施条例第十七条的规定，现郑重承诺：</w:t>
      </w:r>
    </w:p>
    <w:p w14:paraId="4FF7B96E">
      <w:pPr>
        <w:spacing w:line="520" w:lineRule="exact"/>
        <w:ind w:firstLine="420"/>
        <w:rPr>
          <w:rFonts w:ascii="宋体" w:hAnsi="宋体"/>
          <w:bCs/>
          <w:color w:val="auto"/>
          <w:szCs w:val="22"/>
        </w:rPr>
      </w:pPr>
      <w:r>
        <w:rPr>
          <w:rFonts w:ascii="宋体" w:hAnsi="宋体"/>
          <w:bCs/>
          <w:color w:val="auto"/>
          <w:szCs w:val="22"/>
          <w:u w:val="single"/>
        </w:rPr>
        <w:t>(</w:t>
      </w:r>
      <w:r>
        <w:rPr>
          <w:rFonts w:hint="eastAsia" w:ascii="宋体" w:hAnsi="宋体"/>
          <w:bCs/>
          <w:color w:val="auto"/>
          <w:szCs w:val="22"/>
          <w:u w:val="single"/>
        </w:rPr>
        <w:t>供应商名称)</w:t>
      </w:r>
      <w:r>
        <w:rPr>
          <w:rFonts w:hint="eastAsia" w:ascii="宋体" w:hAnsi="宋体"/>
          <w:bCs/>
          <w:color w:val="auto"/>
          <w:szCs w:val="22"/>
        </w:rPr>
        <w:t>具有良好的商业信誉和健全的财务会计制度，具有履行合同所必需的设备和专业技术能力，有依法缴纳税收和社会保障资金的良好记录。</w:t>
      </w:r>
    </w:p>
    <w:p w14:paraId="1CE938E7">
      <w:pPr>
        <w:spacing w:line="520" w:lineRule="exact"/>
        <w:ind w:firstLine="420"/>
        <w:rPr>
          <w:rFonts w:ascii="宋体" w:hAnsi="宋体"/>
          <w:bCs/>
          <w:color w:val="auto"/>
          <w:szCs w:val="22"/>
        </w:rPr>
      </w:pPr>
      <w:r>
        <w:rPr>
          <w:rFonts w:hint="eastAsia" w:ascii="宋体" w:hAnsi="宋体"/>
          <w:bCs/>
          <w:color w:val="auto"/>
          <w:szCs w:val="22"/>
        </w:rPr>
        <w:t>本单位对上述承诺内容事项真实性负责，如有虚假，由我单位承担相关法律责任。</w:t>
      </w:r>
    </w:p>
    <w:p w14:paraId="250E1D1A">
      <w:pPr>
        <w:spacing w:line="520" w:lineRule="exact"/>
        <w:ind w:firstLine="420"/>
        <w:rPr>
          <w:rFonts w:ascii="宋体" w:hAnsi="宋体"/>
          <w:bCs/>
          <w:color w:val="auto"/>
          <w:szCs w:val="22"/>
        </w:rPr>
      </w:pPr>
      <w:r>
        <w:rPr>
          <w:rFonts w:hint="eastAsia" w:ascii="宋体" w:hAnsi="宋体"/>
          <w:bCs/>
          <w:color w:val="auto"/>
          <w:szCs w:val="22"/>
        </w:rPr>
        <w:t>特此承诺。</w:t>
      </w:r>
    </w:p>
    <w:p w14:paraId="7E1BFFC0">
      <w:pPr>
        <w:ind w:firstLine="420"/>
        <w:rPr>
          <w:rFonts w:ascii="宋体" w:hAnsi="宋体"/>
          <w:bCs/>
          <w:color w:val="auto"/>
          <w:szCs w:val="22"/>
        </w:rPr>
      </w:pPr>
    </w:p>
    <w:p w14:paraId="33F83EFF">
      <w:pPr>
        <w:ind w:firstLine="420"/>
        <w:rPr>
          <w:rFonts w:ascii="宋体" w:hAnsi="宋体"/>
          <w:bCs/>
          <w:color w:val="auto"/>
          <w:szCs w:val="22"/>
        </w:rPr>
      </w:pPr>
    </w:p>
    <w:p w14:paraId="338BF02B">
      <w:pPr>
        <w:spacing w:line="440" w:lineRule="exact"/>
        <w:ind w:right="1050" w:rightChars="500" w:firstLine="5250" w:firstLineChars="2500"/>
        <w:jc w:val="left"/>
        <w:rPr>
          <w:rFonts w:ascii="宋体" w:hAnsi="宋体"/>
          <w:bCs/>
          <w:color w:val="auto"/>
        </w:rPr>
      </w:pPr>
      <w:r>
        <w:rPr>
          <w:rFonts w:hint="eastAsia" w:ascii="宋体" w:hAnsi="宋体"/>
          <w:bCs/>
          <w:color w:val="auto"/>
          <w:szCs w:val="22"/>
        </w:rPr>
        <w:t xml:space="preserve"> </w:t>
      </w:r>
      <w:r>
        <w:rPr>
          <w:rFonts w:ascii="宋体" w:hAnsi="宋体"/>
          <w:bCs/>
          <w:color w:val="auto"/>
          <w:szCs w:val="22"/>
        </w:rPr>
        <w:t xml:space="preserve">   </w:t>
      </w:r>
      <w:r>
        <w:rPr>
          <w:rFonts w:hint="eastAsia" w:ascii="宋体" w:hAnsi="宋体"/>
          <w:bCs/>
          <w:color w:val="auto"/>
        </w:rPr>
        <w:t>供应商（盖章）：</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p>
    <w:p w14:paraId="619EA22C">
      <w:pPr>
        <w:spacing w:line="440" w:lineRule="exact"/>
        <w:ind w:right="420"/>
        <w:jc w:val="center"/>
        <w:rPr>
          <w:rFonts w:ascii="宋体" w:hAnsi="宋体"/>
          <w:bCs/>
          <w:color w:val="auto"/>
        </w:rPr>
      </w:pPr>
      <w:r>
        <w:rPr>
          <w:rFonts w:hint="eastAsia" w:ascii="宋体" w:hAnsi="宋体"/>
          <w:bCs/>
          <w:color w:val="auto"/>
        </w:rPr>
        <w:t xml:space="preserve"> </w:t>
      </w:r>
      <w:r>
        <w:rPr>
          <w:rFonts w:ascii="宋体" w:hAnsi="宋体"/>
          <w:bCs/>
          <w:color w:val="auto"/>
        </w:rPr>
        <w:t xml:space="preserve">                                                </w:t>
      </w:r>
      <w:r>
        <w:rPr>
          <w:rFonts w:hint="eastAsia" w:ascii="宋体" w:hAnsi="宋体"/>
          <w:bCs/>
          <w:color w:val="auto"/>
        </w:rPr>
        <w:t>日期：</w:t>
      </w:r>
      <w:r>
        <w:rPr>
          <w:rFonts w:hint="eastAsia" w:ascii="宋体" w:hAnsi="宋体"/>
          <w:bCs/>
          <w:color w:val="auto"/>
          <w:u w:val="single"/>
        </w:rPr>
        <w:t xml:space="preserve">      </w:t>
      </w:r>
      <w:r>
        <w:rPr>
          <w:rFonts w:hint="eastAsia" w:ascii="宋体" w:hAnsi="宋体"/>
          <w:bCs/>
          <w:color w:val="auto"/>
        </w:rPr>
        <w:t>年</w:t>
      </w:r>
      <w:r>
        <w:rPr>
          <w:rFonts w:hint="eastAsia" w:ascii="宋体" w:hAnsi="宋体"/>
          <w:bCs/>
          <w:color w:val="auto"/>
          <w:u w:val="single"/>
        </w:rPr>
        <w:t xml:space="preserve">    </w:t>
      </w:r>
      <w:r>
        <w:rPr>
          <w:rFonts w:hint="eastAsia" w:ascii="宋体" w:hAnsi="宋体"/>
          <w:bCs/>
          <w:color w:val="auto"/>
        </w:rPr>
        <w:t>月</w:t>
      </w:r>
      <w:r>
        <w:rPr>
          <w:rFonts w:hint="eastAsia" w:ascii="宋体" w:hAnsi="宋体"/>
          <w:bCs/>
          <w:color w:val="auto"/>
          <w:u w:val="single"/>
        </w:rPr>
        <w:t xml:space="preserve">    </w:t>
      </w:r>
      <w:r>
        <w:rPr>
          <w:rFonts w:hint="eastAsia" w:ascii="宋体" w:hAnsi="宋体"/>
          <w:bCs/>
          <w:color w:val="auto"/>
        </w:rPr>
        <w:t>日</w:t>
      </w:r>
    </w:p>
    <w:bookmarkEnd w:id="121"/>
    <w:p w14:paraId="3C2C2431">
      <w:pPr>
        <w:rPr>
          <w:color w:val="auto"/>
        </w:rPr>
      </w:pPr>
    </w:p>
    <w:p w14:paraId="4D5CE890">
      <w:pPr>
        <w:rPr>
          <w:color w:val="auto"/>
        </w:rPr>
      </w:pPr>
    </w:p>
    <w:p w14:paraId="63F52AA4">
      <w:pPr>
        <w:rPr>
          <w:color w:val="auto"/>
        </w:rPr>
      </w:pPr>
    </w:p>
    <w:p w14:paraId="31FA1614">
      <w:pPr>
        <w:rPr>
          <w:color w:val="auto"/>
        </w:rPr>
      </w:pPr>
    </w:p>
    <w:p w14:paraId="1EB9CBE8">
      <w:pPr>
        <w:rPr>
          <w:color w:val="auto"/>
        </w:rPr>
      </w:pPr>
    </w:p>
    <w:p w14:paraId="01F5B8E7">
      <w:pPr>
        <w:tabs>
          <w:tab w:val="left" w:pos="3402"/>
        </w:tabs>
        <w:spacing w:line="460" w:lineRule="exact"/>
        <w:jc w:val="center"/>
        <w:rPr>
          <w:rFonts w:ascii="仿宋_GB2312" w:hAnsi="仿宋" w:eastAsia="仿宋_GB2312"/>
          <w:b/>
          <w:color w:val="auto"/>
          <w:spacing w:val="10"/>
          <w:sz w:val="32"/>
          <w:szCs w:val="32"/>
        </w:rPr>
      </w:pPr>
      <w:r>
        <w:rPr>
          <w:rFonts w:hint="eastAsia" w:ascii="仿宋_GB2312" w:hAnsi="仿宋" w:eastAsia="仿宋_GB2312"/>
          <w:b/>
          <w:color w:val="auto"/>
          <w:spacing w:val="10"/>
          <w:sz w:val="32"/>
          <w:szCs w:val="32"/>
        </w:rPr>
        <w:t>无重大违法记录的书面声明</w:t>
      </w:r>
      <w:r>
        <w:rPr>
          <w:rFonts w:hint="eastAsia" w:ascii="仿宋" w:hAnsi="仿宋" w:eastAsia="仿宋" w:cs="黑体"/>
          <w:bCs/>
          <w:color w:val="auto"/>
          <w:sz w:val="24"/>
        </w:rPr>
        <w:t>(格式</w:t>
      </w:r>
      <w:r>
        <w:rPr>
          <w:rFonts w:ascii="仿宋" w:hAnsi="仿宋" w:eastAsia="仿宋" w:cs="黑体"/>
          <w:bCs/>
          <w:color w:val="auto"/>
          <w:sz w:val="24"/>
        </w:rPr>
        <w:t>)</w:t>
      </w:r>
    </w:p>
    <w:p w14:paraId="7C0488DD">
      <w:pPr>
        <w:spacing w:line="400" w:lineRule="exact"/>
        <w:rPr>
          <w:rFonts w:ascii="宋体" w:hAnsi="宋体"/>
          <w:b/>
          <w:color w:val="auto"/>
        </w:rPr>
      </w:pPr>
    </w:p>
    <w:p w14:paraId="77D2FB88">
      <w:pPr>
        <w:spacing w:line="520" w:lineRule="exact"/>
        <w:rPr>
          <w:rFonts w:ascii="宋体" w:hAnsi="宋体"/>
          <w:bCs/>
          <w:color w:val="auto"/>
        </w:rPr>
      </w:pPr>
      <w:r>
        <w:rPr>
          <w:rFonts w:hint="eastAsia" w:ascii="宋体" w:hAnsi="宋体"/>
          <w:bCs/>
          <w:color w:val="auto"/>
        </w:rPr>
        <w:t>钦州市政府采购中心：</w:t>
      </w:r>
    </w:p>
    <w:p w14:paraId="268104E2">
      <w:pPr>
        <w:spacing w:line="520" w:lineRule="exact"/>
        <w:ind w:firstLine="420"/>
        <w:rPr>
          <w:rFonts w:ascii="宋体" w:hAnsi="宋体"/>
          <w:bCs/>
          <w:color w:val="auto"/>
        </w:rPr>
      </w:pPr>
      <w:r>
        <w:rPr>
          <w:rFonts w:hint="eastAsia" w:ascii="宋体" w:hAnsi="宋体"/>
          <w:bCs/>
          <w:color w:val="auto"/>
        </w:rPr>
        <w:t>根据《中华人民共和国政府采购法实施条例》第十七条第一款第(四</w:t>
      </w:r>
      <w:r>
        <w:rPr>
          <w:rFonts w:ascii="宋体" w:hAnsi="宋体"/>
          <w:bCs/>
          <w:color w:val="auto"/>
        </w:rPr>
        <w:t>）</w:t>
      </w:r>
      <w:r>
        <w:rPr>
          <w:rFonts w:hint="eastAsia" w:ascii="宋体" w:hAnsi="宋体"/>
          <w:bCs/>
          <w:color w:val="auto"/>
        </w:rPr>
        <w:t>项的规定，现郑重声明：</w:t>
      </w:r>
    </w:p>
    <w:p w14:paraId="40440454">
      <w:pPr>
        <w:spacing w:line="520" w:lineRule="exact"/>
        <w:ind w:firstLine="420"/>
        <w:rPr>
          <w:rFonts w:ascii="宋体" w:hAnsi="宋体"/>
          <w:bCs/>
          <w:color w:val="auto"/>
        </w:rPr>
      </w:pPr>
      <w:r>
        <w:rPr>
          <w:rFonts w:ascii="宋体" w:hAnsi="宋体"/>
          <w:bCs/>
          <w:color w:val="auto"/>
          <w:u w:val="single"/>
        </w:rPr>
        <w:t>(</w:t>
      </w:r>
      <w:r>
        <w:rPr>
          <w:rFonts w:hint="eastAsia" w:ascii="宋体" w:hAnsi="宋体"/>
          <w:bCs/>
          <w:color w:val="auto"/>
          <w:u w:val="single"/>
        </w:rPr>
        <w:t>供应商名称)</w:t>
      </w:r>
      <w:r>
        <w:rPr>
          <w:rFonts w:hint="eastAsia" w:ascii="宋体" w:hAnsi="宋体"/>
          <w:bCs/>
          <w:color w:val="auto"/>
        </w:rPr>
        <w:t>在参加本次政府采购活动前3年内在经营活动中没有重大违法记录（</w:t>
      </w:r>
      <w:r>
        <w:rPr>
          <w:rFonts w:hint="eastAsia" w:ascii="宋体" w:hAnsi="宋体"/>
          <w:bCs/>
          <w:color w:val="auto"/>
          <w:u w:val="single"/>
        </w:rPr>
        <w:t>即因违法经营受到刑事处罚或者责令停产停业、吊销许可证或者执照、较大数额罚款等行政处罚的行为</w:t>
      </w:r>
      <w:r>
        <w:rPr>
          <w:rFonts w:hint="eastAsia" w:ascii="宋体" w:hAnsi="宋体"/>
          <w:bCs/>
          <w:color w:val="auto"/>
        </w:rPr>
        <w:t>）。</w:t>
      </w:r>
    </w:p>
    <w:p w14:paraId="07AAB330">
      <w:pPr>
        <w:spacing w:line="520" w:lineRule="exact"/>
        <w:ind w:firstLine="420"/>
        <w:rPr>
          <w:rFonts w:ascii="宋体" w:hAnsi="宋体"/>
          <w:bCs/>
          <w:color w:val="auto"/>
        </w:rPr>
      </w:pPr>
      <w:r>
        <w:rPr>
          <w:rFonts w:hint="eastAsia" w:ascii="宋体" w:hAnsi="宋体"/>
          <w:bCs/>
          <w:color w:val="auto"/>
        </w:rPr>
        <w:t>本单位对上述声明内容事项真实性负责，如有虚假，由我单位承担相关法律责任。</w:t>
      </w:r>
    </w:p>
    <w:p w14:paraId="68346F10">
      <w:pPr>
        <w:spacing w:line="520" w:lineRule="exact"/>
        <w:ind w:firstLine="420"/>
        <w:rPr>
          <w:rFonts w:ascii="宋体" w:hAnsi="宋体"/>
          <w:bCs/>
          <w:color w:val="auto"/>
        </w:rPr>
      </w:pPr>
      <w:r>
        <w:rPr>
          <w:rFonts w:hint="eastAsia" w:ascii="宋体" w:hAnsi="宋体"/>
          <w:bCs/>
          <w:color w:val="auto"/>
        </w:rPr>
        <w:t>特此声明。</w:t>
      </w:r>
    </w:p>
    <w:p w14:paraId="38DEE115">
      <w:pPr>
        <w:rPr>
          <w:rFonts w:ascii="宋体" w:hAnsi="宋体"/>
          <w:bCs/>
          <w:color w:val="auto"/>
          <w:szCs w:val="22"/>
        </w:rPr>
      </w:pPr>
    </w:p>
    <w:p w14:paraId="0552197D">
      <w:pPr>
        <w:rPr>
          <w:rFonts w:ascii="宋体" w:hAnsi="宋体"/>
          <w:bCs/>
          <w:color w:val="auto"/>
          <w:szCs w:val="22"/>
        </w:rPr>
      </w:pPr>
    </w:p>
    <w:p w14:paraId="7D344AC3">
      <w:pPr>
        <w:spacing w:line="440" w:lineRule="exact"/>
        <w:ind w:right="1050" w:rightChars="500" w:firstLine="5670" w:firstLineChars="2700"/>
        <w:jc w:val="left"/>
        <w:rPr>
          <w:rFonts w:ascii="宋体" w:hAnsi="宋体"/>
          <w:bCs/>
          <w:color w:val="auto"/>
        </w:rPr>
      </w:pPr>
      <w:r>
        <w:rPr>
          <w:rFonts w:hint="eastAsia" w:ascii="宋体" w:hAnsi="宋体"/>
          <w:bCs/>
          <w:color w:val="auto"/>
        </w:rPr>
        <w:t>供应商（盖章）：</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r>
        <w:rPr>
          <w:rFonts w:ascii="宋体" w:hAnsi="宋体"/>
          <w:bCs/>
          <w:color w:val="auto"/>
          <w:u w:val="single"/>
        </w:rPr>
        <w:t xml:space="preserve"> </w:t>
      </w:r>
      <w:r>
        <w:rPr>
          <w:rFonts w:hint="eastAsia" w:ascii="宋体" w:hAnsi="宋体"/>
          <w:bCs/>
          <w:color w:val="auto"/>
          <w:u w:val="single"/>
        </w:rPr>
        <w:t xml:space="preserve">  </w:t>
      </w:r>
    </w:p>
    <w:p w14:paraId="12B56609">
      <w:pPr>
        <w:spacing w:line="440" w:lineRule="exact"/>
        <w:ind w:right="420"/>
        <w:jc w:val="center"/>
        <w:rPr>
          <w:rFonts w:ascii="宋体" w:hAnsi="宋体"/>
          <w:bCs/>
          <w:color w:val="auto"/>
        </w:rPr>
      </w:pPr>
      <w:r>
        <w:rPr>
          <w:rFonts w:hint="eastAsia" w:ascii="宋体" w:hAnsi="宋体"/>
          <w:bCs/>
          <w:color w:val="auto"/>
        </w:rPr>
        <w:t xml:space="preserve"> </w:t>
      </w:r>
      <w:r>
        <w:rPr>
          <w:rFonts w:ascii="宋体" w:hAnsi="宋体"/>
          <w:bCs/>
          <w:color w:val="auto"/>
        </w:rPr>
        <w:t xml:space="preserve">                                                </w:t>
      </w:r>
      <w:r>
        <w:rPr>
          <w:rFonts w:hint="eastAsia" w:ascii="宋体" w:hAnsi="宋体"/>
          <w:bCs/>
          <w:color w:val="auto"/>
        </w:rPr>
        <w:t>日期：</w:t>
      </w:r>
      <w:r>
        <w:rPr>
          <w:rFonts w:hint="eastAsia" w:ascii="宋体" w:hAnsi="宋体"/>
          <w:bCs/>
          <w:color w:val="auto"/>
          <w:u w:val="single"/>
        </w:rPr>
        <w:t xml:space="preserve">      </w:t>
      </w:r>
      <w:r>
        <w:rPr>
          <w:rFonts w:hint="eastAsia" w:ascii="宋体" w:hAnsi="宋体"/>
          <w:bCs/>
          <w:color w:val="auto"/>
        </w:rPr>
        <w:t>年</w:t>
      </w:r>
      <w:r>
        <w:rPr>
          <w:rFonts w:hint="eastAsia" w:ascii="宋体" w:hAnsi="宋体"/>
          <w:bCs/>
          <w:color w:val="auto"/>
          <w:u w:val="single"/>
        </w:rPr>
        <w:t xml:space="preserve">    </w:t>
      </w:r>
      <w:r>
        <w:rPr>
          <w:rFonts w:hint="eastAsia" w:ascii="宋体" w:hAnsi="宋体"/>
          <w:bCs/>
          <w:color w:val="auto"/>
        </w:rPr>
        <w:t>月</w:t>
      </w:r>
      <w:r>
        <w:rPr>
          <w:rFonts w:hint="eastAsia" w:ascii="宋体" w:hAnsi="宋体"/>
          <w:bCs/>
          <w:color w:val="auto"/>
          <w:u w:val="single"/>
        </w:rPr>
        <w:t xml:space="preserve">    </w:t>
      </w:r>
      <w:r>
        <w:rPr>
          <w:rFonts w:hint="eastAsia" w:ascii="宋体" w:hAnsi="宋体"/>
          <w:bCs/>
          <w:color w:val="auto"/>
        </w:rPr>
        <w:t>日</w:t>
      </w:r>
    </w:p>
    <w:p w14:paraId="06E0BA80">
      <w:pPr>
        <w:spacing w:line="400" w:lineRule="exact"/>
        <w:ind w:right="1050" w:rightChars="500"/>
        <w:jc w:val="right"/>
        <w:rPr>
          <w:rFonts w:ascii="黑体" w:hAnsi="黑体" w:eastAsia="黑体" w:cs="黑体"/>
          <w:b/>
          <w:color w:val="auto"/>
          <w:sz w:val="32"/>
          <w:szCs w:val="32"/>
        </w:rPr>
      </w:pPr>
    </w:p>
    <w:p w14:paraId="2F3C03BC">
      <w:pPr>
        <w:widowControl/>
        <w:jc w:val="left"/>
        <w:rPr>
          <w:rFonts w:ascii="黑体" w:hAnsi="黑体" w:eastAsia="黑体" w:cs="黑体"/>
          <w:b/>
          <w:color w:val="auto"/>
          <w:sz w:val="32"/>
          <w:szCs w:val="32"/>
        </w:rPr>
      </w:pPr>
      <w:r>
        <w:rPr>
          <w:rFonts w:ascii="黑体" w:hAnsi="黑体" w:eastAsia="黑体" w:cs="黑体"/>
          <w:b/>
          <w:color w:val="auto"/>
          <w:sz w:val="32"/>
          <w:szCs w:val="32"/>
        </w:rPr>
        <w:br w:type="page"/>
      </w:r>
      <w:r>
        <w:rPr>
          <w:rFonts w:hint="eastAsia" w:ascii="仿宋" w:hAnsi="仿宋" w:eastAsia="仿宋"/>
          <w:b/>
          <w:color w:val="auto"/>
          <w:sz w:val="36"/>
          <w:szCs w:val="36"/>
        </w:rPr>
        <w:t>二、商务技术文件</w:t>
      </w:r>
    </w:p>
    <w:p w14:paraId="68B6C4F1">
      <w:pPr>
        <w:widowControl/>
        <w:jc w:val="center"/>
        <w:rPr>
          <w:rFonts w:ascii="仿宋" w:hAnsi="仿宋" w:eastAsia="仿宋" w:cs="黑体"/>
          <w:b/>
          <w:color w:val="auto"/>
          <w:sz w:val="32"/>
          <w:szCs w:val="32"/>
        </w:rPr>
      </w:pPr>
      <w:bookmarkStart w:id="122" w:name="_Hlk92702324"/>
      <w:r>
        <w:rPr>
          <w:rFonts w:hint="eastAsia" w:ascii="仿宋" w:hAnsi="仿宋" w:eastAsia="仿宋" w:cs="黑体"/>
          <w:b/>
          <w:color w:val="auto"/>
          <w:sz w:val="32"/>
          <w:szCs w:val="32"/>
        </w:rPr>
        <w:t>谈 判 函</w:t>
      </w:r>
      <w:bookmarkEnd w:id="122"/>
      <w:r>
        <w:rPr>
          <w:rFonts w:hint="eastAsia" w:ascii="仿宋" w:hAnsi="仿宋" w:eastAsia="仿宋" w:cs="黑体"/>
          <w:bCs/>
          <w:color w:val="auto"/>
          <w:sz w:val="24"/>
        </w:rPr>
        <w:t>(格式</w:t>
      </w:r>
      <w:r>
        <w:rPr>
          <w:rFonts w:ascii="仿宋" w:hAnsi="仿宋" w:eastAsia="仿宋" w:cs="黑体"/>
          <w:bCs/>
          <w:color w:val="auto"/>
          <w:sz w:val="24"/>
        </w:rPr>
        <w:t>)</w:t>
      </w:r>
    </w:p>
    <w:p w14:paraId="35422955">
      <w:pPr>
        <w:spacing w:line="360" w:lineRule="exact"/>
        <w:jc w:val="center"/>
        <w:rPr>
          <w:rFonts w:ascii="宋体" w:hAnsi="宋体"/>
          <w:b/>
          <w:color w:val="auto"/>
          <w:szCs w:val="21"/>
        </w:rPr>
      </w:pPr>
    </w:p>
    <w:p w14:paraId="21E1FE6F">
      <w:pPr>
        <w:spacing w:line="400" w:lineRule="exact"/>
        <w:rPr>
          <w:rFonts w:ascii="宋体" w:hAnsi="宋体"/>
          <w:color w:val="auto"/>
          <w:szCs w:val="21"/>
        </w:rPr>
      </w:pPr>
      <w:r>
        <w:rPr>
          <w:rFonts w:hint="eastAsia" w:ascii="宋体" w:hAnsi="宋体"/>
          <w:color w:val="auto"/>
          <w:szCs w:val="21"/>
        </w:rPr>
        <w:t>致：钦州市政府采购中心：</w:t>
      </w:r>
    </w:p>
    <w:p w14:paraId="5F299BAA">
      <w:pPr>
        <w:pStyle w:val="23"/>
        <w:spacing w:line="480" w:lineRule="exact"/>
        <w:ind w:firstLine="420"/>
        <w:rPr>
          <w:rFonts w:hAnsi="宋体"/>
          <w:color w:val="auto"/>
        </w:rPr>
      </w:pPr>
      <w:r>
        <w:rPr>
          <w:rFonts w:hint="eastAsia" w:hAnsi="宋体"/>
          <w:color w:val="auto"/>
        </w:rPr>
        <w:t>依据贵方</w:t>
      </w:r>
      <w:r>
        <w:rPr>
          <w:rFonts w:hint="eastAsia" w:hAnsi="宋体"/>
          <w:color w:val="auto"/>
          <w:u w:val="single"/>
        </w:rPr>
        <w:t>（项目名称/文件编号）</w:t>
      </w:r>
      <w:r>
        <w:rPr>
          <w:rFonts w:hint="eastAsia" w:hAnsi="宋体"/>
          <w:color w:val="auto"/>
        </w:rPr>
        <w:t>项目竞争性谈判采购文件，我方</w:t>
      </w:r>
      <w:r>
        <w:rPr>
          <w:rFonts w:hint="eastAsia" w:hAnsi="宋体"/>
          <w:color w:val="auto"/>
          <w:u w:val="single"/>
        </w:rPr>
        <w:t xml:space="preserve"> （供应商名称） </w:t>
      </w:r>
      <w:r>
        <w:rPr>
          <w:rFonts w:hint="eastAsia" w:hAnsi="宋体"/>
          <w:color w:val="auto"/>
        </w:rPr>
        <w:t>经正式授权代表</w:t>
      </w:r>
      <w:r>
        <w:rPr>
          <w:rFonts w:hint="eastAsia" w:hAnsi="宋体"/>
          <w:color w:val="auto"/>
          <w:u w:val="single"/>
        </w:rPr>
        <w:t xml:space="preserve">   （被授权人）</w:t>
      </w:r>
      <w:r>
        <w:rPr>
          <w:rFonts w:hint="eastAsia" w:hAnsi="宋体"/>
          <w:color w:val="auto"/>
        </w:rPr>
        <w:t>提交响应文件。</w:t>
      </w:r>
    </w:p>
    <w:p w14:paraId="344E3AB9">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据此函，我公司承诺：</w:t>
      </w:r>
    </w:p>
    <w:p w14:paraId="6474A381">
      <w:pPr>
        <w:snapToGrid w:val="0"/>
        <w:spacing w:line="360" w:lineRule="exact"/>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我方已详细审阅采购文件（包括澄清或者修改文件），已经了解我方对于采购文件、采购过程、采购结果有依法进行询问、质疑、投诉的权利及相关渠道和要求。</w:t>
      </w:r>
    </w:p>
    <w:p w14:paraId="3750BCFA">
      <w:pPr>
        <w:snapToGrid w:val="0"/>
        <w:spacing w:line="360" w:lineRule="exact"/>
        <w:ind w:firstLine="420" w:firstLineChars="200"/>
        <w:rPr>
          <w:rFonts w:ascii="宋体" w:hAnsi="宋体"/>
          <w:color w:val="auto"/>
          <w:szCs w:val="21"/>
        </w:rPr>
      </w:pPr>
      <w:r>
        <w:rPr>
          <w:rFonts w:hint="eastAsia" w:ascii="宋体" w:hAnsi="宋体"/>
          <w:color w:val="auto"/>
          <w:szCs w:val="21"/>
        </w:rPr>
        <w:t>2.我方不是采购人的附属机构；在获知本项目采购信息后，与采购人聘请的为此项目提供咨询服务的公司及其附属机构没有任何联系。</w:t>
      </w:r>
    </w:p>
    <w:p w14:paraId="29410EFA">
      <w:pPr>
        <w:snapToGrid w:val="0"/>
        <w:spacing w:line="360" w:lineRule="exact"/>
        <w:ind w:firstLine="420" w:firstLineChars="200"/>
        <w:rPr>
          <w:rFonts w:ascii="宋体" w:hAnsi="宋体"/>
          <w:color w:val="auto"/>
          <w:szCs w:val="21"/>
        </w:rPr>
      </w:pPr>
      <w:r>
        <w:rPr>
          <w:rFonts w:ascii="宋体" w:hAnsi="宋体"/>
          <w:color w:val="auto"/>
          <w:szCs w:val="21"/>
        </w:rPr>
        <w:t>3.</w:t>
      </w:r>
      <w:r>
        <w:rPr>
          <w:rFonts w:hint="eastAsia" w:ascii="宋体" w:hAnsi="宋体"/>
          <w:color w:val="auto"/>
          <w:szCs w:val="21"/>
        </w:rPr>
        <w:t>我方在谈判之前已经与贵方进行了充分的沟通，完全理解并接受采购文件的各项规定和要求，对采购文件的合理性、合法性不再有异议。</w:t>
      </w:r>
    </w:p>
    <w:p w14:paraId="3711182F">
      <w:pPr>
        <w:spacing w:line="400" w:lineRule="exact"/>
        <w:rPr>
          <w:rFonts w:ascii="宋体" w:hAnsi="宋体"/>
          <w:color w:val="auto"/>
          <w:szCs w:val="21"/>
        </w:rPr>
      </w:pPr>
      <w:r>
        <w:rPr>
          <w:rFonts w:ascii="宋体" w:hAnsi="宋体"/>
          <w:color w:val="auto"/>
          <w:szCs w:val="21"/>
        </w:rPr>
        <w:tab/>
      </w:r>
      <w:r>
        <w:rPr>
          <w:rFonts w:ascii="宋体" w:hAnsi="宋体"/>
          <w:color w:val="auto"/>
          <w:szCs w:val="21"/>
        </w:rPr>
        <w:t>4</w:t>
      </w:r>
      <w:r>
        <w:rPr>
          <w:rFonts w:hint="eastAsia" w:ascii="宋体" w:hAnsi="宋体"/>
          <w:color w:val="auto"/>
          <w:szCs w:val="21"/>
        </w:rPr>
        <w:t>.我方根据采购文件的规定，承担完成合同的责任和义务。</w:t>
      </w:r>
    </w:p>
    <w:p w14:paraId="73C73B60">
      <w:pPr>
        <w:spacing w:line="400" w:lineRule="exact"/>
        <w:rPr>
          <w:rFonts w:ascii="宋体" w:hAnsi="宋体"/>
          <w:color w:val="auto"/>
          <w:szCs w:val="21"/>
        </w:rPr>
      </w:pPr>
      <w:r>
        <w:rPr>
          <w:rFonts w:ascii="宋体" w:hAnsi="宋体"/>
          <w:color w:val="auto"/>
          <w:szCs w:val="21"/>
        </w:rPr>
        <w:tab/>
      </w:r>
      <w:r>
        <w:rPr>
          <w:rFonts w:ascii="宋体" w:hAnsi="宋体"/>
          <w:color w:val="auto"/>
          <w:szCs w:val="21"/>
        </w:rPr>
        <w:t>5</w:t>
      </w:r>
      <w:r>
        <w:rPr>
          <w:rFonts w:hint="eastAsia" w:ascii="宋体" w:hAnsi="宋体"/>
          <w:color w:val="auto"/>
          <w:szCs w:val="21"/>
        </w:rPr>
        <w:t>.同意向贵方提供贵方可能要求的与本项目采购有关的人员、数据和资料。</w:t>
      </w:r>
    </w:p>
    <w:p w14:paraId="332C66A0">
      <w:pPr>
        <w:spacing w:line="400" w:lineRule="exact"/>
        <w:ind w:firstLine="424" w:firstLineChars="202"/>
        <w:rPr>
          <w:rFonts w:ascii="宋体" w:hAnsi="宋体"/>
          <w:color w:val="auto"/>
          <w:szCs w:val="21"/>
        </w:rPr>
      </w:pPr>
      <w:r>
        <w:rPr>
          <w:rFonts w:ascii="宋体" w:hAnsi="宋体"/>
          <w:color w:val="auto"/>
          <w:szCs w:val="21"/>
        </w:rPr>
        <w:t>6.</w:t>
      </w:r>
      <w:r>
        <w:rPr>
          <w:rFonts w:hint="eastAsia" w:ascii="宋体" w:hAnsi="宋体"/>
          <w:color w:val="auto"/>
          <w:szCs w:val="21"/>
        </w:rPr>
        <w:t>我方向贵方提交的所有响应文件、资料都是准确的和真实的。</w:t>
      </w:r>
    </w:p>
    <w:p w14:paraId="4871790A">
      <w:pPr>
        <w:spacing w:line="400" w:lineRule="exact"/>
        <w:rPr>
          <w:rFonts w:ascii="宋体" w:hAnsi="宋体"/>
          <w:color w:val="auto"/>
          <w:szCs w:val="21"/>
        </w:rPr>
      </w:pPr>
    </w:p>
    <w:p w14:paraId="004CDF37">
      <w:pPr>
        <w:spacing w:line="400" w:lineRule="exact"/>
        <w:ind w:firstLine="426"/>
        <w:rPr>
          <w:rFonts w:ascii="宋体" w:hAnsi="宋体"/>
          <w:color w:val="auto"/>
          <w:szCs w:val="21"/>
        </w:rPr>
      </w:pPr>
      <w:r>
        <w:rPr>
          <w:rFonts w:hint="eastAsia" w:ascii="宋体" w:hAnsi="宋体"/>
          <w:color w:val="auto"/>
          <w:szCs w:val="21"/>
        </w:rPr>
        <w:t>与我公司有关的正式通讯方式：</w:t>
      </w:r>
    </w:p>
    <w:p w14:paraId="30037267">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地址：</w:t>
      </w:r>
      <w:r>
        <w:rPr>
          <w:rFonts w:hint="eastAsia" w:ascii="宋体" w:hAnsi="宋体"/>
          <w:color w:val="auto"/>
          <w:szCs w:val="21"/>
          <w:u w:val="single"/>
        </w:rPr>
        <w:t xml:space="preserve">                                   </w:t>
      </w:r>
    </w:p>
    <w:p w14:paraId="5564DAE4">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邮政编码：</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4F5F5CD1">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电话、电报、传真或电传：</w:t>
      </w:r>
      <w:r>
        <w:rPr>
          <w:rFonts w:hint="eastAsia" w:ascii="宋体" w:hAnsi="宋体"/>
          <w:color w:val="auto"/>
          <w:szCs w:val="21"/>
          <w:u w:val="single"/>
        </w:rPr>
        <w:t xml:space="preserve">                 </w:t>
      </w:r>
    </w:p>
    <w:p w14:paraId="64AAD3FE">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开户名称：</w:t>
      </w:r>
      <w:r>
        <w:rPr>
          <w:rFonts w:hint="eastAsia" w:ascii="宋体" w:hAnsi="宋体"/>
          <w:color w:val="auto"/>
          <w:szCs w:val="21"/>
          <w:u w:val="single"/>
        </w:rPr>
        <w:t xml:space="preserve">                               </w:t>
      </w:r>
    </w:p>
    <w:p w14:paraId="62D7DC9B">
      <w:pPr>
        <w:spacing w:line="400" w:lineRule="exact"/>
        <w:rPr>
          <w:rFonts w:ascii="宋体" w:hAnsi="宋体"/>
          <w:color w:val="auto"/>
          <w:szCs w:val="21"/>
        </w:rPr>
      </w:pPr>
      <w:r>
        <w:rPr>
          <w:rFonts w:ascii="宋体" w:hAnsi="宋体"/>
          <w:color w:val="auto"/>
          <w:szCs w:val="21"/>
        </w:rPr>
        <w:tab/>
      </w:r>
      <w:r>
        <w:rPr>
          <w:rFonts w:hint="eastAsia" w:ascii="宋体" w:hAnsi="宋体"/>
          <w:color w:val="auto"/>
          <w:szCs w:val="21"/>
        </w:rPr>
        <w:t>开户银行：</w:t>
      </w:r>
      <w:r>
        <w:rPr>
          <w:rFonts w:hint="eastAsia" w:ascii="宋体" w:hAnsi="宋体"/>
          <w:color w:val="auto"/>
          <w:szCs w:val="21"/>
          <w:u w:val="single"/>
        </w:rPr>
        <w:t xml:space="preserve">                               </w:t>
      </w:r>
    </w:p>
    <w:p w14:paraId="6D4A3417">
      <w:pPr>
        <w:spacing w:line="400" w:lineRule="exact"/>
        <w:rPr>
          <w:rFonts w:ascii="宋体" w:hAnsi="宋体"/>
          <w:color w:val="auto"/>
          <w:szCs w:val="21"/>
          <w:u w:val="single"/>
        </w:rPr>
      </w:pPr>
      <w:r>
        <w:rPr>
          <w:rFonts w:ascii="宋体" w:hAnsi="宋体"/>
          <w:color w:val="auto"/>
          <w:szCs w:val="21"/>
        </w:rPr>
        <w:tab/>
      </w:r>
      <w:r>
        <w:rPr>
          <w:rFonts w:hint="eastAsia" w:ascii="宋体" w:hAnsi="宋体"/>
          <w:color w:val="auto"/>
          <w:szCs w:val="21"/>
        </w:rPr>
        <w:t>账    号：</w:t>
      </w:r>
      <w:r>
        <w:rPr>
          <w:rFonts w:hint="eastAsia" w:ascii="宋体" w:hAnsi="宋体"/>
          <w:color w:val="auto"/>
          <w:szCs w:val="21"/>
          <w:u w:val="single"/>
        </w:rPr>
        <w:t xml:space="preserve">                               </w:t>
      </w:r>
    </w:p>
    <w:p w14:paraId="5BEACCAE">
      <w:pPr>
        <w:rPr>
          <w:color w:val="auto"/>
        </w:rPr>
      </w:pPr>
    </w:p>
    <w:p w14:paraId="0B6EC4F4">
      <w:pPr>
        <w:rPr>
          <w:color w:val="auto"/>
        </w:rPr>
      </w:pPr>
    </w:p>
    <w:p w14:paraId="35762970">
      <w:pPr>
        <w:rPr>
          <w:color w:val="auto"/>
        </w:rPr>
      </w:pPr>
    </w:p>
    <w:p w14:paraId="30668751">
      <w:pPr>
        <w:rPr>
          <w:color w:val="auto"/>
        </w:rPr>
      </w:pPr>
    </w:p>
    <w:p w14:paraId="08139399">
      <w:pPr>
        <w:rPr>
          <w:color w:val="auto"/>
        </w:rPr>
      </w:pPr>
    </w:p>
    <w:p w14:paraId="735AC0E9">
      <w:pPr>
        <w:spacing w:line="400" w:lineRule="exact"/>
        <w:rPr>
          <w:rFonts w:ascii="宋体" w:hAnsi="宋体"/>
          <w:color w:val="auto"/>
          <w:szCs w:val="21"/>
        </w:rPr>
      </w:pPr>
      <w:r>
        <w:rPr>
          <w:rFonts w:ascii="宋体" w:hAnsi="宋体"/>
          <w:color w:val="auto"/>
          <w:szCs w:val="21"/>
        </w:rPr>
        <w:tab/>
      </w:r>
      <w:r>
        <w:rPr>
          <w:rFonts w:ascii="宋体" w:hAnsi="宋体"/>
          <w:color w:val="auto"/>
          <w:szCs w:val="21"/>
        </w:rPr>
        <w:t xml:space="preserve">                                           </w:t>
      </w:r>
      <w:r>
        <w:rPr>
          <w:rFonts w:hint="eastAsia" w:ascii="宋体" w:hAnsi="宋体"/>
          <w:color w:val="auto"/>
          <w:szCs w:val="21"/>
        </w:rPr>
        <w:t>供应商（盖章）：</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0661DC08">
      <w:pPr>
        <w:spacing w:line="400" w:lineRule="exact"/>
        <w:rPr>
          <w:rFonts w:ascii="宋体" w:hAnsi="宋体"/>
          <w:color w:val="auto"/>
          <w:szCs w:val="21"/>
        </w:rPr>
      </w:pPr>
      <w:r>
        <w:rPr>
          <w:rFonts w:ascii="宋体" w:hAnsi="宋体"/>
          <w:color w:val="auto"/>
          <w:szCs w:val="21"/>
        </w:rPr>
        <w:tab/>
      </w:r>
      <w:r>
        <w:rPr>
          <w:rFonts w:ascii="宋体" w:hAnsi="宋体"/>
          <w:color w:val="auto"/>
          <w:szCs w:val="21"/>
        </w:rPr>
        <w:t xml:space="preserve">                                           </w:t>
      </w:r>
      <w:r>
        <w:rPr>
          <w:rFonts w:hint="eastAsia" w:ascii="宋体" w:hAnsi="宋体"/>
          <w:color w:val="auto"/>
          <w:szCs w:val="21"/>
        </w:rPr>
        <w:t>日期：</w:t>
      </w:r>
      <w:r>
        <w:rPr>
          <w:rFonts w:hint="eastAsia" w:ascii="宋体" w:hAnsi="宋体"/>
          <w:color w:val="auto"/>
          <w:szCs w:val="21"/>
          <w:u w:val="single"/>
        </w:rPr>
        <w:t xml:space="preserve">                    </w:t>
      </w:r>
      <w:r>
        <w:rPr>
          <w:rFonts w:ascii="宋体" w:hAnsi="宋体"/>
          <w:color w:val="auto"/>
          <w:szCs w:val="21"/>
          <w:u w:val="single"/>
        </w:rPr>
        <w:t xml:space="preserve">     </w:t>
      </w:r>
    </w:p>
    <w:p w14:paraId="07831A24">
      <w:pPr>
        <w:widowControl/>
        <w:jc w:val="left"/>
        <w:rPr>
          <w:color w:val="auto"/>
        </w:rPr>
      </w:pPr>
      <w:r>
        <w:rPr>
          <w:color w:val="auto"/>
        </w:rPr>
        <w:br w:type="page"/>
      </w:r>
    </w:p>
    <w:p w14:paraId="03974F6B">
      <w:pPr>
        <w:rPr>
          <w:color w:val="auto"/>
        </w:rPr>
      </w:pPr>
    </w:p>
    <w:p w14:paraId="678E27BD">
      <w:pPr>
        <w:jc w:val="center"/>
        <w:rPr>
          <w:rFonts w:ascii="仿宋" w:hAnsi="仿宋" w:eastAsia="仿宋"/>
          <w:color w:val="auto"/>
          <w:sz w:val="32"/>
          <w:szCs w:val="32"/>
        </w:rPr>
      </w:pPr>
      <w:r>
        <w:rPr>
          <w:rFonts w:hint="eastAsia" w:ascii="仿宋" w:hAnsi="仿宋" w:eastAsia="仿宋"/>
          <w:b/>
          <w:color w:val="auto"/>
          <w:sz w:val="32"/>
          <w:szCs w:val="32"/>
        </w:rPr>
        <w:t>授权委托书</w:t>
      </w:r>
      <w:bookmarkStart w:id="123" w:name="_Hlk92703623"/>
      <w:r>
        <w:rPr>
          <w:rFonts w:hint="eastAsia" w:ascii="仿宋" w:hAnsi="仿宋" w:eastAsia="仿宋"/>
          <w:color w:val="auto"/>
          <w:sz w:val="24"/>
        </w:rPr>
        <w:t>(格式</w:t>
      </w:r>
      <w:r>
        <w:rPr>
          <w:rFonts w:ascii="仿宋" w:hAnsi="仿宋" w:eastAsia="仿宋"/>
          <w:color w:val="auto"/>
          <w:sz w:val="24"/>
        </w:rPr>
        <w:t>)</w:t>
      </w:r>
      <w:bookmarkEnd w:id="123"/>
    </w:p>
    <w:p w14:paraId="213FC780">
      <w:pPr>
        <w:snapToGrid w:val="0"/>
        <w:spacing w:before="156" w:beforeLines="50" w:after="50" w:line="500" w:lineRule="exact"/>
        <w:rPr>
          <w:rFonts w:ascii="宋体" w:hAnsi="宋体"/>
          <w:b/>
          <w:bCs/>
          <w:color w:val="auto"/>
          <w:szCs w:val="21"/>
        </w:rPr>
      </w:pPr>
      <w:r>
        <w:rPr>
          <w:rFonts w:hint="eastAsia" w:ascii="宋体" w:hAnsi="宋体"/>
          <w:bCs/>
          <w:color w:val="auto"/>
          <w:szCs w:val="21"/>
        </w:rPr>
        <w:t>致：</w:t>
      </w:r>
      <w:r>
        <w:rPr>
          <w:rFonts w:hint="eastAsia"/>
          <w:color w:val="auto"/>
        </w:rPr>
        <w:t>钦州市政府采购中心</w:t>
      </w:r>
    </w:p>
    <w:p w14:paraId="3017DD08">
      <w:pPr>
        <w:snapToGrid w:val="0"/>
        <w:spacing w:before="156" w:beforeLines="50" w:after="50" w:line="500" w:lineRule="exact"/>
        <w:ind w:firstLine="420" w:firstLineChars="200"/>
        <w:rPr>
          <w:rFonts w:ascii="宋体" w:hAnsi="宋体"/>
          <w:color w:val="auto"/>
          <w:szCs w:val="21"/>
        </w:rPr>
      </w:pPr>
      <w:r>
        <w:rPr>
          <w:rFonts w:hint="eastAsia" w:ascii="宋体" w:hAnsi="宋体"/>
          <w:color w:val="auto"/>
          <w:szCs w:val="21"/>
        </w:rPr>
        <w:t>我</w:t>
      </w:r>
      <w:r>
        <w:rPr>
          <w:rFonts w:hint="eastAsia" w:ascii="宋体" w:hAnsi="宋体"/>
          <w:color w:val="auto"/>
          <w:szCs w:val="21"/>
          <w:u w:val="single"/>
        </w:rPr>
        <w:t>（姓名）</w:t>
      </w:r>
      <w:r>
        <w:rPr>
          <w:rFonts w:hint="eastAsia" w:ascii="宋体" w:hAnsi="宋体"/>
          <w:color w:val="auto"/>
          <w:szCs w:val="21"/>
        </w:rPr>
        <w:t>系</w:t>
      </w:r>
      <w:r>
        <w:rPr>
          <w:rFonts w:hint="eastAsia" w:ascii="宋体" w:hAnsi="宋体"/>
          <w:color w:val="auto"/>
          <w:szCs w:val="21"/>
          <w:u w:val="single"/>
        </w:rPr>
        <w:t>（供应商名称）</w:t>
      </w:r>
      <w:r>
        <w:rPr>
          <w:rFonts w:hint="eastAsia" w:ascii="宋体" w:hAnsi="宋体"/>
          <w:color w:val="auto"/>
          <w:szCs w:val="21"/>
        </w:rPr>
        <w:t>的法定代表人，现授权委托本单位在职职工</w:t>
      </w:r>
      <w:r>
        <w:rPr>
          <w:rFonts w:hint="eastAsia" w:ascii="宋体" w:hAnsi="宋体"/>
          <w:color w:val="auto"/>
          <w:szCs w:val="21"/>
          <w:u w:val="single"/>
        </w:rPr>
        <w:t>（姓名）</w:t>
      </w:r>
      <w:r>
        <w:rPr>
          <w:rFonts w:hint="eastAsia" w:ascii="宋体" w:hAnsi="宋体"/>
          <w:color w:val="auto"/>
          <w:szCs w:val="21"/>
        </w:rPr>
        <w:t>以我方的名义参加</w:t>
      </w:r>
      <w:r>
        <w:rPr>
          <w:rFonts w:hint="eastAsia" w:ascii="宋体" w:hAnsi="宋体"/>
          <w:color w:val="auto"/>
          <w:szCs w:val="21"/>
          <w:u w:val="single"/>
        </w:rPr>
        <w:t>（项目名称/项目编号）</w:t>
      </w:r>
      <w:r>
        <w:rPr>
          <w:rFonts w:hint="eastAsia" w:ascii="宋体" w:hAnsi="宋体"/>
          <w:color w:val="auto"/>
          <w:szCs w:val="21"/>
        </w:rPr>
        <w:t>的谈判活动，并代表我方全权办理针对上述项目的谈判、签约等具体事务和签署相关文件。</w:t>
      </w:r>
    </w:p>
    <w:p w14:paraId="673DAF58">
      <w:pPr>
        <w:snapToGrid w:val="0"/>
        <w:spacing w:before="156" w:beforeLines="50" w:after="50" w:line="500" w:lineRule="exact"/>
        <w:ind w:firstLine="420" w:firstLineChars="200"/>
        <w:rPr>
          <w:rFonts w:ascii="宋体" w:hAnsi="宋体"/>
          <w:color w:val="auto"/>
          <w:szCs w:val="21"/>
        </w:rPr>
      </w:pPr>
      <w:r>
        <w:rPr>
          <w:rFonts w:hint="eastAsia" w:ascii="宋体" w:hAnsi="宋体"/>
          <w:color w:val="auto"/>
          <w:szCs w:val="21"/>
        </w:rPr>
        <w:t>我方对被授权人的签名事项负全部责任。</w:t>
      </w:r>
    </w:p>
    <w:p w14:paraId="6CA4F974">
      <w:pPr>
        <w:snapToGrid w:val="0"/>
        <w:spacing w:before="156" w:beforeLines="50" w:after="50" w:line="500" w:lineRule="exact"/>
        <w:ind w:firstLine="420" w:firstLineChars="200"/>
        <w:rPr>
          <w:rFonts w:ascii="宋体" w:hAnsi="宋体"/>
          <w:color w:val="auto"/>
          <w:szCs w:val="21"/>
        </w:rPr>
      </w:pPr>
      <w:r>
        <w:rPr>
          <w:rFonts w:hint="eastAsia" w:ascii="宋体" w:hAnsi="宋体"/>
          <w:color w:val="auto"/>
          <w:szCs w:val="21"/>
          <w:u w:val="single"/>
        </w:rPr>
        <w:t>在撤销授权的书面通知以前，本授权书一直有效</w:t>
      </w:r>
      <w:r>
        <w:rPr>
          <w:rFonts w:hint="eastAsia" w:ascii="宋体" w:hAnsi="宋体"/>
          <w:color w:val="auto"/>
          <w:szCs w:val="21"/>
        </w:rPr>
        <w:t>。被授权人在授权书有效期内签署的所有文件不因授权的撤销而失效。</w:t>
      </w:r>
    </w:p>
    <w:p w14:paraId="0C76DAF5">
      <w:pPr>
        <w:snapToGrid w:val="0"/>
        <w:spacing w:before="156" w:beforeLines="50" w:after="50" w:line="500" w:lineRule="exact"/>
        <w:ind w:firstLine="420" w:firstLineChars="200"/>
        <w:rPr>
          <w:rFonts w:ascii="宋体" w:hAnsi="宋体"/>
          <w:color w:val="auto"/>
          <w:szCs w:val="21"/>
        </w:rPr>
      </w:pPr>
      <w:r>
        <w:rPr>
          <w:rFonts w:hint="eastAsia" w:ascii="宋体" w:hAnsi="宋体"/>
          <w:color w:val="auto"/>
          <w:szCs w:val="21"/>
        </w:rPr>
        <w:t>被授权人无转委托权，特此委托。</w:t>
      </w:r>
    </w:p>
    <w:p w14:paraId="003B13EE">
      <w:pPr>
        <w:snapToGrid w:val="0"/>
        <w:spacing w:before="156" w:beforeLines="50" w:after="50" w:line="300" w:lineRule="exact"/>
        <w:ind w:firstLine="525" w:firstLineChars="250"/>
        <w:rPr>
          <w:rFonts w:ascii="宋体" w:hAnsi="宋体"/>
          <w:color w:val="auto"/>
          <w:szCs w:val="21"/>
        </w:rPr>
      </w:pPr>
    </w:p>
    <w:p w14:paraId="24D6A6C3">
      <w:pPr>
        <w:snapToGrid w:val="0"/>
        <w:spacing w:before="156" w:beforeLines="50" w:after="50" w:line="300" w:lineRule="exact"/>
        <w:ind w:firstLine="420" w:firstLineChars="200"/>
        <w:rPr>
          <w:rFonts w:ascii="宋体" w:hAnsi="宋体"/>
          <w:color w:val="auto"/>
          <w:szCs w:val="21"/>
        </w:rPr>
      </w:pPr>
      <w:r>
        <w:rPr>
          <w:rFonts w:hint="eastAsia" w:ascii="宋体" w:hAnsi="宋体"/>
          <w:color w:val="auto"/>
          <w:szCs w:val="21"/>
        </w:rPr>
        <w:t>所在部门职务：</w:t>
      </w:r>
      <w:r>
        <w:rPr>
          <w:rFonts w:hint="eastAsia" w:ascii="宋体" w:hAnsi="宋体"/>
          <w:color w:val="auto"/>
          <w:szCs w:val="21"/>
          <w:u w:val="single"/>
        </w:rPr>
        <w:t xml:space="preserve">                        </w:t>
      </w:r>
    </w:p>
    <w:p w14:paraId="60B7597E">
      <w:pPr>
        <w:snapToGrid w:val="0"/>
        <w:spacing w:before="156" w:beforeLines="50" w:after="50" w:line="300" w:lineRule="exact"/>
        <w:ind w:firstLine="420" w:firstLineChars="200"/>
        <w:rPr>
          <w:rFonts w:ascii="宋体" w:hAnsi="宋体"/>
          <w:color w:val="auto"/>
          <w:szCs w:val="21"/>
          <w:u w:val="single"/>
        </w:rPr>
      </w:pPr>
      <w:r>
        <w:rPr>
          <w:rFonts w:hint="eastAsia" w:ascii="宋体" w:hAnsi="宋体"/>
          <w:color w:val="auto"/>
          <w:szCs w:val="21"/>
        </w:rPr>
        <w:t>职务：</w:t>
      </w:r>
      <w:r>
        <w:rPr>
          <w:rFonts w:hint="eastAsia" w:ascii="宋体" w:hAnsi="宋体"/>
          <w:color w:val="auto"/>
          <w:szCs w:val="21"/>
          <w:u w:val="single"/>
        </w:rPr>
        <w:t xml:space="preserve">                                </w:t>
      </w:r>
    </w:p>
    <w:p w14:paraId="6C47B269">
      <w:pPr>
        <w:snapToGrid w:val="0"/>
        <w:spacing w:before="156" w:beforeLines="50" w:after="50" w:line="300" w:lineRule="exact"/>
        <w:ind w:firstLine="420" w:firstLineChars="200"/>
        <w:rPr>
          <w:rFonts w:ascii="宋体" w:hAnsi="宋体"/>
          <w:color w:val="auto"/>
          <w:szCs w:val="21"/>
        </w:rPr>
      </w:pPr>
      <w:r>
        <w:rPr>
          <w:rFonts w:hint="eastAsia" w:ascii="宋体" w:hAnsi="宋体"/>
          <w:color w:val="auto"/>
          <w:szCs w:val="21"/>
        </w:rPr>
        <w:t>被授权人身份证号码：</w:t>
      </w:r>
      <w:r>
        <w:rPr>
          <w:rFonts w:hint="eastAsia" w:ascii="宋体" w:hAnsi="宋体"/>
          <w:color w:val="auto"/>
          <w:szCs w:val="21"/>
          <w:u w:val="single"/>
        </w:rPr>
        <w:t xml:space="preserve">                  </w:t>
      </w:r>
    </w:p>
    <w:p w14:paraId="1915BC27">
      <w:pPr>
        <w:snapToGrid w:val="0"/>
        <w:spacing w:before="156" w:beforeLines="50" w:after="50" w:line="300" w:lineRule="exact"/>
        <w:ind w:firstLine="420" w:firstLineChars="200"/>
        <w:rPr>
          <w:rFonts w:hAnsi="宋体"/>
          <w:color w:val="auto"/>
        </w:rPr>
      </w:pPr>
      <w:r>
        <w:rPr>
          <w:rFonts w:hint="eastAsia" w:hAnsi="宋体"/>
          <w:color w:val="auto"/>
        </w:rPr>
        <w:t>附：委托代理人身份证(正反面</w:t>
      </w:r>
      <w:r>
        <w:rPr>
          <w:rFonts w:hAnsi="宋体"/>
          <w:color w:val="auto"/>
        </w:rPr>
        <w:t>)</w:t>
      </w:r>
    </w:p>
    <w:p w14:paraId="2EB3F0BB">
      <w:pPr>
        <w:rPr>
          <w:color w:val="auto"/>
        </w:rPr>
      </w:pPr>
    </w:p>
    <w:p w14:paraId="61D20E5A">
      <w:pPr>
        <w:rPr>
          <w:color w:val="auto"/>
        </w:rPr>
      </w:pPr>
    </w:p>
    <w:p w14:paraId="4DFF5728">
      <w:pPr>
        <w:snapToGrid w:val="0"/>
        <w:spacing w:before="156" w:beforeLines="50" w:after="50" w:line="200" w:lineRule="exact"/>
        <w:ind w:firstLine="4620" w:firstLineChars="2200"/>
        <w:rPr>
          <w:rFonts w:ascii="宋体" w:hAnsi="宋体"/>
          <w:color w:val="auto"/>
          <w:szCs w:val="21"/>
          <w:u w:val="single"/>
        </w:rPr>
      </w:pPr>
      <w:r>
        <w:rPr>
          <w:rFonts w:hint="eastAsia" w:ascii="宋体" w:hAnsi="宋体"/>
          <w:color w:val="auto"/>
          <w:szCs w:val="21"/>
        </w:rPr>
        <w:t xml:space="preserve">       供应商（盖章）：</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5E72CFC7">
      <w:pPr>
        <w:snapToGrid w:val="0"/>
        <w:spacing w:before="156" w:beforeLines="50" w:after="50" w:line="200" w:lineRule="exact"/>
        <w:ind w:firstLine="5355" w:firstLineChars="2550"/>
        <w:rPr>
          <w:rFonts w:ascii="宋体" w:hAnsi="宋体"/>
          <w:color w:val="auto"/>
          <w:szCs w:val="21"/>
        </w:rPr>
      </w:pPr>
      <w:r>
        <w:rPr>
          <w:rFonts w:hint="eastAsia" w:ascii="宋体" w:hAnsi="宋体"/>
          <w:color w:val="auto"/>
          <w:szCs w:val="21"/>
        </w:rPr>
        <w:t>法定代表人签名：</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062501A8">
      <w:pPr>
        <w:snapToGrid w:val="0"/>
        <w:spacing w:before="156" w:beforeLines="50" w:after="50" w:line="200" w:lineRule="exact"/>
        <w:ind w:firstLine="5355" w:firstLineChars="2550"/>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C47BA58">
      <w:pPr>
        <w:widowControl/>
        <w:jc w:val="left"/>
        <w:rPr>
          <w:rFonts w:ascii="宋体" w:hAnsi="Courier New" w:cs="Courier New"/>
          <w:b/>
          <w:bCs/>
          <w:color w:val="auto"/>
          <w:szCs w:val="21"/>
        </w:rPr>
      </w:pPr>
      <w:r>
        <w:rPr>
          <w:b/>
          <w:bCs/>
          <w:color w:val="auto"/>
        </w:rPr>
        <w:br w:type="page"/>
      </w:r>
    </w:p>
    <w:p w14:paraId="1FF33F36">
      <w:pPr>
        <w:rPr>
          <w:color w:val="auto"/>
        </w:rPr>
      </w:pPr>
    </w:p>
    <w:p w14:paraId="1038702A">
      <w:pPr>
        <w:snapToGrid w:val="0"/>
        <w:spacing w:before="156" w:beforeLines="50" w:after="50" w:line="360" w:lineRule="exact"/>
        <w:jc w:val="center"/>
        <w:rPr>
          <w:rFonts w:ascii="仿宋" w:hAnsi="仿宋" w:eastAsia="仿宋"/>
          <w:b/>
          <w:color w:val="auto"/>
          <w:sz w:val="32"/>
          <w:szCs w:val="32"/>
        </w:rPr>
      </w:pPr>
      <w:r>
        <w:rPr>
          <w:rFonts w:hint="eastAsia" w:ascii="仿宋" w:hAnsi="仿宋" w:eastAsia="仿宋"/>
          <w:b/>
          <w:color w:val="auto"/>
          <w:sz w:val="32"/>
          <w:szCs w:val="32"/>
        </w:rPr>
        <w:t>商务响应表</w:t>
      </w:r>
      <w:r>
        <w:rPr>
          <w:rFonts w:hint="eastAsia" w:ascii="仿宋" w:hAnsi="仿宋" w:eastAsia="仿宋"/>
          <w:color w:val="auto"/>
          <w:sz w:val="24"/>
        </w:rPr>
        <w:t>(格式</w:t>
      </w:r>
      <w:r>
        <w:rPr>
          <w:rFonts w:ascii="仿宋" w:hAnsi="仿宋" w:eastAsia="仿宋"/>
          <w:color w:val="auto"/>
          <w:sz w:val="24"/>
        </w:rPr>
        <w:t>)</w:t>
      </w:r>
    </w:p>
    <w:tbl>
      <w:tblPr>
        <w:tblStyle w:val="41"/>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049"/>
        <w:gridCol w:w="2976"/>
        <w:gridCol w:w="1535"/>
      </w:tblGrid>
      <w:tr w14:paraId="5E734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050FA7D8">
            <w:pPr>
              <w:snapToGrid w:val="0"/>
              <w:spacing w:before="156" w:beforeLines="50" w:line="360" w:lineRule="exact"/>
              <w:jc w:val="center"/>
              <w:rPr>
                <w:rFonts w:ascii="宋体" w:hAnsi="宋体"/>
                <w:b/>
                <w:color w:val="auto"/>
                <w:szCs w:val="21"/>
              </w:rPr>
            </w:pPr>
            <w:r>
              <w:rPr>
                <w:rFonts w:hint="eastAsia" w:ascii="宋体" w:hAnsi="宋体"/>
                <w:b/>
                <w:color w:val="auto"/>
                <w:szCs w:val="21"/>
              </w:rPr>
              <w:t>项目</w:t>
            </w:r>
          </w:p>
        </w:tc>
        <w:tc>
          <w:tcPr>
            <w:tcW w:w="3049" w:type="dxa"/>
            <w:tcBorders>
              <w:top w:val="single" w:color="auto" w:sz="4" w:space="0"/>
              <w:left w:val="single" w:color="auto" w:sz="4" w:space="0"/>
              <w:bottom w:val="single" w:color="auto" w:sz="4" w:space="0"/>
              <w:right w:val="single" w:color="auto" w:sz="4" w:space="0"/>
            </w:tcBorders>
            <w:vAlign w:val="center"/>
          </w:tcPr>
          <w:p w14:paraId="412DA34E">
            <w:pPr>
              <w:snapToGrid w:val="0"/>
              <w:spacing w:before="156" w:beforeLines="50" w:line="360" w:lineRule="exact"/>
              <w:jc w:val="center"/>
              <w:rPr>
                <w:rFonts w:ascii="宋体" w:hAnsi="宋体"/>
                <w:b/>
                <w:color w:val="auto"/>
                <w:szCs w:val="21"/>
              </w:rPr>
            </w:pPr>
            <w:r>
              <w:rPr>
                <w:rFonts w:hint="eastAsia" w:ascii="宋体" w:hAnsi="宋体"/>
                <w:b/>
                <w:color w:val="auto"/>
                <w:szCs w:val="21"/>
              </w:rPr>
              <w:t>采购文件要求</w:t>
            </w:r>
          </w:p>
        </w:tc>
        <w:tc>
          <w:tcPr>
            <w:tcW w:w="2976" w:type="dxa"/>
            <w:tcBorders>
              <w:top w:val="single" w:color="auto" w:sz="4" w:space="0"/>
              <w:left w:val="single" w:color="auto" w:sz="4" w:space="0"/>
              <w:bottom w:val="single" w:color="auto" w:sz="4" w:space="0"/>
              <w:right w:val="single" w:color="auto" w:sz="4" w:space="0"/>
            </w:tcBorders>
            <w:vAlign w:val="center"/>
          </w:tcPr>
          <w:p w14:paraId="38A10B32">
            <w:pPr>
              <w:snapToGrid w:val="0"/>
              <w:spacing w:before="156" w:beforeLines="50" w:line="360" w:lineRule="exact"/>
              <w:jc w:val="center"/>
              <w:rPr>
                <w:rFonts w:ascii="宋体" w:hAnsi="宋体"/>
                <w:b/>
                <w:color w:val="auto"/>
                <w:szCs w:val="21"/>
              </w:rPr>
            </w:pPr>
            <w:r>
              <w:rPr>
                <w:rFonts w:hint="eastAsia" w:ascii="宋体" w:hAnsi="宋体"/>
                <w:b/>
                <w:color w:val="auto"/>
                <w:szCs w:val="21"/>
              </w:rPr>
              <w:t>供应商的承诺或说明</w:t>
            </w:r>
          </w:p>
        </w:tc>
        <w:tc>
          <w:tcPr>
            <w:tcW w:w="1535" w:type="dxa"/>
            <w:tcBorders>
              <w:top w:val="single" w:color="auto" w:sz="4" w:space="0"/>
              <w:left w:val="single" w:color="auto" w:sz="4" w:space="0"/>
              <w:bottom w:val="single" w:color="auto" w:sz="4" w:space="0"/>
              <w:right w:val="single" w:color="auto" w:sz="4" w:space="0"/>
            </w:tcBorders>
            <w:vAlign w:val="center"/>
          </w:tcPr>
          <w:p w14:paraId="4280BF63">
            <w:pPr>
              <w:snapToGrid w:val="0"/>
              <w:spacing w:before="156" w:beforeLines="50" w:line="360" w:lineRule="exact"/>
              <w:jc w:val="center"/>
              <w:rPr>
                <w:rFonts w:ascii="宋体" w:hAnsi="宋体"/>
                <w:b/>
                <w:color w:val="auto"/>
                <w:szCs w:val="21"/>
              </w:rPr>
            </w:pPr>
            <w:r>
              <w:rPr>
                <w:rFonts w:hint="eastAsia" w:ascii="宋体" w:hAnsi="宋体"/>
                <w:b/>
                <w:color w:val="auto"/>
                <w:szCs w:val="21"/>
              </w:rPr>
              <w:t>是否响应</w:t>
            </w:r>
          </w:p>
        </w:tc>
      </w:tr>
      <w:tr w14:paraId="3EB67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54EB0470">
            <w:pPr>
              <w:snapToGrid w:val="0"/>
              <w:spacing w:before="156" w:beforeLines="50" w:line="360" w:lineRule="exact"/>
              <w:jc w:val="center"/>
              <w:rPr>
                <w:rFonts w:ascii="宋体" w:hAnsi="宋体"/>
                <w:color w:val="auto"/>
                <w:szCs w:val="21"/>
              </w:rPr>
            </w:pPr>
            <w:r>
              <w:rPr>
                <w:rFonts w:hint="eastAsia" w:ascii="宋体" w:hAnsi="宋体"/>
                <w:color w:val="auto"/>
                <w:szCs w:val="21"/>
              </w:rPr>
              <w:t>质保期</w:t>
            </w:r>
          </w:p>
        </w:tc>
        <w:tc>
          <w:tcPr>
            <w:tcW w:w="3049" w:type="dxa"/>
            <w:tcBorders>
              <w:top w:val="single" w:color="auto" w:sz="4" w:space="0"/>
              <w:left w:val="single" w:color="auto" w:sz="4" w:space="0"/>
              <w:bottom w:val="single" w:color="auto" w:sz="4" w:space="0"/>
              <w:right w:val="single" w:color="auto" w:sz="4" w:space="0"/>
            </w:tcBorders>
            <w:vAlign w:val="center"/>
          </w:tcPr>
          <w:p w14:paraId="713A14EE">
            <w:pPr>
              <w:snapToGrid w:val="0"/>
              <w:spacing w:before="156" w:beforeLines="50" w:line="360" w:lineRule="exact"/>
              <w:jc w:val="center"/>
              <w:rPr>
                <w:rFonts w:ascii="宋体" w:hAnsi="宋体"/>
                <w:color w:val="auto"/>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6C10C6F5">
            <w:pPr>
              <w:snapToGrid w:val="0"/>
              <w:spacing w:before="156" w:beforeLines="50" w:line="360" w:lineRule="exact"/>
              <w:jc w:val="center"/>
              <w:rPr>
                <w:rFonts w:ascii="宋体" w:hAnsi="宋体"/>
                <w:color w:val="auto"/>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214A0BD7">
            <w:pPr>
              <w:snapToGrid w:val="0"/>
              <w:spacing w:before="156" w:beforeLines="50" w:line="360" w:lineRule="exact"/>
              <w:jc w:val="center"/>
              <w:rPr>
                <w:rFonts w:ascii="宋体" w:hAnsi="宋体"/>
                <w:color w:val="auto"/>
                <w:szCs w:val="21"/>
              </w:rPr>
            </w:pPr>
          </w:p>
        </w:tc>
      </w:tr>
      <w:tr w14:paraId="1E888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3B56803F">
            <w:pPr>
              <w:snapToGrid w:val="0"/>
              <w:spacing w:before="156" w:beforeLines="50" w:line="360" w:lineRule="exact"/>
              <w:jc w:val="center"/>
              <w:rPr>
                <w:rFonts w:ascii="宋体" w:hAnsi="宋体"/>
                <w:color w:val="auto"/>
                <w:szCs w:val="21"/>
              </w:rPr>
            </w:pPr>
            <w:r>
              <w:rPr>
                <w:rFonts w:hint="eastAsia" w:ascii="宋体" w:hAnsi="宋体"/>
                <w:color w:val="auto"/>
                <w:szCs w:val="21"/>
              </w:rPr>
              <w:t>售后技术服务要求</w:t>
            </w:r>
          </w:p>
        </w:tc>
        <w:tc>
          <w:tcPr>
            <w:tcW w:w="3049" w:type="dxa"/>
            <w:tcBorders>
              <w:top w:val="single" w:color="auto" w:sz="4" w:space="0"/>
              <w:left w:val="single" w:color="auto" w:sz="4" w:space="0"/>
              <w:bottom w:val="single" w:color="auto" w:sz="4" w:space="0"/>
              <w:right w:val="single" w:color="auto" w:sz="4" w:space="0"/>
            </w:tcBorders>
            <w:vAlign w:val="center"/>
          </w:tcPr>
          <w:p w14:paraId="34C65D3F">
            <w:pPr>
              <w:snapToGrid w:val="0"/>
              <w:spacing w:before="156" w:beforeLines="50" w:line="360" w:lineRule="exact"/>
              <w:jc w:val="center"/>
              <w:rPr>
                <w:rFonts w:ascii="宋体" w:hAnsi="宋体"/>
                <w:color w:val="auto"/>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6846C9BD">
            <w:pPr>
              <w:snapToGrid w:val="0"/>
              <w:spacing w:before="156" w:beforeLines="50" w:line="360" w:lineRule="exact"/>
              <w:jc w:val="center"/>
              <w:rPr>
                <w:rFonts w:ascii="宋体" w:hAnsi="宋体"/>
                <w:color w:val="auto"/>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52D3EBB5">
            <w:pPr>
              <w:snapToGrid w:val="0"/>
              <w:spacing w:before="156" w:beforeLines="50" w:line="360" w:lineRule="exact"/>
              <w:jc w:val="center"/>
              <w:rPr>
                <w:rFonts w:ascii="宋体" w:hAnsi="宋体"/>
                <w:color w:val="auto"/>
                <w:szCs w:val="21"/>
              </w:rPr>
            </w:pPr>
          </w:p>
        </w:tc>
      </w:tr>
      <w:tr w14:paraId="54E2E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0304323F">
            <w:pPr>
              <w:snapToGrid w:val="0"/>
              <w:spacing w:before="156" w:beforeLines="50" w:line="360" w:lineRule="exact"/>
              <w:jc w:val="center"/>
              <w:rPr>
                <w:rFonts w:ascii="宋体" w:hAnsi="宋体"/>
                <w:color w:val="auto"/>
                <w:szCs w:val="21"/>
              </w:rPr>
            </w:pPr>
            <w:r>
              <w:rPr>
                <w:rFonts w:hint="eastAsia" w:ascii="宋体" w:hAnsi="宋体"/>
                <w:color w:val="auto"/>
                <w:szCs w:val="21"/>
              </w:rPr>
              <w:t>交货时间及地点</w:t>
            </w:r>
          </w:p>
        </w:tc>
        <w:tc>
          <w:tcPr>
            <w:tcW w:w="3049" w:type="dxa"/>
            <w:tcBorders>
              <w:top w:val="single" w:color="auto" w:sz="4" w:space="0"/>
              <w:left w:val="single" w:color="auto" w:sz="4" w:space="0"/>
              <w:bottom w:val="single" w:color="auto" w:sz="4" w:space="0"/>
              <w:right w:val="single" w:color="auto" w:sz="4" w:space="0"/>
            </w:tcBorders>
            <w:vAlign w:val="center"/>
          </w:tcPr>
          <w:p w14:paraId="2D0E9B31">
            <w:pPr>
              <w:snapToGrid w:val="0"/>
              <w:spacing w:before="156" w:beforeLines="50" w:line="360" w:lineRule="exact"/>
              <w:jc w:val="center"/>
              <w:rPr>
                <w:rFonts w:ascii="宋体" w:hAnsi="宋体"/>
                <w:color w:val="auto"/>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18A1C2C3">
            <w:pPr>
              <w:snapToGrid w:val="0"/>
              <w:spacing w:before="156" w:beforeLines="50" w:line="360" w:lineRule="exact"/>
              <w:ind w:left="43"/>
              <w:jc w:val="center"/>
              <w:rPr>
                <w:rFonts w:ascii="宋体" w:hAnsi="宋体"/>
                <w:color w:val="auto"/>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703444B0">
            <w:pPr>
              <w:snapToGrid w:val="0"/>
              <w:spacing w:before="156" w:beforeLines="50" w:line="360" w:lineRule="exact"/>
              <w:ind w:left="43"/>
              <w:jc w:val="center"/>
              <w:rPr>
                <w:rFonts w:ascii="宋体" w:hAnsi="宋体"/>
                <w:color w:val="auto"/>
                <w:szCs w:val="21"/>
              </w:rPr>
            </w:pPr>
          </w:p>
        </w:tc>
      </w:tr>
      <w:tr w14:paraId="7A4DA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6D4067F8">
            <w:pPr>
              <w:snapToGrid w:val="0"/>
              <w:spacing w:before="156" w:beforeLines="50" w:line="360" w:lineRule="exact"/>
              <w:jc w:val="center"/>
              <w:rPr>
                <w:rFonts w:ascii="宋体" w:hAnsi="宋体"/>
                <w:color w:val="auto"/>
                <w:szCs w:val="21"/>
              </w:rPr>
            </w:pPr>
            <w:r>
              <w:rPr>
                <w:rFonts w:hint="eastAsia" w:ascii="宋体" w:hAnsi="宋体"/>
                <w:color w:val="auto"/>
                <w:szCs w:val="21"/>
              </w:rPr>
              <w:t>付款条件</w:t>
            </w:r>
          </w:p>
        </w:tc>
        <w:tc>
          <w:tcPr>
            <w:tcW w:w="3049" w:type="dxa"/>
            <w:tcBorders>
              <w:top w:val="single" w:color="auto" w:sz="4" w:space="0"/>
              <w:left w:val="single" w:color="auto" w:sz="4" w:space="0"/>
              <w:bottom w:val="single" w:color="auto" w:sz="4" w:space="0"/>
              <w:right w:val="single" w:color="auto" w:sz="4" w:space="0"/>
            </w:tcBorders>
            <w:vAlign w:val="center"/>
          </w:tcPr>
          <w:p w14:paraId="6356A5C4">
            <w:pPr>
              <w:snapToGrid w:val="0"/>
              <w:spacing w:before="156" w:beforeLines="50" w:line="360" w:lineRule="exact"/>
              <w:jc w:val="center"/>
              <w:rPr>
                <w:rFonts w:ascii="宋体" w:hAnsi="宋体"/>
                <w:color w:val="auto"/>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59F566E7">
            <w:pPr>
              <w:snapToGrid w:val="0"/>
              <w:spacing w:before="156" w:beforeLines="50" w:line="360" w:lineRule="exact"/>
              <w:jc w:val="center"/>
              <w:rPr>
                <w:rFonts w:ascii="宋体" w:hAnsi="宋体"/>
                <w:color w:val="auto"/>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24677351">
            <w:pPr>
              <w:snapToGrid w:val="0"/>
              <w:spacing w:before="156" w:beforeLines="50" w:line="360" w:lineRule="exact"/>
              <w:jc w:val="center"/>
              <w:rPr>
                <w:rFonts w:ascii="宋体" w:hAnsi="宋体"/>
                <w:color w:val="auto"/>
                <w:szCs w:val="21"/>
              </w:rPr>
            </w:pPr>
          </w:p>
        </w:tc>
      </w:tr>
      <w:tr w14:paraId="152CA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14:paraId="5CC1D1D2">
            <w:pPr>
              <w:snapToGrid w:val="0"/>
              <w:spacing w:before="156" w:beforeLines="50" w:line="360" w:lineRule="exact"/>
              <w:jc w:val="center"/>
              <w:rPr>
                <w:rFonts w:ascii="宋体" w:hAnsi="宋体"/>
                <w:color w:val="auto"/>
                <w:szCs w:val="21"/>
              </w:rPr>
            </w:pPr>
            <w:r>
              <w:rPr>
                <w:rFonts w:hint="eastAsia" w:ascii="宋体" w:hAnsi="宋体"/>
                <w:color w:val="auto"/>
                <w:szCs w:val="21"/>
              </w:rPr>
              <w:t>…</w:t>
            </w:r>
          </w:p>
        </w:tc>
        <w:tc>
          <w:tcPr>
            <w:tcW w:w="3049" w:type="dxa"/>
            <w:tcBorders>
              <w:top w:val="single" w:color="auto" w:sz="4" w:space="0"/>
              <w:left w:val="single" w:color="auto" w:sz="4" w:space="0"/>
              <w:bottom w:val="single" w:color="auto" w:sz="4" w:space="0"/>
              <w:right w:val="single" w:color="auto" w:sz="4" w:space="0"/>
            </w:tcBorders>
            <w:vAlign w:val="center"/>
          </w:tcPr>
          <w:p w14:paraId="1689202E">
            <w:pPr>
              <w:snapToGrid w:val="0"/>
              <w:spacing w:before="156" w:beforeLines="50" w:line="360" w:lineRule="exact"/>
              <w:jc w:val="center"/>
              <w:rPr>
                <w:rFonts w:ascii="宋体" w:hAnsi="宋体"/>
                <w:color w:val="auto"/>
                <w:szCs w:val="21"/>
              </w:rPr>
            </w:pPr>
          </w:p>
        </w:tc>
        <w:tc>
          <w:tcPr>
            <w:tcW w:w="2976" w:type="dxa"/>
            <w:tcBorders>
              <w:top w:val="single" w:color="auto" w:sz="4" w:space="0"/>
              <w:left w:val="single" w:color="auto" w:sz="4" w:space="0"/>
              <w:bottom w:val="single" w:color="auto" w:sz="4" w:space="0"/>
              <w:right w:val="single" w:color="auto" w:sz="4" w:space="0"/>
            </w:tcBorders>
            <w:vAlign w:val="center"/>
          </w:tcPr>
          <w:p w14:paraId="341D7910">
            <w:pPr>
              <w:snapToGrid w:val="0"/>
              <w:spacing w:before="156" w:beforeLines="50" w:line="360" w:lineRule="exact"/>
              <w:jc w:val="center"/>
              <w:rPr>
                <w:rFonts w:ascii="宋体" w:hAnsi="宋体"/>
                <w:color w:val="auto"/>
                <w:szCs w:val="21"/>
              </w:rPr>
            </w:pPr>
          </w:p>
        </w:tc>
        <w:tc>
          <w:tcPr>
            <w:tcW w:w="1535" w:type="dxa"/>
            <w:tcBorders>
              <w:top w:val="single" w:color="auto" w:sz="4" w:space="0"/>
              <w:left w:val="single" w:color="auto" w:sz="4" w:space="0"/>
              <w:bottom w:val="single" w:color="auto" w:sz="4" w:space="0"/>
              <w:right w:val="single" w:color="auto" w:sz="4" w:space="0"/>
            </w:tcBorders>
            <w:vAlign w:val="center"/>
          </w:tcPr>
          <w:p w14:paraId="0A71BFD3">
            <w:pPr>
              <w:snapToGrid w:val="0"/>
              <w:spacing w:before="156" w:beforeLines="50" w:line="360" w:lineRule="exact"/>
              <w:jc w:val="center"/>
              <w:rPr>
                <w:rFonts w:ascii="宋体" w:hAnsi="宋体"/>
                <w:color w:val="auto"/>
                <w:szCs w:val="21"/>
              </w:rPr>
            </w:pPr>
          </w:p>
        </w:tc>
      </w:tr>
    </w:tbl>
    <w:p w14:paraId="3652A0C2">
      <w:pPr>
        <w:tabs>
          <w:tab w:val="left" w:pos="3870"/>
          <w:tab w:val="left" w:pos="4085"/>
        </w:tabs>
        <w:snapToGrid w:val="0"/>
        <w:spacing w:line="400" w:lineRule="exact"/>
        <w:rPr>
          <w:rFonts w:ascii="宋体" w:hAnsi="宋体"/>
          <w:b/>
          <w:color w:val="auto"/>
          <w:szCs w:val="21"/>
        </w:rPr>
      </w:pPr>
    </w:p>
    <w:p w14:paraId="083F6526">
      <w:pPr>
        <w:pStyle w:val="19"/>
        <w:spacing w:line="380" w:lineRule="exact"/>
        <w:rPr>
          <w:b w:val="0"/>
          <w:bCs w:val="0"/>
          <w:color w:val="auto"/>
          <w:sz w:val="21"/>
          <w:szCs w:val="21"/>
        </w:rPr>
      </w:pPr>
      <w:r>
        <w:rPr>
          <w:rFonts w:hint="eastAsia"/>
          <w:b w:val="0"/>
          <w:bCs w:val="0"/>
          <w:color w:val="auto"/>
          <w:sz w:val="21"/>
          <w:szCs w:val="21"/>
        </w:rPr>
        <w:t>注：应对照采购文件“第二章 项目需求”中的商务要求逐条作明确的竞标响应。</w:t>
      </w:r>
    </w:p>
    <w:p w14:paraId="089D33F9">
      <w:pPr>
        <w:tabs>
          <w:tab w:val="left" w:pos="3870"/>
          <w:tab w:val="left" w:pos="4085"/>
        </w:tabs>
        <w:snapToGrid w:val="0"/>
        <w:spacing w:line="400" w:lineRule="exact"/>
        <w:rPr>
          <w:rFonts w:ascii="宋体" w:hAnsi="宋体"/>
          <w:b/>
          <w:color w:val="auto"/>
          <w:szCs w:val="21"/>
        </w:rPr>
      </w:pPr>
    </w:p>
    <w:p w14:paraId="7F4541AE">
      <w:pPr>
        <w:snapToGrid w:val="0"/>
        <w:spacing w:before="50" w:after="50" w:line="350" w:lineRule="exact"/>
        <w:ind w:right="-817" w:rightChars="-389"/>
        <w:rPr>
          <w:rFonts w:ascii="宋体" w:hAnsi="宋体"/>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供应商（盖章）：</w:t>
      </w:r>
      <w:r>
        <w:rPr>
          <w:rFonts w:hint="eastAsia" w:ascii="宋体" w:hAnsi="宋体"/>
          <w:color w:val="auto"/>
          <w:szCs w:val="21"/>
          <w:u w:val="single"/>
        </w:rPr>
        <w:t xml:space="preserve">         </w:t>
      </w:r>
    </w:p>
    <w:p w14:paraId="63B1AA01">
      <w:pPr>
        <w:snapToGrid w:val="0"/>
        <w:spacing w:before="50" w:after="50" w:line="350" w:lineRule="exact"/>
        <w:ind w:right="-817" w:rightChars="-389"/>
        <w:rPr>
          <w:rFonts w:ascii="宋体" w:hAnsi="宋体"/>
          <w:color w:val="auto"/>
          <w:szCs w:val="21"/>
        </w:rPr>
      </w:pP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w:t>
      </w: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日</w:t>
      </w:r>
    </w:p>
    <w:p w14:paraId="709E7FE8">
      <w:pPr>
        <w:snapToGrid w:val="0"/>
        <w:spacing w:before="50" w:after="50" w:line="350" w:lineRule="exact"/>
        <w:ind w:right="-817" w:rightChars="-389"/>
        <w:rPr>
          <w:rFonts w:ascii="宋体" w:hAnsi="宋体"/>
          <w:color w:val="auto"/>
          <w:szCs w:val="21"/>
        </w:rPr>
      </w:pPr>
    </w:p>
    <w:p w14:paraId="3443F391">
      <w:pPr>
        <w:snapToGrid w:val="0"/>
        <w:spacing w:before="50" w:after="50" w:line="350" w:lineRule="exact"/>
        <w:ind w:right="-817" w:rightChars="-389"/>
        <w:rPr>
          <w:rFonts w:ascii="宋体" w:hAnsi="宋体"/>
          <w:color w:val="auto"/>
          <w:szCs w:val="21"/>
        </w:rPr>
      </w:pPr>
    </w:p>
    <w:p w14:paraId="0F0BA80C">
      <w:pPr>
        <w:pStyle w:val="23"/>
        <w:spacing w:line="440" w:lineRule="exact"/>
        <w:ind w:firstLine="840"/>
        <w:jc w:val="center"/>
        <w:rPr>
          <w:rFonts w:ascii="仿宋" w:hAnsi="仿宋" w:eastAsia="仿宋"/>
          <w:color w:val="auto"/>
        </w:rPr>
      </w:pPr>
      <w:r>
        <w:rPr>
          <w:rFonts w:hint="eastAsia" w:ascii="仿宋" w:hAnsi="仿宋" w:eastAsia="仿宋" w:cs="黑体"/>
          <w:b/>
          <w:color w:val="auto"/>
          <w:sz w:val="32"/>
          <w:szCs w:val="32"/>
        </w:rPr>
        <w:t>技术响应表</w:t>
      </w:r>
      <w:r>
        <w:rPr>
          <w:rFonts w:hint="eastAsia" w:ascii="仿宋" w:hAnsi="仿宋" w:eastAsia="仿宋"/>
          <w:color w:val="auto"/>
          <w:sz w:val="24"/>
          <w:szCs w:val="24"/>
        </w:rPr>
        <w:t>(格式</w:t>
      </w:r>
      <w:r>
        <w:rPr>
          <w:rFonts w:ascii="仿宋" w:hAnsi="仿宋" w:eastAsia="仿宋"/>
          <w:color w:val="auto"/>
          <w:sz w:val="24"/>
          <w:szCs w:val="24"/>
        </w:rPr>
        <w:t>)</w:t>
      </w:r>
    </w:p>
    <w:p w14:paraId="1677A451">
      <w:pPr>
        <w:rPr>
          <w:color w:val="auto"/>
        </w:rPr>
      </w:pPr>
    </w:p>
    <w:p w14:paraId="4B047DE6">
      <w:pPr>
        <w:rPr>
          <w:color w:val="auto"/>
        </w:rPr>
      </w:pPr>
      <w:r>
        <w:rPr>
          <w:rFonts w:hint="eastAsia"/>
          <w:color w:val="auto"/>
        </w:rPr>
        <w:t>采购项目编号：</w:t>
      </w:r>
      <w:r>
        <w:rPr>
          <w:rFonts w:hint="eastAsia"/>
          <w:color w:val="auto"/>
          <w:u w:val="single"/>
        </w:rPr>
        <w:t xml:space="preserve">                 </w:t>
      </w:r>
    </w:p>
    <w:p w14:paraId="7B05A8E9">
      <w:pPr>
        <w:rPr>
          <w:color w:val="auto"/>
        </w:rPr>
      </w:pPr>
      <w:r>
        <w:rPr>
          <w:rFonts w:hint="eastAsia"/>
          <w:color w:val="auto"/>
        </w:rPr>
        <w:t>采购项目名称：</w:t>
      </w:r>
      <w:r>
        <w:rPr>
          <w:rFonts w:hint="eastAsia"/>
          <w:color w:val="auto"/>
          <w:u w:val="single"/>
        </w:rPr>
        <w:t xml:space="preserve">                 </w:t>
      </w:r>
    </w:p>
    <w:tbl>
      <w:tblPr>
        <w:tblStyle w:val="41"/>
        <w:tblW w:w="9415" w:type="dxa"/>
        <w:tblInd w:w="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480"/>
        <w:gridCol w:w="2835"/>
        <w:gridCol w:w="2268"/>
        <w:gridCol w:w="1418"/>
        <w:gridCol w:w="709"/>
      </w:tblGrid>
      <w:tr w14:paraId="26BB30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705" w:type="dxa"/>
            <w:vAlign w:val="center"/>
          </w:tcPr>
          <w:p w14:paraId="7DD4D2B5">
            <w:pPr>
              <w:jc w:val="center"/>
              <w:rPr>
                <w:color w:val="auto"/>
              </w:rPr>
            </w:pPr>
            <w:r>
              <w:rPr>
                <w:rFonts w:hint="eastAsia"/>
                <w:color w:val="auto"/>
              </w:rPr>
              <w:t>序号</w:t>
            </w:r>
          </w:p>
        </w:tc>
        <w:tc>
          <w:tcPr>
            <w:tcW w:w="1480" w:type="dxa"/>
            <w:vAlign w:val="center"/>
          </w:tcPr>
          <w:p w14:paraId="1DCCE906">
            <w:pPr>
              <w:jc w:val="center"/>
              <w:rPr>
                <w:color w:val="auto"/>
              </w:rPr>
            </w:pPr>
            <w:r>
              <w:rPr>
                <w:rFonts w:hint="eastAsia"/>
                <w:color w:val="auto"/>
              </w:rPr>
              <w:t>标的名称</w:t>
            </w:r>
          </w:p>
        </w:tc>
        <w:tc>
          <w:tcPr>
            <w:tcW w:w="2835" w:type="dxa"/>
            <w:vAlign w:val="center"/>
          </w:tcPr>
          <w:p w14:paraId="6CBAC100">
            <w:pPr>
              <w:jc w:val="center"/>
              <w:rPr>
                <w:color w:val="auto"/>
              </w:rPr>
            </w:pPr>
            <w:r>
              <w:rPr>
                <w:rFonts w:hint="eastAsia"/>
                <w:color w:val="auto"/>
              </w:rPr>
              <w:t>竞争性谈判采购文件要求</w:t>
            </w:r>
          </w:p>
        </w:tc>
        <w:tc>
          <w:tcPr>
            <w:tcW w:w="2268" w:type="dxa"/>
            <w:vAlign w:val="center"/>
          </w:tcPr>
          <w:p w14:paraId="42EB7C4B">
            <w:pPr>
              <w:jc w:val="center"/>
              <w:rPr>
                <w:color w:val="auto"/>
              </w:rPr>
            </w:pPr>
            <w:r>
              <w:rPr>
                <w:rFonts w:hint="eastAsia"/>
                <w:color w:val="auto"/>
              </w:rPr>
              <w:t>响应文件具体响应</w:t>
            </w:r>
          </w:p>
        </w:tc>
        <w:tc>
          <w:tcPr>
            <w:tcW w:w="1418" w:type="dxa"/>
            <w:vAlign w:val="center"/>
          </w:tcPr>
          <w:p w14:paraId="6C0E7AFF">
            <w:pPr>
              <w:jc w:val="center"/>
              <w:rPr>
                <w:color w:val="auto"/>
              </w:rPr>
            </w:pPr>
            <w:r>
              <w:rPr>
                <w:rFonts w:hint="eastAsia"/>
                <w:color w:val="auto"/>
              </w:rPr>
              <w:t>响应/偏离</w:t>
            </w:r>
          </w:p>
        </w:tc>
        <w:tc>
          <w:tcPr>
            <w:tcW w:w="709" w:type="dxa"/>
            <w:vAlign w:val="center"/>
          </w:tcPr>
          <w:p w14:paraId="38C70E14">
            <w:pPr>
              <w:jc w:val="center"/>
              <w:rPr>
                <w:color w:val="auto"/>
              </w:rPr>
            </w:pPr>
            <w:r>
              <w:rPr>
                <w:rFonts w:hint="eastAsia"/>
                <w:color w:val="auto"/>
              </w:rPr>
              <w:t>说明</w:t>
            </w:r>
          </w:p>
        </w:tc>
      </w:tr>
      <w:tr w14:paraId="095252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7B8724F5">
            <w:pPr>
              <w:jc w:val="center"/>
              <w:rPr>
                <w:color w:val="auto"/>
              </w:rPr>
            </w:pPr>
            <w:r>
              <w:rPr>
                <w:rFonts w:hint="eastAsia"/>
                <w:color w:val="auto"/>
              </w:rPr>
              <w:t>1</w:t>
            </w:r>
          </w:p>
        </w:tc>
        <w:tc>
          <w:tcPr>
            <w:tcW w:w="1480" w:type="dxa"/>
            <w:vAlign w:val="center"/>
          </w:tcPr>
          <w:p w14:paraId="22A6DE57">
            <w:pPr>
              <w:rPr>
                <w:color w:val="auto"/>
              </w:rPr>
            </w:pPr>
          </w:p>
        </w:tc>
        <w:tc>
          <w:tcPr>
            <w:tcW w:w="2835" w:type="dxa"/>
            <w:vAlign w:val="center"/>
          </w:tcPr>
          <w:p w14:paraId="250D8292">
            <w:pPr>
              <w:rPr>
                <w:color w:val="auto"/>
              </w:rPr>
            </w:pPr>
          </w:p>
        </w:tc>
        <w:tc>
          <w:tcPr>
            <w:tcW w:w="2268" w:type="dxa"/>
            <w:vAlign w:val="center"/>
          </w:tcPr>
          <w:p w14:paraId="558678B6">
            <w:pPr>
              <w:rPr>
                <w:color w:val="auto"/>
              </w:rPr>
            </w:pPr>
          </w:p>
        </w:tc>
        <w:tc>
          <w:tcPr>
            <w:tcW w:w="1418" w:type="dxa"/>
            <w:vAlign w:val="center"/>
          </w:tcPr>
          <w:p w14:paraId="06617B80">
            <w:pPr>
              <w:rPr>
                <w:color w:val="auto"/>
              </w:rPr>
            </w:pPr>
          </w:p>
        </w:tc>
        <w:tc>
          <w:tcPr>
            <w:tcW w:w="709" w:type="dxa"/>
            <w:vAlign w:val="center"/>
          </w:tcPr>
          <w:p w14:paraId="3EDC47B7">
            <w:pPr>
              <w:rPr>
                <w:color w:val="auto"/>
              </w:rPr>
            </w:pPr>
          </w:p>
        </w:tc>
      </w:tr>
      <w:tr w14:paraId="5D055A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6F2E7E4D">
            <w:pPr>
              <w:jc w:val="center"/>
              <w:rPr>
                <w:color w:val="auto"/>
              </w:rPr>
            </w:pPr>
            <w:r>
              <w:rPr>
                <w:rFonts w:hint="eastAsia"/>
                <w:color w:val="auto"/>
              </w:rPr>
              <w:t>2</w:t>
            </w:r>
          </w:p>
        </w:tc>
        <w:tc>
          <w:tcPr>
            <w:tcW w:w="1480" w:type="dxa"/>
            <w:vAlign w:val="center"/>
          </w:tcPr>
          <w:p w14:paraId="7099BB0D">
            <w:pPr>
              <w:rPr>
                <w:color w:val="auto"/>
              </w:rPr>
            </w:pPr>
          </w:p>
        </w:tc>
        <w:tc>
          <w:tcPr>
            <w:tcW w:w="2835" w:type="dxa"/>
            <w:vAlign w:val="center"/>
          </w:tcPr>
          <w:p w14:paraId="7963214B">
            <w:pPr>
              <w:rPr>
                <w:color w:val="auto"/>
              </w:rPr>
            </w:pPr>
          </w:p>
        </w:tc>
        <w:tc>
          <w:tcPr>
            <w:tcW w:w="2268" w:type="dxa"/>
            <w:vAlign w:val="center"/>
          </w:tcPr>
          <w:p w14:paraId="1B50639D">
            <w:pPr>
              <w:rPr>
                <w:color w:val="auto"/>
              </w:rPr>
            </w:pPr>
          </w:p>
        </w:tc>
        <w:tc>
          <w:tcPr>
            <w:tcW w:w="1418" w:type="dxa"/>
            <w:vAlign w:val="center"/>
          </w:tcPr>
          <w:p w14:paraId="34D05DF3">
            <w:pPr>
              <w:rPr>
                <w:color w:val="auto"/>
              </w:rPr>
            </w:pPr>
          </w:p>
        </w:tc>
        <w:tc>
          <w:tcPr>
            <w:tcW w:w="709" w:type="dxa"/>
            <w:vAlign w:val="center"/>
          </w:tcPr>
          <w:p w14:paraId="5772F6F9">
            <w:pPr>
              <w:rPr>
                <w:color w:val="auto"/>
              </w:rPr>
            </w:pPr>
          </w:p>
        </w:tc>
      </w:tr>
      <w:tr w14:paraId="54173C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68BE125D">
            <w:pPr>
              <w:jc w:val="center"/>
              <w:rPr>
                <w:color w:val="auto"/>
              </w:rPr>
            </w:pPr>
            <w:r>
              <w:rPr>
                <w:rFonts w:hint="eastAsia"/>
                <w:color w:val="auto"/>
              </w:rPr>
              <w:t>3</w:t>
            </w:r>
          </w:p>
        </w:tc>
        <w:tc>
          <w:tcPr>
            <w:tcW w:w="1480" w:type="dxa"/>
            <w:vAlign w:val="center"/>
          </w:tcPr>
          <w:p w14:paraId="17C97D67">
            <w:pPr>
              <w:rPr>
                <w:color w:val="auto"/>
              </w:rPr>
            </w:pPr>
          </w:p>
        </w:tc>
        <w:tc>
          <w:tcPr>
            <w:tcW w:w="2835" w:type="dxa"/>
            <w:vAlign w:val="center"/>
          </w:tcPr>
          <w:p w14:paraId="03E3281D">
            <w:pPr>
              <w:rPr>
                <w:color w:val="auto"/>
              </w:rPr>
            </w:pPr>
          </w:p>
        </w:tc>
        <w:tc>
          <w:tcPr>
            <w:tcW w:w="2268" w:type="dxa"/>
            <w:vAlign w:val="center"/>
          </w:tcPr>
          <w:p w14:paraId="4C691FCE">
            <w:pPr>
              <w:rPr>
                <w:color w:val="auto"/>
              </w:rPr>
            </w:pPr>
          </w:p>
        </w:tc>
        <w:tc>
          <w:tcPr>
            <w:tcW w:w="1418" w:type="dxa"/>
            <w:vAlign w:val="center"/>
          </w:tcPr>
          <w:p w14:paraId="57D6522B">
            <w:pPr>
              <w:rPr>
                <w:color w:val="auto"/>
              </w:rPr>
            </w:pPr>
          </w:p>
        </w:tc>
        <w:tc>
          <w:tcPr>
            <w:tcW w:w="709" w:type="dxa"/>
            <w:vAlign w:val="center"/>
          </w:tcPr>
          <w:p w14:paraId="146A71FF">
            <w:pPr>
              <w:rPr>
                <w:color w:val="auto"/>
              </w:rPr>
            </w:pPr>
          </w:p>
        </w:tc>
      </w:tr>
      <w:tr w14:paraId="60777E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691D9097">
            <w:pPr>
              <w:jc w:val="center"/>
              <w:rPr>
                <w:color w:val="auto"/>
              </w:rPr>
            </w:pPr>
            <w:r>
              <w:rPr>
                <w:rFonts w:hint="eastAsia"/>
                <w:color w:val="auto"/>
              </w:rPr>
              <w:t>4</w:t>
            </w:r>
          </w:p>
        </w:tc>
        <w:tc>
          <w:tcPr>
            <w:tcW w:w="1480" w:type="dxa"/>
            <w:vAlign w:val="center"/>
          </w:tcPr>
          <w:p w14:paraId="2F5917D8">
            <w:pPr>
              <w:rPr>
                <w:color w:val="auto"/>
              </w:rPr>
            </w:pPr>
          </w:p>
        </w:tc>
        <w:tc>
          <w:tcPr>
            <w:tcW w:w="2835" w:type="dxa"/>
            <w:vAlign w:val="center"/>
          </w:tcPr>
          <w:p w14:paraId="2C0560BD">
            <w:pPr>
              <w:rPr>
                <w:color w:val="auto"/>
              </w:rPr>
            </w:pPr>
          </w:p>
        </w:tc>
        <w:tc>
          <w:tcPr>
            <w:tcW w:w="2268" w:type="dxa"/>
            <w:vAlign w:val="center"/>
          </w:tcPr>
          <w:p w14:paraId="6D8E732D">
            <w:pPr>
              <w:rPr>
                <w:color w:val="auto"/>
              </w:rPr>
            </w:pPr>
          </w:p>
        </w:tc>
        <w:tc>
          <w:tcPr>
            <w:tcW w:w="1418" w:type="dxa"/>
            <w:vAlign w:val="center"/>
          </w:tcPr>
          <w:p w14:paraId="7507C17E">
            <w:pPr>
              <w:rPr>
                <w:color w:val="auto"/>
              </w:rPr>
            </w:pPr>
          </w:p>
        </w:tc>
        <w:tc>
          <w:tcPr>
            <w:tcW w:w="709" w:type="dxa"/>
            <w:vAlign w:val="center"/>
          </w:tcPr>
          <w:p w14:paraId="0DD1A892">
            <w:pPr>
              <w:rPr>
                <w:color w:val="auto"/>
              </w:rPr>
            </w:pPr>
          </w:p>
        </w:tc>
      </w:tr>
      <w:tr w14:paraId="116874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01761D05">
            <w:pPr>
              <w:jc w:val="center"/>
              <w:rPr>
                <w:color w:val="auto"/>
              </w:rPr>
            </w:pPr>
            <w:r>
              <w:rPr>
                <w:rFonts w:hint="eastAsia"/>
                <w:color w:val="auto"/>
              </w:rPr>
              <w:t>5</w:t>
            </w:r>
          </w:p>
        </w:tc>
        <w:tc>
          <w:tcPr>
            <w:tcW w:w="1480" w:type="dxa"/>
            <w:vAlign w:val="center"/>
          </w:tcPr>
          <w:p w14:paraId="6E4B50CD">
            <w:pPr>
              <w:rPr>
                <w:color w:val="auto"/>
              </w:rPr>
            </w:pPr>
          </w:p>
        </w:tc>
        <w:tc>
          <w:tcPr>
            <w:tcW w:w="2835" w:type="dxa"/>
            <w:vAlign w:val="center"/>
          </w:tcPr>
          <w:p w14:paraId="3CF7A908">
            <w:pPr>
              <w:rPr>
                <w:color w:val="auto"/>
              </w:rPr>
            </w:pPr>
          </w:p>
        </w:tc>
        <w:tc>
          <w:tcPr>
            <w:tcW w:w="2268" w:type="dxa"/>
            <w:vAlign w:val="center"/>
          </w:tcPr>
          <w:p w14:paraId="20CC0005">
            <w:pPr>
              <w:rPr>
                <w:color w:val="auto"/>
              </w:rPr>
            </w:pPr>
          </w:p>
        </w:tc>
        <w:tc>
          <w:tcPr>
            <w:tcW w:w="1418" w:type="dxa"/>
            <w:vAlign w:val="center"/>
          </w:tcPr>
          <w:p w14:paraId="311AA5F3">
            <w:pPr>
              <w:rPr>
                <w:color w:val="auto"/>
              </w:rPr>
            </w:pPr>
          </w:p>
        </w:tc>
        <w:tc>
          <w:tcPr>
            <w:tcW w:w="709" w:type="dxa"/>
            <w:vAlign w:val="center"/>
          </w:tcPr>
          <w:p w14:paraId="56426087">
            <w:pPr>
              <w:rPr>
                <w:color w:val="auto"/>
              </w:rPr>
            </w:pPr>
          </w:p>
        </w:tc>
      </w:tr>
      <w:tr w14:paraId="6379CF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14:paraId="1B8FD7ED">
            <w:pPr>
              <w:jc w:val="center"/>
              <w:rPr>
                <w:color w:val="auto"/>
              </w:rPr>
            </w:pPr>
            <w:r>
              <w:rPr>
                <w:rFonts w:hint="eastAsia"/>
                <w:color w:val="auto"/>
              </w:rPr>
              <w:t>…</w:t>
            </w:r>
          </w:p>
        </w:tc>
        <w:tc>
          <w:tcPr>
            <w:tcW w:w="1480" w:type="dxa"/>
            <w:vAlign w:val="center"/>
          </w:tcPr>
          <w:p w14:paraId="66A12C0C">
            <w:pPr>
              <w:rPr>
                <w:color w:val="auto"/>
              </w:rPr>
            </w:pPr>
          </w:p>
        </w:tc>
        <w:tc>
          <w:tcPr>
            <w:tcW w:w="2835" w:type="dxa"/>
            <w:vAlign w:val="center"/>
          </w:tcPr>
          <w:p w14:paraId="75DC5709">
            <w:pPr>
              <w:rPr>
                <w:color w:val="auto"/>
              </w:rPr>
            </w:pPr>
          </w:p>
        </w:tc>
        <w:tc>
          <w:tcPr>
            <w:tcW w:w="2268" w:type="dxa"/>
            <w:vAlign w:val="center"/>
          </w:tcPr>
          <w:p w14:paraId="4074310B">
            <w:pPr>
              <w:rPr>
                <w:color w:val="auto"/>
              </w:rPr>
            </w:pPr>
          </w:p>
        </w:tc>
        <w:tc>
          <w:tcPr>
            <w:tcW w:w="1418" w:type="dxa"/>
            <w:tcBorders>
              <w:right w:val="single" w:color="auto" w:sz="4" w:space="0"/>
            </w:tcBorders>
            <w:vAlign w:val="center"/>
          </w:tcPr>
          <w:p w14:paraId="2946524B">
            <w:pPr>
              <w:rPr>
                <w:color w:val="auto"/>
              </w:rPr>
            </w:pPr>
          </w:p>
        </w:tc>
        <w:tc>
          <w:tcPr>
            <w:tcW w:w="709" w:type="dxa"/>
            <w:tcBorders>
              <w:left w:val="single" w:color="auto" w:sz="4" w:space="0"/>
            </w:tcBorders>
            <w:vAlign w:val="center"/>
          </w:tcPr>
          <w:p w14:paraId="0B491DF8">
            <w:pPr>
              <w:rPr>
                <w:color w:val="auto"/>
              </w:rPr>
            </w:pPr>
          </w:p>
        </w:tc>
      </w:tr>
    </w:tbl>
    <w:p w14:paraId="4196F81F">
      <w:pPr>
        <w:pStyle w:val="20"/>
        <w:spacing w:line="300" w:lineRule="auto"/>
        <w:ind w:firstLine="105" w:firstLineChars="50"/>
        <w:rPr>
          <w:rFonts w:ascii="宋体" w:hAnsi="宋体" w:eastAsia="宋体"/>
          <w:color w:val="auto"/>
          <w:sz w:val="21"/>
          <w:szCs w:val="21"/>
        </w:rPr>
      </w:pPr>
      <w:r>
        <w:rPr>
          <w:rFonts w:hint="eastAsia" w:ascii="宋体" w:hAnsi="宋体" w:eastAsia="宋体"/>
          <w:color w:val="auto"/>
          <w:sz w:val="21"/>
          <w:szCs w:val="21"/>
        </w:rPr>
        <w:t>注：供应商须对照竞争性谈判采购文件第二章《项目需求》，逐条说明所提供货物和服务对项目需求中货物的</w:t>
      </w:r>
      <w:bookmarkStart w:id="124" w:name="_Hlk92703260"/>
      <w:r>
        <w:rPr>
          <w:rFonts w:hint="eastAsia" w:ascii="宋体" w:hAnsi="宋体" w:eastAsia="宋体"/>
          <w:color w:val="auto"/>
          <w:sz w:val="21"/>
          <w:szCs w:val="21"/>
        </w:rPr>
        <w:t>技术参数及其性能（规格）</w:t>
      </w:r>
      <w:bookmarkEnd w:id="124"/>
      <w:r>
        <w:rPr>
          <w:rFonts w:hint="eastAsia" w:ascii="宋体" w:hAnsi="宋体" w:eastAsia="宋体"/>
          <w:color w:val="auto"/>
          <w:sz w:val="21"/>
          <w:szCs w:val="21"/>
        </w:rPr>
        <w:t>及服务要求作出的响应，并申明偏离情况。对有具体参数要求的指标，供应商须提供所供设备的具体技术参数及其性能（规格）。</w:t>
      </w:r>
    </w:p>
    <w:p w14:paraId="52BE364D">
      <w:pPr>
        <w:pStyle w:val="23"/>
        <w:spacing w:line="300" w:lineRule="auto"/>
        <w:rPr>
          <w:rFonts w:hAnsi="宋体"/>
          <w:color w:val="auto"/>
        </w:rPr>
      </w:pPr>
    </w:p>
    <w:p w14:paraId="0844B2F5">
      <w:pPr>
        <w:pStyle w:val="23"/>
        <w:spacing w:line="300" w:lineRule="auto"/>
        <w:ind w:firstLine="5880" w:firstLineChars="2800"/>
        <w:rPr>
          <w:rFonts w:hAnsi="宋体"/>
          <w:color w:val="auto"/>
        </w:rPr>
      </w:pPr>
      <w:r>
        <w:rPr>
          <w:rFonts w:hint="eastAsia" w:hAnsi="宋体"/>
          <w:color w:val="auto"/>
        </w:rPr>
        <w:t>供应商（盖章）：</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p>
    <w:p w14:paraId="6E4DB6A7">
      <w:pPr>
        <w:pStyle w:val="23"/>
        <w:spacing w:line="300" w:lineRule="auto"/>
        <w:ind w:firstLine="5880" w:firstLineChars="2800"/>
        <w:rPr>
          <w:rFonts w:hAnsi="宋体"/>
          <w:color w:val="auto"/>
        </w:rPr>
      </w:pPr>
      <w:r>
        <w:rPr>
          <w:rFonts w:hint="eastAsia" w:hAnsi="宋体"/>
          <w:color w:val="auto"/>
        </w:rPr>
        <w:t>日期：</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int="eastAsia" w:hAnsi="宋体"/>
          <w:color w:val="auto"/>
        </w:rPr>
        <w:t>日</w:t>
      </w:r>
    </w:p>
    <w:bookmarkEnd w:id="41"/>
    <w:bookmarkEnd w:id="42"/>
    <w:bookmarkEnd w:id="43"/>
    <w:bookmarkEnd w:id="44"/>
    <w:p w14:paraId="50CA8110">
      <w:pPr>
        <w:rPr>
          <w:color w:val="auto"/>
        </w:rPr>
      </w:pPr>
    </w:p>
    <w:p w14:paraId="2F3BC309">
      <w:pPr>
        <w:spacing w:line="440" w:lineRule="exact"/>
        <w:ind w:left="420" w:hanging="420"/>
        <w:jc w:val="center"/>
        <w:rPr>
          <w:rFonts w:ascii="仿宋" w:hAnsi="仿宋" w:eastAsia="仿宋"/>
          <w:b/>
          <w:color w:val="auto"/>
          <w:sz w:val="32"/>
          <w:szCs w:val="32"/>
        </w:rPr>
      </w:pPr>
      <w:bookmarkStart w:id="125" w:name="_Hlk94194102"/>
      <w:r>
        <w:rPr>
          <w:rFonts w:hint="eastAsia" w:ascii="仿宋" w:hAnsi="仿宋" w:eastAsia="仿宋"/>
          <w:b/>
          <w:color w:val="auto"/>
          <w:sz w:val="32"/>
          <w:szCs w:val="32"/>
        </w:rPr>
        <w:t>中小企业声明函</w:t>
      </w:r>
      <w:r>
        <w:rPr>
          <w:rFonts w:hint="eastAsia" w:ascii="仿宋" w:hAnsi="仿宋" w:eastAsia="仿宋"/>
          <w:color w:val="auto"/>
          <w:sz w:val="24"/>
        </w:rPr>
        <w:t>(格式</w:t>
      </w:r>
      <w:r>
        <w:rPr>
          <w:rFonts w:ascii="仿宋" w:hAnsi="仿宋" w:eastAsia="仿宋"/>
          <w:color w:val="auto"/>
          <w:sz w:val="24"/>
        </w:rPr>
        <w:t>)</w:t>
      </w:r>
    </w:p>
    <w:p w14:paraId="2EDFCEC5">
      <w:pPr>
        <w:rPr>
          <w:color w:val="auto"/>
        </w:rPr>
      </w:pPr>
    </w:p>
    <w:p w14:paraId="3B98C7B9">
      <w:pPr>
        <w:spacing w:line="600" w:lineRule="exact"/>
        <w:ind w:firstLine="294" w:firstLineChars="140"/>
        <w:jc w:val="left"/>
        <w:rPr>
          <w:rFonts w:ascii="宋体" w:hAnsi="宋体"/>
          <w:bCs/>
          <w:color w:val="auto"/>
          <w:szCs w:val="21"/>
        </w:rPr>
      </w:pPr>
      <w:r>
        <w:rPr>
          <w:rFonts w:hint="eastAsia" w:ascii="宋体" w:hAnsi="宋体"/>
          <w:bCs/>
          <w:color w:val="auto"/>
          <w:szCs w:val="21"/>
        </w:rPr>
        <w:t>本公司郑重声明，根据</w:t>
      </w:r>
      <w:bookmarkStart w:id="126" w:name="_Hlk82091685"/>
      <w:r>
        <w:rPr>
          <w:rFonts w:ascii="宋体" w:hAnsi="宋体"/>
          <w:bCs/>
          <w:color w:val="auto"/>
          <w:szCs w:val="21"/>
        </w:rPr>
        <w:fldChar w:fldCharType="begin"/>
      </w:r>
      <w:r>
        <w:rPr>
          <w:rFonts w:ascii="宋体" w:hAnsi="宋体"/>
          <w:bCs/>
          <w:color w:val="auto"/>
          <w:szCs w:val="21"/>
        </w:rPr>
        <w:instrText xml:space="preserve"> </w:instrText>
      </w:r>
      <w:r>
        <w:rPr>
          <w:rFonts w:hint="eastAsia" w:ascii="宋体" w:hAnsi="宋体"/>
          <w:bCs/>
          <w:color w:val="auto"/>
          <w:szCs w:val="21"/>
        </w:rPr>
        <w:instrText xml:space="preserve">HYPERLINK "http://www.gov.cn/zhengce/zhengceku/2020-12/29/content_5574611.htm"</w:instrText>
      </w:r>
      <w:r>
        <w:rPr>
          <w:rFonts w:ascii="宋体" w:hAnsi="宋体"/>
          <w:bCs/>
          <w:color w:val="auto"/>
          <w:szCs w:val="21"/>
        </w:rPr>
        <w:instrText xml:space="preserve"> </w:instrText>
      </w:r>
      <w:r>
        <w:rPr>
          <w:rFonts w:ascii="宋体" w:hAnsi="宋体"/>
          <w:bCs/>
          <w:color w:val="auto"/>
          <w:szCs w:val="21"/>
        </w:rPr>
        <w:fldChar w:fldCharType="separate"/>
      </w:r>
      <w:r>
        <w:rPr>
          <w:rStyle w:val="48"/>
          <w:rFonts w:hint="eastAsia" w:ascii="宋体" w:hAnsi="宋体"/>
          <w:bCs/>
          <w:color w:val="auto"/>
          <w:szCs w:val="21"/>
          <w:u w:val="none"/>
        </w:rPr>
        <w:t>《政府采购促进中小企业发展管理办法》</w:t>
      </w:r>
      <w:bookmarkStart w:id="127" w:name="_Hlk60836554"/>
      <w:r>
        <w:rPr>
          <w:rStyle w:val="48"/>
          <w:rFonts w:hint="eastAsia" w:ascii="宋体" w:hAnsi="宋体"/>
          <w:bCs/>
          <w:color w:val="auto"/>
          <w:szCs w:val="21"/>
          <w:u w:val="none"/>
        </w:rPr>
        <w:t>（财库﹝2020﹞46号）</w:t>
      </w:r>
      <w:bookmarkEnd w:id="126"/>
      <w:bookmarkEnd w:id="127"/>
      <w:r>
        <w:rPr>
          <w:rFonts w:ascii="宋体" w:hAnsi="宋体"/>
          <w:bCs/>
          <w:color w:val="auto"/>
          <w:szCs w:val="21"/>
        </w:rPr>
        <w:fldChar w:fldCharType="end"/>
      </w:r>
      <w:r>
        <w:rPr>
          <w:rFonts w:hint="eastAsia" w:ascii="宋体" w:hAnsi="宋体"/>
          <w:bCs/>
          <w:color w:val="auto"/>
          <w:szCs w:val="21"/>
        </w:rPr>
        <w:t>的规定，本公司参加</w:t>
      </w:r>
      <w:bookmarkStart w:id="128" w:name="_Hlk82091228"/>
      <w:r>
        <w:rPr>
          <w:rFonts w:hint="eastAsia" w:ascii="宋体" w:hAnsi="宋体"/>
          <w:bCs/>
          <w:color w:val="auto"/>
          <w:szCs w:val="21"/>
        </w:rPr>
        <w:t>（</w:t>
      </w:r>
      <w:r>
        <w:rPr>
          <w:rFonts w:hint="eastAsia" w:ascii="宋体" w:hAnsi="宋体"/>
          <w:bCs/>
          <w:color w:val="auto"/>
          <w:szCs w:val="21"/>
          <w:u w:val="single"/>
        </w:rPr>
        <w:t>单位名称</w:t>
      </w:r>
      <w:r>
        <w:rPr>
          <w:rFonts w:hint="eastAsia" w:ascii="宋体" w:hAnsi="宋体"/>
          <w:bCs/>
          <w:color w:val="auto"/>
          <w:szCs w:val="21"/>
        </w:rPr>
        <w:t>）的（</w:t>
      </w:r>
      <w:r>
        <w:rPr>
          <w:rFonts w:hint="eastAsia" w:ascii="宋体" w:hAnsi="宋体"/>
          <w:bCs/>
          <w:color w:val="auto"/>
          <w:szCs w:val="21"/>
          <w:u w:val="single"/>
        </w:rPr>
        <w:t>项目名称</w:t>
      </w:r>
      <w:r>
        <w:rPr>
          <w:rFonts w:hint="eastAsia" w:ascii="宋体" w:hAnsi="宋体"/>
          <w:bCs/>
          <w:color w:val="auto"/>
          <w:szCs w:val="21"/>
        </w:rPr>
        <w:t>）</w:t>
      </w:r>
      <w:bookmarkEnd w:id="128"/>
      <w:r>
        <w:rPr>
          <w:rFonts w:hint="eastAsia" w:ascii="宋体" w:hAnsi="宋体"/>
          <w:bCs/>
          <w:color w:val="auto"/>
          <w:szCs w:val="21"/>
        </w:rPr>
        <w:t>采购活动，提供的货物全部由符合政策要求的中小企业制造。相关企业的具体情况如下：</w:t>
      </w:r>
    </w:p>
    <w:p w14:paraId="6359FB28">
      <w:pPr>
        <w:spacing w:line="600" w:lineRule="exact"/>
        <w:ind w:firstLine="294" w:firstLineChars="140"/>
        <w:jc w:val="left"/>
        <w:rPr>
          <w:rFonts w:ascii="宋体" w:hAnsi="宋体"/>
          <w:bCs/>
          <w:color w:val="auto"/>
          <w:szCs w:val="21"/>
        </w:rPr>
      </w:pPr>
      <w:r>
        <w:rPr>
          <w:rFonts w:hint="eastAsia" w:ascii="宋体" w:hAnsi="宋体"/>
          <w:bCs/>
          <w:color w:val="auto"/>
          <w:szCs w:val="21"/>
        </w:rPr>
        <w:t>1.</w:t>
      </w:r>
      <w:bookmarkStart w:id="129" w:name="_Hlk60836996"/>
      <w:r>
        <w:rPr>
          <w:rFonts w:hint="eastAsia" w:ascii="宋体" w:hAnsi="宋体"/>
          <w:bCs/>
          <w:color w:val="auto"/>
          <w:szCs w:val="21"/>
        </w:rPr>
        <w:t>（</w:t>
      </w:r>
      <w:r>
        <w:rPr>
          <w:rFonts w:hint="eastAsia" w:ascii="宋体" w:hAnsi="宋体"/>
          <w:bCs/>
          <w:color w:val="auto"/>
          <w:szCs w:val="21"/>
          <w:u w:val="single"/>
        </w:rPr>
        <w:t>标的名称</w:t>
      </w:r>
      <w:r>
        <w:rPr>
          <w:rFonts w:ascii="宋体" w:hAnsi="宋体"/>
          <w:bCs/>
          <w:color w:val="auto"/>
          <w:szCs w:val="21"/>
        </w:rPr>
        <w:t>）</w:t>
      </w:r>
      <w:r>
        <w:rPr>
          <w:rFonts w:hint="eastAsia" w:ascii="宋体" w:hAnsi="宋体"/>
          <w:bCs/>
          <w:color w:val="auto"/>
          <w:szCs w:val="21"/>
        </w:rPr>
        <w:t>，属于(</w:t>
      </w:r>
      <w:r>
        <w:rPr>
          <w:rFonts w:hint="eastAsia" w:ascii="宋体" w:hAnsi="宋体"/>
          <w:bCs/>
          <w:color w:val="auto"/>
          <w:szCs w:val="21"/>
          <w:u w:val="single"/>
        </w:rPr>
        <w:t>采购文件中明确的所属行业</w:t>
      </w:r>
      <w:r>
        <w:rPr>
          <w:rFonts w:ascii="宋体" w:hAnsi="宋体"/>
          <w:bCs/>
          <w:color w:val="auto"/>
          <w:szCs w:val="21"/>
        </w:rPr>
        <w:t>）</w:t>
      </w:r>
      <w:r>
        <w:rPr>
          <w:rFonts w:hint="eastAsia" w:ascii="宋体" w:hAnsi="宋体"/>
          <w:bCs/>
          <w:color w:val="auto"/>
          <w:szCs w:val="21"/>
        </w:rPr>
        <w:t>行业；制造商为(</w:t>
      </w:r>
      <w:r>
        <w:rPr>
          <w:rFonts w:hint="eastAsia" w:ascii="宋体" w:hAnsi="宋体"/>
          <w:bCs/>
          <w:color w:val="auto"/>
          <w:szCs w:val="21"/>
          <w:u w:val="single"/>
        </w:rPr>
        <w:t>企业名称</w:t>
      </w:r>
      <w:r>
        <w:rPr>
          <w:rFonts w:ascii="宋体" w:hAnsi="宋体"/>
          <w:bCs/>
          <w:color w:val="auto"/>
          <w:szCs w:val="21"/>
        </w:rPr>
        <w:t>）</w:t>
      </w:r>
      <w:r>
        <w:rPr>
          <w:rFonts w:hint="eastAsia" w:ascii="宋体" w:hAnsi="宋体"/>
          <w:bCs/>
          <w:color w:val="auto"/>
          <w:szCs w:val="21"/>
        </w:rPr>
        <w:t>，从业人员</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人，营业收入为</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万元，资产总额为</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万元，属于（</w:t>
      </w:r>
      <w:r>
        <w:rPr>
          <w:rFonts w:hint="eastAsia" w:ascii="宋体" w:hAnsi="宋体"/>
          <w:bCs/>
          <w:color w:val="auto"/>
          <w:szCs w:val="21"/>
          <w:u w:val="single"/>
        </w:rPr>
        <w:t>中型企业、小型企业、微型企业</w:t>
      </w:r>
      <w:r>
        <w:rPr>
          <w:rFonts w:hint="eastAsia" w:ascii="宋体" w:hAnsi="宋体"/>
          <w:bCs/>
          <w:color w:val="auto"/>
          <w:szCs w:val="21"/>
        </w:rPr>
        <w:t>）；</w:t>
      </w:r>
      <w:bookmarkEnd w:id="129"/>
    </w:p>
    <w:p w14:paraId="4661DB34">
      <w:pPr>
        <w:spacing w:line="600" w:lineRule="exact"/>
        <w:ind w:firstLine="294" w:firstLineChars="140"/>
        <w:jc w:val="left"/>
        <w:rPr>
          <w:rFonts w:ascii="宋体" w:hAnsi="宋体"/>
          <w:bCs/>
          <w:color w:val="auto"/>
          <w:szCs w:val="21"/>
        </w:rPr>
      </w:pPr>
      <w:r>
        <w:rPr>
          <w:rFonts w:hint="eastAsia" w:ascii="宋体" w:hAnsi="宋体"/>
          <w:bCs/>
          <w:color w:val="auto"/>
          <w:szCs w:val="21"/>
        </w:rPr>
        <w:t>2.（</w:t>
      </w:r>
      <w:r>
        <w:rPr>
          <w:rFonts w:hint="eastAsia" w:ascii="宋体" w:hAnsi="宋体"/>
          <w:bCs/>
          <w:color w:val="auto"/>
          <w:szCs w:val="21"/>
          <w:u w:val="single"/>
        </w:rPr>
        <w:t>标的名称</w:t>
      </w:r>
      <w:r>
        <w:rPr>
          <w:rFonts w:hint="eastAsia" w:ascii="宋体" w:hAnsi="宋体"/>
          <w:bCs/>
          <w:color w:val="auto"/>
          <w:szCs w:val="21"/>
        </w:rPr>
        <w:t>），属于(</w:t>
      </w:r>
      <w:r>
        <w:rPr>
          <w:rFonts w:hint="eastAsia" w:ascii="宋体" w:hAnsi="宋体"/>
          <w:bCs/>
          <w:color w:val="auto"/>
          <w:szCs w:val="21"/>
          <w:u w:val="single"/>
        </w:rPr>
        <w:t>采购文件中明确的所属行业</w:t>
      </w:r>
      <w:r>
        <w:rPr>
          <w:rFonts w:hint="eastAsia" w:ascii="宋体" w:hAnsi="宋体"/>
          <w:bCs/>
          <w:color w:val="auto"/>
          <w:szCs w:val="21"/>
        </w:rPr>
        <w:t>)行业；制造商为(</w:t>
      </w:r>
      <w:r>
        <w:rPr>
          <w:rFonts w:hint="eastAsia" w:ascii="宋体" w:hAnsi="宋体"/>
          <w:bCs/>
          <w:color w:val="auto"/>
          <w:szCs w:val="21"/>
          <w:u w:val="single"/>
        </w:rPr>
        <w:t>企业名称</w:t>
      </w:r>
      <w:r>
        <w:rPr>
          <w:rFonts w:hint="eastAsia" w:ascii="宋体" w:hAnsi="宋体"/>
          <w:bCs/>
          <w:color w:val="auto"/>
          <w:szCs w:val="21"/>
        </w:rPr>
        <w:t>)，从业人员</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人，营业收入为</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万元，资产总额为</w:t>
      </w:r>
      <w:r>
        <w:rPr>
          <w:rFonts w:hint="eastAsia" w:ascii="宋体" w:hAnsi="宋体"/>
          <w:bCs/>
          <w:color w:val="auto"/>
          <w:szCs w:val="21"/>
          <w:u w:val="single"/>
        </w:rPr>
        <w:t xml:space="preserve"> </w:t>
      </w:r>
      <w:r>
        <w:rPr>
          <w:rFonts w:ascii="宋体" w:hAnsi="宋体"/>
          <w:bCs/>
          <w:color w:val="auto"/>
          <w:szCs w:val="21"/>
          <w:u w:val="single"/>
        </w:rPr>
        <w:t xml:space="preserve">  </w:t>
      </w:r>
      <w:r>
        <w:rPr>
          <w:rFonts w:hint="eastAsia" w:ascii="宋体" w:hAnsi="宋体"/>
          <w:bCs/>
          <w:color w:val="auto"/>
          <w:szCs w:val="21"/>
        </w:rPr>
        <w:t>万元，属于（</w:t>
      </w:r>
      <w:r>
        <w:rPr>
          <w:rFonts w:hint="eastAsia" w:ascii="宋体" w:hAnsi="宋体"/>
          <w:bCs/>
          <w:color w:val="auto"/>
          <w:szCs w:val="21"/>
          <w:u w:val="single"/>
        </w:rPr>
        <w:t>中型企业、小型企业、微型企业</w:t>
      </w:r>
      <w:r>
        <w:rPr>
          <w:rFonts w:hint="eastAsia" w:ascii="宋体" w:hAnsi="宋体"/>
          <w:bCs/>
          <w:color w:val="auto"/>
          <w:szCs w:val="21"/>
        </w:rPr>
        <w:t>）；</w:t>
      </w:r>
    </w:p>
    <w:p w14:paraId="6F6032A6">
      <w:pPr>
        <w:spacing w:line="600" w:lineRule="exact"/>
        <w:ind w:firstLine="294" w:firstLineChars="140"/>
        <w:jc w:val="left"/>
        <w:rPr>
          <w:rFonts w:ascii="宋体" w:hAnsi="宋体"/>
          <w:bCs/>
          <w:color w:val="auto"/>
          <w:szCs w:val="21"/>
        </w:rPr>
      </w:pPr>
      <w:r>
        <w:rPr>
          <w:rFonts w:hint="eastAsia" w:ascii="宋体" w:hAnsi="宋体"/>
          <w:bCs/>
          <w:color w:val="auto"/>
          <w:szCs w:val="21"/>
        </w:rPr>
        <w:t>……</w:t>
      </w:r>
    </w:p>
    <w:p w14:paraId="655CAB0A">
      <w:pPr>
        <w:spacing w:line="600" w:lineRule="exact"/>
        <w:ind w:firstLine="294" w:firstLineChars="140"/>
        <w:jc w:val="left"/>
        <w:rPr>
          <w:rFonts w:ascii="宋体" w:hAnsi="宋体"/>
          <w:bCs/>
          <w:color w:val="auto"/>
          <w:szCs w:val="21"/>
        </w:rPr>
      </w:pPr>
      <w:r>
        <w:rPr>
          <w:rFonts w:hint="eastAsia" w:ascii="宋体" w:hAnsi="宋体"/>
          <w:bCs/>
          <w:color w:val="auto"/>
          <w:szCs w:val="21"/>
        </w:rPr>
        <w:t>以上企业，不属于大企业的分支机构，不存在控股股东为大企业的情形，也不存在与大企业的负责人为同一人的情形。</w:t>
      </w:r>
    </w:p>
    <w:p w14:paraId="4B3F0C12">
      <w:pPr>
        <w:spacing w:line="600" w:lineRule="exact"/>
        <w:ind w:firstLine="294" w:firstLineChars="140"/>
        <w:jc w:val="left"/>
        <w:rPr>
          <w:rFonts w:ascii="宋体" w:hAnsi="宋体"/>
          <w:bCs/>
          <w:color w:val="auto"/>
          <w:szCs w:val="21"/>
        </w:rPr>
      </w:pPr>
      <w:r>
        <w:rPr>
          <w:rFonts w:hint="eastAsia" w:ascii="宋体" w:hAnsi="宋体"/>
          <w:bCs/>
          <w:color w:val="auto"/>
          <w:szCs w:val="21"/>
        </w:rPr>
        <w:t>本企业对上述声明内容的真实性负责。如有虚假，将依法承担相应责任。</w:t>
      </w:r>
    </w:p>
    <w:p w14:paraId="67089736">
      <w:pPr>
        <w:spacing w:line="400" w:lineRule="exact"/>
        <w:rPr>
          <w:color w:val="auto"/>
          <w:szCs w:val="21"/>
        </w:rPr>
      </w:pPr>
    </w:p>
    <w:p w14:paraId="11DB3B3E">
      <w:pPr>
        <w:spacing w:line="400" w:lineRule="exact"/>
        <w:rPr>
          <w:color w:val="auto"/>
          <w:szCs w:val="21"/>
        </w:rPr>
      </w:pPr>
    </w:p>
    <w:p w14:paraId="5B5C2329">
      <w:pPr>
        <w:spacing w:line="400" w:lineRule="exact"/>
        <w:rPr>
          <w:color w:val="auto"/>
          <w:szCs w:val="21"/>
        </w:rPr>
      </w:pPr>
    </w:p>
    <w:p w14:paraId="399B0BEF">
      <w:pPr>
        <w:spacing w:line="440" w:lineRule="exact"/>
        <w:ind w:firstLine="5250" w:firstLineChars="2500"/>
        <w:jc w:val="left"/>
        <w:rPr>
          <w:rFonts w:ascii="宋体" w:hAnsi="宋体"/>
          <w:bCs/>
          <w:color w:val="auto"/>
          <w:szCs w:val="21"/>
        </w:rPr>
      </w:pPr>
      <w:r>
        <w:rPr>
          <w:rFonts w:hint="eastAsia" w:ascii="宋体" w:hAnsi="宋体"/>
          <w:bCs/>
          <w:color w:val="auto"/>
          <w:szCs w:val="21"/>
        </w:rPr>
        <w:t>企业名称（盖章）：</w:t>
      </w:r>
      <w:r>
        <w:rPr>
          <w:rFonts w:hint="eastAsia" w:hAnsi="宋体"/>
          <w:color w:val="auto"/>
          <w:szCs w:val="21"/>
          <w:u w:val="single"/>
        </w:rPr>
        <w:t xml:space="preserve"> </w:t>
      </w:r>
      <w:r>
        <w:rPr>
          <w:rFonts w:hAnsi="宋体"/>
          <w:color w:val="auto"/>
          <w:szCs w:val="21"/>
          <w:u w:val="single"/>
        </w:rPr>
        <w:t xml:space="preserve">              </w:t>
      </w:r>
    </w:p>
    <w:p w14:paraId="6CA62318">
      <w:pPr>
        <w:spacing w:line="440" w:lineRule="exact"/>
        <w:ind w:firstLine="5250" w:firstLineChars="2500"/>
        <w:jc w:val="left"/>
        <w:rPr>
          <w:rFonts w:ascii="宋体" w:hAnsi="宋体"/>
          <w:bCs/>
          <w:color w:val="auto"/>
          <w:szCs w:val="21"/>
        </w:rPr>
      </w:pPr>
      <w:r>
        <w:rPr>
          <w:rFonts w:hint="eastAsia" w:ascii="宋体" w:hAnsi="宋体"/>
          <w:bCs/>
          <w:color w:val="auto"/>
          <w:szCs w:val="21"/>
        </w:rPr>
        <w:t>日 期：</w:t>
      </w:r>
      <w:r>
        <w:rPr>
          <w:rFonts w:hint="eastAsia" w:hAnsi="宋体"/>
          <w:color w:val="auto"/>
          <w:szCs w:val="21"/>
          <w:u w:val="single"/>
        </w:rPr>
        <w:t xml:space="preserve"> </w:t>
      </w:r>
      <w:r>
        <w:rPr>
          <w:rFonts w:hAnsi="宋体"/>
          <w:color w:val="auto"/>
          <w:szCs w:val="21"/>
          <w:u w:val="single"/>
        </w:rPr>
        <w:t xml:space="preserve">                        </w:t>
      </w:r>
    </w:p>
    <w:p w14:paraId="58FEC920">
      <w:pPr>
        <w:rPr>
          <w:color w:val="auto"/>
        </w:rPr>
      </w:pPr>
    </w:p>
    <w:p w14:paraId="6E34B157">
      <w:pPr>
        <w:rPr>
          <w:color w:val="auto"/>
        </w:rPr>
      </w:pPr>
    </w:p>
    <w:p w14:paraId="6C0DE881">
      <w:pPr>
        <w:rPr>
          <w:color w:val="auto"/>
        </w:rPr>
      </w:pPr>
    </w:p>
    <w:p w14:paraId="19880A5B">
      <w:pPr>
        <w:rPr>
          <w:color w:val="auto"/>
        </w:rPr>
      </w:pPr>
    </w:p>
    <w:p w14:paraId="4E7BC5FE">
      <w:pPr>
        <w:rPr>
          <w:color w:val="auto"/>
        </w:rPr>
      </w:pPr>
    </w:p>
    <w:p w14:paraId="0761E35D">
      <w:pPr>
        <w:rPr>
          <w:color w:val="auto"/>
        </w:rPr>
      </w:pPr>
    </w:p>
    <w:p w14:paraId="21346C12">
      <w:pPr>
        <w:rPr>
          <w:color w:val="auto"/>
        </w:rPr>
      </w:pPr>
    </w:p>
    <w:p w14:paraId="01633C38">
      <w:pPr>
        <w:rPr>
          <w:color w:val="auto"/>
        </w:rPr>
      </w:pPr>
    </w:p>
    <w:p w14:paraId="4C22F36B">
      <w:pPr>
        <w:rPr>
          <w:color w:val="auto"/>
        </w:rPr>
      </w:pPr>
    </w:p>
    <w:p w14:paraId="6B0E09B6">
      <w:pPr>
        <w:rPr>
          <w:color w:val="auto"/>
        </w:rPr>
      </w:pPr>
    </w:p>
    <w:p w14:paraId="6F82ECFF">
      <w:pPr>
        <w:spacing w:line="320" w:lineRule="exact"/>
        <w:jc w:val="left"/>
        <w:rPr>
          <w:rFonts w:hAnsi="宋体"/>
          <w:bCs/>
          <w:color w:val="auto"/>
          <w:sz w:val="18"/>
          <w:szCs w:val="18"/>
        </w:rPr>
      </w:pPr>
      <w:bookmarkStart w:id="130" w:name="_Hlk82091879"/>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),从)</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),业)</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),人)</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),员)</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),营)</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),业)</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),收)</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),入)</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),资)</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),产)</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),总)</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),额)</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),填)</w:instrText>
      </w:r>
      <w:r>
        <w:rPr>
          <w:rFonts w:hAnsi="宋体"/>
          <w:bCs/>
          <w:color w:val="auto"/>
          <w:sz w:val="18"/>
          <w:szCs w:val="18"/>
        </w:rPr>
        <w:fldChar w:fldCharType="end"/>
      </w:r>
      <w:r>
        <w:rPr>
          <w:rFonts w:hAnsi="宋体"/>
          <w:bCs/>
          <w:color w:val="auto"/>
          <w:sz w:val="18"/>
          <w:szCs w:val="18"/>
        </w:rPr>
        <w:fldChar w:fldCharType="begin"/>
      </w:r>
      <w:r>
        <w:rPr>
          <w:rFonts w:hAnsi="宋体"/>
          <w:bCs/>
          <w:color w:val="auto"/>
          <w:sz w:val="18"/>
          <w:szCs w:val="18"/>
        </w:rPr>
        <w:instrText xml:space="preserve">EQ \* jc2 \* hps9 \o\ad(\s\up 8(</w:instrText>
      </w:r>
      <w:r>
        <w:rPr>
          <w:rFonts w:ascii="宋体" w:hAnsi="宋体"/>
          <w:bCs/>
          <w:color w:val="auto"/>
          <w:sz w:val="18"/>
          <w:szCs w:val="18"/>
        </w:rPr>
        <w:instrText xml:space="preserve">——</w:instrText>
      </w:r>
      <w:r>
        <w:rPr>
          <w:rFonts w:hAnsi="宋体"/>
          <w:bCs/>
          <w:color w:val="auto"/>
          <w:sz w:val="18"/>
          <w:szCs w:val="18"/>
        </w:rPr>
        <w:instrText xml:space="preserve">),报)</w:instrText>
      </w:r>
      <w:r>
        <w:rPr>
          <w:rFonts w:hAnsi="宋体"/>
          <w:bCs/>
          <w:color w:val="auto"/>
          <w:sz w:val="18"/>
          <w:szCs w:val="18"/>
        </w:rPr>
        <w:fldChar w:fldCharType="end"/>
      </w:r>
      <w:bookmarkEnd w:id="130"/>
      <w:r>
        <w:rPr>
          <w:rFonts w:hint="eastAsia" w:hAnsi="宋体"/>
          <w:bCs/>
          <w:color w:val="auto"/>
          <w:sz w:val="18"/>
          <w:szCs w:val="18"/>
        </w:rPr>
        <w:t>上一年度数据，无上一年度数据的新成立企业可不填报。</w:t>
      </w:r>
    </w:p>
    <w:p w14:paraId="0CB9769B">
      <w:pPr>
        <w:spacing w:line="320" w:lineRule="exact"/>
        <w:jc w:val="left"/>
        <w:rPr>
          <w:rFonts w:hAnsi="宋体"/>
          <w:bCs/>
          <w:color w:val="auto"/>
          <w:sz w:val="18"/>
          <w:szCs w:val="18"/>
        </w:rPr>
      </w:pPr>
    </w:p>
    <w:p w14:paraId="36719151">
      <w:pPr>
        <w:spacing w:line="320" w:lineRule="exact"/>
        <w:jc w:val="left"/>
        <w:rPr>
          <w:rFonts w:hAnsi="宋体"/>
          <w:bCs/>
          <w:color w:val="auto"/>
          <w:sz w:val="18"/>
          <w:szCs w:val="18"/>
        </w:rPr>
      </w:pPr>
    </w:p>
    <w:p w14:paraId="25AC7B30">
      <w:pPr>
        <w:spacing w:line="320" w:lineRule="exact"/>
        <w:jc w:val="left"/>
        <w:rPr>
          <w:rFonts w:hAnsi="宋体"/>
          <w:bCs/>
          <w:color w:val="auto"/>
          <w:sz w:val="18"/>
          <w:szCs w:val="18"/>
        </w:rPr>
      </w:pPr>
    </w:p>
    <w:tbl>
      <w:tblPr>
        <w:tblStyle w:val="41"/>
        <w:tblW w:w="9952" w:type="dxa"/>
        <w:tblInd w:w="150" w:type="dxa"/>
        <w:shd w:val="clear" w:color="auto" w:fill="FFFFFF"/>
        <w:tblLayout w:type="fixed"/>
        <w:tblCellMar>
          <w:top w:w="15" w:type="dxa"/>
          <w:left w:w="15" w:type="dxa"/>
          <w:bottom w:w="15" w:type="dxa"/>
          <w:right w:w="15" w:type="dxa"/>
        </w:tblCellMar>
      </w:tblPr>
      <w:tblGrid>
        <w:gridCol w:w="2127"/>
        <w:gridCol w:w="1413"/>
        <w:gridCol w:w="714"/>
        <w:gridCol w:w="1275"/>
        <w:gridCol w:w="1843"/>
        <w:gridCol w:w="1559"/>
        <w:gridCol w:w="1021"/>
      </w:tblGrid>
      <w:tr w14:paraId="34C8BE65">
        <w:tblPrEx>
          <w:shd w:val="clear" w:color="auto" w:fill="FFFFFF"/>
          <w:tblCellMar>
            <w:top w:w="15" w:type="dxa"/>
            <w:left w:w="15" w:type="dxa"/>
            <w:bottom w:w="15" w:type="dxa"/>
            <w:right w:w="15" w:type="dxa"/>
          </w:tblCellMar>
        </w:tblPrEx>
        <w:trPr>
          <w:trHeight w:val="330" w:hRule="atLeast"/>
        </w:trPr>
        <w:tc>
          <w:tcPr>
            <w:tcW w:w="9952" w:type="dxa"/>
            <w:gridSpan w:val="7"/>
            <w:tcBorders>
              <w:top w:val="nil"/>
              <w:left w:val="nil"/>
              <w:bottom w:val="single" w:color="auto" w:sz="6" w:space="0"/>
              <w:right w:val="nil"/>
            </w:tcBorders>
            <w:shd w:val="clear" w:color="auto" w:fill="FFFFFF"/>
            <w:tcMar>
              <w:top w:w="30" w:type="dxa"/>
              <w:left w:w="150" w:type="dxa"/>
              <w:bottom w:w="30" w:type="dxa"/>
              <w:right w:w="150" w:type="dxa"/>
            </w:tcMar>
            <w:vAlign w:val="center"/>
          </w:tcPr>
          <w:p w14:paraId="016D49EF">
            <w:pPr>
              <w:widowControl/>
              <w:jc w:val="center"/>
              <w:rPr>
                <w:rFonts w:ascii="Helvetica" w:hAnsi="Helvetica" w:cs="Helvetica"/>
                <w:b/>
                <w:bCs/>
                <w:color w:val="auto"/>
                <w:kern w:val="0"/>
                <w:szCs w:val="21"/>
              </w:rPr>
            </w:pPr>
            <w:r>
              <w:rPr>
                <w:rFonts w:ascii="Helvetica" w:hAnsi="Helvetica" w:cs="Helvetica"/>
                <w:b/>
                <w:bCs/>
                <w:color w:val="auto"/>
                <w:kern w:val="0"/>
                <w:szCs w:val="21"/>
              </w:rPr>
              <w:t>大中小微型企业划分标准</w:t>
            </w:r>
          </w:p>
        </w:tc>
      </w:tr>
      <w:tr w14:paraId="4E33BDE0">
        <w:tblPrEx>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601091">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行业名称</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AE332C0">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指标名称</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9F4AE0">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计量</w:t>
            </w:r>
          </w:p>
          <w:p w14:paraId="20F56C24">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单位</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F4D56C1">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大型</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5833FF4">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中型</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224822C">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小型</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EEA8313">
            <w:pPr>
              <w:widowControl/>
              <w:spacing w:line="340" w:lineRule="exact"/>
              <w:jc w:val="center"/>
              <w:rPr>
                <w:rFonts w:ascii="Helvetica" w:hAnsi="Helvetica" w:cs="Helvetica"/>
                <w:color w:val="auto"/>
                <w:kern w:val="0"/>
                <w:sz w:val="18"/>
                <w:szCs w:val="18"/>
              </w:rPr>
            </w:pPr>
            <w:r>
              <w:rPr>
                <w:rFonts w:ascii="Helvetica" w:hAnsi="Helvetica" w:cs="Helvetica"/>
                <w:b/>
                <w:bCs/>
                <w:color w:val="auto"/>
                <w:kern w:val="0"/>
                <w:sz w:val="18"/>
                <w:szCs w:val="18"/>
              </w:rPr>
              <w:t>微型</w:t>
            </w:r>
          </w:p>
        </w:tc>
      </w:tr>
      <w:tr w14:paraId="2CA5F260">
        <w:tblPrEx>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6D194B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农、林、牧、渔业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4D0AA8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2B734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EA3750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40C34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B832B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DAB93E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Y＜50</w:t>
            </w:r>
          </w:p>
        </w:tc>
      </w:tr>
      <w:tr w14:paraId="071B7E6D">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355995D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工业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5B594A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26B0F7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E8B842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050C09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D10722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D5177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w:t>
            </w:r>
          </w:p>
        </w:tc>
      </w:tr>
      <w:tr w14:paraId="3BE3C8AF">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865065">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1C54FD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EED077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7B3559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69223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74A52F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729D2A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Y＜300</w:t>
            </w:r>
          </w:p>
        </w:tc>
      </w:tr>
      <w:tr w14:paraId="25CB91FB">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6AF25E9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建筑业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4794AA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C952C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6752F4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7DA9D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6000≤Y＜80000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2E9B63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300≤Y＜6000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FDE2FB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Y＜300</w:t>
            </w:r>
          </w:p>
        </w:tc>
      </w:tr>
      <w:tr w14:paraId="1B8C5093">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1462255">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66A70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B819A9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A71604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Z≥80000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313469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5000≤Z＜80000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1591AF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2E376E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Z＜300</w:t>
            </w:r>
          </w:p>
        </w:tc>
      </w:tr>
      <w:tr w14:paraId="39EEFEE7">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7B9C42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批发业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D16722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E00DFB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288BC0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B1B36F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CB80CD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5≤X＜20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EB2919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X＜5</w:t>
            </w:r>
          </w:p>
        </w:tc>
      </w:tr>
      <w:tr w14:paraId="42220DA5">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8D0B7C6">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4AB7F2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3CB9E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367B7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Y≥40000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585D9B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5000≤Y＜40000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BD626B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251E8C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Y＜1000</w:t>
            </w:r>
          </w:p>
        </w:tc>
      </w:tr>
      <w:tr w14:paraId="4832147A">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010A459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零售业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0A70A3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5A265D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36E162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FFFF95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D24CD5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10≤X＜50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EB4148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14:paraId="4AD288DF">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3F7C210">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79F129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163F3D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6A1FBC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5C3FB9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500≤Y＜20000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A4717C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100≤Y＜500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E6E43C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4CD941DB">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247816B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交通运输业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18035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C7E691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B930B8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645AD0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5F6E16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7681F8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w:t>
            </w:r>
          </w:p>
        </w:tc>
      </w:tr>
      <w:tr w14:paraId="3CE7DE42">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A3170B">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F65B9A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5AB4A0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6F8708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72CE13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092E9B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200≤Y＜3000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1B0499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Y＜200</w:t>
            </w:r>
          </w:p>
        </w:tc>
      </w:tr>
      <w:tr w14:paraId="799E2D6B">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76D94F0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仓储业*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9EA543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714944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9C080A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9042BA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100≤X＜200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2A55FA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215DEA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w:t>
            </w:r>
          </w:p>
        </w:tc>
      </w:tr>
      <w:tr w14:paraId="32136B28">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A2D7A21">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E180DD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6EF2FB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AC4D32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FC2116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BE2F3F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7F0B65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70F61DCC">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6EDA0D0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邮政业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89630F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5F47A8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A5AEB0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6C14B1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DDD3D8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F8BFD0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w:t>
            </w:r>
          </w:p>
        </w:tc>
      </w:tr>
      <w:tr w14:paraId="2D413170">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AFA76DF">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D06D5D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565FB4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6DF082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Y≥30000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443DE0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2000≤Y＜30000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55621C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D00C09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175C1259">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4D4CA0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住宿业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8E11E3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1AE8AD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EFFD37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FC0B2D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7BD6C5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5CDF79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14:paraId="3DA43856">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E88F6EE">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D38C7B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3F700A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4DA3A6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D4C0A0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DAC9D2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38E2C1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1502E74F">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4454037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餐饮业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E6146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69264C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83E3D9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9645AB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9FDED1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81E9BA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14:paraId="4D358FDC">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E9853BE">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DBC3D2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12080C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57E777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E03207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A33C47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100≤Y＜2000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00F1D7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53FD9CE8">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52E9B1E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信息传输业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72A62D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8B4C36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96E65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X≥2000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4DE117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100≤X＜2000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28594A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D1E85F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14:paraId="60C97111">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1AFF6A5">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B68EE9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3E1038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DBBAC3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14EF19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1000≤Y＜100000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F57E14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ABEF22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58FA4E6C">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128D37F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软件和信息技术服务业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EF6FB2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FF5D6F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5229D6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1D3224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351407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703474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14:paraId="51244527">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4091401">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1C9074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0935C7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099C1C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CA6CEF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AE5C4E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166CAB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Y＜50</w:t>
            </w:r>
          </w:p>
        </w:tc>
      </w:tr>
      <w:tr w14:paraId="7B5CD143">
        <w:tblPrEx>
          <w:shd w:val="clear" w:color="auto" w:fill="FFFFFF"/>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74FA2C0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房地产开发经营</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AC9AC9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9D9A8E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3BFD71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Y≥200000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6F4079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1000≤Y＜200000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C30C8EF">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6C0A2C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Y＜100</w:t>
            </w:r>
          </w:p>
        </w:tc>
      </w:tr>
      <w:tr w14:paraId="571AC5AB">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965744E">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A753EC3">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BA5DE1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B4DD4A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Z≥10000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F2EED6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5000≤Z＜10000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6727C1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2000≤Z＜5000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4E019F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Z＜2000</w:t>
            </w:r>
          </w:p>
        </w:tc>
      </w:tr>
      <w:tr w14:paraId="06AEB34D">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5E36290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物业管理</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812451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71A503B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5DC84C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878F89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300≤X＜1000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91EC8F8">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E3967C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X＜100</w:t>
            </w:r>
          </w:p>
        </w:tc>
      </w:tr>
      <w:tr w14:paraId="337C06D1">
        <w:tblPrEx>
          <w:shd w:val="clear" w:color="auto" w:fill="FFFFFF"/>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05FA584">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33282F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营业收入(Y)</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661D4BB">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F73D9F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Y≥5000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81A2C2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1000≤Y＜5000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9698F7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500≤Y＜1000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017C95B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Y＜500</w:t>
            </w:r>
          </w:p>
        </w:tc>
      </w:tr>
      <w:tr w14:paraId="51046FE7">
        <w:tblPrEx>
          <w:tblCellMar>
            <w:top w:w="15" w:type="dxa"/>
            <w:left w:w="15" w:type="dxa"/>
            <w:bottom w:w="15" w:type="dxa"/>
            <w:right w:w="15" w:type="dxa"/>
          </w:tblCellMar>
        </w:tblPrEx>
        <w:trPr>
          <w:trHeight w:val="330" w:hRule="atLeast"/>
        </w:trPr>
        <w:tc>
          <w:tcPr>
            <w:tcW w:w="2127" w:type="dxa"/>
            <w:vMerge w:val="restart"/>
            <w:tcBorders>
              <w:top w:val="single" w:color="auto" w:sz="6" w:space="0"/>
              <w:left w:val="single" w:color="auto" w:sz="6" w:space="0"/>
              <w:right w:val="single" w:color="auto" w:sz="6" w:space="0"/>
            </w:tcBorders>
            <w:shd w:val="clear" w:color="auto" w:fill="FFFFFF"/>
            <w:tcMar>
              <w:top w:w="30" w:type="dxa"/>
              <w:left w:w="150" w:type="dxa"/>
              <w:bottom w:w="30" w:type="dxa"/>
              <w:right w:w="150" w:type="dxa"/>
            </w:tcMar>
            <w:vAlign w:val="center"/>
          </w:tcPr>
          <w:p w14:paraId="2C94D87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租赁和商务服务业</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0BB463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2EA7A8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E971205">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D5F37B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9927BF4">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294A7F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r w14:paraId="1270E5BA">
        <w:tblPrEx>
          <w:tblCellMar>
            <w:top w:w="15" w:type="dxa"/>
            <w:left w:w="15" w:type="dxa"/>
            <w:bottom w:w="15" w:type="dxa"/>
            <w:right w:w="15" w:type="dxa"/>
          </w:tblCellMar>
        </w:tblPrEx>
        <w:trPr>
          <w:trHeight w:val="330" w:hRule="atLeast"/>
        </w:trPr>
        <w:tc>
          <w:tcPr>
            <w:tcW w:w="2127" w:type="dxa"/>
            <w:vMerge w:val="continue"/>
            <w:tcBorders>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E363114">
            <w:pPr>
              <w:widowControl/>
              <w:spacing w:line="340" w:lineRule="exact"/>
              <w:jc w:val="center"/>
              <w:rPr>
                <w:rFonts w:ascii="Helvetica" w:hAnsi="Helvetica" w:cs="Helvetica"/>
                <w:color w:val="auto"/>
                <w:kern w:val="0"/>
                <w:sz w:val="18"/>
                <w:szCs w:val="18"/>
              </w:rPr>
            </w:pP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971199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资产总额(Z)</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3E93D94E">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万元</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6458917">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Z≥120000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4AB6936">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8000≤Z＜120000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56285C0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100≤Z＜8000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416480A">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Z＜100</w:t>
            </w:r>
          </w:p>
        </w:tc>
      </w:tr>
      <w:tr w14:paraId="6FBDD978">
        <w:tblPrEx>
          <w:tblCellMar>
            <w:top w:w="15" w:type="dxa"/>
            <w:left w:w="15" w:type="dxa"/>
            <w:bottom w:w="15" w:type="dxa"/>
            <w:right w:w="15" w:type="dxa"/>
          </w:tblCellMar>
        </w:tblPrEx>
        <w:trPr>
          <w:trHeight w:val="330" w:hRule="atLeast"/>
        </w:trPr>
        <w:tc>
          <w:tcPr>
            <w:tcW w:w="2127"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6E2A19C2">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其他未列明行业 *</w:t>
            </w:r>
          </w:p>
        </w:tc>
        <w:tc>
          <w:tcPr>
            <w:tcW w:w="141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FE99C8C">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从业人员(X)</w:t>
            </w:r>
          </w:p>
        </w:tc>
        <w:tc>
          <w:tcPr>
            <w:tcW w:w="714"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3AED97D">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人</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AE11F3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X≥300</w:t>
            </w:r>
          </w:p>
        </w:tc>
        <w:tc>
          <w:tcPr>
            <w:tcW w:w="1843"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22243589">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100≤X＜300</w:t>
            </w:r>
          </w:p>
        </w:tc>
        <w:tc>
          <w:tcPr>
            <w:tcW w:w="1559"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400F09E0">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10≤X＜100</w:t>
            </w:r>
          </w:p>
        </w:tc>
        <w:tc>
          <w:tcPr>
            <w:tcW w:w="1021" w:type="dxa"/>
            <w:tcBorders>
              <w:top w:val="single" w:color="auto" w:sz="6" w:space="0"/>
              <w:left w:val="single" w:color="auto" w:sz="6" w:space="0"/>
              <w:bottom w:val="single" w:color="auto" w:sz="6" w:space="0"/>
              <w:right w:val="single" w:color="auto" w:sz="6" w:space="0"/>
            </w:tcBorders>
            <w:shd w:val="clear" w:color="auto" w:fill="FFFFFF"/>
            <w:tcMar>
              <w:top w:w="30" w:type="dxa"/>
              <w:left w:w="150" w:type="dxa"/>
              <w:bottom w:w="30" w:type="dxa"/>
              <w:right w:w="150" w:type="dxa"/>
            </w:tcMar>
            <w:vAlign w:val="center"/>
          </w:tcPr>
          <w:p w14:paraId="1941E171">
            <w:pPr>
              <w:widowControl/>
              <w:spacing w:line="340" w:lineRule="exact"/>
              <w:jc w:val="center"/>
              <w:rPr>
                <w:rFonts w:ascii="Helvetica" w:hAnsi="Helvetica" w:cs="Helvetica"/>
                <w:color w:val="auto"/>
                <w:kern w:val="0"/>
                <w:sz w:val="18"/>
                <w:szCs w:val="18"/>
              </w:rPr>
            </w:pPr>
            <w:r>
              <w:rPr>
                <w:rFonts w:ascii="Helvetica" w:hAnsi="Helvetica" w:cs="Helvetica"/>
                <w:color w:val="auto"/>
                <w:kern w:val="0"/>
                <w:sz w:val="18"/>
                <w:szCs w:val="18"/>
              </w:rPr>
              <w:t>X＜10</w:t>
            </w:r>
          </w:p>
        </w:tc>
      </w:tr>
    </w:tbl>
    <w:p w14:paraId="7F0E3681">
      <w:pPr>
        <w:widowControl/>
        <w:jc w:val="left"/>
        <w:rPr>
          <w:color w:val="auto"/>
        </w:rPr>
      </w:pPr>
    </w:p>
    <w:p w14:paraId="5EB640EF">
      <w:pPr>
        <w:widowControl/>
        <w:shd w:val="clear" w:color="auto" w:fill="FFFFFF"/>
        <w:spacing w:line="360" w:lineRule="atLeast"/>
        <w:jc w:val="left"/>
        <w:rPr>
          <w:rFonts w:ascii="Helvetica" w:hAnsi="Helvetica" w:cs="Helvetica"/>
          <w:color w:val="auto"/>
          <w:kern w:val="0"/>
          <w:sz w:val="18"/>
          <w:szCs w:val="18"/>
        </w:rPr>
      </w:pPr>
    </w:p>
    <w:p w14:paraId="49FB734A">
      <w:pPr>
        <w:widowControl/>
        <w:shd w:val="clear" w:color="auto" w:fill="FFFFFF"/>
        <w:spacing w:line="360" w:lineRule="atLeast"/>
        <w:jc w:val="left"/>
        <w:rPr>
          <w:rFonts w:ascii="Helvetica" w:hAnsi="Helvetica" w:cs="Helvetica"/>
          <w:color w:val="auto"/>
          <w:kern w:val="0"/>
          <w:sz w:val="18"/>
          <w:szCs w:val="18"/>
        </w:rPr>
      </w:pPr>
      <w:r>
        <w:rPr>
          <w:rFonts w:ascii="Helvetica" w:hAnsi="Helvetica" w:cs="Helvetica"/>
          <w:color w:val="auto"/>
          <w:kern w:val="0"/>
          <w:sz w:val="18"/>
          <w:szCs w:val="18"/>
        </w:rPr>
        <w:t>说明：</w:t>
      </w:r>
    </w:p>
    <w:p w14:paraId="02319B98">
      <w:pPr>
        <w:widowControl/>
        <w:shd w:val="clear" w:color="auto" w:fill="FFFFFF"/>
        <w:spacing w:line="360" w:lineRule="atLeast"/>
        <w:ind w:firstLine="480"/>
        <w:jc w:val="left"/>
        <w:rPr>
          <w:rFonts w:ascii="Helvetica" w:hAnsi="Helvetica" w:cs="Helvetica"/>
          <w:color w:val="auto"/>
          <w:kern w:val="0"/>
          <w:sz w:val="18"/>
          <w:szCs w:val="18"/>
        </w:rPr>
      </w:pPr>
      <w:r>
        <w:rPr>
          <w:rFonts w:ascii="Helvetica" w:hAnsi="Helvetica" w:cs="Helvetica"/>
          <w:color w:val="auto"/>
          <w:kern w:val="0"/>
          <w:sz w:val="18"/>
          <w:szCs w:val="18"/>
        </w:rPr>
        <w:t>1.大型、中型和小型企业须同时满足所列指标的下限，否则下划一档；微型企业只须满足所列指标中的一项即可。</w:t>
      </w:r>
    </w:p>
    <w:p w14:paraId="3D232DCB">
      <w:pPr>
        <w:widowControl/>
        <w:shd w:val="clear" w:color="auto" w:fill="FFFFFF"/>
        <w:spacing w:line="360" w:lineRule="atLeast"/>
        <w:ind w:firstLine="480"/>
        <w:jc w:val="left"/>
        <w:rPr>
          <w:rFonts w:ascii="Helvetica" w:hAnsi="Helvetica" w:cs="Helvetica"/>
          <w:color w:val="auto"/>
          <w:kern w:val="0"/>
          <w:sz w:val="18"/>
          <w:szCs w:val="18"/>
        </w:rPr>
      </w:pPr>
      <w:r>
        <w:rPr>
          <w:rFonts w:ascii="Helvetica" w:hAnsi="Helvetica" w:cs="Helvetica"/>
          <w:color w:val="auto"/>
          <w:kern w:val="0"/>
          <w:sz w:val="18"/>
          <w:szCs w:val="18"/>
        </w:rPr>
        <w:t>2.附表中各行业的范围以《国民经济行业分类》（GB/T4754-2017）为准。带*的项为行业组合类别，其中，工业包括采矿业，制造业，电力、热力、燃气及水生产和供应业；交通运输业包括道路运输业，水上运输业，航空运输业，管道运输业，</w:t>
      </w:r>
      <w:r>
        <w:rPr>
          <w:color w:val="auto"/>
        </w:rPr>
        <w:fldChar w:fldCharType="begin"/>
      </w:r>
      <w:r>
        <w:rPr>
          <w:color w:val="auto"/>
        </w:rPr>
        <w:instrText xml:space="preserve"> HYPERLINK "https://baike.baidu.com/item/%E5%A4%9A%E5%BC%8F%E8%81%94%E8%BF%90/3342240?fromModule=lemma_inlink" \t "_blank" </w:instrText>
      </w:r>
      <w:r>
        <w:rPr>
          <w:color w:val="auto"/>
        </w:rPr>
        <w:fldChar w:fldCharType="separate"/>
      </w:r>
      <w:r>
        <w:rPr>
          <w:rFonts w:ascii="Helvetica" w:hAnsi="Helvetica" w:cs="Helvetica"/>
          <w:color w:val="auto"/>
          <w:kern w:val="0"/>
          <w:sz w:val="18"/>
          <w:szCs w:val="18"/>
          <w:u w:val="single"/>
        </w:rPr>
        <w:t>多式联运</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和运输代理业、</w:t>
      </w:r>
      <w:r>
        <w:rPr>
          <w:color w:val="auto"/>
        </w:rPr>
        <w:fldChar w:fldCharType="begin"/>
      </w:r>
      <w:r>
        <w:rPr>
          <w:color w:val="auto"/>
        </w:rPr>
        <w:instrText xml:space="preserve"> HYPERLINK "https://baike.baidu.com/item/%E8%A3%85%E5%8D%B8%E6%90%AC%E8%BF%90/6511400?fromModule=lemma_inlink" \t "_blank" </w:instrText>
      </w:r>
      <w:r>
        <w:rPr>
          <w:color w:val="auto"/>
        </w:rPr>
        <w:fldChar w:fldCharType="separate"/>
      </w:r>
      <w:r>
        <w:rPr>
          <w:rFonts w:ascii="Helvetica" w:hAnsi="Helvetica" w:cs="Helvetica"/>
          <w:color w:val="auto"/>
          <w:kern w:val="0"/>
          <w:sz w:val="18"/>
          <w:szCs w:val="18"/>
          <w:u w:val="single"/>
        </w:rPr>
        <w:t>装卸搬运</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，不包括铁路运输业；</w:t>
      </w:r>
      <w:r>
        <w:rPr>
          <w:color w:val="auto"/>
        </w:rPr>
        <w:fldChar w:fldCharType="begin"/>
      </w:r>
      <w:r>
        <w:rPr>
          <w:color w:val="auto"/>
        </w:rPr>
        <w:instrText xml:space="preserve"> HYPERLINK "https://baike.baidu.com/item/%E4%BB%93%E5%82%A8%E4%B8%9A/3487863?fromModule=lemma_inlink" \t "_blank" </w:instrText>
      </w:r>
      <w:r>
        <w:rPr>
          <w:color w:val="auto"/>
        </w:rPr>
        <w:fldChar w:fldCharType="separate"/>
      </w:r>
      <w:r>
        <w:rPr>
          <w:rFonts w:ascii="Helvetica" w:hAnsi="Helvetica" w:cs="Helvetica"/>
          <w:color w:val="auto"/>
          <w:kern w:val="0"/>
          <w:sz w:val="18"/>
          <w:szCs w:val="18"/>
          <w:u w:val="single"/>
        </w:rPr>
        <w:t>仓储业</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包括通用仓储，低温仓储，危险品仓储，谷物、棉花等农产品仓储，中药材仓储和其他仓储业;</w:t>
      </w:r>
      <w:r>
        <w:rPr>
          <w:color w:val="auto"/>
        </w:rPr>
        <w:fldChar w:fldCharType="begin"/>
      </w:r>
      <w:r>
        <w:rPr>
          <w:color w:val="auto"/>
        </w:rPr>
        <w:instrText xml:space="preserve"> HYPERLINK "https://baike.baidu.com/item/%E4%BF%A1%E6%81%AF%E4%BC%A0%E8%BE%93%E4%B8%9A/61331990?fromModule=lemma_inlink" \t "_blank" </w:instrText>
      </w:r>
      <w:r>
        <w:rPr>
          <w:color w:val="auto"/>
        </w:rPr>
        <w:fldChar w:fldCharType="separate"/>
      </w:r>
      <w:r>
        <w:rPr>
          <w:rFonts w:ascii="Helvetica" w:hAnsi="Helvetica" w:cs="Helvetica"/>
          <w:color w:val="auto"/>
          <w:kern w:val="0"/>
          <w:sz w:val="18"/>
          <w:szCs w:val="18"/>
          <w:u w:val="single"/>
        </w:rPr>
        <w:t>信息传输业</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73FAB5B">
      <w:pPr>
        <w:widowControl/>
        <w:shd w:val="clear" w:color="auto" w:fill="FFFFFF"/>
        <w:spacing w:line="360" w:lineRule="atLeast"/>
        <w:ind w:firstLine="480"/>
        <w:jc w:val="left"/>
        <w:rPr>
          <w:rFonts w:ascii="Helvetica" w:hAnsi="Helvetica" w:cs="Helvetica"/>
          <w:color w:val="auto"/>
          <w:kern w:val="0"/>
          <w:sz w:val="18"/>
          <w:szCs w:val="18"/>
        </w:rPr>
      </w:pPr>
      <w:r>
        <w:rPr>
          <w:rFonts w:ascii="Helvetica" w:hAnsi="Helvetica" w:cs="Helvetica"/>
          <w:color w:val="auto"/>
          <w:kern w:val="0"/>
          <w:sz w:val="18"/>
          <w:szCs w:val="18"/>
        </w:rPr>
        <w:t>3.企业划分指标以现行</w:t>
      </w:r>
      <w:r>
        <w:rPr>
          <w:color w:val="auto"/>
        </w:rPr>
        <w:fldChar w:fldCharType="begin"/>
      </w:r>
      <w:r>
        <w:rPr>
          <w:color w:val="auto"/>
        </w:rPr>
        <w:instrText xml:space="preserve"> HYPERLINK "https://baike.baidu.com/item/%E7%BB%9F%E8%AE%A1%E5%88%B6%E5%BA%A6/917165?fromModule=lemma_inlink" \t "_blank" </w:instrText>
      </w:r>
      <w:r>
        <w:rPr>
          <w:color w:val="auto"/>
        </w:rPr>
        <w:fldChar w:fldCharType="separate"/>
      </w:r>
      <w:r>
        <w:rPr>
          <w:rFonts w:ascii="Helvetica" w:hAnsi="Helvetica" w:cs="Helvetica"/>
          <w:color w:val="auto"/>
          <w:kern w:val="0"/>
          <w:sz w:val="18"/>
          <w:szCs w:val="18"/>
          <w:u w:val="single"/>
        </w:rPr>
        <w:t>统计制度</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为准。（1）从业人员，是指期末从业人员数，没有期末从业人员数的，采用全年平均人员数代替。（2）</w:t>
      </w:r>
      <w:r>
        <w:rPr>
          <w:color w:val="auto"/>
        </w:rPr>
        <w:fldChar w:fldCharType="begin"/>
      </w:r>
      <w:r>
        <w:rPr>
          <w:color w:val="auto"/>
        </w:rPr>
        <w:instrText xml:space="preserve"> HYPERLINK "https://baike.baidu.com/item/%E8%90%A5%E4%B8%9A%E6%94%B6%E5%85%A5/5099832?fromModule=lemma_inlink" \t "_blank" </w:instrText>
      </w:r>
      <w:r>
        <w:rPr>
          <w:color w:val="auto"/>
        </w:rPr>
        <w:fldChar w:fldCharType="separate"/>
      </w:r>
      <w:r>
        <w:rPr>
          <w:rFonts w:ascii="Helvetica" w:hAnsi="Helvetica" w:cs="Helvetica"/>
          <w:color w:val="auto"/>
          <w:kern w:val="0"/>
          <w:sz w:val="18"/>
          <w:szCs w:val="18"/>
          <w:u w:val="single"/>
        </w:rPr>
        <w:t>营业收入</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w:t>
      </w:r>
      <w:r>
        <w:rPr>
          <w:color w:val="auto"/>
        </w:rPr>
        <w:fldChar w:fldCharType="begin"/>
      </w:r>
      <w:r>
        <w:rPr>
          <w:color w:val="auto"/>
        </w:rPr>
        <w:instrText xml:space="preserve"> HYPERLINK "https://baike.baidu.com/item/%E8%B5%84%E4%BA%A7%E6%80%BB%E9%A2%9D/716517?fromModule=lemma_inlink" \t "_blank" </w:instrText>
      </w:r>
      <w:r>
        <w:rPr>
          <w:color w:val="auto"/>
        </w:rPr>
        <w:fldChar w:fldCharType="separate"/>
      </w:r>
      <w:r>
        <w:rPr>
          <w:rFonts w:ascii="Helvetica" w:hAnsi="Helvetica" w:cs="Helvetica"/>
          <w:color w:val="auto"/>
          <w:kern w:val="0"/>
          <w:sz w:val="18"/>
          <w:szCs w:val="18"/>
          <w:u w:val="single"/>
        </w:rPr>
        <w:t>资产总额</w:t>
      </w:r>
      <w:r>
        <w:rPr>
          <w:rFonts w:ascii="Helvetica" w:hAnsi="Helvetica" w:cs="Helvetica"/>
          <w:color w:val="auto"/>
          <w:kern w:val="0"/>
          <w:sz w:val="18"/>
          <w:szCs w:val="18"/>
          <w:u w:val="single"/>
        </w:rPr>
        <w:fldChar w:fldCharType="end"/>
      </w:r>
      <w:r>
        <w:rPr>
          <w:rFonts w:ascii="Helvetica" w:hAnsi="Helvetica" w:cs="Helvetica"/>
          <w:color w:val="auto"/>
          <w:kern w:val="0"/>
          <w:sz w:val="18"/>
          <w:szCs w:val="18"/>
        </w:rPr>
        <w:t>，采用资产总计代替。</w:t>
      </w:r>
    </w:p>
    <w:p w14:paraId="5646FBA1">
      <w:pPr>
        <w:widowControl/>
        <w:jc w:val="left"/>
        <w:rPr>
          <w:rFonts w:hAnsi="宋体"/>
          <w:bCs/>
          <w:color w:val="auto"/>
          <w:sz w:val="18"/>
          <w:szCs w:val="18"/>
        </w:rPr>
      </w:pPr>
      <w:r>
        <w:rPr>
          <w:rFonts w:hAnsi="宋体"/>
          <w:bCs/>
          <w:color w:val="auto"/>
          <w:sz w:val="18"/>
          <w:szCs w:val="18"/>
        </w:rPr>
        <w:br w:type="page"/>
      </w:r>
    </w:p>
    <w:p w14:paraId="5BB60451">
      <w:pPr>
        <w:spacing w:line="320" w:lineRule="exact"/>
        <w:jc w:val="left"/>
        <w:rPr>
          <w:rFonts w:hAnsi="宋体"/>
          <w:bCs/>
          <w:color w:val="auto"/>
          <w:sz w:val="18"/>
          <w:szCs w:val="18"/>
        </w:rPr>
      </w:pPr>
    </w:p>
    <w:p w14:paraId="00A9FA3C">
      <w:pPr>
        <w:pStyle w:val="23"/>
        <w:spacing w:line="440" w:lineRule="exact"/>
        <w:jc w:val="center"/>
        <w:rPr>
          <w:rFonts w:ascii="仿宋" w:hAnsi="仿宋" w:eastAsia="仿宋"/>
          <w:b/>
          <w:color w:val="auto"/>
          <w:kern w:val="0"/>
          <w:sz w:val="32"/>
          <w:szCs w:val="32"/>
        </w:rPr>
      </w:pPr>
      <w:r>
        <w:rPr>
          <w:rFonts w:hint="eastAsia" w:ascii="仿宋" w:hAnsi="仿宋" w:eastAsia="仿宋"/>
          <w:b/>
          <w:color w:val="auto"/>
          <w:kern w:val="0"/>
          <w:sz w:val="32"/>
          <w:szCs w:val="32"/>
        </w:rPr>
        <w:t>残疾人福利性单位声明函</w:t>
      </w:r>
      <w:r>
        <w:rPr>
          <w:rFonts w:hint="eastAsia" w:ascii="仿宋" w:hAnsi="仿宋" w:eastAsia="仿宋"/>
          <w:color w:val="auto"/>
          <w:sz w:val="24"/>
        </w:rPr>
        <w:t>(格式</w:t>
      </w:r>
      <w:r>
        <w:rPr>
          <w:rFonts w:ascii="仿宋" w:hAnsi="仿宋" w:eastAsia="仿宋"/>
          <w:color w:val="auto"/>
          <w:sz w:val="24"/>
        </w:rPr>
        <w:t>)</w:t>
      </w:r>
    </w:p>
    <w:p w14:paraId="6CC74DC4">
      <w:pPr>
        <w:rPr>
          <w:color w:val="auto"/>
        </w:rPr>
      </w:pPr>
    </w:p>
    <w:p w14:paraId="66BC14F4">
      <w:pPr>
        <w:spacing w:line="660" w:lineRule="exact"/>
        <w:ind w:firstLine="420" w:firstLineChars="200"/>
        <w:rPr>
          <w:rFonts w:ascii="宋体" w:hAnsi="宋体" w:cs="Courier New"/>
          <w:color w:val="auto"/>
          <w:kern w:val="0"/>
          <w:szCs w:val="21"/>
        </w:rPr>
      </w:pPr>
      <w:r>
        <w:rPr>
          <w:rFonts w:hint="eastAsia" w:ascii="宋体" w:hAnsi="宋体" w:cs="Courier New"/>
          <w:color w:val="auto"/>
          <w:kern w:val="0"/>
          <w:szCs w:val="21"/>
        </w:rPr>
        <w:t>本单位郑重声明，根据</w:t>
      </w:r>
      <w:bookmarkStart w:id="131" w:name="_Hlk82091361"/>
      <w:r>
        <w:rPr>
          <w:rFonts w:hint="eastAsia" w:ascii="宋体" w:hAnsi="宋体" w:cs="Courier New"/>
          <w:color w:val="auto"/>
          <w:kern w:val="0"/>
          <w:szCs w:val="21"/>
        </w:rPr>
        <w:t>《</w:t>
      </w:r>
      <w:r>
        <w:rPr>
          <w:color w:val="auto"/>
        </w:rPr>
        <w:fldChar w:fldCharType="begin"/>
      </w:r>
      <w:r>
        <w:rPr>
          <w:color w:val="auto"/>
        </w:rPr>
        <w:instrText xml:space="preserve"> HYPERLINK "http://www.mof.gov.cn/gp/xxgkml/gks/201709/t20170901_2689542.htm" </w:instrText>
      </w:r>
      <w:r>
        <w:rPr>
          <w:color w:val="auto"/>
        </w:rPr>
        <w:fldChar w:fldCharType="separate"/>
      </w:r>
      <w:r>
        <w:rPr>
          <w:rFonts w:hint="eastAsia" w:ascii="宋体" w:hAnsi="Courier New" w:cs="Courier New"/>
          <w:color w:val="auto"/>
          <w:kern w:val="0"/>
          <w:szCs w:val="21"/>
        </w:rPr>
        <w:t>财政部 民政部 中国残疾人联合会关于促进残疾人就业政府采购政策的通知》（财库〔2017〕141号）</w:t>
      </w:r>
      <w:r>
        <w:rPr>
          <w:rFonts w:hint="eastAsia" w:ascii="宋体" w:hAnsi="Courier New" w:cs="Courier New"/>
          <w:color w:val="auto"/>
          <w:kern w:val="0"/>
          <w:szCs w:val="21"/>
        </w:rPr>
        <w:fldChar w:fldCharType="end"/>
      </w:r>
      <w:bookmarkEnd w:id="131"/>
      <w:r>
        <w:rPr>
          <w:rFonts w:hint="eastAsia" w:ascii="宋体" w:hAnsi="宋体" w:cs="Courier New"/>
          <w:color w:val="auto"/>
          <w:kern w:val="0"/>
          <w:szCs w:val="21"/>
        </w:rPr>
        <w:t>的规定，本单位为符合条件的残疾人福利性单位，且本单位参加（</w:t>
      </w:r>
      <w:r>
        <w:rPr>
          <w:rFonts w:hint="eastAsia" w:ascii="宋体" w:hAnsi="宋体" w:cs="Courier New"/>
          <w:color w:val="auto"/>
          <w:kern w:val="0"/>
          <w:szCs w:val="21"/>
          <w:u w:val="single"/>
        </w:rPr>
        <w:t>单位名称</w:t>
      </w:r>
      <w:r>
        <w:rPr>
          <w:rFonts w:hint="eastAsia" w:ascii="宋体" w:hAnsi="宋体" w:cs="Courier New"/>
          <w:color w:val="auto"/>
          <w:kern w:val="0"/>
          <w:szCs w:val="21"/>
        </w:rPr>
        <w:t>）的（</w:t>
      </w:r>
      <w:r>
        <w:rPr>
          <w:rFonts w:hint="eastAsia" w:ascii="宋体" w:hAnsi="宋体" w:cs="Courier New"/>
          <w:color w:val="auto"/>
          <w:kern w:val="0"/>
          <w:szCs w:val="21"/>
          <w:u w:val="single"/>
        </w:rPr>
        <w:t>项目名称</w:t>
      </w:r>
      <w:r>
        <w:rPr>
          <w:rFonts w:hint="eastAsia" w:ascii="宋体" w:hAnsi="宋体" w:cs="Courier New"/>
          <w:color w:val="auto"/>
          <w:kern w:val="0"/>
          <w:szCs w:val="21"/>
        </w:rPr>
        <w:t>）采购活动提供本单位制造的货物，或者提供其他残疾人福利性单位（</w:t>
      </w:r>
      <w:r>
        <w:rPr>
          <w:rFonts w:hint="eastAsia" w:ascii="宋体" w:hAnsi="宋体" w:cs="Courier New"/>
          <w:color w:val="auto"/>
          <w:kern w:val="0"/>
          <w:szCs w:val="21"/>
          <w:u w:val="single"/>
        </w:rPr>
        <w:t>请填写具体单位名称</w:t>
      </w:r>
      <w:r>
        <w:rPr>
          <w:rFonts w:hint="eastAsia" w:ascii="宋体" w:hAnsi="宋体" w:cs="Courier New"/>
          <w:color w:val="auto"/>
          <w:kern w:val="0"/>
          <w:szCs w:val="21"/>
        </w:rPr>
        <w:t>）制造的货物（不包括使用非残疾人福利性单位注册商标的货物）。</w:t>
      </w:r>
    </w:p>
    <w:p w14:paraId="48A8159E">
      <w:pPr>
        <w:spacing w:line="660" w:lineRule="exact"/>
        <w:ind w:firstLine="420" w:firstLineChars="200"/>
        <w:rPr>
          <w:rFonts w:ascii="宋体" w:hAnsi="宋体" w:cs="Courier New"/>
          <w:color w:val="auto"/>
          <w:kern w:val="0"/>
          <w:szCs w:val="21"/>
        </w:rPr>
      </w:pPr>
      <w:r>
        <w:rPr>
          <w:rFonts w:hint="eastAsia" w:ascii="宋体" w:hAnsi="宋体" w:cs="Courier New"/>
          <w:color w:val="auto"/>
          <w:kern w:val="0"/>
          <w:szCs w:val="21"/>
        </w:rPr>
        <w:t>本单位对上述声明的真实性负责。如有虚假，将依法承担相应责任。</w:t>
      </w:r>
    </w:p>
    <w:p w14:paraId="37BD70F4">
      <w:pPr>
        <w:spacing w:line="400" w:lineRule="exact"/>
        <w:rPr>
          <w:color w:val="auto"/>
          <w:szCs w:val="21"/>
        </w:rPr>
      </w:pPr>
    </w:p>
    <w:p w14:paraId="1D380419">
      <w:pPr>
        <w:spacing w:line="400" w:lineRule="exact"/>
        <w:rPr>
          <w:color w:val="auto"/>
          <w:szCs w:val="21"/>
        </w:rPr>
      </w:pPr>
    </w:p>
    <w:p w14:paraId="7A394A59">
      <w:pPr>
        <w:spacing w:line="400" w:lineRule="exact"/>
        <w:rPr>
          <w:color w:val="auto"/>
          <w:szCs w:val="21"/>
        </w:rPr>
      </w:pPr>
    </w:p>
    <w:p w14:paraId="77A1C6D4">
      <w:pPr>
        <w:spacing w:line="440" w:lineRule="exact"/>
        <w:ind w:firstLine="5250" w:firstLineChars="2500"/>
        <w:rPr>
          <w:rFonts w:ascii="宋体" w:hAnsi="宋体" w:cs="Courier New"/>
          <w:color w:val="auto"/>
          <w:kern w:val="0"/>
          <w:szCs w:val="21"/>
        </w:rPr>
      </w:pPr>
      <w:r>
        <w:rPr>
          <w:rFonts w:hint="eastAsia" w:ascii="宋体" w:hAnsi="宋体" w:cs="Courier New"/>
          <w:color w:val="auto"/>
          <w:kern w:val="0"/>
          <w:szCs w:val="21"/>
        </w:rPr>
        <w:t>单位名称（盖章）：</w:t>
      </w:r>
      <w:r>
        <w:rPr>
          <w:rFonts w:hint="eastAsia" w:ascii="宋体" w:hAnsi="宋体" w:cs="Courier New"/>
          <w:color w:val="auto"/>
          <w:szCs w:val="21"/>
          <w:u w:val="single"/>
        </w:rPr>
        <w:t xml:space="preserve"> </w:t>
      </w:r>
      <w:r>
        <w:rPr>
          <w:rFonts w:ascii="宋体" w:hAnsi="宋体" w:cs="Courier New"/>
          <w:color w:val="auto"/>
          <w:szCs w:val="21"/>
          <w:u w:val="single"/>
        </w:rPr>
        <w:t xml:space="preserve">             </w:t>
      </w:r>
    </w:p>
    <w:p w14:paraId="0A9F44BC">
      <w:pPr>
        <w:spacing w:line="440" w:lineRule="exact"/>
        <w:ind w:firstLine="5250" w:firstLineChars="2500"/>
        <w:rPr>
          <w:rFonts w:ascii="宋体" w:hAnsi="宋体" w:cs="Courier New"/>
          <w:color w:val="auto"/>
          <w:szCs w:val="21"/>
          <w:u w:val="single"/>
        </w:rPr>
      </w:pPr>
      <w:r>
        <w:rPr>
          <w:rFonts w:hint="eastAsia" w:ascii="宋体" w:hAnsi="宋体" w:cs="Courier New"/>
          <w:color w:val="auto"/>
          <w:kern w:val="0"/>
          <w:szCs w:val="21"/>
        </w:rPr>
        <w:t>日  期：</w:t>
      </w:r>
      <w:r>
        <w:rPr>
          <w:rFonts w:hint="eastAsia" w:ascii="宋体" w:hAnsi="宋体" w:cs="Courier New"/>
          <w:color w:val="auto"/>
          <w:szCs w:val="21"/>
          <w:u w:val="single"/>
        </w:rPr>
        <w:t xml:space="preserve"> </w:t>
      </w:r>
      <w:r>
        <w:rPr>
          <w:rFonts w:ascii="宋体" w:hAnsi="宋体" w:cs="Courier New"/>
          <w:color w:val="auto"/>
          <w:szCs w:val="21"/>
          <w:u w:val="single"/>
        </w:rPr>
        <w:t xml:space="preserve">                       </w:t>
      </w:r>
    </w:p>
    <w:bookmarkEnd w:id="125"/>
    <w:p w14:paraId="69A5B303">
      <w:pPr>
        <w:widowControl/>
        <w:jc w:val="left"/>
        <w:rPr>
          <w:rFonts w:ascii="宋体" w:hAnsi="Courier New" w:cs="Courier New"/>
          <w:color w:val="auto"/>
          <w:sz w:val="18"/>
          <w:szCs w:val="18"/>
        </w:rPr>
      </w:pPr>
      <w:r>
        <w:rPr>
          <w:rFonts w:ascii="宋体" w:hAnsi="Courier New" w:cs="Courier New"/>
          <w:color w:val="auto"/>
          <w:sz w:val="18"/>
          <w:szCs w:val="18"/>
        </w:rPr>
        <w:br w:type="page"/>
      </w:r>
    </w:p>
    <w:p w14:paraId="535826BA">
      <w:pPr>
        <w:jc w:val="left"/>
        <w:rPr>
          <w:rFonts w:ascii="宋体" w:hAnsi="宋体"/>
          <w:b/>
          <w:bCs/>
          <w:color w:val="auto"/>
          <w:sz w:val="36"/>
          <w:szCs w:val="36"/>
        </w:rPr>
      </w:pPr>
      <w:r>
        <w:rPr>
          <w:rFonts w:hint="eastAsia" w:ascii="宋体" w:hAnsi="宋体"/>
          <w:b/>
          <w:bCs/>
          <w:color w:val="auto"/>
          <w:sz w:val="36"/>
          <w:szCs w:val="36"/>
        </w:rPr>
        <w:t>三、报价文件</w:t>
      </w:r>
    </w:p>
    <w:p w14:paraId="2EC0D616">
      <w:pPr>
        <w:jc w:val="center"/>
        <w:rPr>
          <w:rFonts w:ascii="仿宋" w:hAnsi="仿宋" w:eastAsia="仿宋"/>
          <w:b/>
          <w:bCs/>
          <w:color w:val="auto"/>
          <w:sz w:val="30"/>
          <w:szCs w:val="30"/>
        </w:rPr>
      </w:pPr>
      <w:r>
        <w:rPr>
          <w:rFonts w:hint="eastAsia" w:ascii="仿宋" w:hAnsi="仿宋" w:eastAsia="仿宋"/>
          <w:b/>
          <w:bCs/>
          <w:color w:val="auto"/>
          <w:sz w:val="32"/>
          <w:szCs w:val="32"/>
        </w:rPr>
        <w:t>报价明细表</w:t>
      </w:r>
      <w:r>
        <w:rPr>
          <w:rFonts w:hint="eastAsia" w:ascii="仿宋" w:hAnsi="仿宋" w:eastAsia="仿宋"/>
          <w:color w:val="auto"/>
          <w:sz w:val="24"/>
        </w:rPr>
        <w:t>(格式</w:t>
      </w:r>
      <w:r>
        <w:rPr>
          <w:rFonts w:ascii="仿宋" w:hAnsi="仿宋" w:eastAsia="仿宋"/>
          <w:color w:val="auto"/>
          <w:sz w:val="24"/>
        </w:rPr>
        <w:t>)</w:t>
      </w:r>
    </w:p>
    <w:p w14:paraId="50550B63">
      <w:pPr>
        <w:rPr>
          <w:color w:val="auto"/>
        </w:rPr>
      </w:pPr>
    </w:p>
    <w:p w14:paraId="4915AB5A">
      <w:pPr>
        <w:spacing w:line="400" w:lineRule="exact"/>
        <w:rPr>
          <w:rFonts w:ascii="宋体" w:hAnsi="宋体"/>
          <w:color w:val="auto"/>
          <w:szCs w:val="21"/>
          <w:u w:val="single"/>
        </w:rPr>
      </w:pPr>
      <w:r>
        <w:rPr>
          <w:rFonts w:hint="eastAsia" w:ascii="宋体" w:hAnsi="宋体"/>
          <w:color w:val="auto"/>
          <w:szCs w:val="21"/>
        </w:rPr>
        <w:t>项目编号：</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p>
    <w:p w14:paraId="4BD46F29">
      <w:pPr>
        <w:spacing w:line="400" w:lineRule="exact"/>
        <w:rPr>
          <w:rFonts w:ascii="宋体" w:hAnsi="宋体"/>
          <w:color w:val="auto"/>
          <w:szCs w:val="21"/>
          <w:u w:val="single"/>
        </w:rPr>
      </w:pPr>
      <w:r>
        <w:rPr>
          <w:rFonts w:hint="eastAsia" w:ascii="宋体" w:hAnsi="宋体"/>
          <w:color w:val="auto"/>
          <w:szCs w:val="21"/>
        </w:rPr>
        <w:t>项目名称：</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rPr>
        <w:t xml:space="preserve">                                             单位：元</w:t>
      </w:r>
    </w:p>
    <w:tbl>
      <w:tblPr>
        <w:tblStyle w:val="41"/>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45"/>
        <w:gridCol w:w="699"/>
        <w:gridCol w:w="710"/>
        <w:gridCol w:w="709"/>
        <w:gridCol w:w="1702"/>
        <w:gridCol w:w="1702"/>
        <w:gridCol w:w="852"/>
        <w:gridCol w:w="1348"/>
      </w:tblGrid>
      <w:tr w14:paraId="4FA8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704" w:type="dxa"/>
            <w:tcBorders>
              <w:bottom w:val="single" w:color="auto" w:sz="4" w:space="0"/>
            </w:tcBorders>
            <w:vAlign w:val="center"/>
          </w:tcPr>
          <w:p w14:paraId="218C8800">
            <w:pPr>
              <w:spacing w:line="300" w:lineRule="exact"/>
              <w:jc w:val="center"/>
              <w:rPr>
                <w:rFonts w:ascii="宋体" w:hAnsi="宋体" w:cs="Courier New"/>
                <w:color w:val="auto"/>
                <w:szCs w:val="21"/>
              </w:rPr>
            </w:pPr>
            <w:bookmarkStart w:id="132" w:name="_Hlk97823529"/>
            <w:r>
              <w:rPr>
                <w:rFonts w:hint="eastAsia" w:ascii="宋体" w:hAnsi="宋体" w:cs="Courier New"/>
                <w:color w:val="auto"/>
                <w:szCs w:val="21"/>
              </w:rPr>
              <w:t>序号</w:t>
            </w:r>
          </w:p>
        </w:tc>
        <w:tc>
          <w:tcPr>
            <w:tcW w:w="1145" w:type="dxa"/>
            <w:tcBorders>
              <w:bottom w:val="single" w:color="auto" w:sz="4" w:space="0"/>
            </w:tcBorders>
            <w:vAlign w:val="center"/>
          </w:tcPr>
          <w:p w14:paraId="0076A990">
            <w:pPr>
              <w:tabs>
                <w:tab w:val="left" w:pos="180"/>
                <w:tab w:val="left" w:pos="1620"/>
              </w:tabs>
              <w:spacing w:line="300" w:lineRule="exact"/>
              <w:jc w:val="center"/>
              <w:rPr>
                <w:rFonts w:ascii="宋体" w:hAnsi="宋体"/>
                <w:color w:val="auto"/>
                <w:szCs w:val="21"/>
              </w:rPr>
            </w:pPr>
            <w:r>
              <w:rPr>
                <w:rFonts w:hint="eastAsia" w:ascii="宋体" w:hAnsi="宋体"/>
                <w:color w:val="auto"/>
                <w:szCs w:val="21"/>
              </w:rPr>
              <w:t>货物名称</w:t>
            </w:r>
          </w:p>
        </w:tc>
        <w:tc>
          <w:tcPr>
            <w:tcW w:w="699" w:type="dxa"/>
            <w:tcBorders>
              <w:bottom w:val="single" w:color="auto" w:sz="4" w:space="0"/>
            </w:tcBorders>
            <w:vAlign w:val="center"/>
          </w:tcPr>
          <w:p w14:paraId="4E2DD1CC">
            <w:pPr>
              <w:tabs>
                <w:tab w:val="left" w:pos="180"/>
                <w:tab w:val="left" w:pos="1620"/>
              </w:tabs>
              <w:spacing w:line="300" w:lineRule="exact"/>
              <w:jc w:val="center"/>
              <w:rPr>
                <w:rFonts w:ascii="宋体" w:hAnsi="宋体"/>
                <w:color w:val="auto"/>
                <w:szCs w:val="21"/>
              </w:rPr>
            </w:pPr>
            <w:r>
              <w:rPr>
                <w:rFonts w:hint="eastAsia" w:ascii="宋体" w:hAnsi="宋体"/>
                <w:color w:val="auto"/>
                <w:szCs w:val="21"/>
              </w:rPr>
              <w:t>品牌</w:t>
            </w:r>
          </w:p>
        </w:tc>
        <w:tc>
          <w:tcPr>
            <w:tcW w:w="710" w:type="dxa"/>
            <w:tcBorders>
              <w:bottom w:val="single" w:color="auto" w:sz="4" w:space="0"/>
            </w:tcBorders>
            <w:vAlign w:val="center"/>
          </w:tcPr>
          <w:p w14:paraId="356B43E7">
            <w:pPr>
              <w:tabs>
                <w:tab w:val="left" w:pos="180"/>
                <w:tab w:val="left" w:pos="1620"/>
              </w:tabs>
              <w:spacing w:line="300" w:lineRule="exact"/>
              <w:jc w:val="center"/>
              <w:rPr>
                <w:rFonts w:ascii="宋体" w:hAnsi="宋体"/>
                <w:color w:val="auto"/>
                <w:szCs w:val="21"/>
              </w:rPr>
            </w:pPr>
            <w:r>
              <w:rPr>
                <w:rFonts w:hint="eastAsia" w:ascii="宋体" w:hAnsi="宋体"/>
                <w:color w:val="auto"/>
                <w:szCs w:val="21"/>
              </w:rPr>
              <w:t>型号</w:t>
            </w:r>
          </w:p>
        </w:tc>
        <w:tc>
          <w:tcPr>
            <w:tcW w:w="709" w:type="dxa"/>
            <w:tcBorders>
              <w:bottom w:val="single" w:color="auto" w:sz="4" w:space="0"/>
            </w:tcBorders>
            <w:vAlign w:val="center"/>
          </w:tcPr>
          <w:p w14:paraId="5E3CF29B">
            <w:pPr>
              <w:tabs>
                <w:tab w:val="left" w:pos="180"/>
                <w:tab w:val="left" w:pos="1620"/>
              </w:tabs>
              <w:spacing w:line="300" w:lineRule="exact"/>
              <w:jc w:val="center"/>
              <w:rPr>
                <w:rFonts w:ascii="宋体" w:hAnsi="宋体"/>
                <w:color w:val="auto"/>
                <w:szCs w:val="21"/>
              </w:rPr>
            </w:pPr>
            <w:r>
              <w:rPr>
                <w:rFonts w:hint="eastAsia" w:ascii="宋体" w:hAnsi="宋体"/>
                <w:color w:val="auto"/>
                <w:szCs w:val="21"/>
              </w:rPr>
              <w:t>产地</w:t>
            </w:r>
          </w:p>
        </w:tc>
        <w:tc>
          <w:tcPr>
            <w:tcW w:w="1702" w:type="dxa"/>
            <w:tcBorders>
              <w:bottom w:val="single" w:color="auto" w:sz="4" w:space="0"/>
            </w:tcBorders>
            <w:vAlign w:val="center"/>
          </w:tcPr>
          <w:p w14:paraId="616C77F4">
            <w:pPr>
              <w:tabs>
                <w:tab w:val="left" w:pos="180"/>
                <w:tab w:val="left" w:pos="1620"/>
              </w:tabs>
              <w:spacing w:line="300" w:lineRule="exact"/>
              <w:jc w:val="center"/>
              <w:rPr>
                <w:rFonts w:ascii="宋体" w:hAnsi="宋体"/>
                <w:color w:val="auto"/>
                <w:szCs w:val="21"/>
              </w:rPr>
            </w:pPr>
            <w:r>
              <w:rPr>
                <w:rFonts w:hint="eastAsia" w:ascii="宋体" w:hAnsi="宋体"/>
                <w:color w:val="auto"/>
                <w:szCs w:val="21"/>
              </w:rPr>
              <w:t>技术参数及性能（规格）</w:t>
            </w:r>
          </w:p>
        </w:tc>
        <w:tc>
          <w:tcPr>
            <w:tcW w:w="1702" w:type="dxa"/>
            <w:tcBorders>
              <w:bottom w:val="single" w:color="auto" w:sz="4" w:space="0"/>
            </w:tcBorders>
            <w:vAlign w:val="center"/>
          </w:tcPr>
          <w:p w14:paraId="6A1573D0">
            <w:pPr>
              <w:tabs>
                <w:tab w:val="left" w:pos="180"/>
                <w:tab w:val="left" w:pos="1620"/>
              </w:tabs>
              <w:spacing w:line="300" w:lineRule="exact"/>
              <w:jc w:val="center"/>
              <w:rPr>
                <w:rFonts w:ascii="宋体" w:hAnsi="宋体"/>
                <w:color w:val="auto"/>
                <w:szCs w:val="21"/>
              </w:rPr>
            </w:pPr>
            <w:r>
              <w:rPr>
                <w:rFonts w:hint="eastAsia" w:ascii="宋体" w:hAnsi="宋体"/>
                <w:color w:val="auto"/>
                <w:szCs w:val="21"/>
              </w:rPr>
              <w:t>数量、单位</w:t>
            </w:r>
            <w:r>
              <w:rPr>
                <w:rFonts w:hint="eastAsia" w:hAnsi="宋体"/>
                <w:color w:val="auto"/>
              </w:rPr>
              <w:t>①</w:t>
            </w:r>
          </w:p>
        </w:tc>
        <w:tc>
          <w:tcPr>
            <w:tcW w:w="852" w:type="dxa"/>
            <w:tcBorders>
              <w:bottom w:val="single" w:color="auto" w:sz="4" w:space="0"/>
            </w:tcBorders>
            <w:vAlign w:val="center"/>
          </w:tcPr>
          <w:p w14:paraId="53EA428E">
            <w:pPr>
              <w:tabs>
                <w:tab w:val="left" w:pos="180"/>
                <w:tab w:val="left" w:pos="1620"/>
              </w:tabs>
              <w:spacing w:line="300" w:lineRule="exact"/>
              <w:jc w:val="center"/>
              <w:rPr>
                <w:rFonts w:ascii="宋体" w:hAnsi="宋体"/>
                <w:color w:val="auto"/>
                <w:szCs w:val="21"/>
              </w:rPr>
            </w:pPr>
            <w:r>
              <w:rPr>
                <w:rFonts w:hint="eastAsia" w:ascii="宋体" w:hAnsi="宋体"/>
                <w:color w:val="auto"/>
                <w:szCs w:val="21"/>
              </w:rPr>
              <w:t>单价</w:t>
            </w:r>
            <w:r>
              <w:rPr>
                <w:rFonts w:hint="eastAsia" w:hAnsi="宋体"/>
                <w:color w:val="auto"/>
              </w:rPr>
              <w:t>②</w:t>
            </w:r>
          </w:p>
        </w:tc>
        <w:tc>
          <w:tcPr>
            <w:tcW w:w="1348" w:type="dxa"/>
            <w:tcBorders>
              <w:bottom w:val="single" w:color="auto" w:sz="4" w:space="0"/>
            </w:tcBorders>
            <w:vAlign w:val="center"/>
          </w:tcPr>
          <w:p w14:paraId="06157CC0">
            <w:pPr>
              <w:spacing w:line="300" w:lineRule="exact"/>
              <w:jc w:val="center"/>
              <w:rPr>
                <w:rFonts w:ascii="宋体" w:hAnsi="宋体" w:cs="Courier New"/>
                <w:color w:val="auto"/>
                <w:szCs w:val="21"/>
              </w:rPr>
            </w:pPr>
            <w:r>
              <w:rPr>
                <w:rFonts w:hint="eastAsia" w:ascii="宋体" w:hAnsi="宋体" w:cs="Courier New"/>
                <w:color w:val="auto"/>
                <w:szCs w:val="21"/>
              </w:rPr>
              <w:t>单项合价</w:t>
            </w:r>
          </w:p>
          <w:p w14:paraId="02A65304">
            <w:pPr>
              <w:spacing w:line="300" w:lineRule="exact"/>
              <w:jc w:val="center"/>
              <w:rPr>
                <w:rFonts w:ascii="宋体" w:hAnsi="宋体" w:cs="Courier New"/>
                <w:color w:val="auto"/>
                <w:szCs w:val="21"/>
              </w:rPr>
            </w:pPr>
            <w:r>
              <w:rPr>
                <w:rFonts w:hint="eastAsia" w:ascii="宋体" w:hAnsi="宋体" w:cs="Courier New"/>
                <w:color w:val="auto"/>
                <w:szCs w:val="21"/>
              </w:rPr>
              <w:t>③</w:t>
            </w:r>
            <w:r>
              <w:rPr>
                <w:rFonts w:ascii="宋体" w:hAnsi="宋体" w:cs="Courier New"/>
                <w:color w:val="auto"/>
                <w:szCs w:val="21"/>
              </w:rPr>
              <w:t>=</w:t>
            </w:r>
            <w:r>
              <w:rPr>
                <w:rFonts w:hint="eastAsia" w:ascii="宋体" w:hAnsi="宋体" w:cs="Courier New"/>
                <w:color w:val="auto"/>
                <w:szCs w:val="21"/>
              </w:rPr>
              <w:t>①×②</w:t>
            </w:r>
          </w:p>
        </w:tc>
      </w:tr>
      <w:tr w14:paraId="6C2F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44F17871">
            <w:pPr>
              <w:spacing w:line="440" w:lineRule="exact"/>
              <w:ind w:right="-34" w:rightChars="-16"/>
              <w:jc w:val="center"/>
              <w:rPr>
                <w:rFonts w:ascii="宋体" w:hAnsi="宋体"/>
                <w:color w:val="auto"/>
                <w:sz w:val="24"/>
              </w:rPr>
            </w:pPr>
            <w:r>
              <w:rPr>
                <w:rFonts w:hint="eastAsia" w:ascii="宋体" w:hAnsi="宋体"/>
                <w:color w:val="auto"/>
                <w:sz w:val="24"/>
              </w:rPr>
              <w:t>1</w:t>
            </w:r>
          </w:p>
        </w:tc>
        <w:tc>
          <w:tcPr>
            <w:tcW w:w="1145" w:type="dxa"/>
            <w:vAlign w:val="center"/>
          </w:tcPr>
          <w:p w14:paraId="60CFF34B">
            <w:pPr>
              <w:spacing w:line="440" w:lineRule="exact"/>
              <w:ind w:firstLine="33" w:firstLineChars="16"/>
              <w:jc w:val="center"/>
              <w:rPr>
                <w:rFonts w:ascii="宋体" w:hAnsi="宋体"/>
                <w:color w:val="auto"/>
              </w:rPr>
            </w:pPr>
          </w:p>
        </w:tc>
        <w:tc>
          <w:tcPr>
            <w:tcW w:w="699" w:type="dxa"/>
            <w:vAlign w:val="center"/>
          </w:tcPr>
          <w:p w14:paraId="624E793F">
            <w:pPr>
              <w:spacing w:line="440" w:lineRule="exact"/>
              <w:ind w:firstLine="35" w:firstLineChars="17"/>
              <w:jc w:val="center"/>
              <w:rPr>
                <w:rFonts w:ascii="宋体" w:hAnsi="宋体"/>
                <w:color w:val="auto"/>
              </w:rPr>
            </w:pPr>
          </w:p>
        </w:tc>
        <w:tc>
          <w:tcPr>
            <w:tcW w:w="710" w:type="dxa"/>
            <w:vAlign w:val="center"/>
          </w:tcPr>
          <w:p w14:paraId="25BF136B">
            <w:pPr>
              <w:spacing w:line="440" w:lineRule="exact"/>
              <w:jc w:val="center"/>
              <w:rPr>
                <w:rFonts w:ascii="宋体" w:hAnsi="宋体"/>
                <w:color w:val="auto"/>
              </w:rPr>
            </w:pPr>
          </w:p>
        </w:tc>
        <w:tc>
          <w:tcPr>
            <w:tcW w:w="709" w:type="dxa"/>
            <w:vAlign w:val="center"/>
          </w:tcPr>
          <w:p w14:paraId="50518E14">
            <w:pPr>
              <w:spacing w:line="440" w:lineRule="exact"/>
              <w:ind w:firstLine="23" w:firstLineChars="11"/>
              <w:jc w:val="center"/>
              <w:rPr>
                <w:rFonts w:ascii="宋体" w:hAnsi="宋体"/>
                <w:color w:val="auto"/>
              </w:rPr>
            </w:pPr>
          </w:p>
        </w:tc>
        <w:tc>
          <w:tcPr>
            <w:tcW w:w="1702" w:type="dxa"/>
            <w:vAlign w:val="center"/>
          </w:tcPr>
          <w:p w14:paraId="2633D80F">
            <w:pPr>
              <w:spacing w:line="440" w:lineRule="exact"/>
              <w:ind w:firstLine="23" w:firstLineChars="11"/>
              <w:jc w:val="center"/>
              <w:rPr>
                <w:rFonts w:ascii="宋体" w:hAnsi="宋体"/>
                <w:color w:val="auto"/>
              </w:rPr>
            </w:pPr>
          </w:p>
        </w:tc>
        <w:tc>
          <w:tcPr>
            <w:tcW w:w="1702" w:type="dxa"/>
            <w:vAlign w:val="center"/>
          </w:tcPr>
          <w:p w14:paraId="12F5B29D">
            <w:pPr>
              <w:spacing w:line="440" w:lineRule="exact"/>
              <w:jc w:val="center"/>
              <w:rPr>
                <w:rFonts w:ascii="宋体" w:hAnsi="宋体"/>
                <w:color w:val="auto"/>
              </w:rPr>
            </w:pPr>
          </w:p>
        </w:tc>
        <w:tc>
          <w:tcPr>
            <w:tcW w:w="852" w:type="dxa"/>
            <w:vAlign w:val="center"/>
          </w:tcPr>
          <w:p w14:paraId="6A3A6EF0">
            <w:pPr>
              <w:spacing w:line="440" w:lineRule="exact"/>
              <w:jc w:val="center"/>
              <w:rPr>
                <w:rFonts w:ascii="宋体" w:hAnsi="宋体"/>
                <w:color w:val="auto"/>
              </w:rPr>
            </w:pPr>
          </w:p>
        </w:tc>
        <w:tc>
          <w:tcPr>
            <w:tcW w:w="1348" w:type="dxa"/>
            <w:vAlign w:val="center"/>
          </w:tcPr>
          <w:p w14:paraId="5624FC44">
            <w:pPr>
              <w:spacing w:line="440" w:lineRule="exact"/>
              <w:jc w:val="center"/>
              <w:rPr>
                <w:rFonts w:ascii="宋体" w:hAnsi="宋体"/>
                <w:color w:val="auto"/>
              </w:rPr>
            </w:pPr>
          </w:p>
        </w:tc>
      </w:tr>
      <w:tr w14:paraId="5A5F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28C19BF3">
            <w:pPr>
              <w:spacing w:line="440" w:lineRule="exact"/>
              <w:jc w:val="center"/>
              <w:rPr>
                <w:rFonts w:ascii="宋体" w:hAnsi="宋体"/>
                <w:color w:val="auto"/>
                <w:sz w:val="24"/>
              </w:rPr>
            </w:pPr>
            <w:r>
              <w:rPr>
                <w:rFonts w:hint="eastAsia" w:ascii="宋体" w:hAnsi="宋体"/>
                <w:color w:val="auto"/>
                <w:sz w:val="24"/>
              </w:rPr>
              <w:t>2</w:t>
            </w:r>
          </w:p>
        </w:tc>
        <w:tc>
          <w:tcPr>
            <w:tcW w:w="1145" w:type="dxa"/>
            <w:vAlign w:val="center"/>
          </w:tcPr>
          <w:p w14:paraId="22C13A08">
            <w:pPr>
              <w:spacing w:line="440" w:lineRule="exact"/>
              <w:ind w:firstLine="33" w:firstLineChars="16"/>
              <w:jc w:val="center"/>
              <w:rPr>
                <w:rFonts w:ascii="宋体" w:hAnsi="宋体"/>
                <w:color w:val="auto"/>
              </w:rPr>
            </w:pPr>
          </w:p>
        </w:tc>
        <w:tc>
          <w:tcPr>
            <w:tcW w:w="699" w:type="dxa"/>
            <w:vAlign w:val="center"/>
          </w:tcPr>
          <w:p w14:paraId="2672AE15">
            <w:pPr>
              <w:spacing w:line="440" w:lineRule="exact"/>
              <w:ind w:firstLine="35" w:firstLineChars="17"/>
              <w:jc w:val="center"/>
              <w:rPr>
                <w:rFonts w:ascii="宋体" w:hAnsi="宋体"/>
                <w:color w:val="auto"/>
              </w:rPr>
            </w:pPr>
          </w:p>
        </w:tc>
        <w:tc>
          <w:tcPr>
            <w:tcW w:w="710" w:type="dxa"/>
            <w:vAlign w:val="center"/>
          </w:tcPr>
          <w:p w14:paraId="04C314AA">
            <w:pPr>
              <w:spacing w:line="440" w:lineRule="exact"/>
              <w:jc w:val="center"/>
              <w:rPr>
                <w:rFonts w:ascii="宋体" w:hAnsi="宋体"/>
                <w:color w:val="auto"/>
              </w:rPr>
            </w:pPr>
          </w:p>
        </w:tc>
        <w:tc>
          <w:tcPr>
            <w:tcW w:w="709" w:type="dxa"/>
            <w:vAlign w:val="center"/>
          </w:tcPr>
          <w:p w14:paraId="022ED312">
            <w:pPr>
              <w:spacing w:line="440" w:lineRule="exact"/>
              <w:ind w:firstLine="23" w:firstLineChars="11"/>
              <w:jc w:val="center"/>
              <w:rPr>
                <w:rFonts w:ascii="宋体" w:hAnsi="宋体"/>
                <w:color w:val="auto"/>
              </w:rPr>
            </w:pPr>
          </w:p>
        </w:tc>
        <w:tc>
          <w:tcPr>
            <w:tcW w:w="1702" w:type="dxa"/>
            <w:vAlign w:val="center"/>
          </w:tcPr>
          <w:p w14:paraId="6E06BB9E">
            <w:pPr>
              <w:spacing w:line="440" w:lineRule="exact"/>
              <w:ind w:firstLine="23" w:firstLineChars="11"/>
              <w:jc w:val="center"/>
              <w:rPr>
                <w:rFonts w:ascii="宋体" w:hAnsi="宋体"/>
                <w:color w:val="auto"/>
              </w:rPr>
            </w:pPr>
          </w:p>
        </w:tc>
        <w:tc>
          <w:tcPr>
            <w:tcW w:w="1702" w:type="dxa"/>
            <w:vAlign w:val="center"/>
          </w:tcPr>
          <w:p w14:paraId="3FEAD4F7">
            <w:pPr>
              <w:spacing w:line="440" w:lineRule="exact"/>
              <w:jc w:val="center"/>
              <w:rPr>
                <w:rFonts w:ascii="宋体" w:hAnsi="宋体"/>
                <w:color w:val="auto"/>
              </w:rPr>
            </w:pPr>
          </w:p>
        </w:tc>
        <w:tc>
          <w:tcPr>
            <w:tcW w:w="852" w:type="dxa"/>
            <w:vAlign w:val="center"/>
          </w:tcPr>
          <w:p w14:paraId="17CE9453">
            <w:pPr>
              <w:spacing w:line="440" w:lineRule="exact"/>
              <w:jc w:val="center"/>
              <w:rPr>
                <w:rFonts w:ascii="宋体" w:hAnsi="宋体"/>
                <w:color w:val="auto"/>
              </w:rPr>
            </w:pPr>
          </w:p>
        </w:tc>
        <w:tc>
          <w:tcPr>
            <w:tcW w:w="1348" w:type="dxa"/>
            <w:vAlign w:val="center"/>
          </w:tcPr>
          <w:p w14:paraId="738E599C">
            <w:pPr>
              <w:spacing w:line="440" w:lineRule="exact"/>
              <w:jc w:val="center"/>
              <w:rPr>
                <w:rFonts w:ascii="宋体" w:hAnsi="宋体"/>
                <w:color w:val="auto"/>
              </w:rPr>
            </w:pPr>
          </w:p>
        </w:tc>
      </w:tr>
      <w:tr w14:paraId="4DF9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086306D3">
            <w:pPr>
              <w:spacing w:line="440" w:lineRule="exact"/>
              <w:jc w:val="center"/>
              <w:rPr>
                <w:rFonts w:ascii="宋体" w:hAnsi="宋体"/>
                <w:color w:val="auto"/>
                <w:sz w:val="24"/>
              </w:rPr>
            </w:pPr>
            <w:r>
              <w:rPr>
                <w:rFonts w:hint="eastAsia" w:ascii="宋体" w:hAnsi="宋体"/>
                <w:color w:val="auto"/>
                <w:sz w:val="24"/>
              </w:rPr>
              <w:t>3</w:t>
            </w:r>
          </w:p>
        </w:tc>
        <w:tc>
          <w:tcPr>
            <w:tcW w:w="1145" w:type="dxa"/>
            <w:vAlign w:val="center"/>
          </w:tcPr>
          <w:p w14:paraId="1A235BA4">
            <w:pPr>
              <w:spacing w:line="440" w:lineRule="exact"/>
              <w:ind w:firstLine="33" w:firstLineChars="16"/>
              <w:jc w:val="center"/>
              <w:rPr>
                <w:rFonts w:ascii="宋体" w:hAnsi="宋体"/>
                <w:color w:val="auto"/>
              </w:rPr>
            </w:pPr>
          </w:p>
        </w:tc>
        <w:tc>
          <w:tcPr>
            <w:tcW w:w="699" w:type="dxa"/>
            <w:vAlign w:val="center"/>
          </w:tcPr>
          <w:p w14:paraId="0A5D73A9">
            <w:pPr>
              <w:spacing w:line="440" w:lineRule="exact"/>
              <w:ind w:firstLine="35" w:firstLineChars="17"/>
              <w:jc w:val="center"/>
              <w:rPr>
                <w:rFonts w:ascii="宋体" w:hAnsi="宋体"/>
                <w:color w:val="auto"/>
              </w:rPr>
            </w:pPr>
          </w:p>
        </w:tc>
        <w:tc>
          <w:tcPr>
            <w:tcW w:w="710" w:type="dxa"/>
            <w:vAlign w:val="center"/>
          </w:tcPr>
          <w:p w14:paraId="3487CD21">
            <w:pPr>
              <w:spacing w:line="440" w:lineRule="exact"/>
              <w:jc w:val="center"/>
              <w:rPr>
                <w:rFonts w:ascii="宋体" w:hAnsi="宋体"/>
                <w:color w:val="auto"/>
              </w:rPr>
            </w:pPr>
          </w:p>
        </w:tc>
        <w:tc>
          <w:tcPr>
            <w:tcW w:w="709" w:type="dxa"/>
            <w:vAlign w:val="center"/>
          </w:tcPr>
          <w:p w14:paraId="0EEDF44F">
            <w:pPr>
              <w:spacing w:line="440" w:lineRule="exact"/>
              <w:ind w:firstLine="23" w:firstLineChars="11"/>
              <w:jc w:val="center"/>
              <w:rPr>
                <w:rFonts w:ascii="宋体" w:hAnsi="宋体"/>
                <w:color w:val="auto"/>
              </w:rPr>
            </w:pPr>
          </w:p>
        </w:tc>
        <w:tc>
          <w:tcPr>
            <w:tcW w:w="1702" w:type="dxa"/>
            <w:vAlign w:val="center"/>
          </w:tcPr>
          <w:p w14:paraId="042E30FD">
            <w:pPr>
              <w:spacing w:line="440" w:lineRule="exact"/>
              <w:ind w:firstLine="23" w:firstLineChars="11"/>
              <w:jc w:val="center"/>
              <w:rPr>
                <w:rFonts w:ascii="宋体" w:hAnsi="宋体"/>
                <w:color w:val="auto"/>
              </w:rPr>
            </w:pPr>
          </w:p>
        </w:tc>
        <w:tc>
          <w:tcPr>
            <w:tcW w:w="1702" w:type="dxa"/>
            <w:vAlign w:val="center"/>
          </w:tcPr>
          <w:p w14:paraId="343570B4">
            <w:pPr>
              <w:spacing w:line="440" w:lineRule="exact"/>
              <w:jc w:val="center"/>
              <w:rPr>
                <w:rFonts w:ascii="宋体" w:hAnsi="宋体"/>
                <w:color w:val="auto"/>
              </w:rPr>
            </w:pPr>
          </w:p>
        </w:tc>
        <w:tc>
          <w:tcPr>
            <w:tcW w:w="852" w:type="dxa"/>
            <w:vAlign w:val="center"/>
          </w:tcPr>
          <w:p w14:paraId="0949D469">
            <w:pPr>
              <w:spacing w:line="440" w:lineRule="exact"/>
              <w:jc w:val="center"/>
              <w:rPr>
                <w:rFonts w:ascii="宋体" w:hAnsi="宋体"/>
                <w:color w:val="auto"/>
              </w:rPr>
            </w:pPr>
          </w:p>
        </w:tc>
        <w:tc>
          <w:tcPr>
            <w:tcW w:w="1348" w:type="dxa"/>
            <w:vAlign w:val="center"/>
          </w:tcPr>
          <w:p w14:paraId="6CE3D390">
            <w:pPr>
              <w:spacing w:line="440" w:lineRule="exact"/>
              <w:jc w:val="center"/>
              <w:rPr>
                <w:rFonts w:ascii="宋体" w:hAnsi="宋体"/>
                <w:color w:val="auto"/>
              </w:rPr>
            </w:pPr>
          </w:p>
        </w:tc>
      </w:tr>
      <w:tr w14:paraId="7896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04" w:type="dxa"/>
            <w:vAlign w:val="center"/>
          </w:tcPr>
          <w:p w14:paraId="5F91C46A">
            <w:pPr>
              <w:spacing w:line="440" w:lineRule="exact"/>
              <w:jc w:val="center"/>
              <w:rPr>
                <w:rFonts w:ascii="宋体" w:hAnsi="宋体"/>
                <w:color w:val="auto"/>
                <w:sz w:val="24"/>
              </w:rPr>
            </w:pPr>
            <w:r>
              <w:rPr>
                <w:rFonts w:ascii="宋体" w:hAnsi="宋体"/>
                <w:color w:val="auto"/>
                <w:sz w:val="24"/>
              </w:rPr>
              <w:t>…</w:t>
            </w:r>
          </w:p>
        </w:tc>
        <w:tc>
          <w:tcPr>
            <w:tcW w:w="1145" w:type="dxa"/>
            <w:vAlign w:val="center"/>
          </w:tcPr>
          <w:p w14:paraId="35116BD5">
            <w:pPr>
              <w:spacing w:line="440" w:lineRule="exact"/>
              <w:ind w:firstLine="33" w:firstLineChars="16"/>
              <w:jc w:val="center"/>
              <w:rPr>
                <w:rFonts w:ascii="宋体" w:hAnsi="宋体"/>
                <w:color w:val="auto"/>
              </w:rPr>
            </w:pPr>
          </w:p>
        </w:tc>
        <w:tc>
          <w:tcPr>
            <w:tcW w:w="699" w:type="dxa"/>
            <w:vAlign w:val="center"/>
          </w:tcPr>
          <w:p w14:paraId="2B913F06">
            <w:pPr>
              <w:spacing w:line="440" w:lineRule="exact"/>
              <w:ind w:firstLine="35" w:firstLineChars="17"/>
              <w:jc w:val="center"/>
              <w:rPr>
                <w:rFonts w:ascii="宋体" w:hAnsi="宋体"/>
                <w:color w:val="auto"/>
              </w:rPr>
            </w:pPr>
          </w:p>
        </w:tc>
        <w:tc>
          <w:tcPr>
            <w:tcW w:w="710" w:type="dxa"/>
            <w:vAlign w:val="center"/>
          </w:tcPr>
          <w:p w14:paraId="2553FDCC">
            <w:pPr>
              <w:spacing w:line="440" w:lineRule="exact"/>
              <w:jc w:val="center"/>
              <w:rPr>
                <w:rFonts w:ascii="宋体" w:hAnsi="宋体"/>
                <w:color w:val="auto"/>
              </w:rPr>
            </w:pPr>
          </w:p>
        </w:tc>
        <w:tc>
          <w:tcPr>
            <w:tcW w:w="709" w:type="dxa"/>
            <w:vAlign w:val="center"/>
          </w:tcPr>
          <w:p w14:paraId="318D53CB">
            <w:pPr>
              <w:spacing w:line="440" w:lineRule="exact"/>
              <w:ind w:firstLine="23" w:firstLineChars="11"/>
              <w:jc w:val="center"/>
              <w:rPr>
                <w:rFonts w:ascii="宋体" w:hAnsi="宋体"/>
                <w:color w:val="auto"/>
              </w:rPr>
            </w:pPr>
          </w:p>
        </w:tc>
        <w:tc>
          <w:tcPr>
            <w:tcW w:w="1702" w:type="dxa"/>
            <w:vAlign w:val="center"/>
          </w:tcPr>
          <w:p w14:paraId="2131C6A1">
            <w:pPr>
              <w:spacing w:line="440" w:lineRule="exact"/>
              <w:ind w:firstLine="23" w:firstLineChars="11"/>
              <w:jc w:val="center"/>
              <w:rPr>
                <w:rFonts w:ascii="宋体" w:hAnsi="宋体"/>
                <w:color w:val="auto"/>
              </w:rPr>
            </w:pPr>
          </w:p>
        </w:tc>
        <w:tc>
          <w:tcPr>
            <w:tcW w:w="1702" w:type="dxa"/>
            <w:vAlign w:val="center"/>
          </w:tcPr>
          <w:p w14:paraId="6D38B8D0">
            <w:pPr>
              <w:spacing w:line="440" w:lineRule="exact"/>
              <w:jc w:val="center"/>
              <w:rPr>
                <w:rFonts w:ascii="宋体" w:hAnsi="宋体"/>
                <w:color w:val="auto"/>
              </w:rPr>
            </w:pPr>
          </w:p>
        </w:tc>
        <w:tc>
          <w:tcPr>
            <w:tcW w:w="852" w:type="dxa"/>
            <w:vAlign w:val="center"/>
          </w:tcPr>
          <w:p w14:paraId="32298CA6">
            <w:pPr>
              <w:spacing w:line="440" w:lineRule="exact"/>
              <w:jc w:val="center"/>
              <w:rPr>
                <w:rFonts w:ascii="宋体" w:hAnsi="宋体"/>
                <w:color w:val="auto"/>
              </w:rPr>
            </w:pPr>
          </w:p>
        </w:tc>
        <w:tc>
          <w:tcPr>
            <w:tcW w:w="1348" w:type="dxa"/>
            <w:vAlign w:val="center"/>
          </w:tcPr>
          <w:p w14:paraId="43F0B1CF">
            <w:pPr>
              <w:spacing w:line="440" w:lineRule="exact"/>
              <w:jc w:val="center"/>
              <w:rPr>
                <w:rFonts w:ascii="宋体" w:hAnsi="宋体"/>
                <w:color w:val="auto"/>
              </w:rPr>
            </w:pPr>
          </w:p>
        </w:tc>
      </w:tr>
      <w:tr w14:paraId="6DBA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71" w:type="dxa"/>
            <w:gridSpan w:val="9"/>
            <w:vAlign w:val="center"/>
          </w:tcPr>
          <w:p w14:paraId="603832D1">
            <w:pPr>
              <w:spacing w:line="440" w:lineRule="exact"/>
              <w:ind w:firstLine="27" w:firstLineChars="14"/>
              <w:rPr>
                <w:rFonts w:ascii="宋体" w:hAnsi="宋体" w:cs="Courier New"/>
                <w:color w:val="auto"/>
                <w:spacing w:val="-6"/>
                <w:szCs w:val="21"/>
              </w:rPr>
            </w:pPr>
            <w:r>
              <w:rPr>
                <w:rFonts w:hint="eastAsia" w:ascii="宋体" w:hAnsi="宋体" w:cs="Courier New"/>
                <w:color w:val="auto"/>
                <w:spacing w:val="-6"/>
                <w:szCs w:val="21"/>
              </w:rPr>
              <w:t>总报价（人民币大写）：</w:t>
            </w:r>
            <w:r>
              <w:rPr>
                <w:rFonts w:hint="eastAsia" w:ascii="宋体" w:hAnsi="宋体" w:cs="Courier New"/>
                <w:color w:val="auto"/>
                <w:spacing w:val="-6"/>
                <w:szCs w:val="21"/>
                <w:u w:val="single"/>
              </w:rPr>
              <w:t xml:space="preserve">                                       </w:t>
            </w:r>
            <w:r>
              <w:rPr>
                <w:rFonts w:hint="eastAsia" w:ascii="宋体" w:hAnsi="宋体" w:cs="Courier New"/>
                <w:color w:val="auto"/>
                <w:spacing w:val="-6"/>
                <w:szCs w:val="21"/>
              </w:rPr>
              <w:t>（￥</w:t>
            </w:r>
            <w:r>
              <w:rPr>
                <w:rFonts w:hint="eastAsia" w:ascii="宋体" w:hAnsi="宋体" w:cs="Courier New"/>
                <w:color w:val="auto"/>
                <w:spacing w:val="-6"/>
                <w:szCs w:val="21"/>
                <w:u w:val="single"/>
              </w:rPr>
              <w:t xml:space="preserve">                       元</w:t>
            </w:r>
            <w:r>
              <w:rPr>
                <w:rFonts w:hint="eastAsia" w:ascii="宋体" w:hAnsi="宋体" w:cs="Courier New"/>
                <w:color w:val="auto"/>
                <w:spacing w:val="-6"/>
                <w:szCs w:val="21"/>
              </w:rPr>
              <w:t>）</w:t>
            </w:r>
          </w:p>
        </w:tc>
      </w:tr>
      <w:bookmarkEnd w:id="132"/>
    </w:tbl>
    <w:p w14:paraId="55B2E9D2">
      <w:pPr>
        <w:spacing w:line="440" w:lineRule="exact"/>
        <w:rPr>
          <w:rFonts w:ascii="宋体" w:hAnsi="宋体"/>
          <w:color w:val="auto"/>
          <w:szCs w:val="21"/>
        </w:rPr>
      </w:pPr>
      <w:r>
        <w:rPr>
          <w:rFonts w:hint="eastAsia" w:ascii="宋体" w:hAnsi="宋体"/>
          <w:color w:val="auto"/>
          <w:szCs w:val="21"/>
        </w:rPr>
        <w:t>注：1.所有价格均用人民币表示，单位为元，精确到个数位。</w:t>
      </w:r>
    </w:p>
    <w:p w14:paraId="5CFB18E1">
      <w:pPr>
        <w:spacing w:line="440" w:lineRule="exact"/>
        <w:rPr>
          <w:rFonts w:ascii="宋体" w:hAnsi="宋体"/>
          <w:color w:val="auto"/>
          <w:szCs w:val="21"/>
        </w:rPr>
      </w:pPr>
      <w:r>
        <w:rPr>
          <w:rFonts w:hint="eastAsia" w:ascii="宋体" w:hAnsi="宋体"/>
          <w:color w:val="auto"/>
          <w:szCs w:val="21"/>
        </w:rPr>
        <w:t xml:space="preserve">    </w:t>
      </w:r>
      <w:r>
        <w:rPr>
          <w:rFonts w:hint="eastAsia" w:ascii="宋体" w:hAnsi="宋体"/>
          <w:bCs/>
          <w:color w:val="auto"/>
          <w:szCs w:val="21"/>
        </w:rPr>
        <w:t>2.总报价应包含货物、货物标准附件、备品备件、专用工具、设备安装辅材、包装、运输、保险等各种费用以及安装、调试、税金、售后服务、技术培训费、更新升级其所有成本费用。</w:t>
      </w:r>
    </w:p>
    <w:p w14:paraId="4F50F8C2">
      <w:pPr>
        <w:rPr>
          <w:color w:val="auto"/>
        </w:rPr>
      </w:pPr>
    </w:p>
    <w:p w14:paraId="2AAD7962">
      <w:pPr>
        <w:rPr>
          <w:color w:val="auto"/>
        </w:rPr>
      </w:pPr>
    </w:p>
    <w:p w14:paraId="3E493C02">
      <w:pPr>
        <w:pStyle w:val="23"/>
        <w:spacing w:line="440" w:lineRule="exact"/>
        <w:ind w:firstLine="3675" w:firstLineChars="1750"/>
        <w:rPr>
          <w:rFonts w:hAnsi="宋体"/>
          <w:color w:val="auto"/>
          <w:u w:val="single"/>
        </w:rPr>
      </w:pPr>
    </w:p>
    <w:p w14:paraId="42579AFF">
      <w:pPr>
        <w:pStyle w:val="23"/>
        <w:spacing w:line="440" w:lineRule="exact"/>
        <w:ind w:firstLine="3675" w:firstLineChars="1750"/>
        <w:rPr>
          <w:rFonts w:hAnsi="宋体"/>
          <w:color w:val="auto"/>
          <w:u w:val="single"/>
        </w:rPr>
      </w:pPr>
      <w:r>
        <w:rPr>
          <w:rFonts w:hint="eastAsia" w:hAnsi="宋体"/>
          <w:color w:val="auto"/>
        </w:rPr>
        <w:t>供应商（盖章）：</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p>
    <w:p w14:paraId="4FB55EA3">
      <w:pPr>
        <w:spacing w:line="440" w:lineRule="exact"/>
        <w:ind w:firstLine="3675" w:firstLineChars="1750"/>
        <w:rPr>
          <w:rFonts w:hAnsi="宋体"/>
          <w:color w:val="auto"/>
        </w:rPr>
      </w:pPr>
      <w:r>
        <w:rPr>
          <w:rFonts w:hint="eastAsia" w:hAnsi="宋体"/>
          <w:color w:val="auto"/>
        </w:rPr>
        <w:t>日期：</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年</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月</w:t>
      </w:r>
      <w:r>
        <w:rPr>
          <w:rFonts w:hint="eastAsia" w:hAnsi="宋体"/>
          <w:color w:val="auto"/>
          <w:u w:val="single"/>
        </w:rPr>
        <w:t xml:space="preserve">   </w:t>
      </w:r>
      <w:r>
        <w:rPr>
          <w:rFonts w:hAnsi="宋体"/>
          <w:color w:val="auto"/>
          <w:u w:val="single"/>
        </w:rPr>
        <w:t xml:space="preserve"> </w:t>
      </w:r>
      <w:r>
        <w:rPr>
          <w:rFonts w:hint="eastAsia" w:hAnsi="宋体"/>
          <w:color w:val="auto"/>
          <w:u w:val="single"/>
        </w:rPr>
        <w:t xml:space="preserve">  </w:t>
      </w:r>
      <w:r>
        <w:rPr>
          <w:rFonts w:hint="eastAsia" w:hAnsi="宋体"/>
          <w:color w:val="auto"/>
        </w:rPr>
        <w:t>日</w:t>
      </w:r>
    </w:p>
    <w:sectPr>
      <w:headerReference r:id="rId8" w:type="default"/>
      <w:footerReference r:id="rId9" w:type="default"/>
      <w:pgSz w:w="11906" w:h="16838"/>
      <w:pgMar w:top="936" w:right="991" w:bottom="1135" w:left="9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Adobe 仿宋 Std R">
    <w:altName w:val="仿宋"/>
    <w:panose1 w:val="000000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E1045">
    <w:pPr>
      <w:pStyle w:val="27"/>
      <w:jc w:val="center"/>
    </w:pPr>
    <w:r>
      <w:rPr>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22AAEF">
                          <w:pPr>
                            <w:pStyle w:val="2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722AAEF">
                    <w:pPr>
                      <w:pStyle w:val="27"/>
                    </w:pPr>
                    <w:r>
                      <w:fldChar w:fldCharType="begin"/>
                    </w:r>
                    <w:r>
                      <w:instrText xml:space="preserve"> PAGE  \* MERGEFORMAT </w:instrText>
                    </w:r>
                    <w:r>
                      <w:fldChar w:fldCharType="separate"/>
                    </w:r>
                    <w:r>
                      <w:t>2</w:t>
                    </w:r>
                    <w:r>
                      <w:fldChar w:fldCharType="end"/>
                    </w:r>
                  </w:p>
                </w:txbxContent>
              </v:textbox>
            </v:shape>
          </w:pict>
        </mc:Fallback>
      </mc:AlternateContent>
    </w:r>
  </w:p>
  <w:p w14:paraId="06E19D71">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81FF8">
    <w:pPr>
      <w:pStyle w:val="27"/>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379C1B2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l5uc8AAAAFAQAADwAAAAAAAAABACAAAAAiAAAAZHJzL2Rvd25y&#10;ZXYueG1sUEsBAhQAFAAAAAgAh07iQKidR78HAgAAEgQAAA4AAAAAAAAAAQAgAAAAHgEAAGRycy9l&#10;Mm9Eb2MueG1sUEsFBgAAAAAGAAYAWQEAAJcFAAAAAA==&#10;">
              <v:fill on="f" focussize="0,0"/>
              <v:stroke on="f"/>
              <v:imagedata o:title=""/>
              <o:lock v:ext="edit" aspectratio="f"/>
              <v:textbox inset="0mm,0mm,0mm,0mm" style="mso-fit-shape-to-text:t;">
                <w:txbxContent>
                  <w:p w14:paraId="379C1B2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33</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8B737">
    <w:pPr>
      <w:pStyle w:val="27"/>
      <w:ind w:firstLine="360"/>
    </w:pPr>
    <w:r>
      <w:rPr>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8C6E72E">
                          <w:pPr>
                            <w:pStyle w:val="27"/>
                            <w:ind w:firstLine="360"/>
                          </w:pPr>
                          <w:r>
                            <w:fldChar w:fldCharType="begin"/>
                          </w:r>
                          <w:r>
                            <w:instrText xml:space="preserve"> PAGE  \* MERGEFORMAT </w:instrText>
                          </w:r>
                          <w:r>
                            <w:fldChar w:fldCharType="separate"/>
                          </w:r>
                          <w:r>
                            <w:t>33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APva81ywEAAJYDAAAOAAAAAAAAAAEAIAAAAB8BAABkcnMvZTJv&#10;RG9jLnhtbFBLBQYAAAAABgAGAFkBAABcBQAAAAA=&#10;">
              <v:fill on="f" focussize="0,0"/>
              <v:stroke on="f" weight="0.5pt"/>
              <v:imagedata o:title=""/>
              <o:lock v:ext="edit" aspectratio="f"/>
              <v:textbox inset="0mm,0mm,0mm,0mm" style="mso-fit-shape-to-text:t;">
                <w:txbxContent>
                  <w:p w14:paraId="18C6E72E">
                    <w:pPr>
                      <w:pStyle w:val="27"/>
                      <w:ind w:firstLine="36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64567">
    <w:pPr>
      <w:pStyle w:val="27"/>
      <w:jc w:val="center"/>
    </w:pPr>
    <w:r>
      <w:rPr>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
                          </w:sdtPr>
                          <w:sdtContent>
                            <w:p w14:paraId="1470C8F5">
                              <w:pPr>
                                <w:pStyle w:val="27"/>
                                <w:jc w:val="center"/>
                              </w:pPr>
                              <w:r>
                                <w:fldChar w:fldCharType="begin"/>
                              </w:r>
                              <w:r>
                                <w:instrText xml:space="preserve">PAGE   \* MERGEFORMAT</w:instrText>
                              </w:r>
                              <w:r>
                                <w:fldChar w:fldCharType="separate"/>
                              </w:r>
                              <w:r>
                                <w:t>83</w:t>
                              </w:r>
                              <w:r>
                                <w:fldChar w:fldCharType="end"/>
                              </w:r>
                            </w:p>
                          </w:sdtContent>
                        </w:sdt>
                        <w:p w14:paraId="7144D5D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sdt>
                    <w:sdtPr>
                      <w:id w:val="-1"/>
                    </w:sdtPr>
                    <w:sdtContent>
                      <w:p w14:paraId="1470C8F5">
                        <w:pPr>
                          <w:pStyle w:val="27"/>
                          <w:jc w:val="center"/>
                        </w:pPr>
                        <w:r>
                          <w:fldChar w:fldCharType="begin"/>
                        </w:r>
                        <w:r>
                          <w:instrText xml:space="preserve">PAGE   \* MERGEFORMAT</w:instrText>
                        </w:r>
                        <w:r>
                          <w:fldChar w:fldCharType="separate"/>
                        </w:r>
                        <w:r>
                          <w:t>83</w:t>
                        </w:r>
                        <w:r>
                          <w:fldChar w:fldCharType="end"/>
                        </w:r>
                      </w:p>
                    </w:sdtContent>
                  </w:sdt>
                  <w:p w14:paraId="7144D5DF"/>
                </w:txbxContent>
              </v:textbox>
            </v:shape>
          </w:pict>
        </mc:Fallback>
      </mc:AlternateContent>
    </w:r>
  </w:p>
  <w:p w14:paraId="1176C35F">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4796E">
    <w:pPr>
      <w:pStyle w:val="28"/>
      <w:ind w:firstLine="1800" w:firstLineChars="1000"/>
      <w:jc w:val="both"/>
    </w:pPr>
    <w:r>
      <w:rPr>
        <w:rFonts w:hint="eastAsia"/>
      </w:rPr>
      <w:t>北部湾大学公共计算机房建设项目 (GXZC2025-J1-000126-QZSZ)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16921">
    <w:pPr>
      <w:pStyle w:val="28"/>
      <w:ind w:firstLine="360"/>
      <w:jc w:val="both"/>
    </w:pPr>
    <w:r>
      <w:rPr>
        <w:rFonts w:hint="eastAsia"/>
      </w:rPr>
      <w:t>钦州市政府采购中心       北部湾大学公共计算机房建设项目 (GXZC2025-J1-000126-QZSZ)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A4811">
    <w:pPr>
      <w:pStyle w:val="28"/>
      <w:ind w:firstLine="1080" w:firstLineChars="600"/>
      <w:jc w:val="both"/>
    </w:pPr>
    <w:r>
      <w:rPr>
        <w:rFonts w:hint="eastAsia"/>
      </w:rPr>
      <w:t>北部湾大学公共计算机房建设项目 (GXZC2025-J1-000126-QZSZ)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9E72A"/>
    <w:multiLevelType w:val="singleLevel"/>
    <w:tmpl w:val="AFA9E72A"/>
    <w:lvl w:ilvl="0" w:tentative="0">
      <w:start w:val="1"/>
      <w:numFmt w:val="decimal"/>
      <w:lvlText w:val="%1."/>
      <w:lvlJc w:val="left"/>
      <w:pPr>
        <w:tabs>
          <w:tab w:val="left" w:pos="312"/>
        </w:tabs>
      </w:pPr>
    </w:lvl>
  </w:abstractNum>
  <w:abstractNum w:abstractNumId="1">
    <w:nsid w:val="B80B0959"/>
    <w:multiLevelType w:val="singleLevel"/>
    <w:tmpl w:val="B80B0959"/>
    <w:lvl w:ilvl="0" w:tentative="0">
      <w:start w:val="1"/>
      <w:numFmt w:val="decimal"/>
      <w:lvlText w:val="%1."/>
      <w:lvlJc w:val="left"/>
      <w:pPr>
        <w:tabs>
          <w:tab w:val="left" w:pos="312"/>
        </w:tabs>
      </w:pPr>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07"/>
    <w:multiLevelType w:val="multilevel"/>
    <w:tmpl w:val="00000007"/>
    <w:lvl w:ilvl="0" w:tentative="0">
      <w:start w:val="1"/>
      <w:numFmt w:val="chineseCountingThousand"/>
      <w:pStyle w:val="21"/>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pStyle w:val="11"/>
      <w:suff w:val="nothing"/>
      <w:lvlText w:val=""/>
      <w:lvlJc w:val="left"/>
      <w:pPr>
        <w:ind w:left="0" w:firstLine="0"/>
      </w:pPr>
      <w:rPr>
        <w:rFonts w:hint="eastAsia"/>
      </w:rPr>
    </w:lvl>
    <w:lvl w:ilvl="7" w:tentative="0">
      <w:start w:val="1"/>
      <w:numFmt w:val="none"/>
      <w:pStyle w:val="12"/>
      <w:suff w:val="nothing"/>
      <w:lvlText w:val=""/>
      <w:lvlJc w:val="left"/>
      <w:pPr>
        <w:ind w:left="0" w:firstLine="0"/>
      </w:pPr>
      <w:rPr>
        <w:rFonts w:hint="eastAsia"/>
      </w:rPr>
    </w:lvl>
    <w:lvl w:ilvl="8" w:tentative="0">
      <w:start w:val="1"/>
      <w:numFmt w:val="none"/>
      <w:pStyle w:val="13"/>
      <w:suff w:val="nothing"/>
      <w:lvlText w:val=""/>
      <w:lvlJc w:val="left"/>
      <w:pPr>
        <w:ind w:left="0" w:firstLine="0"/>
      </w:pPr>
      <w:rPr>
        <w:rFonts w:hint="eastAsia"/>
      </w:rPr>
    </w:lvl>
  </w:abstractNum>
  <w:abstractNum w:abstractNumId="9">
    <w:nsid w:val="40482C1F"/>
    <w:multiLevelType w:val="singleLevel"/>
    <w:tmpl w:val="40482C1F"/>
    <w:lvl w:ilvl="0" w:tentative="0">
      <w:start w:val="1"/>
      <w:numFmt w:val="decimal"/>
      <w:lvlText w:val="%1."/>
      <w:lvlJc w:val="left"/>
      <w:pPr>
        <w:tabs>
          <w:tab w:val="left" w:pos="312"/>
        </w:tabs>
      </w:pPr>
    </w:lvl>
  </w:abstractNum>
  <w:abstractNum w:abstractNumId="10">
    <w:nsid w:val="78DA12EE"/>
    <w:multiLevelType w:val="multilevel"/>
    <w:tmpl w:val="78DA12EE"/>
    <w:lvl w:ilvl="0" w:tentative="0">
      <w:start w:val="1"/>
      <w:numFmt w:val="lowerLetter"/>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7A0F6431"/>
    <w:multiLevelType w:val="singleLevel"/>
    <w:tmpl w:val="7A0F6431"/>
    <w:lvl w:ilvl="0" w:tentative="0">
      <w:start w:val="1"/>
      <w:numFmt w:val="decimal"/>
      <w:suff w:val="space"/>
      <w:lvlText w:val="%1."/>
      <w:lvlJc w:val="left"/>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9"/>
  </w:num>
  <w:num w:numId="6">
    <w:abstractNumId w:val="11"/>
  </w:num>
  <w:num w:numId="7">
    <w:abstractNumId w:val="3"/>
  </w:num>
  <w:num w:numId="8">
    <w:abstractNumId w:val="7"/>
  </w:num>
  <w:num w:numId="9">
    <w:abstractNumId w:val="5"/>
  </w:num>
  <w:num w:numId="10">
    <w:abstractNumId w:val="4"/>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xYTUyYjNmYmVlYzc5OWJjYWFlNzJjZjNlYTY3ODEifQ=="/>
    <w:docVar w:name="KSO_WPS_MARK_KEY" w:val="4327d736-5e14-4c10-a129-6da11502fcfe"/>
  </w:docVars>
  <w:rsids>
    <w:rsidRoot w:val="00172A27"/>
    <w:rsid w:val="000001F4"/>
    <w:rsid w:val="0000046D"/>
    <w:rsid w:val="000009A4"/>
    <w:rsid w:val="0000182C"/>
    <w:rsid w:val="00001C30"/>
    <w:rsid w:val="00001F66"/>
    <w:rsid w:val="000027DB"/>
    <w:rsid w:val="0000296D"/>
    <w:rsid w:val="00002E66"/>
    <w:rsid w:val="0000330D"/>
    <w:rsid w:val="00003781"/>
    <w:rsid w:val="00003F3C"/>
    <w:rsid w:val="0000486E"/>
    <w:rsid w:val="00004CB0"/>
    <w:rsid w:val="00004CDE"/>
    <w:rsid w:val="00005328"/>
    <w:rsid w:val="000059D3"/>
    <w:rsid w:val="000066F9"/>
    <w:rsid w:val="00007E2F"/>
    <w:rsid w:val="00007E51"/>
    <w:rsid w:val="000104B5"/>
    <w:rsid w:val="00010774"/>
    <w:rsid w:val="00010E05"/>
    <w:rsid w:val="00012061"/>
    <w:rsid w:val="000123EC"/>
    <w:rsid w:val="00013AC8"/>
    <w:rsid w:val="00013C7F"/>
    <w:rsid w:val="00014132"/>
    <w:rsid w:val="00014488"/>
    <w:rsid w:val="00014851"/>
    <w:rsid w:val="00016829"/>
    <w:rsid w:val="00017A2B"/>
    <w:rsid w:val="00020517"/>
    <w:rsid w:val="000207E1"/>
    <w:rsid w:val="00020DBA"/>
    <w:rsid w:val="00021054"/>
    <w:rsid w:val="000216CC"/>
    <w:rsid w:val="00022909"/>
    <w:rsid w:val="00022CE2"/>
    <w:rsid w:val="000248E5"/>
    <w:rsid w:val="0002594F"/>
    <w:rsid w:val="00025985"/>
    <w:rsid w:val="00025AC0"/>
    <w:rsid w:val="000272D2"/>
    <w:rsid w:val="0002754E"/>
    <w:rsid w:val="00027BD3"/>
    <w:rsid w:val="00032229"/>
    <w:rsid w:val="00032A59"/>
    <w:rsid w:val="00032B1F"/>
    <w:rsid w:val="00032F50"/>
    <w:rsid w:val="00033214"/>
    <w:rsid w:val="00033587"/>
    <w:rsid w:val="000344F4"/>
    <w:rsid w:val="0003479C"/>
    <w:rsid w:val="00034B7D"/>
    <w:rsid w:val="00035002"/>
    <w:rsid w:val="0003509E"/>
    <w:rsid w:val="000369F6"/>
    <w:rsid w:val="00036EC4"/>
    <w:rsid w:val="00037318"/>
    <w:rsid w:val="00037EEA"/>
    <w:rsid w:val="000400F8"/>
    <w:rsid w:val="0004027B"/>
    <w:rsid w:val="00040DCA"/>
    <w:rsid w:val="000417D5"/>
    <w:rsid w:val="000419B7"/>
    <w:rsid w:val="00041EAA"/>
    <w:rsid w:val="00041FD1"/>
    <w:rsid w:val="00042B33"/>
    <w:rsid w:val="00042DEF"/>
    <w:rsid w:val="00044162"/>
    <w:rsid w:val="00044176"/>
    <w:rsid w:val="00044278"/>
    <w:rsid w:val="000444AF"/>
    <w:rsid w:val="000448E0"/>
    <w:rsid w:val="00045285"/>
    <w:rsid w:val="0004535A"/>
    <w:rsid w:val="00045D3B"/>
    <w:rsid w:val="00050908"/>
    <w:rsid w:val="00050B4D"/>
    <w:rsid w:val="000521BA"/>
    <w:rsid w:val="00053067"/>
    <w:rsid w:val="000530C2"/>
    <w:rsid w:val="00053FFD"/>
    <w:rsid w:val="00054058"/>
    <w:rsid w:val="000548EF"/>
    <w:rsid w:val="00054D61"/>
    <w:rsid w:val="00054F2A"/>
    <w:rsid w:val="0005526A"/>
    <w:rsid w:val="00055319"/>
    <w:rsid w:val="00055AA6"/>
    <w:rsid w:val="000566D5"/>
    <w:rsid w:val="0005758A"/>
    <w:rsid w:val="000576C1"/>
    <w:rsid w:val="00060064"/>
    <w:rsid w:val="0006170C"/>
    <w:rsid w:val="00061972"/>
    <w:rsid w:val="00061AC4"/>
    <w:rsid w:val="00063151"/>
    <w:rsid w:val="00063CE9"/>
    <w:rsid w:val="00064127"/>
    <w:rsid w:val="0006432D"/>
    <w:rsid w:val="00064B46"/>
    <w:rsid w:val="00064E81"/>
    <w:rsid w:val="000656B5"/>
    <w:rsid w:val="00065CA3"/>
    <w:rsid w:val="0006633A"/>
    <w:rsid w:val="0006699C"/>
    <w:rsid w:val="000670F3"/>
    <w:rsid w:val="000675EC"/>
    <w:rsid w:val="00067C97"/>
    <w:rsid w:val="000709DB"/>
    <w:rsid w:val="000714E8"/>
    <w:rsid w:val="00071DBC"/>
    <w:rsid w:val="000725F2"/>
    <w:rsid w:val="00072665"/>
    <w:rsid w:val="0007297B"/>
    <w:rsid w:val="00072ABB"/>
    <w:rsid w:val="00072CB8"/>
    <w:rsid w:val="0007345C"/>
    <w:rsid w:val="00074159"/>
    <w:rsid w:val="000749B7"/>
    <w:rsid w:val="000753D2"/>
    <w:rsid w:val="00075494"/>
    <w:rsid w:val="0007550C"/>
    <w:rsid w:val="00075C45"/>
    <w:rsid w:val="00076CDB"/>
    <w:rsid w:val="0007737B"/>
    <w:rsid w:val="0007743B"/>
    <w:rsid w:val="00077E54"/>
    <w:rsid w:val="00080873"/>
    <w:rsid w:val="000813F4"/>
    <w:rsid w:val="000817C6"/>
    <w:rsid w:val="00081921"/>
    <w:rsid w:val="00081A1B"/>
    <w:rsid w:val="00082859"/>
    <w:rsid w:val="00082980"/>
    <w:rsid w:val="00083D28"/>
    <w:rsid w:val="00083D58"/>
    <w:rsid w:val="00083EC9"/>
    <w:rsid w:val="00084EA9"/>
    <w:rsid w:val="00084EC7"/>
    <w:rsid w:val="00085936"/>
    <w:rsid w:val="00085C49"/>
    <w:rsid w:val="00085EEB"/>
    <w:rsid w:val="000867B0"/>
    <w:rsid w:val="000868C4"/>
    <w:rsid w:val="00086A01"/>
    <w:rsid w:val="00086B70"/>
    <w:rsid w:val="00087668"/>
    <w:rsid w:val="000904A2"/>
    <w:rsid w:val="00090AF0"/>
    <w:rsid w:val="000910C5"/>
    <w:rsid w:val="000923C1"/>
    <w:rsid w:val="00092839"/>
    <w:rsid w:val="00093C1A"/>
    <w:rsid w:val="00093E79"/>
    <w:rsid w:val="00094441"/>
    <w:rsid w:val="00094BC6"/>
    <w:rsid w:val="00094C47"/>
    <w:rsid w:val="000953A5"/>
    <w:rsid w:val="000963F4"/>
    <w:rsid w:val="00096670"/>
    <w:rsid w:val="00096B4A"/>
    <w:rsid w:val="00096DE8"/>
    <w:rsid w:val="000A0911"/>
    <w:rsid w:val="000A139A"/>
    <w:rsid w:val="000A2431"/>
    <w:rsid w:val="000A2A30"/>
    <w:rsid w:val="000A358F"/>
    <w:rsid w:val="000A38A0"/>
    <w:rsid w:val="000A3C64"/>
    <w:rsid w:val="000A4362"/>
    <w:rsid w:val="000A61B8"/>
    <w:rsid w:val="000A62BD"/>
    <w:rsid w:val="000A6603"/>
    <w:rsid w:val="000A679A"/>
    <w:rsid w:val="000A6972"/>
    <w:rsid w:val="000A6A7F"/>
    <w:rsid w:val="000A6F98"/>
    <w:rsid w:val="000A74E0"/>
    <w:rsid w:val="000A74F6"/>
    <w:rsid w:val="000A7B98"/>
    <w:rsid w:val="000B1427"/>
    <w:rsid w:val="000B1905"/>
    <w:rsid w:val="000B1CCA"/>
    <w:rsid w:val="000B200B"/>
    <w:rsid w:val="000B2684"/>
    <w:rsid w:val="000B2AB7"/>
    <w:rsid w:val="000B2F6F"/>
    <w:rsid w:val="000B3976"/>
    <w:rsid w:val="000B3C2D"/>
    <w:rsid w:val="000B46A8"/>
    <w:rsid w:val="000B470D"/>
    <w:rsid w:val="000B4E66"/>
    <w:rsid w:val="000B5395"/>
    <w:rsid w:val="000B578F"/>
    <w:rsid w:val="000B62CB"/>
    <w:rsid w:val="000B6350"/>
    <w:rsid w:val="000B678F"/>
    <w:rsid w:val="000B6FEF"/>
    <w:rsid w:val="000B7F9A"/>
    <w:rsid w:val="000C0328"/>
    <w:rsid w:val="000C03D4"/>
    <w:rsid w:val="000C0864"/>
    <w:rsid w:val="000C0B96"/>
    <w:rsid w:val="000C0D86"/>
    <w:rsid w:val="000C1621"/>
    <w:rsid w:val="000C1CD7"/>
    <w:rsid w:val="000C2778"/>
    <w:rsid w:val="000C32AE"/>
    <w:rsid w:val="000C3380"/>
    <w:rsid w:val="000C4807"/>
    <w:rsid w:val="000C4C6A"/>
    <w:rsid w:val="000C52AC"/>
    <w:rsid w:val="000C5751"/>
    <w:rsid w:val="000C57F9"/>
    <w:rsid w:val="000C598C"/>
    <w:rsid w:val="000C618E"/>
    <w:rsid w:val="000C6342"/>
    <w:rsid w:val="000C6CE1"/>
    <w:rsid w:val="000C720B"/>
    <w:rsid w:val="000C7B9D"/>
    <w:rsid w:val="000D02E9"/>
    <w:rsid w:val="000D1274"/>
    <w:rsid w:val="000D1597"/>
    <w:rsid w:val="000D16A7"/>
    <w:rsid w:val="000D1C6A"/>
    <w:rsid w:val="000D1F8D"/>
    <w:rsid w:val="000D22BD"/>
    <w:rsid w:val="000D26E7"/>
    <w:rsid w:val="000D402F"/>
    <w:rsid w:val="000D42CA"/>
    <w:rsid w:val="000D53F2"/>
    <w:rsid w:val="000D55C4"/>
    <w:rsid w:val="000D5748"/>
    <w:rsid w:val="000D5C5C"/>
    <w:rsid w:val="000D5C8A"/>
    <w:rsid w:val="000D6A24"/>
    <w:rsid w:val="000D6C9D"/>
    <w:rsid w:val="000D78E6"/>
    <w:rsid w:val="000E0487"/>
    <w:rsid w:val="000E285B"/>
    <w:rsid w:val="000E545D"/>
    <w:rsid w:val="000E660E"/>
    <w:rsid w:val="000E6EBD"/>
    <w:rsid w:val="000F0150"/>
    <w:rsid w:val="000F03FE"/>
    <w:rsid w:val="000F152C"/>
    <w:rsid w:val="000F17C9"/>
    <w:rsid w:val="000F3668"/>
    <w:rsid w:val="000F383E"/>
    <w:rsid w:val="000F38CF"/>
    <w:rsid w:val="000F3F16"/>
    <w:rsid w:val="000F449F"/>
    <w:rsid w:val="000F48C9"/>
    <w:rsid w:val="000F6024"/>
    <w:rsid w:val="00100A2B"/>
    <w:rsid w:val="00100B14"/>
    <w:rsid w:val="0010174C"/>
    <w:rsid w:val="0010201F"/>
    <w:rsid w:val="0010254F"/>
    <w:rsid w:val="00102B73"/>
    <w:rsid w:val="00102C51"/>
    <w:rsid w:val="00103216"/>
    <w:rsid w:val="0010330D"/>
    <w:rsid w:val="001039BF"/>
    <w:rsid w:val="00103CB4"/>
    <w:rsid w:val="00103D6B"/>
    <w:rsid w:val="00107F42"/>
    <w:rsid w:val="00110401"/>
    <w:rsid w:val="00110BA6"/>
    <w:rsid w:val="00110E22"/>
    <w:rsid w:val="001110F1"/>
    <w:rsid w:val="0011195C"/>
    <w:rsid w:val="00112E30"/>
    <w:rsid w:val="001138CB"/>
    <w:rsid w:val="00114453"/>
    <w:rsid w:val="00114D32"/>
    <w:rsid w:val="00115CAC"/>
    <w:rsid w:val="00116718"/>
    <w:rsid w:val="00116FC8"/>
    <w:rsid w:val="00117835"/>
    <w:rsid w:val="00120042"/>
    <w:rsid w:val="0012024C"/>
    <w:rsid w:val="00120493"/>
    <w:rsid w:val="00120DFA"/>
    <w:rsid w:val="001218FE"/>
    <w:rsid w:val="00121CC1"/>
    <w:rsid w:val="001221BE"/>
    <w:rsid w:val="00122219"/>
    <w:rsid w:val="00122899"/>
    <w:rsid w:val="00123679"/>
    <w:rsid w:val="001236BF"/>
    <w:rsid w:val="001236EB"/>
    <w:rsid w:val="00123ACC"/>
    <w:rsid w:val="0012450B"/>
    <w:rsid w:val="00124792"/>
    <w:rsid w:val="00124CF0"/>
    <w:rsid w:val="00125726"/>
    <w:rsid w:val="001258B7"/>
    <w:rsid w:val="001267FF"/>
    <w:rsid w:val="00127F9D"/>
    <w:rsid w:val="0013084E"/>
    <w:rsid w:val="00130DB2"/>
    <w:rsid w:val="001315D8"/>
    <w:rsid w:val="00132B8C"/>
    <w:rsid w:val="0013360D"/>
    <w:rsid w:val="00133E41"/>
    <w:rsid w:val="00133E7C"/>
    <w:rsid w:val="00134D7F"/>
    <w:rsid w:val="00134F65"/>
    <w:rsid w:val="00134FA2"/>
    <w:rsid w:val="0013526C"/>
    <w:rsid w:val="001356B6"/>
    <w:rsid w:val="001365F4"/>
    <w:rsid w:val="0013661A"/>
    <w:rsid w:val="00136E07"/>
    <w:rsid w:val="001372D1"/>
    <w:rsid w:val="001374A2"/>
    <w:rsid w:val="00137B8F"/>
    <w:rsid w:val="00137C0C"/>
    <w:rsid w:val="00140295"/>
    <w:rsid w:val="00141121"/>
    <w:rsid w:val="001429D7"/>
    <w:rsid w:val="00143437"/>
    <w:rsid w:val="00143891"/>
    <w:rsid w:val="00143DE4"/>
    <w:rsid w:val="0014403E"/>
    <w:rsid w:val="001447EF"/>
    <w:rsid w:val="00144800"/>
    <w:rsid w:val="00145073"/>
    <w:rsid w:val="0014515E"/>
    <w:rsid w:val="0014559E"/>
    <w:rsid w:val="00145749"/>
    <w:rsid w:val="00145EF0"/>
    <w:rsid w:val="001462D6"/>
    <w:rsid w:val="001464A7"/>
    <w:rsid w:val="00146F35"/>
    <w:rsid w:val="00147344"/>
    <w:rsid w:val="001476CB"/>
    <w:rsid w:val="001477F2"/>
    <w:rsid w:val="0015059D"/>
    <w:rsid w:val="0015080D"/>
    <w:rsid w:val="00151322"/>
    <w:rsid w:val="00152C66"/>
    <w:rsid w:val="00153A5A"/>
    <w:rsid w:val="00153EDA"/>
    <w:rsid w:val="001547CA"/>
    <w:rsid w:val="00154C02"/>
    <w:rsid w:val="00154C69"/>
    <w:rsid w:val="0015529D"/>
    <w:rsid w:val="00156328"/>
    <w:rsid w:val="00157085"/>
    <w:rsid w:val="001573B4"/>
    <w:rsid w:val="001601A2"/>
    <w:rsid w:val="00160295"/>
    <w:rsid w:val="001607B6"/>
    <w:rsid w:val="00162969"/>
    <w:rsid w:val="00162E86"/>
    <w:rsid w:val="0016388F"/>
    <w:rsid w:val="00163D73"/>
    <w:rsid w:val="00163D88"/>
    <w:rsid w:val="00164096"/>
    <w:rsid w:val="0016529E"/>
    <w:rsid w:val="0016575C"/>
    <w:rsid w:val="00165B1C"/>
    <w:rsid w:val="00165BF8"/>
    <w:rsid w:val="00166036"/>
    <w:rsid w:val="001662BD"/>
    <w:rsid w:val="0016649A"/>
    <w:rsid w:val="00166560"/>
    <w:rsid w:val="001675A5"/>
    <w:rsid w:val="00170111"/>
    <w:rsid w:val="00170697"/>
    <w:rsid w:val="00171392"/>
    <w:rsid w:val="00171C1A"/>
    <w:rsid w:val="00171C72"/>
    <w:rsid w:val="00172708"/>
    <w:rsid w:val="001727B0"/>
    <w:rsid w:val="001729BA"/>
    <w:rsid w:val="00172A27"/>
    <w:rsid w:val="00173260"/>
    <w:rsid w:val="00173C43"/>
    <w:rsid w:val="00174BEA"/>
    <w:rsid w:val="001751E2"/>
    <w:rsid w:val="0017537B"/>
    <w:rsid w:val="001759CF"/>
    <w:rsid w:val="00175B5D"/>
    <w:rsid w:val="00176986"/>
    <w:rsid w:val="00176B7D"/>
    <w:rsid w:val="00177302"/>
    <w:rsid w:val="00177FB1"/>
    <w:rsid w:val="001809EC"/>
    <w:rsid w:val="00180D02"/>
    <w:rsid w:val="00181809"/>
    <w:rsid w:val="00182FF5"/>
    <w:rsid w:val="0018316B"/>
    <w:rsid w:val="001837AA"/>
    <w:rsid w:val="00183BC0"/>
    <w:rsid w:val="0018456A"/>
    <w:rsid w:val="00184681"/>
    <w:rsid w:val="001847DB"/>
    <w:rsid w:val="00184AE6"/>
    <w:rsid w:val="00185C46"/>
    <w:rsid w:val="00185D1E"/>
    <w:rsid w:val="00185D2D"/>
    <w:rsid w:val="00185EF5"/>
    <w:rsid w:val="00185F81"/>
    <w:rsid w:val="0018652D"/>
    <w:rsid w:val="00186AA0"/>
    <w:rsid w:val="00187707"/>
    <w:rsid w:val="00187828"/>
    <w:rsid w:val="00187EAA"/>
    <w:rsid w:val="00190B5F"/>
    <w:rsid w:val="001912D2"/>
    <w:rsid w:val="00191575"/>
    <w:rsid w:val="00191FD8"/>
    <w:rsid w:val="0019224F"/>
    <w:rsid w:val="001923BA"/>
    <w:rsid w:val="00192DA5"/>
    <w:rsid w:val="0019338C"/>
    <w:rsid w:val="00194C01"/>
    <w:rsid w:val="001965CD"/>
    <w:rsid w:val="00196AD9"/>
    <w:rsid w:val="00197F91"/>
    <w:rsid w:val="001A0381"/>
    <w:rsid w:val="001A04B7"/>
    <w:rsid w:val="001A086B"/>
    <w:rsid w:val="001A10F0"/>
    <w:rsid w:val="001A24D5"/>
    <w:rsid w:val="001A2637"/>
    <w:rsid w:val="001A270B"/>
    <w:rsid w:val="001A2CE9"/>
    <w:rsid w:val="001A2EC5"/>
    <w:rsid w:val="001A37A7"/>
    <w:rsid w:val="001A395C"/>
    <w:rsid w:val="001A397E"/>
    <w:rsid w:val="001A3D56"/>
    <w:rsid w:val="001A4A03"/>
    <w:rsid w:val="001A4CFB"/>
    <w:rsid w:val="001A51A4"/>
    <w:rsid w:val="001A52EC"/>
    <w:rsid w:val="001A592E"/>
    <w:rsid w:val="001A5B3D"/>
    <w:rsid w:val="001A608D"/>
    <w:rsid w:val="001A64AB"/>
    <w:rsid w:val="001A69D0"/>
    <w:rsid w:val="001A6CA2"/>
    <w:rsid w:val="001A7205"/>
    <w:rsid w:val="001A79FC"/>
    <w:rsid w:val="001B08D0"/>
    <w:rsid w:val="001B0FFF"/>
    <w:rsid w:val="001B1422"/>
    <w:rsid w:val="001B1780"/>
    <w:rsid w:val="001B21BF"/>
    <w:rsid w:val="001B2789"/>
    <w:rsid w:val="001B3396"/>
    <w:rsid w:val="001B45AC"/>
    <w:rsid w:val="001B4641"/>
    <w:rsid w:val="001B49B9"/>
    <w:rsid w:val="001B53CE"/>
    <w:rsid w:val="001B5555"/>
    <w:rsid w:val="001B55FC"/>
    <w:rsid w:val="001B5A4E"/>
    <w:rsid w:val="001B5FB8"/>
    <w:rsid w:val="001B621A"/>
    <w:rsid w:val="001B639B"/>
    <w:rsid w:val="001B66C9"/>
    <w:rsid w:val="001B7226"/>
    <w:rsid w:val="001B79CA"/>
    <w:rsid w:val="001C006C"/>
    <w:rsid w:val="001C046C"/>
    <w:rsid w:val="001C0792"/>
    <w:rsid w:val="001C1068"/>
    <w:rsid w:val="001C111E"/>
    <w:rsid w:val="001C1954"/>
    <w:rsid w:val="001C1CB6"/>
    <w:rsid w:val="001C24F8"/>
    <w:rsid w:val="001C2637"/>
    <w:rsid w:val="001C2856"/>
    <w:rsid w:val="001C3032"/>
    <w:rsid w:val="001C36F2"/>
    <w:rsid w:val="001C37B8"/>
    <w:rsid w:val="001C3997"/>
    <w:rsid w:val="001C4006"/>
    <w:rsid w:val="001C4264"/>
    <w:rsid w:val="001C5049"/>
    <w:rsid w:val="001C5A88"/>
    <w:rsid w:val="001C5F33"/>
    <w:rsid w:val="001D131F"/>
    <w:rsid w:val="001D145B"/>
    <w:rsid w:val="001D2BC7"/>
    <w:rsid w:val="001D3347"/>
    <w:rsid w:val="001D342C"/>
    <w:rsid w:val="001D3D7A"/>
    <w:rsid w:val="001D3FE6"/>
    <w:rsid w:val="001D426E"/>
    <w:rsid w:val="001D47A2"/>
    <w:rsid w:val="001D4CB2"/>
    <w:rsid w:val="001D542E"/>
    <w:rsid w:val="001D5AB1"/>
    <w:rsid w:val="001D6C9C"/>
    <w:rsid w:val="001D7C0A"/>
    <w:rsid w:val="001D7CBC"/>
    <w:rsid w:val="001E135A"/>
    <w:rsid w:val="001E1B96"/>
    <w:rsid w:val="001E3151"/>
    <w:rsid w:val="001E33E7"/>
    <w:rsid w:val="001E361F"/>
    <w:rsid w:val="001E389A"/>
    <w:rsid w:val="001E3A70"/>
    <w:rsid w:val="001E4160"/>
    <w:rsid w:val="001E4638"/>
    <w:rsid w:val="001E4649"/>
    <w:rsid w:val="001E4806"/>
    <w:rsid w:val="001E4F61"/>
    <w:rsid w:val="001E5228"/>
    <w:rsid w:val="001E556F"/>
    <w:rsid w:val="001E56BE"/>
    <w:rsid w:val="001E5D7F"/>
    <w:rsid w:val="001E606C"/>
    <w:rsid w:val="001E6E0F"/>
    <w:rsid w:val="001E7383"/>
    <w:rsid w:val="001E7A45"/>
    <w:rsid w:val="001F0090"/>
    <w:rsid w:val="001F01FC"/>
    <w:rsid w:val="001F09B2"/>
    <w:rsid w:val="001F145B"/>
    <w:rsid w:val="001F1B44"/>
    <w:rsid w:val="001F20F0"/>
    <w:rsid w:val="001F220E"/>
    <w:rsid w:val="001F299F"/>
    <w:rsid w:val="001F30B7"/>
    <w:rsid w:val="001F3380"/>
    <w:rsid w:val="001F409D"/>
    <w:rsid w:val="001F4B03"/>
    <w:rsid w:val="001F53DC"/>
    <w:rsid w:val="001F612B"/>
    <w:rsid w:val="001F69C1"/>
    <w:rsid w:val="001F6A7D"/>
    <w:rsid w:val="001F78C9"/>
    <w:rsid w:val="00200210"/>
    <w:rsid w:val="002005D7"/>
    <w:rsid w:val="00200673"/>
    <w:rsid w:val="00200C07"/>
    <w:rsid w:val="00201D62"/>
    <w:rsid w:val="00201FA0"/>
    <w:rsid w:val="002030D5"/>
    <w:rsid w:val="00203236"/>
    <w:rsid w:val="00203374"/>
    <w:rsid w:val="002047A7"/>
    <w:rsid w:val="00204832"/>
    <w:rsid w:val="00205192"/>
    <w:rsid w:val="002069C4"/>
    <w:rsid w:val="00207574"/>
    <w:rsid w:val="00207788"/>
    <w:rsid w:val="0020781A"/>
    <w:rsid w:val="00207BB0"/>
    <w:rsid w:val="002100EE"/>
    <w:rsid w:val="00210236"/>
    <w:rsid w:val="00210822"/>
    <w:rsid w:val="00210837"/>
    <w:rsid w:val="00210B9B"/>
    <w:rsid w:val="002119E2"/>
    <w:rsid w:val="00213134"/>
    <w:rsid w:val="00214424"/>
    <w:rsid w:val="00214AE1"/>
    <w:rsid w:val="00215B9B"/>
    <w:rsid w:val="00215DE3"/>
    <w:rsid w:val="0021617D"/>
    <w:rsid w:val="00216288"/>
    <w:rsid w:val="002168F3"/>
    <w:rsid w:val="00216ACD"/>
    <w:rsid w:val="00217785"/>
    <w:rsid w:val="00217AA5"/>
    <w:rsid w:val="00220B21"/>
    <w:rsid w:val="00220BFA"/>
    <w:rsid w:val="00220CA4"/>
    <w:rsid w:val="00220EEC"/>
    <w:rsid w:val="00221ADA"/>
    <w:rsid w:val="00221C35"/>
    <w:rsid w:val="00221E2F"/>
    <w:rsid w:val="0022371D"/>
    <w:rsid w:val="00223AA0"/>
    <w:rsid w:val="00223AE2"/>
    <w:rsid w:val="00223DA7"/>
    <w:rsid w:val="002255D4"/>
    <w:rsid w:val="00225CAB"/>
    <w:rsid w:val="002262D7"/>
    <w:rsid w:val="002263C7"/>
    <w:rsid w:val="0022681A"/>
    <w:rsid w:val="00226A6D"/>
    <w:rsid w:val="00226C7E"/>
    <w:rsid w:val="00226F54"/>
    <w:rsid w:val="002277D4"/>
    <w:rsid w:val="00227BF2"/>
    <w:rsid w:val="00230B9C"/>
    <w:rsid w:val="0023120C"/>
    <w:rsid w:val="002313E0"/>
    <w:rsid w:val="002314F8"/>
    <w:rsid w:val="00231C0C"/>
    <w:rsid w:val="002323C0"/>
    <w:rsid w:val="00232AAB"/>
    <w:rsid w:val="00232BF8"/>
    <w:rsid w:val="0023312F"/>
    <w:rsid w:val="00233272"/>
    <w:rsid w:val="002332E7"/>
    <w:rsid w:val="00234D73"/>
    <w:rsid w:val="00235F11"/>
    <w:rsid w:val="00236110"/>
    <w:rsid w:val="00236A1E"/>
    <w:rsid w:val="0023765F"/>
    <w:rsid w:val="002406B7"/>
    <w:rsid w:val="00240858"/>
    <w:rsid w:val="00240C76"/>
    <w:rsid w:val="002420BD"/>
    <w:rsid w:val="002428DE"/>
    <w:rsid w:val="00244795"/>
    <w:rsid w:val="00244A39"/>
    <w:rsid w:val="00244F4D"/>
    <w:rsid w:val="00245603"/>
    <w:rsid w:val="00245C72"/>
    <w:rsid w:val="002460FA"/>
    <w:rsid w:val="00246576"/>
    <w:rsid w:val="002471B8"/>
    <w:rsid w:val="002472D1"/>
    <w:rsid w:val="00247F10"/>
    <w:rsid w:val="00247FE9"/>
    <w:rsid w:val="00250231"/>
    <w:rsid w:val="00250620"/>
    <w:rsid w:val="002518C7"/>
    <w:rsid w:val="00251E58"/>
    <w:rsid w:val="00253905"/>
    <w:rsid w:val="00253B1F"/>
    <w:rsid w:val="00254615"/>
    <w:rsid w:val="00254CE6"/>
    <w:rsid w:val="00254EAD"/>
    <w:rsid w:val="002554CD"/>
    <w:rsid w:val="00255AD8"/>
    <w:rsid w:val="00256102"/>
    <w:rsid w:val="00256160"/>
    <w:rsid w:val="002562BF"/>
    <w:rsid w:val="002569C6"/>
    <w:rsid w:val="00256BBA"/>
    <w:rsid w:val="00257F6D"/>
    <w:rsid w:val="00260023"/>
    <w:rsid w:val="0026021A"/>
    <w:rsid w:val="00260547"/>
    <w:rsid w:val="00260C1C"/>
    <w:rsid w:val="002617CC"/>
    <w:rsid w:val="0026186B"/>
    <w:rsid w:val="00261A0E"/>
    <w:rsid w:val="002625CB"/>
    <w:rsid w:val="00263A90"/>
    <w:rsid w:val="00263D22"/>
    <w:rsid w:val="00264009"/>
    <w:rsid w:val="00264B45"/>
    <w:rsid w:val="002652AD"/>
    <w:rsid w:val="00266004"/>
    <w:rsid w:val="00267040"/>
    <w:rsid w:val="00267D9A"/>
    <w:rsid w:val="00270584"/>
    <w:rsid w:val="00270EA2"/>
    <w:rsid w:val="00271121"/>
    <w:rsid w:val="00272DFC"/>
    <w:rsid w:val="002757DA"/>
    <w:rsid w:val="00275BF2"/>
    <w:rsid w:val="00275E57"/>
    <w:rsid w:val="0027616F"/>
    <w:rsid w:val="00276544"/>
    <w:rsid w:val="00276976"/>
    <w:rsid w:val="00280525"/>
    <w:rsid w:val="00280656"/>
    <w:rsid w:val="00280870"/>
    <w:rsid w:val="002833C1"/>
    <w:rsid w:val="00284030"/>
    <w:rsid w:val="002846C4"/>
    <w:rsid w:val="00284927"/>
    <w:rsid w:val="00284BF6"/>
    <w:rsid w:val="00284C89"/>
    <w:rsid w:val="0028576F"/>
    <w:rsid w:val="00286140"/>
    <w:rsid w:val="00286B67"/>
    <w:rsid w:val="00287246"/>
    <w:rsid w:val="002906BB"/>
    <w:rsid w:val="002908FC"/>
    <w:rsid w:val="00290940"/>
    <w:rsid w:val="00290E68"/>
    <w:rsid w:val="002910C9"/>
    <w:rsid w:val="00291DAD"/>
    <w:rsid w:val="00293BF8"/>
    <w:rsid w:val="00293EC9"/>
    <w:rsid w:val="00294080"/>
    <w:rsid w:val="00294418"/>
    <w:rsid w:val="00294552"/>
    <w:rsid w:val="00295227"/>
    <w:rsid w:val="00295F39"/>
    <w:rsid w:val="00295F45"/>
    <w:rsid w:val="00296775"/>
    <w:rsid w:val="00297942"/>
    <w:rsid w:val="002A0ED2"/>
    <w:rsid w:val="002A1014"/>
    <w:rsid w:val="002A11BA"/>
    <w:rsid w:val="002A135C"/>
    <w:rsid w:val="002A267D"/>
    <w:rsid w:val="002A270F"/>
    <w:rsid w:val="002A2B15"/>
    <w:rsid w:val="002A2B1E"/>
    <w:rsid w:val="002A323D"/>
    <w:rsid w:val="002A40F2"/>
    <w:rsid w:val="002A5325"/>
    <w:rsid w:val="002A53B5"/>
    <w:rsid w:val="002A724F"/>
    <w:rsid w:val="002B05B1"/>
    <w:rsid w:val="002B0936"/>
    <w:rsid w:val="002B0C56"/>
    <w:rsid w:val="002B128E"/>
    <w:rsid w:val="002B1B6D"/>
    <w:rsid w:val="002B213F"/>
    <w:rsid w:val="002B278C"/>
    <w:rsid w:val="002B2D48"/>
    <w:rsid w:val="002B4C67"/>
    <w:rsid w:val="002B4F5A"/>
    <w:rsid w:val="002B5256"/>
    <w:rsid w:val="002B56E3"/>
    <w:rsid w:val="002B604A"/>
    <w:rsid w:val="002B63A2"/>
    <w:rsid w:val="002B6DF3"/>
    <w:rsid w:val="002B7809"/>
    <w:rsid w:val="002C04C6"/>
    <w:rsid w:val="002C0FD0"/>
    <w:rsid w:val="002C2AE1"/>
    <w:rsid w:val="002C35C5"/>
    <w:rsid w:val="002C37C7"/>
    <w:rsid w:val="002C3950"/>
    <w:rsid w:val="002C3E69"/>
    <w:rsid w:val="002C4303"/>
    <w:rsid w:val="002C4472"/>
    <w:rsid w:val="002C4C8F"/>
    <w:rsid w:val="002C5B91"/>
    <w:rsid w:val="002C699C"/>
    <w:rsid w:val="002C6C98"/>
    <w:rsid w:val="002D00D0"/>
    <w:rsid w:val="002D00D7"/>
    <w:rsid w:val="002D038D"/>
    <w:rsid w:val="002D04B3"/>
    <w:rsid w:val="002D0A76"/>
    <w:rsid w:val="002D0F4F"/>
    <w:rsid w:val="002D12D5"/>
    <w:rsid w:val="002D19C8"/>
    <w:rsid w:val="002D25A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34E"/>
    <w:rsid w:val="002E3AE8"/>
    <w:rsid w:val="002E3FFE"/>
    <w:rsid w:val="002E53D0"/>
    <w:rsid w:val="002E5625"/>
    <w:rsid w:val="002E5931"/>
    <w:rsid w:val="002E6A86"/>
    <w:rsid w:val="002E6E46"/>
    <w:rsid w:val="002E7D58"/>
    <w:rsid w:val="002E7E40"/>
    <w:rsid w:val="002F00FE"/>
    <w:rsid w:val="002F0468"/>
    <w:rsid w:val="002F0609"/>
    <w:rsid w:val="002F1457"/>
    <w:rsid w:val="002F1614"/>
    <w:rsid w:val="002F17EB"/>
    <w:rsid w:val="002F1947"/>
    <w:rsid w:val="002F1B84"/>
    <w:rsid w:val="002F1D85"/>
    <w:rsid w:val="002F284C"/>
    <w:rsid w:val="002F2B81"/>
    <w:rsid w:val="002F3352"/>
    <w:rsid w:val="002F456C"/>
    <w:rsid w:val="002F461E"/>
    <w:rsid w:val="002F4DAB"/>
    <w:rsid w:val="002F5103"/>
    <w:rsid w:val="002F5779"/>
    <w:rsid w:val="002F5C3F"/>
    <w:rsid w:val="002F5C8F"/>
    <w:rsid w:val="002F6AC6"/>
    <w:rsid w:val="002F703B"/>
    <w:rsid w:val="00301195"/>
    <w:rsid w:val="00301558"/>
    <w:rsid w:val="00302300"/>
    <w:rsid w:val="003023C6"/>
    <w:rsid w:val="00302A77"/>
    <w:rsid w:val="00302CF7"/>
    <w:rsid w:val="00302D27"/>
    <w:rsid w:val="00302E1C"/>
    <w:rsid w:val="00303D3C"/>
    <w:rsid w:val="0030429A"/>
    <w:rsid w:val="003052AB"/>
    <w:rsid w:val="00305F0B"/>
    <w:rsid w:val="003060C4"/>
    <w:rsid w:val="0030668D"/>
    <w:rsid w:val="003069D9"/>
    <w:rsid w:val="003073F5"/>
    <w:rsid w:val="00307B9C"/>
    <w:rsid w:val="00307BA1"/>
    <w:rsid w:val="003100DF"/>
    <w:rsid w:val="00311B0A"/>
    <w:rsid w:val="0031208E"/>
    <w:rsid w:val="003137D4"/>
    <w:rsid w:val="00314227"/>
    <w:rsid w:val="00314DBA"/>
    <w:rsid w:val="00314EFA"/>
    <w:rsid w:val="00315AB3"/>
    <w:rsid w:val="003164A3"/>
    <w:rsid w:val="00317A63"/>
    <w:rsid w:val="00317BA9"/>
    <w:rsid w:val="003200AE"/>
    <w:rsid w:val="0032034B"/>
    <w:rsid w:val="00320BF6"/>
    <w:rsid w:val="00320EFA"/>
    <w:rsid w:val="00321739"/>
    <w:rsid w:val="00321E23"/>
    <w:rsid w:val="0032215C"/>
    <w:rsid w:val="00322259"/>
    <w:rsid w:val="003255F1"/>
    <w:rsid w:val="00325789"/>
    <w:rsid w:val="00325A5A"/>
    <w:rsid w:val="00325A89"/>
    <w:rsid w:val="00325FE2"/>
    <w:rsid w:val="00326A2E"/>
    <w:rsid w:val="003272E3"/>
    <w:rsid w:val="0032780E"/>
    <w:rsid w:val="00327CF0"/>
    <w:rsid w:val="00330325"/>
    <w:rsid w:val="00331922"/>
    <w:rsid w:val="00331AFB"/>
    <w:rsid w:val="0033295D"/>
    <w:rsid w:val="00332B79"/>
    <w:rsid w:val="00333CAB"/>
    <w:rsid w:val="00333D3B"/>
    <w:rsid w:val="00334C5E"/>
    <w:rsid w:val="00334F81"/>
    <w:rsid w:val="00335E06"/>
    <w:rsid w:val="003362B6"/>
    <w:rsid w:val="00336AC2"/>
    <w:rsid w:val="00336FD3"/>
    <w:rsid w:val="00337B76"/>
    <w:rsid w:val="00337BB7"/>
    <w:rsid w:val="00341DE7"/>
    <w:rsid w:val="00341FEE"/>
    <w:rsid w:val="003430E1"/>
    <w:rsid w:val="0034324B"/>
    <w:rsid w:val="00343464"/>
    <w:rsid w:val="00345199"/>
    <w:rsid w:val="003451FE"/>
    <w:rsid w:val="003462BA"/>
    <w:rsid w:val="00346B52"/>
    <w:rsid w:val="00346C19"/>
    <w:rsid w:val="00346E53"/>
    <w:rsid w:val="003471EA"/>
    <w:rsid w:val="0034781A"/>
    <w:rsid w:val="00350096"/>
    <w:rsid w:val="003503CD"/>
    <w:rsid w:val="00350421"/>
    <w:rsid w:val="0035042D"/>
    <w:rsid w:val="00350759"/>
    <w:rsid w:val="0035088B"/>
    <w:rsid w:val="00350FBD"/>
    <w:rsid w:val="003510DF"/>
    <w:rsid w:val="003511E3"/>
    <w:rsid w:val="0035181E"/>
    <w:rsid w:val="0035252E"/>
    <w:rsid w:val="00353BBF"/>
    <w:rsid w:val="00353C02"/>
    <w:rsid w:val="00353F48"/>
    <w:rsid w:val="0035422F"/>
    <w:rsid w:val="00354301"/>
    <w:rsid w:val="003544A3"/>
    <w:rsid w:val="00354AC8"/>
    <w:rsid w:val="00355454"/>
    <w:rsid w:val="0035571F"/>
    <w:rsid w:val="003560A3"/>
    <w:rsid w:val="00356A1A"/>
    <w:rsid w:val="0035700D"/>
    <w:rsid w:val="0035772B"/>
    <w:rsid w:val="00357768"/>
    <w:rsid w:val="003579C1"/>
    <w:rsid w:val="00357A6C"/>
    <w:rsid w:val="00357B7A"/>
    <w:rsid w:val="00360B24"/>
    <w:rsid w:val="00360B88"/>
    <w:rsid w:val="00361409"/>
    <w:rsid w:val="00361478"/>
    <w:rsid w:val="00362098"/>
    <w:rsid w:val="003621B0"/>
    <w:rsid w:val="00363105"/>
    <w:rsid w:val="00363317"/>
    <w:rsid w:val="00363BEF"/>
    <w:rsid w:val="00365288"/>
    <w:rsid w:val="00366C33"/>
    <w:rsid w:val="0036705C"/>
    <w:rsid w:val="003673C9"/>
    <w:rsid w:val="003679D6"/>
    <w:rsid w:val="003737B0"/>
    <w:rsid w:val="003743F8"/>
    <w:rsid w:val="00374B13"/>
    <w:rsid w:val="00374BBC"/>
    <w:rsid w:val="00374FC1"/>
    <w:rsid w:val="003756A2"/>
    <w:rsid w:val="00375C87"/>
    <w:rsid w:val="00375DC1"/>
    <w:rsid w:val="00375E94"/>
    <w:rsid w:val="00376DED"/>
    <w:rsid w:val="003774A0"/>
    <w:rsid w:val="0037767D"/>
    <w:rsid w:val="003776C9"/>
    <w:rsid w:val="003810DB"/>
    <w:rsid w:val="00381624"/>
    <w:rsid w:val="003816C1"/>
    <w:rsid w:val="00381985"/>
    <w:rsid w:val="00382571"/>
    <w:rsid w:val="0038489B"/>
    <w:rsid w:val="003849B0"/>
    <w:rsid w:val="003857D9"/>
    <w:rsid w:val="003862DF"/>
    <w:rsid w:val="003863BE"/>
    <w:rsid w:val="00386566"/>
    <w:rsid w:val="00387330"/>
    <w:rsid w:val="003876FF"/>
    <w:rsid w:val="00393401"/>
    <w:rsid w:val="00393583"/>
    <w:rsid w:val="003955B2"/>
    <w:rsid w:val="00395890"/>
    <w:rsid w:val="003959A5"/>
    <w:rsid w:val="00395F26"/>
    <w:rsid w:val="00395FAA"/>
    <w:rsid w:val="00397827"/>
    <w:rsid w:val="00397BEE"/>
    <w:rsid w:val="003A063A"/>
    <w:rsid w:val="003A0B73"/>
    <w:rsid w:val="003A104E"/>
    <w:rsid w:val="003A13C4"/>
    <w:rsid w:val="003A14AF"/>
    <w:rsid w:val="003A2DD9"/>
    <w:rsid w:val="003A32F3"/>
    <w:rsid w:val="003A3817"/>
    <w:rsid w:val="003A384F"/>
    <w:rsid w:val="003A3985"/>
    <w:rsid w:val="003A50D9"/>
    <w:rsid w:val="003A543D"/>
    <w:rsid w:val="003A62CE"/>
    <w:rsid w:val="003A6FA5"/>
    <w:rsid w:val="003A7CFF"/>
    <w:rsid w:val="003B01F4"/>
    <w:rsid w:val="003B16AA"/>
    <w:rsid w:val="003B188F"/>
    <w:rsid w:val="003B1BEC"/>
    <w:rsid w:val="003B23ED"/>
    <w:rsid w:val="003B2BA8"/>
    <w:rsid w:val="003B3AF7"/>
    <w:rsid w:val="003B4180"/>
    <w:rsid w:val="003B4356"/>
    <w:rsid w:val="003B4407"/>
    <w:rsid w:val="003B481F"/>
    <w:rsid w:val="003B536B"/>
    <w:rsid w:val="003B5DFF"/>
    <w:rsid w:val="003B6043"/>
    <w:rsid w:val="003B785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25F7"/>
    <w:rsid w:val="003D2EF6"/>
    <w:rsid w:val="003D3096"/>
    <w:rsid w:val="003D3994"/>
    <w:rsid w:val="003D3D95"/>
    <w:rsid w:val="003D3EC0"/>
    <w:rsid w:val="003D4492"/>
    <w:rsid w:val="003D519A"/>
    <w:rsid w:val="003D7120"/>
    <w:rsid w:val="003D73AB"/>
    <w:rsid w:val="003E00AC"/>
    <w:rsid w:val="003E095B"/>
    <w:rsid w:val="003E1840"/>
    <w:rsid w:val="003E2533"/>
    <w:rsid w:val="003E2F30"/>
    <w:rsid w:val="003E30A3"/>
    <w:rsid w:val="003E39C3"/>
    <w:rsid w:val="003E3D24"/>
    <w:rsid w:val="003E414B"/>
    <w:rsid w:val="003E431F"/>
    <w:rsid w:val="003E439D"/>
    <w:rsid w:val="003E5810"/>
    <w:rsid w:val="003E5A25"/>
    <w:rsid w:val="003E5C5F"/>
    <w:rsid w:val="003E5D32"/>
    <w:rsid w:val="003E691B"/>
    <w:rsid w:val="003E6E97"/>
    <w:rsid w:val="003E7765"/>
    <w:rsid w:val="003E778E"/>
    <w:rsid w:val="003E78F0"/>
    <w:rsid w:val="003E79D7"/>
    <w:rsid w:val="003E7F3F"/>
    <w:rsid w:val="003F0FAD"/>
    <w:rsid w:val="003F0FC1"/>
    <w:rsid w:val="003F1894"/>
    <w:rsid w:val="003F1C77"/>
    <w:rsid w:val="003F3898"/>
    <w:rsid w:val="003F3A1B"/>
    <w:rsid w:val="003F3D0B"/>
    <w:rsid w:val="003F3E3F"/>
    <w:rsid w:val="003F42B8"/>
    <w:rsid w:val="003F4825"/>
    <w:rsid w:val="003F4E50"/>
    <w:rsid w:val="003F4EDF"/>
    <w:rsid w:val="003F564A"/>
    <w:rsid w:val="003F572D"/>
    <w:rsid w:val="003F5D0D"/>
    <w:rsid w:val="003F6A41"/>
    <w:rsid w:val="003F6B54"/>
    <w:rsid w:val="003F6CAD"/>
    <w:rsid w:val="003F7235"/>
    <w:rsid w:val="004003FD"/>
    <w:rsid w:val="00401B27"/>
    <w:rsid w:val="00402898"/>
    <w:rsid w:val="00402A13"/>
    <w:rsid w:val="0040368D"/>
    <w:rsid w:val="00403A8C"/>
    <w:rsid w:val="004049EE"/>
    <w:rsid w:val="00404D01"/>
    <w:rsid w:val="00404D50"/>
    <w:rsid w:val="00404ECC"/>
    <w:rsid w:val="00404F56"/>
    <w:rsid w:val="004051A6"/>
    <w:rsid w:val="00405A3D"/>
    <w:rsid w:val="0040652E"/>
    <w:rsid w:val="004066EA"/>
    <w:rsid w:val="004071FD"/>
    <w:rsid w:val="0040738B"/>
    <w:rsid w:val="0041009D"/>
    <w:rsid w:val="004112F1"/>
    <w:rsid w:val="00411E8B"/>
    <w:rsid w:val="0041215E"/>
    <w:rsid w:val="004122FB"/>
    <w:rsid w:val="00412D87"/>
    <w:rsid w:val="00412F73"/>
    <w:rsid w:val="00413F7A"/>
    <w:rsid w:val="004147E2"/>
    <w:rsid w:val="00415BD1"/>
    <w:rsid w:val="00416802"/>
    <w:rsid w:val="00416812"/>
    <w:rsid w:val="00416BBD"/>
    <w:rsid w:val="00416D0A"/>
    <w:rsid w:val="00417112"/>
    <w:rsid w:val="00420556"/>
    <w:rsid w:val="00420B78"/>
    <w:rsid w:val="00420E3D"/>
    <w:rsid w:val="0042141A"/>
    <w:rsid w:val="00421725"/>
    <w:rsid w:val="00421E05"/>
    <w:rsid w:val="00422223"/>
    <w:rsid w:val="00422AB4"/>
    <w:rsid w:val="00422E58"/>
    <w:rsid w:val="0042311F"/>
    <w:rsid w:val="004234D6"/>
    <w:rsid w:val="004234EC"/>
    <w:rsid w:val="004235E3"/>
    <w:rsid w:val="00423606"/>
    <w:rsid w:val="00424647"/>
    <w:rsid w:val="00424703"/>
    <w:rsid w:val="00424934"/>
    <w:rsid w:val="00425C37"/>
    <w:rsid w:val="0042603F"/>
    <w:rsid w:val="004274AD"/>
    <w:rsid w:val="00427703"/>
    <w:rsid w:val="00430C76"/>
    <w:rsid w:val="00430F20"/>
    <w:rsid w:val="00431CF2"/>
    <w:rsid w:val="00431D90"/>
    <w:rsid w:val="00431E46"/>
    <w:rsid w:val="00432002"/>
    <w:rsid w:val="00432672"/>
    <w:rsid w:val="004329FE"/>
    <w:rsid w:val="00432A04"/>
    <w:rsid w:val="0043402A"/>
    <w:rsid w:val="00434769"/>
    <w:rsid w:val="0043518D"/>
    <w:rsid w:val="004351DE"/>
    <w:rsid w:val="00435C11"/>
    <w:rsid w:val="00436611"/>
    <w:rsid w:val="00437A2F"/>
    <w:rsid w:val="00437D58"/>
    <w:rsid w:val="00440164"/>
    <w:rsid w:val="004405EC"/>
    <w:rsid w:val="00440E18"/>
    <w:rsid w:val="00442546"/>
    <w:rsid w:val="004426B7"/>
    <w:rsid w:val="00442C6D"/>
    <w:rsid w:val="00443834"/>
    <w:rsid w:val="00444140"/>
    <w:rsid w:val="00444217"/>
    <w:rsid w:val="00444ACC"/>
    <w:rsid w:val="00444B3E"/>
    <w:rsid w:val="00445234"/>
    <w:rsid w:val="00446AE3"/>
    <w:rsid w:val="00446DAE"/>
    <w:rsid w:val="00446E47"/>
    <w:rsid w:val="004476FB"/>
    <w:rsid w:val="00447854"/>
    <w:rsid w:val="00447B58"/>
    <w:rsid w:val="00450013"/>
    <w:rsid w:val="00450709"/>
    <w:rsid w:val="004508C5"/>
    <w:rsid w:val="00450A8E"/>
    <w:rsid w:val="00450C55"/>
    <w:rsid w:val="004514E0"/>
    <w:rsid w:val="004516ED"/>
    <w:rsid w:val="00451E7C"/>
    <w:rsid w:val="004531AD"/>
    <w:rsid w:val="004532BB"/>
    <w:rsid w:val="004534D6"/>
    <w:rsid w:val="00453696"/>
    <w:rsid w:val="0045377E"/>
    <w:rsid w:val="00453DA8"/>
    <w:rsid w:val="004540DE"/>
    <w:rsid w:val="00454359"/>
    <w:rsid w:val="00454638"/>
    <w:rsid w:val="00454961"/>
    <w:rsid w:val="00455031"/>
    <w:rsid w:val="004551EE"/>
    <w:rsid w:val="00455682"/>
    <w:rsid w:val="00455922"/>
    <w:rsid w:val="00456610"/>
    <w:rsid w:val="00456BE9"/>
    <w:rsid w:val="00460061"/>
    <w:rsid w:val="004603B8"/>
    <w:rsid w:val="004607E7"/>
    <w:rsid w:val="004610FB"/>
    <w:rsid w:val="00461667"/>
    <w:rsid w:val="00461CAB"/>
    <w:rsid w:val="00463040"/>
    <w:rsid w:val="00463317"/>
    <w:rsid w:val="00463CCF"/>
    <w:rsid w:val="00463E66"/>
    <w:rsid w:val="0046562A"/>
    <w:rsid w:val="00465DDA"/>
    <w:rsid w:val="00465E8B"/>
    <w:rsid w:val="0046640E"/>
    <w:rsid w:val="00467256"/>
    <w:rsid w:val="00467674"/>
    <w:rsid w:val="00467A24"/>
    <w:rsid w:val="00470443"/>
    <w:rsid w:val="00470652"/>
    <w:rsid w:val="0047201A"/>
    <w:rsid w:val="004729B4"/>
    <w:rsid w:val="0047422F"/>
    <w:rsid w:val="004742C1"/>
    <w:rsid w:val="00477289"/>
    <w:rsid w:val="00477456"/>
    <w:rsid w:val="00477793"/>
    <w:rsid w:val="00477A00"/>
    <w:rsid w:val="00477F75"/>
    <w:rsid w:val="00480059"/>
    <w:rsid w:val="00480DC1"/>
    <w:rsid w:val="00480DE2"/>
    <w:rsid w:val="00481480"/>
    <w:rsid w:val="00481709"/>
    <w:rsid w:val="00481D6F"/>
    <w:rsid w:val="00482162"/>
    <w:rsid w:val="0048291E"/>
    <w:rsid w:val="00482A59"/>
    <w:rsid w:val="00483666"/>
    <w:rsid w:val="004843A9"/>
    <w:rsid w:val="0048472A"/>
    <w:rsid w:val="00484B49"/>
    <w:rsid w:val="00484D59"/>
    <w:rsid w:val="00485526"/>
    <w:rsid w:val="00485F07"/>
    <w:rsid w:val="00486100"/>
    <w:rsid w:val="0048646C"/>
    <w:rsid w:val="00486503"/>
    <w:rsid w:val="004866D8"/>
    <w:rsid w:val="00486987"/>
    <w:rsid w:val="00487537"/>
    <w:rsid w:val="00487B57"/>
    <w:rsid w:val="00487CCD"/>
    <w:rsid w:val="00491CDE"/>
    <w:rsid w:val="00492566"/>
    <w:rsid w:val="00492C10"/>
    <w:rsid w:val="00492E53"/>
    <w:rsid w:val="004933FA"/>
    <w:rsid w:val="004935EE"/>
    <w:rsid w:val="004936C5"/>
    <w:rsid w:val="00493F1E"/>
    <w:rsid w:val="00493F29"/>
    <w:rsid w:val="00493F3D"/>
    <w:rsid w:val="00494354"/>
    <w:rsid w:val="004945B6"/>
    <w:rsid w:val="00494E82"/>
    <w:rsid w:val="00495886"/>
    <w:rsid w:val="0049662F"/>
    <w:rsid w:val="00496E76"/>
    <w:rsid w:val="00497018"/>
    <w:rsid w:val="00497A39"/>
    <w:rsid w:val="00497B27"/>
    <w:rsid w:val="00497F5B"/>
    <w:rsid w:val="004A0666"/>
    <w:rsid w:val="004A19F6"/>
    <w:rsid w:val="004A1CF8"/>
    <w:rsid w:val="004A1F56"/>
    <w:rsid w:val="004A259D"/>
    <w:rsid w:val="004A2E1F"/>
    <w:rsid w:val="004A3892"/>
    <w:rsid w:val="004A4799"/>
    <w:rsid w:val="004A487F"/>
    <w:rsid w:val="004A4B9D"/>
    <w:rsid w:val="004A4CA4"/>
    <w:rsid w:val="004A6288"/>
    <w:rsid w:val="004A6F45"/>
    <w:rsid w:val="004A76E5"/>
    <w:rsid w:val="004A78CA"/>
    <w:rsid w:val="004B02A4"/>
    <w:rsid w:val="004B0356"/>
    <w:rsid w:val="004B0916"/>
    <w:rsid w:val="004B1C66"/>
    <w:rsid w:val="004B1FAC"/>
    <w:rsid w:val="004B2291"/>
    <w:rsid w:val="004B2624"/>
    <w:rsid w:val="004B2A6A"/>
    <w:rsid w:val="004B2E7D"/>
    <w:rsid w:val="004B317D"/>
    <w:rsid w:val="004B4463"/>
    <w:rsid w:val="004B4B08"/>
    <w:rsid w:val="004B53FF"/>
    <w:rsid w:val="004B55ED"/>
    <w:rsid w:val="004B6418"/>
    <w:rsid w:val="004B666A"/>
    <w:rsid w:val="004B6989"/>
    <w:rsid w:val="004B6AD2"/>
    <w:rsid w:val="004B6B15"/>
    <w:rsid w:val="004B763D"/>
    <w:rsid w:val="004B76D4"/>
    <w:rsid w:val="004C0192"/>
    <w:rsid w:val="004C04BD"/>
    <w:rsid w:val="004C0E2B"/>
    <w:rsid w:val="004C1270"/>
    <w:rsid w:val="004C1B57"/>
    <w:rsid w:val="004C1E9C"/>
    <w:rsid w:val="004C36A9"/>
    <w:rsid w:val="004C497E"/>
    <w:rsid w:val="004C4AD3"/>
    <w:rsid w:val="004C53C4"/>
    <w:rsid w:val="004C5844"/>
    <w:rsid w:val="004C6408"/>
    <w:rsid w:val="004C6AD2"/>
    <w:rsid w:val="004C6F26"/>
    <w:rsid w:val="004C7513"/>
    <w:rsid w:val="004C782F"/>
    <w:rsid w:val="004D00C0"/>
    <w:rsid w:val="004D0448"/>
    <w:rsid w:val="004D0BA0"/>
    <w:rsid w:val="004D0BD0"/>
    <w:rsid w:val="004D1D79"/>
    <w:rsid w:val="004D34C3"/>
    <w:rsid w:val="004D45C4"/>
    <w:rsid w:val="004D487B"/>
    <w:rsid w:val="004D4D09"/>
    <w:rsid w:val="004D5792"/>
    <w:rsid w:val="004D6A43"/>
    <w:rsid w:val="004D7C59"/>
    <w:rsid w:val="004E02E5"/>
    <w:rsid w:val="004E15D4"/>
    <w:rsid w:val="004E16F7"/>
    <w:rsid w:val="004E2127"/>
    <w:rsid w:val="004E296C"/>
    <w:rsid w:val="004E2AE2"/>
    <w:rsid w:val="004E3A28"/>
    <w:rsid w:val="004E3C34"/>
    <w:rsid w:val="004E3C87"/>
    <w:rsid w:val="004E3CE1"/>
    <w:rsid w:val="004E41E2"/>
    <w:rsid w:val="004E55B7"/>
    <w:rsid w:val="004E56D9"/>
    <w:rsid w:val="004E5DCB"/>
    <w:rsid w:val="004E637C"/>
    <w:rsid w:val="004E662F"/>
    <w:rsid w:val="004E725F"/>
    <w:rsid w:val="004E790B"/>
    <w:rsid w:val="004E7D1F"/>
    <w:rsid w:val="004F0307"/>
    <w:rsid w:val="004F0C75"/>
    <w:rsid w:val="004F142E"/>
    <w:rsid w:val="004F1517"/>
    <w:rsid w:val="004F1523"/>
    <w:rsid w:val="004F2892"/>
    <w:rsid w:val="004F29DC"/>
    <w:rsid w:val="004F2DD5"/>
    <w:rsid w:val="004F3ECB"/>
    <w:rsid w:val="004F42F7"/>
    <w:rsid w:val="004F45A5"/>
    <w:rsid w:val="004F49AE"/>
    <w:rsid w:val="004F4D44"/>
    <w:rsid w:val="004F58DE"/>
    <w:rsid w:val="004F60F0"/>
    <w:rsid w:val="004F6534"/>
    <w:rsid w:val="004F6FCA"/>
    <w:rsid w:val="004F7292"/>
    <w:rsid w:val="004F7453"/>
    <w:rsid w:val="005005A1"/>
    <w:rsid w:val="00500B8C"/>
    <w:rsid w:val="0050150A"/>
    <w:rsid w:val="005016FD"/>
    <w:rsid w:val="005017CC"/>
    <w:rsid w:val="005027F1"/>
    <w:rsid w:val="00502B48"/>
    <w:rsid w:val="00502EEA"/>
    <w:rsid w:val="00503DD2"/>
    <w:rsid w:val="005046E8"/>
    <w:rsid w:val="005048DA"/>
    <w:rsid w:val="00504C15"/>
    <w:rsid w:val="00504CCB"/>
    <w:rsid w:val="00505537"/>
    <w:rsid w:val="00506754"/>
    <w:rsid w:val="00506C1E"/>
    <w:rsid w:val="00506CCD"/>
    <w:rsid w:val="0050717B"/>
    <w:rsid w:val="005075FF"/>
    <w:rsid w:val="00507647"/>
    <w:rsid w:val="0051007E"/>
    <w:rsid w:val="00510BB6"/>
    <w:rsid w:val="00511D79"/>
    <w:rsid w:val="0051432D"/>
    <w:rsid w:val="005154AD"/>
    <w:rsid w:val="00515628"/>
    <w:rsid w:val="00515BE6"/>
    <w:rsid w:val="005160F6"/>
    <w:rsid w:val="005168F6"/>
    <w:rsid w:val="005173B6"/>
    <w:rsid w:val="00520280"/>
    <w:rsid w:val="00520497"/>
    <w:rsid w:val="00520520"/>
    <w:rsid w:val="00520CEA"/>
    <w:rsid w:val="005213D0"/>
    <w:rsid w:val="00521423"/>
    <w:rsid w:val="005229B8"/>
    <w:rsid w:val="00523135"/>
    <w:rsid w:val="0052318E"/>
    <w:rsid w:val="00523C54"/>
    <w:rsid w:val="00523E78"/>
    <w:rsid w:val="00524020"/>
    <w:rsid w:val="0052466B"/>
    <w:rsid w:val="005248DE"/>
    <w:rsid w:val="00525D3A"/>
    <w:rsid w:val="005261D6"/>
    <w:rsid w:val="005262E7"/>
    <w:rsid w:val="00526A26"/>
    <w:rsid w:val="0053207B"/>
    <w:rsid w:val="00532381"/>
    <w:rsid w:val="005323FA"/>
    <w:rsid w:val="0053380D"/>
    <w:rsid w:val="00533837"/>
    <w:rsid w:val="00534688"/>
    <w:rsid w:val="00534A8F"/>
    <w:rsid w:val="00535A75"/>
    <w:rsid w:val="0053617F"/>
    <w:rsid w:val="005362E8"/>
    <w:rsid w:val="0053654A"/>
    <w:rsid w:val="00536689"/>
    <w:rsid w:val="00536855"/>
    <w:rsid w:val="00536872"/>
    <w:rsid w:val="00536D50"/>
    <w:rsid w:val="00536D89"/>
    <w:rsid w:val="00536F4A"/>
    <w:rsid w:val="00537C9C"/>
    <w:rsid w:val="0054163B"/>
    <w:rsid w:val="00542B31"/>
    <w:rsid w:val="00542F15"/>
    <w:rsid w:val="00545239"/>
    <w:rsid w:val="005454E5"/>
    <w:rsid w:val="00546B8A"/>
    <w:rsid w:val="00546D05"/>
    <w:rsid w:val="00547244"/>
    <w:rsid w:val="00547933"/>
    <w:rsid w:val="005508AD"/>
    <w:rsid w:val="0055098D"/>
    <w:rsid w:val="00550B24"/>
    <w:rsid w:val="00550FD2"/>
    <w:rsid w:val="005513B4"/>
    <w:rsid w:val="00552031"/>
    <w:rsid w:val="00552244"/>
    <w:rsid w:val="005528E7"/>
    <w:rsid w:val="00553018"/>
    <w:rsid w:val="0055382B"/>
    <w:rsid w:val="0055412E"/>
    <w:rsid w:val="0055419D"/>
    <w:rsid w:val="0055583F"/>
    <w:rsid w:val="00556FA0"/>
    <w:rsid w:val="005573C1"/>
    <w:rsid w:val="00557817"/>
    <w:rsid w:val="00557A6F"/>
    <w:rsid w:val="00557ED9"/>
    <w:rsid w:val="005601C1"/>
    <w:rsid w:val="005603EF"/>
    <w:rsid w:val="00560A56"/>
    <w:rsid w:val="00560B40"/>
    <w:rsid w:val="00560CD8"/>
    <w:rsid w:val="005611CE"/>
    <w:rsid w:val="005612EC"/>
    <w:rsid w:val="00561575"/>
    <w:rsid w:val="00561FE3"/>
    <w:rsid w:val="005627B1"/>
    <w:rsid w:val="005631C0"/>
    <w:rsid w:val="0056408D"/>
    <w:rsid w:val="005651D0"/>
    <w:rsid w:val="00565220"/>
    <w:rsid w:val="00565370"/>
    <w:rsid w:val="00565470"/>
    <w:rsid w:val="005658E3"/>
    <w:rsid w:val="00565B06"/>
    <w:rsid w:val="00566941"/>
    <w:rsid w:val="00566DB4"/>
    <w:rsid w:val="005670F9"/>
    <w:rsid w:val="005672F2"/>
    <w:rsid w:val="005678DE"/>
    <w:rsid w:val="0056793E"/>
    <w:rsid w:val="00567C83"/>
    <w:rsid w:val="005700B8"/>
    <w:rsid w:val="0057024B"/>
    <w:rsid w:val="00570292"/>
    <w:rsid w:val="0057092B"/>
    <w:rsid w:val="0057110F"/>
    <w:rsid w:val="00571B2A"/>
    <w:rsid w:val="00572145"/>
    <w:rsid w:val="00572CE9"/>
    <w:rsid w:val="00573A2D"/>
    <w:rsid w:val="005749DA"/>
    <w:rsid w:val="0057769E"/>
    <w:rsid w:val="00580435"/>
    <w:rsid w:val="005805B7"/>
    <w:rsid w:val="00580751"/>
    <w:rsid w:val="005812C5"/>
    <w:rsid w:val="00581990"/>
    <w:rsid w:val="0058223C"/>
    <w:rsid w:val="0058260F"/>
    <w:rsid w:val="00583EF1"/>
    <w:rsid w:val="00585913"/>
    <w:rsid w:val="005865CB"/>
    <w:rsid w:val="00586646"/>
    <w:rsid w:val="00586784"/>
    <w:rsid w:val="00586C4A"/>
    <w:rsid w:val="005871CB"/>
    <w:rsid w:val="00587424"/>
    <w:rsid w:val="005877D3"/>
    <w:rsid w:val="005878DB"/>
    <w:rsid w:val="0058797B"/>
    <w:rsid w:val="00587E29"/>
    <w:rsid w:val="005927A5"/>
    <w:rsid w:val="005936F6"/>
    <w:rsid w:val="00593785"/>
    <w:rsid w:val="005938A2"/>
    <w:rsid w:val="005940FD"/>
    <w:rsid w:val="00595AA4"/>
    <w:rsid w:val="00595B4C"/>
    <w:rsid w:val="0059666A"/>
    <w:rsid w:val="00596851"/>
    <w:rsid w:val="0059713E"/>
    <w:rsid w:val="00597444"/>
    <w:rsid w:val="005A00B5"/>
    <w:rsid w:val="005A08EF"/>
    <w:rsid w:val="005A0AC7"/>
    <w:rsid w:val="005A0E6F"/>
    <w:rsid w:val="005A1051"/>
    <w:rsid w:val="005A16C7"/>
    <w:rsid w:val="005A299D"/>
    <w:rsid w:val="005A328B"/>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321C"/>
    <w:rsid w:val="005B37F7"/>
    <w:rsid w:val="005B3D2A"/>
    <w:rsid w:val="005B45A3"/>
    <w:rsid w:val="005B4D67"/>
    <w:rsid w:val="005B535B"/>
    <w:rsid w:val="005B59CB"/>
    <w:rsid w:val="005B5DAB"/>
    <w:rsid w:val="005B6435"/>
    <w:rsid w:val="005B775D"/>
    <w:rsid w:val="005B790D"/>
    <w:rsid w:val="005C0C8C"/>
    <w:rsid w:val="005C1213"/>
    <w:rsid w:val="005C1661"/>
    <w:rsid w:val="005C17AA"/>
    <w:rsid w:val="005C27A6"/>
    <w:rsid w:val="005C3507"/>
    <w:rsid w:val="005C373C"/>
    <w:rsid w:val="005C3DFA"/>
    <w:rsid w:val="005C4574"/>
    <w:rsid w:val="005C45D7"/>
    <w:rsid w:val="005C4AFE"/>
    <w:rsid w:val="005C5F92"/>
    <w:rsid w:val="005C684D"/>
    <w:rsid w:val="005C6997"/>
    <w:rsid w:val="005C7210"/>
    <w:rsid w:val="005C784C"/>
    <w:rsid w:val="005C786F"/>
    <w:rsid w:val="005C79C9"/>
    <w:rsid w:val="005C7AFE"/>
    <w:rsid w:val="005D02BA"/>
    <w:rsid w:val="005D0A54"/>
    <w:rsid w:val="005D0B56"/>
    <w:rsid w:val="005D0F20"/>
    <w:rsid w:val="005D10E6"/>
    <w:rsid w:val="005D1294"/>
    <w:rsid w:val="005D25F9"/>
    <w:rsid w:val="005D3885"/>
    <w:rsid w:val="005D3F38"/>
    <w:rsid w:val="005D500D"/>
    <w:rsid w:val="005D51FF"/>
    <w:rsid w:val="005D5CE7"/>
    <w:rsid w:val="005D625F"/>
    <w:rsid w:val="005D6357"/>
    <w:rsid w:val="005D6D4B"/>
    <w:rsid w:val="005D6FB7"/>
    <w:rsid w:val="005D70FE"/>
    <w:rsid w:val="005E0FBD"/>
    <w:rsid w:val="005E11B5"/>
    <w:rsid w:val="005E2AFF"/>
    <w:rsid w:val="005E3430"/>
    <w:rsid w:val="005E396E"/>
    <w:rsid w:val="005E3D79"/>
    <w:rsid w:val="005E477F"/>
    <w:rsid w:val="005E4D25"/>
    <w:rsid w:val="005E4DCC"/>
    <w:rsid w:val="005E5151"/>
    <w:rsid w:val="005E5214"/>
    <w:rsid w:val="005E5F08"/>
    <w:rsid w:val="005E658F"/>
    <w:rsid w:val="005E7885"/>
    <w:rsid w:val="005F0613"/>
    <w:rsid w:val="005F0850"/>
    <w:rsid w:val="005F0A72"/>
    <w:rsid w:val="005F0ADB"/>
    <w:rsid w:val="005F0F9C"/>
    <w:rsid w:val="005F101C"/>
    <w:rsid w:val="005F12E1"/>
    <w:rsid w:val="005F1F1F"/>
    <w:rsid w:val="005F1F64"/>
    <w:rsid w:val="005F29AA"/>
    <w:rsid w:val="005F2E3B"/>
    <w:rsid w:val="005F334D"/>
    <w:rsid w:val="005F38B1"/>
    <w:rsid w:val="005F3B90"/>
    <w:rsid w:val="005F3BC1"/>
    <w:rsid w:val="005F3D78"/>
    <w:rsid w:val="005F4276"/>
    <w:rsid w:val="005F4746"/>
    <w:rsid w:val="005F4791"/>
    <w:rsid w:val="005F4CCA"/>
    <w:rsid w:val="005F50F3"/>
    <w:rsid w:val="005F55C1"/>
    <w:rsid w:val="005F5C1E"/>
    <w:rsid w:val="005F5EAC"/>
    <w:rsid w:val="005F5FB6"/>
    <w:rsid w:val="005F6107"/>
    <w:rsid w:val="005F61AE"/>
    <w:rsid w:val="005F6F92"/>
    <w:rsid w:val="005F7C3B"/>
    <w:rsid w:val="005F7E8D"/>
    <w:rsid w:val="00600398"/>
    <w:rsid w:val="00600A90"/>
    <w:rsid w:val="00600DCD"/>
    <w:rsid w:val="0060129B"/>
    <w:rsid w:val="006017EB"/>
    <w:rsid w:val="006020AC"/>
    <w:rsid w:val="00602E24"/>
    <w:rsid w:val="00602E6A"/>
    <w:rsid w:val="006046C8"/>
    <w:rsid w:val="00604E35"/>
    <w:rsid w:val="0060528E"/>
    <w:rsid w:val="00605574"/>
    <w:rsid w:val="00606941"/>
    <w:rsid w:val="006072E7"/>
    <w:rsid w:val="0061131E"/>
    <w:rsid w:val="00611B2A"/>
    <w:rsid w:val="006122AE"/>
    <w:rsid w:val="006130AE"/>
    <w:rsid w:val="00613CB7"/>
    <w:rsid w:val="00613E1F"/>
    <w:rsid w:val="0061448D"/>
    <w:rsid w:val="00614C4F"/>
    <w:rsid w:val="00614DC7"/>
    <w:rsid w:val="00615AA2"/>
    <w:rsid w:val="00616245"/>
    <w:rsid w:val="00616395"/>
    <w:rsid w:val="0062044D"/>
    <w:rsid w:val="0062044E"/>
    <w:rsid w:val="00620606"/>
    <w:rsid w:val="00620639"/>
    <w:rsid w:val="00620EE7"/>
    <w:rsid w:val="00621018"/>
    <w:rsid w:val="0062169F"/>
    <w:rsid w:val="00621D10"/>
    <w:rsid w:val="006229C0"/>
    <w:rsid w:val="00622CB5"/>
    <w:rsid w:val="00623A30"/>
    <w:rsid w:val="0062476E"/>
    <w:rsid w:val="006248E6"/>
    <w:rsid w:val="00624EC6"/>
    <w:rsid w:val="0062534F"/>
    <w:rsid w:val="006270FF"/>
    <w:rsid w:val="006279E4"/>
    <w:rsid w:val="00627E13"/>
    <w:rsid w:val="00630222"/>
    <w:rsid w:val="00630459"/>
    <w:rsid w:val="00630F6F"/>
    <w:rsid w:val="00631505"/>
    <w:rsid w:val="00632245"/>
    <w:rsid w:val="0063225C"/>
    <w:rsid w:val="006327BB"/>
    <w:rsid w:val="00632FD3"/>
    <w:rsid w:val="006335EF"/>
    <w:rsid w:val="00633EE8"/>
    <w:rsid w:val="006348C2"/>
    <w:rsid w:val="00634A4C"/>
    <w:rsid w:val="00634DE6"/>
    <w:rsid w:val="0063508F"/>
    <w:rsid w:val="006372BF"/>
    <w:rsid w:val="00637322"/>
    <w:rsid w:val="00637434"/>
    <w:rsid w:val="0063785D"/>
    <w:rsid w:val="0064055F"/>
    <w:rsid w:val="0064076F"/>
    <w:rsid w:val="00640CA8"/>
    <w:rsid w:val="00640EF7"/>
    <w:rsid w:val="006418E5"/>
    <w:rsid w:val="006421EA"/>
    <w:rsid w:val="00642772"/>
    <w:rsid w:val="00642ED3"/>
    <w:rsid w:val="006431C8"/>
    <w:rsid w:val="006439AE"/>
    <w:rsid w:val="006441C1"/>
    <w:rsid w:val="006446BC"/>
    <w:rsid w:val="0064578A"/>
    <w:rsid w:val="00645953"/>
    <w:rsid w:val="00646614"/>
    <w:rsid w:val="00646BC6"/>
    <w:rsid w:val="00646CCC"/>
    <w:rsid w:val="00646D03"/>
    <w:rsid w:val="00651109"/>
    <w:rsid w:val="006517A0"/>
    <w:rsid w:val="00651A1C"/>
    <w:rsid w:val="006536AF"/>
    <w:rsid w:val="00654230"/>
    <w:rsid w:val="00655371"/>
    <w:rsid w:val="00655DFD"/>
    <w:rsid w:val="006562D8"/>
    <w:rsid w:val="00656B2E"/>
    <w:rsid w:val="00656B88"/>
    <w:rsid w:val="00657332"/>
    <w:rsid w:val="00657C33"/>
    <w:rsid w:val="006605F9"/>
    <w:rsid w:val="006606BF"/>
    <w:rsid w:val="00660999"/>
    <w:rsid w:val="00660BC7"/>
    <w:rsid w:val="00661E42"/>
    <w:rsid w:val="006620E0"/>
    <w:rsid w:val="006630BE"/>
    <w:rsid w:val="00664805"/>
    <w:rsid w:val="00664B10"/>
    <w:rsid w:val="00664E88"/>
    <w:rsid w:val="006650D3"/>
    <w:rsid w:val="006653B3"/>
    <w:rsid w:val="006654A9"/>
    <w:rsid w:val="006667E1"/>
    <w:rsid w:val="00670317"/>
    <w:rsid w:val="0067093E"/>
    <w:rsid w:val="006713AB"/>
    <w:rsid w:val="00671976"/>
    <w:rsid w:val="00672890"/>
    <w:rsid w:val="00672B19"/>
    <w:rsid w:val="00673B1C"/>
    <w:rsid w:val="00674A59"/>
    <w:rsid w:val="00674C74"/>
    <w:rsid w:val="00674DC4"/>
    <w:rsid w:val="00675260"/>
    <w:rsid w:val="00675350"/>
    <w:rsid w:val="0067650E"/>
    <w:rsid w:val="0067657F"/>
    <w:rsid w:val="00676E14"/>
    <w:rsid w:val="00676F2E"/>
    <w:rsid w:val="00677896"/>
    <w:rsid w:val="00677AAE"/>
    <w:rsid w:val="00677ABE"/>
    <w:rsid w:val="00677DB8"/>
    <w:rsid w:val="00680141"/>
    <w:rsid w:val="00680FCC"/>
    <w:rsid w:val="006811FF"/>
    <w:rsid w:val="00681B16"/>
    <w:rsid w:val="00681BF8"/>
    <w:rsid w:val="00681E6F"/>
    <w:rsid w:val="00682287"/>
    <w:rsid w:val="006822B5"/>
    <w:rsid w:val="00683102"/>
    <w:rsid w:val="0068317C"/>
    <w:rsid w:val="006832D6"/>
    <w:rsid w:val="00683CE9"/>
    <w:rsid w:val="006841BF"/>
    <w:rsid w:val="006845A4"/>
    <w:rsid w:val="00684DB1"/>
    <w:rsid w:val="006872CF"/>
    <w:rsid w:val="00687FB6"/>
    <w:rsid w:val="006914EA"/>
    <w:rsid w:val="00691B91"/>
    <w:rsid w:val="006925DD"/>
    <w:rsid w:val="006928AC"/>
    <w:rsid w:val="00692BB2"/>
    <w:rsid w:val="00692BFF"/>
    <w:rsid w:val="00693091"/>
    <w:rsid w:val="00693B60"/>
    <w:rsid w:val="006948AC"/>
    <w:rsid w:val="00694D39"/>
    <w:rsid w:val="006953CA"/>
    <w:rsid w:val="006954EC"/>
    <w:rsid w:val="006959D6"/>
    <w:rsid w:val="00695EC8"/>
    <w:rsid w:val="00696909"/>
    <w:rsid w:val="00697114"/>
    <w:rsid w:val="00697BC6"/>
    <w:rsid w:val="00697E84"/>
    <w:rsid w:val="006A1119"/>
    <w:rsid w:val="006A1B84"/>
    <w:rsid w:val="006A1FEF"/>
    <w:rsid w:val="006A27C2"/>
    <w:rsid w:val="006A2EBD"/>
    <w:rsid w:val="006A3009"/>
    <w:rsid w:val="006A3ACE"/>
    <w:rsid w:val="006A3E7B"/>
    <w:rsid w:val="006A4D9B"/>
    <w:rsid w:val="006A6950"/>
    <w:rsid w:val="006A7210"/>
    <w:rsid w:val="006A757D"/>
    <w:rsid w:val="006A7B32"/>
    <w:rsid w:val="006B002A"/>
    <w:rsid w:val="006B130C"/>
    <w:rsid w:val="006B15F2"/>
    <w:rsid w:val="006B28B5"/>
    <w:rsid w:val="006B32C8"/>
    <w:rsid w:val="006B3A46"/>
    <w:rsid w:val="006B5301"/>
    <w:rsid w:val="006B5544"/>
    <w:rsid w:val="006B698B"/>
    <w:rsid w:val="006B7C2C"/>
    <w:rsid w:val="006C1A19"/>
    <w:rsid w:val="006C221E"/>
    <w:rsid w:val="006C376B"/>
    <w:rsid w:val="006C4319"/>
    <w:rsid w:val="006C440B"/>
    <w:rsid w:val="006C453C"/>
    <w:rsid w:val="006C45C7"/>
    <w:rsid w:val="006C4881"/>
    <w:rsid w:val="006C4BC0"/>
    <w:rsid w:val="006C50E7"/>
    <w:rsid w:val="006C5C73"/>
    <w:rsid w:val="006C5DC3"/>
    <w:rsid w:val="006C616B"/>
    <w:rsid w:val="006C63FB"/>
    <w:rsid w:val="006C6D72"/>
    <w:rsid w:val="006D0115"/>
    <w:rsid w:val="006D0279"/>
    <w:rsid w:val="006D03DF"/>
    <w:rsid w:val="006D1327"/>
    <w:rsid w:val="006D1F03"/>
    <w:rsid w:val="006D1F8F"/>
    <w:rsid w:val="006D2971"/>
    <w:rsid w:val="006D2E24"/>
    <w:rsid w:val="006D38EB"/>
    <w:rsid w:val="006D4A4A"/>
    <w:rsid w:val="006D4ADB"/>
    <w:rsid w:val="006D4D36"/>
    <w:rsid w:val="006D5DCF"/>
    <w:rsid w:val="006D6E79"/>
    <w:rsid w:val="006E017B"/>
    <w:rsid w:val="006E06A9"/>
    <w:rsid w:val="006E0888"/>
    <w:rsid w:val="006E097F"/>
    <w:rsid w:val="006E0E4A"/>
    <w:rsid w:val="006E16C4"/>
    <w:rsid w:val="006E1778"/>
    <w:rsid w:val="006E17B0"/>
    <w:rsid w:val="006E1A8C"/>
    <w:rsid w:val="006E2595"/>
    <w:rsid w:val="006E2694"/>
    <w:rsid w:val="006E2A1F"/>
    <w:rsid w:val="006E2A78"/>
    <w:rsid w:val="006E4FB2"/>
    <w:rsid w:val="006E5500"/>
    <w:rsid w:val="006E58AF"/>
    <w:rsid w:val="006E5D0E"/>
    <w:rsid w:val="006E6261"/>
    <w:rsid w:val="006E65F8"/>
    <w:rsid w:val="006E6A69"/>
    <w:rsid w:val="006E6AC7"/>
    <w:rsid w:val="006E6B4F"/>
    <w:rsid w:val="006E6DD4"/>
    <w:rsid w:val="006E73BA"/>
    <w:rsid w:val="006E7651"/>
    <w:rsid w:val="006E7C40"/>
    <w:rsid w:val="006E7F60"/>
    <w:rsid w:val="006F0181"/>
    <w:rsid w:val="006F03E3"/>
    <w:rsid w:val="006F0660"/>
    <w:rsid w:val="006F0A1F"/>
    <w:rsid w:val="006F0EA8"/>
    <w:rsid w:val="006F0F5F"/>
    <w:rsid w:val="006F150D"/>
    <w:rsid w:val="006F26F3"/>
    <w:rsid w:val="006F2CF3"/>
    <w:rsid w:val="006F3059"/>
    <w:rsid w:val="006F36F5"/>
    <w:rsid w:val="006F3A64"/>
    <w:rsid w:val="006F5987"/>
    <w:rsid w:val="006F5F1A"/>
    <w:rsid w:val="006F6C67"/>
    <w:rsid w:val="006F6EB9"/>
    <w:rsid w:val="006F7078"/>
    <w:rsid w:val="00700222"/>
    <w:rsid w:val="007002FB"/>
    <w:rsid w:val="0070040B"/>
    <w:rsid w:val="007008C7"/>
    <w:rsid w:val="007008D0"/>
    <w:rsid w:val="00701188"/>
    <w:rsid w:val="0070137E"/>
    <w:rsid w:val="0070287D"/>
    <w:rsid w:val="00702DB9"/>
    <w:rsid w:val="00702E2E"/>
    <w:rsid w:val="00703F39"/>
    <w:rsid w:val="0070554F"/>
    <w:rsid w:val="00705942"/>
    <w:rsid w:val="00705AB2"/>
    <w:rsid w:val="0070619A"/>
    <w:rsid w:val="0070678A"/>
    <w:rsid w:val="00707173"/>
    <w:rsid w:val="00707607"/>
    <w:rsid w:val="0071055F"/>
    <w:rsid w:val="0071095F"/>
    <w:rsid w:val="007118EB"/>
    <w:rsid w:val="00712C57"/>
    <w:rsid w:val="007136CC"/>
    <w:rsid w:val="00713902"/>
    <w:rsid w:val="00713B9A"/>
    <w:rsid w:val="00714281"/>
    <w:rsid w:val="00714BEF"/>
    <w:rsid w:val="00714DED"/>
    <w:rsid w:val="007157C8"/>
    <w:rsid w:val="007161CE"/>
    <w:rsid w:val="00716B38"/>
    <w:rsid w:val="00717EE2"/>
    <w:rsid w:val="007206D3"/>
    <w:rsid w:val="00721BEF"/>
    <w:rsid w:val="00722055"/>
    <w:rsid w:val="007228F2"/>
    <w:rsid w:val="00722C23"/>
    <w:rsid w:val="007246ED"/>
    <w:rsid w:val="0072578A"/>
    <w:rsid w:val="00725A8D"/>
    <w:rsid w:val="00727851"/>
    <w:rsid w:val="00727B18"/>
    <w:rsid w:val="00727FA5"/>
    <w:rsid w:val="007314A9"/>
    <w:rsid w:val="007318E5"/>
    <w:rsid w:val="00731984"/>
    <w:rsid w:val="00733157"/>
    <w:rsid w:val="007333F4"/>
    <w:rsid w:val="00733EE3"/>
    <w:rsid w:val="00733F89"/>
    <w:rsid w:val="00734A03"/>
    <w:rsid w:val="007372F4"/>
    <w:rsid w:val="00737A2D"/>
    <w:rsid w:val="00737FDC"/>
    <w:rsid w:val="007400AC"/>
    <w:rsid w:val="007406F0"/>
    <w:rsid w:val="0074189A"/>
    <w:rsid w:val="00741BAA"/>
    <w:rsid w:val="00741E2A"/>
    <w:rsid w:val="007421DB"/>
    <w:rsid w:val="0074274E"/>
    <w:rsid w:val="00742DC7"/>
    <w:rsid w:val="00744BA5"/>
    <w:rsid w:val="0074528C"/>
    <w:rsid w:val="00745567"/>
    <w:rsid w:val="00745D02"/>
    <w:rsid w:val="00745D65"/>
    <w:rsid w:val="00745F54"/>
    <w:rsid w:val="007461D4"/>
    <w:rsid w:val="007463A4"/>
    <w:rsid w:val="00746C32"/>
    <w:rsid w:val="00747802"/>
    <w:rsid w:val="00747E9F"/>
    <w:rsid w:val="00747F86"/>
    <w:rsid w:val="00750184"/>
    <w:rsid w:val="007520CE"/>
    <w:rsid w:val="00752414"/>
    <w:rsid w:val="00752573"/>
    <w:rsid w:val="00752A09"/>
    <w:rsid w:val="007548EC"/>
    <w:rsid w:val="00754B63"/>
    <w:rsid w:val="0075548A"/>
    <w:rsid w:val="00756180"/>
    <w:rsid w:val="00756636"/>
    <w:rsid w:val="007566F3"/>
    <w:rsid w:val="00756BC6"/>
    <w:rsid w:val="00756F23"/>
    <w:rsid w:val="00757736"/>
    <w:rsid w:val="00760777"/>
    <w:rsid w:val="0076292B"/>
    <w:rsid w:val="00762B3F"/>
    <w:rsid w:val="00762B7E"/>
    <w:rsid w:val="007637A9"/>
    <w:rsid w:val="00763B8B"/>
    <w:rsid w:val="0076417B"/>
    <w:rsid w:val="00764C92"/>
    <w:rsid w:val="007651DB"/>
    <w:rsid w:val="0076552A"/>
    <w:rsid w:val="007674EC"/>
    <w:rsid w:val="007675BE"/>
    <w:rsid w:val="0077012E"/>
    <w:rsid w:val="00770158"/>
    <w:rsid w:val="00770B56"/>
    <w:rsid w:val="00770EC4"/>
    <w:rsid w:val="007710A5"/>
    <w:rsid w:val="007717BF"/>
    <w:rsid w:val="0077225D"/>
    <w:rsid w:val="00772E28"/>
    <w:rsid w:val="007730FE"/>
    <w:rsid w:val="007734C9"/>
    <w:rsid w:val="00773560"/>
    <w:rsid w:val="007736D0"/>
    <w:rsid w:val="007737B8"/>
    <w:rsid w:val="0077463A"/>
    <w:rsid w:val="007747D1"/>
    <w:rsid w:val="00776341"/>
    <w:rsid w:val="007767C3"/>
    <w:rsid w:val="00776BC9"/>
    <w:rsid w:val="00777325"/>
    <w:rsid w:val="0077786E"/>
    <w:rsid w:val="00777E53"/>
    <w:rsid w:val="007801E4"/>
    <w:rsid w:val="00780A67"/>
    <w:rsid w:val="00780A9A"/>
    <w:rsid w:val="00780AC7"/>
    <w:rsid w:val="00780BED"/>
    <w:rsid w:val="00781105"/>
    <w:rsid w:val="007816AC"/>
    <w:rsid w:val="007817D3"/>
    <w:rsid w:val="0078183C"/>
    <w:rsid w:val="00781D05"/>
    <w:rsid w:val="007823ED"/>
    <w:rsid w:val="007838C6"/>
    <w:rsid w:val="007839AA"/>
    <w:rsid w:val="00783C5E"/>
    <w:rsid w:val="00784784"/>
    <w:rsid w:val="0078491B"/>
    <w:rsid w:val="00784D14"/>
    <w:rsid w:val="00784F1D"/>
    <w:rsid w:val="0078588F"/>
    <w:rsid w:val="00787636"/>
    <w:rsid w:val="00787B5A"/>
    <w:rsid w:val="007906B4"/>
    <w:rsid w:val="00791372"/>
    <w:rsid w:val="007916AA"/>
    <w:rsid w:val="007919DB"/>
    <w:rsid w:val="00791A91"/>
    <w:rsid w:val="007929EE"/>
    <w:rsid w:val="00792B92"/>
    <w:rsid w:val="00792E68"/>
    <w:rsid w:val="00792FF5"/>
    <w:rsid w:val="007930CD"/>
    <w:rsid w:val="00793F64"/>
    <w:rsid w:val="00795243"/>
    <w:rsid w:val="0079532A"/>
    <w:rsid w:val="00795D00"/>
    <w:rsid w:val="0079678C"/>
    <w:rsid w:val="00796F83"/>
    <w:rsid w:val="007972C6"/>
    <w:rsid w:val="00797CE7"/>
    <w:rsid w:val="007A0950"/>
    <w:rsid w:val="007A2176"/>
    <w:rsid w:val="007A2429"/>
    <w:rsid w:val="007A27C4"/>
    <w:rsid w:val="007A34D9"/>
    <w:rsid w:val="007A3771"/>
    <w:rsid w:val="007A39B7"/>
    <w:rsid w:val="007A3A5D"/>
    <w:rsid w:val="007A41EC"/>
    <w:rsid w:val="007A5446"/>
    <w:rsid w:val="007A5766"/>
    <w:rsid w:val="007A5863"/>
    <w:rsid w:val="007A5F29"/>
    <w:rsid w:val="007A6883"/>
    <w:rsid w:val="007A6D85"/>
    <w:rsid w:val="007A6E92"/>
    <w:rsid w:val="007A7F00"/>
    <w:rsid w:val="007B06CC"/>
    <w:rsid w:val="007B1015"/>
    <w:rsid w:val="007B1184"/>
    <w:rsid w:val="007B1A5C"/>
    <w:rsid w:val="007B3AB0"/>
    <w:rsid w:val="007B4168"/>
    <w:rsid w:val="007B433E"/>
    <w:rsid w:val="007B4AB9"/>
    <w:rsid w:val="007B5BF6"/>
    <w:rsid w:val="007B5C2D"/>
    <w:rsid w:val="007B623D"/>
    <w:rsid w:val="007B7058"/>
    <w:rsid w:val="007B74E0"/>
    <w:rsid w:val="007B77EC"/>
    <w:rsid w:val="007B785D"/>
    <w:rsid w:val="007B7B20"/>
    <w:rsid w:val="007C164A"/>
    <w:rsid w:val="007C236F"/>
    <w:rsid w:val="007C2738"/>
    <w:rsid w:val="007C2746"/>
    <w:rsid w:val="007C2BCF"/>
    <w:rsid w:val="007C3645"/>
    <w:rsid w:val="007C429E"/>
    <w:rsid w:val="007C445E"/>
    <w:rsid w:val="007C4B10"/>
    <w:rsid w:val="007C56A9"/>
    <w:rsid w:val="007C5785"/>
    <w:rsid w:val="007C627E"/>
    <w:rsid w:val="007C6C74"/>
    <w:rsid w:val="007C76C8"/>
    <w:rsid w:val="007D03D2"/>
    <w:rsid w:val="007D0A66"/>
    <w:rsid w:val="007D27D9"/>
    <w:rsid w:val="007D2842"/>
    <w:rsid w:val="007D3061"/>
    <w:rsid w:val="007D376D"/>
    <w:rsid w:val="007D3BA1"/>
    <w:rsid w:val="007D401F"/>
    <w:rsid w:val="007D4F2C"/>
    <w:rsid w:val="007D5151"/>
    <w:rsid w:val="007D7383"/>
    <w:rsid w:val="007D7E2A"/>
    <w:rsid w:val="007E1113"/>
    <w:rsid w:val="007E155F"/>
    <w:rsid w:val="007E1BDD"/>
    <w:rsid w:val="007E20BA"/>
    <w:rsid w:val="007E28AC"/>
    <w:rsid w:val="007E2928"/>
    <w:rsid w:val="007E2AA9"/>
    <w:rsid w:val="007E2C07"/>
    <w:rsid w:val="007E3350"/>
    <w:rsid w:val="007E3ABE"/>
    <w:rsid w:val="007E455D"/>
    <w:rsid w:val="007E467A"/>
    <w:rsid w:val="007E51A5"/>
    <w:rsid w:val="007E5E3C"/>
    <w:rsid w:val="007E6085"/>
    <w:rsid w:val="007E65BE"/>
    <w:rsid w:val="007E69AB"/>
    <w:rsid w:val="007E6BB3"/>
    <w:rsid w:val="007F042F"/>
    <w:rsid w:val="007F081A"/>
    <w:rsid w:val="007F0A0A"/>
    <w:rsid w:val="007F1727"/>
    <w:rsid w:val="007F1B48"/>
    <w:rsid w:val="007F1D70"/>
    <w:rsid w:val="007F1E8C"/>
    <w:rsid w:val="007F2464"/>
    <w:rsid w:val="007F248C"/>
    <w:rsid w:val="007F3C2C"/>
    <w:rsid w:val="007F441B"/>
    <w:rsid w:val="007F5555"/>
    <w:rsid w:val="007F5AD1"/>
    <w:rsid w:val="007F5EF6"/>
    <w:rsid w:val="007F6A57"/>
    <w:rsid w:val="007F6BBF"/>
    <w:rsid w:val="007F6EAA"/>
    <w:rsid w:val="007F782D"/>
    <w:rsid w:val="00800136"/>
    <w:rsid w:val="00800575"/>
    <w:rsid w:val="00801CCA"/>
    <w:rsid w:val="0080270C"/>
    <w:rsid w:val="0080270E"/>
    <w:rsid w:val="00802783"/>
    <w:rsid w:val="0080290B"/>
    <w:rsid w:val="0080417F"/>
    <w:rsid w:val="008043A1"/>
    <w:rsid w:val="008045E4"/>
    <w:rsid w:val="008051C9"/>
    <w:rsid w:val="00806D25"/>
    <w:rsid w:val="008110DA"/>
    <w:rsid w:val="0081135B"/>
    <w:rsid w:val="00812EDE"/>
    <w:rsid w:val="0081304C"/>
    <w:rsid w:val="00813373"/>
    <w:rsid w:val="0081353E"/>
    <w:rsid w:val="00814CE6"/>
    <w:rsid w:val="0081696A"/>
    <w:rsid w:val="00816EBB"/>
    <w:rsid w:val="008170CE"/>
    <w:rsid w:val="00817642"/>
    <w:rsid w:val="0082018D"/>
    <w:rsid w:val="00821C08"/>
    <w:rsid w:val="00821D78"/>
    <w:rsid w:val="0082313D"/>
    <w:rsid w:val="00823153"/>
    <w:rsid w:val="0082333A"/>
    <w:rsid w:val="008235A6"/>
    <w:rsid w:val="00823718"/>
    <w:rsid w:val="008240B3"/>
    <w:rsid w:val="0082410C"/>
    <w:rsid w:val="00824186"/>
    <w:rsid w:val="008248CE"/>
    <w:rsid w:val="00826265"/>
    <w:rsid w:val="00826288"/>
    <w:rsid w:val="008264E8"/>
    <w:rsid w:val="00826980"/>
    <w:rsid w:val="008277D5"/>
    <w:rsid w:val="008303D2"/>
    <w:rsid w:val="008313D1"/>
    <w:rsid w:val="008325BF"/>
    <w:rsid w:val="00832658"/>
    <w:rsid w:val="00832E14"/>
    <w:rsid w:val="00833150"/>
    <w:rsid w:val="00834231"/>
    <w:rsid w:val="008344B3"/>
    <w:rsid w:val="00834CEE"/>
    <w:rsid w:val="00834EA0"/>
    <w:rsid w:val="00836163"/>
    <w:rsid w:val="008368B9"/>
    <w:rsid w:val="008368E9"/>
    <w:rsid w:val="00837134"/>
    <w:rsid w:val="0083735B"/>
    <w:rsid w:val="0083787C"/>
    <w:rsid w:val="008378CA"/>
    <w:rsid w:val="00840131"/>
    <w:rsid w:val="008403BF"/>
    <w:rsid w:val="00840A7D"/>
    <w:rsid w:val="00841D48"/>
    <w:rsid w:val="00842CE2"/>
    <w:rsid w:val="0084355E"/>
    <w:rsid w:val="008439AB"/>
    <w:rsid w:val="00844042"/>
    <w:rsid w:val="008447D4"/>
    <w:rsid w:val="008464F6"/>
    <w:rsid w:val="00846FC6"/>
    <w:rsid w:val="0084736E"/>
    <w:rsid w:val="00847BDD"/>
    <w:rsid w:val="00851680"/>
    <w:rsid w:val="00851BBA"/>
    <w:rsid w:val="0085254F"/>
    <w:rsid w:val="00852DE2"/>
    <w:rsid w:val="008540D0"/>
    <w:rsid w:val="00854918"/>
    <w:rsid w:val="008553AA"/>
    <w:rsid w:val="00855BAE"/>
    <w:rsid w:val="00856DFA"/>
    <w:rsid w:val="00857B23"/>
    <w:rsid w:val="0086027E"/>
    <w:rsid w:val="008603B7"/>
    <w:rsid w:val="00861681"/>
    <w:rsid w:val="00861B04"/>
    <w:rsid w:val="00863552"/>
    <w:rsid w:val="00863A44"/>
    <w:rsid w:val="00864042"/>
    <w:rsid w:val="00864AE7"/>
    <w:rsid w:val="00864B06"/>
    <w:rsid w:val="00865BC3"/>
    <w:rsid w:val="0086628D"/>
    <w:rsid w:val="008662A7"/>
    <w:rsid w:val="0086762E"/>
    <w:rsid w:val="00867691"/>
    <w:rsid w:val="00867E3B"/>
    <w:rsid w:val="00870161"/>
    <w:rsid w:val="00870708"/>
    <w:rsid w:val="00870782"/>
    <w:rsid w:val="008707B8"/>
    <w:rsid w:val="00871C82"/>
    <w:rsid w:val="008723AE"/>
    <w:rsid w:val="008726D6"/>
    <w:rsid w:val="008732ED"/>
    <w:rsid w:val="008733D7"/>
    <w:rsid w:val="008737F3"/>
    <w:rsid w:val="00873938"/>
    <w:rsid w:val="00873A79"/>
    <w:rsid w:val="00874C47"/>
    <w:rsid w:val="00874D4F"/>
    <w:rsid w:val="00874DFA"/>
    <w:rsid w:val="008755B8"/>
    <w:rsid w:val="00875AAC"/>
    <w:rsid w:val="00875D0E"/>
    <w:rsid w:val="00875EFD"/>
    <w:rsid w:val="00876641"/>
    <w:rsid w:val="008771EE"/>
    <w:rsid w:val="0087737B"/>
    <w:rsid w:val="00877D5F"/>
    <w:rsid w:val="00880E16"/>
    <w:rsid w:val="00880F2B"/>
    <w:rsid w:val="00881330"/>
    <w:rsid w:val="008817D2"/>
    <w:rsid w:val="00881C8C"/>
    <w:rsid w:val="00882464"/>
    <w:rsid w:val="00882833"/>
    <w:rsid w:val="00882FC1"/>
    <w:rsid w:val="00883CEE"/>
    <w:rsid w:val="00883D25"/>
    <w:rsid w:val="00884A53"/>
    <w:rsid w:val="00884AAC"/>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3FAF"/>
    <w:rsid w:val="00894B07"/>
    <w:rsid w:val="00894D05"/>
    <w:rsid w:val="00894EE4"/>
    <w:rsid w:val="0089507F"/>
    <w:rsid w:val="00896C03"/>
    <w:rsid w:val="00896EFD"/>
    <w:rsid w:val="008974FE"/>
    <w:rsid w:val="00897F5D"/>
    <w:rsid w:val="008A01B8"/>
    <w:rsid w:val="008A0F38"/>
    <w:rsid w:val="008A1BF8"/>
    <w:rsid w:val="008A1E13"/>
    <w:rsid w:val="008A353B"/>
    <w:rsid w:val="008A54E7"/>
    <w:rsid w:val="008A5BDF"/>
    <w:rsid w:val="008A6A26"/>
    <w:rsid w:val="008A6BAF"/>
    <w:rsid w:val="008A6F28"/>
    <w:rsid w:val="008A7640"/>
    <w:rsid w:val="008A79A1"/>
    <w:rsid w:val="008B08A8"/>
    <w:rsid w:val="008B0934"/>
    <w:rsid w:val="008B09E4"/>
    <w:rsid w:val="008B0B15"/>
    <w:rsid w:val="008B10CB"/>
    <w:rsid w:val="008B17E9"/>
    <w:rsid w:val="008B1E15"/>
    <w:rsid w:val="008B1E21"/>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3975"/>
    <w:rsid w:val="008C47BA"/>
    <w:rsid w:val="008C5185"/>
    <w:rsid w:val="008C55EB"/>
    <w:rsid w:val="008C67E5"/>
    <w:rsid w:val="008C6C0B"/>
    <w:rsid w:val="008C73C3"/>
    <w:rsid w:val="008C766F"/>
    <w:rsid w:val="008D0819"/>
    <w:rsid w:val="008D0859"/>
    <w:rsid w:val="008D14CF"/>
    <w:rsid w:val="008D297A"/>
    <w:rsid w:val="008D2B08"/>
    <w:rsid w:val="008D35B1"/>
    <w:rsid w:val="008D4205"/>
    <w:rsid w:val="008D49C9"/>
    <w:rsid w:val="008D5FAB"/>
    <w:rsid w:val="008D6020"/>
    <w:rsid w:val="008D63E9"/>
    <w:rsid w:val="008D6BBC"/>
    <w:rsid w:val="008D7455"/>
    <w:rsid w:val="008D74D0"/>
    <w:rsid w:val="008D74EB"/>
    <w:rsid w:val="008D7BCB"/>
    <w:rsid w:val="008E0C42"/>
    <w:rsid w:val="008E1494"/>
    <w:rsid w:val="008E15EA"/>
    <w:rsid w:val="008E1B5A"/>
    <w:rsid w:val="008E2F74"/>
    <w:rsid w:val="008E3532"/>
    <w:rsid w:val="008E3E3E"/>
    <w:rsid w:val="008E4681"/>
    <w:rsid w:val="008E5216"/>
    <w:rsid w:val="008E55F1"/>
    <w:rsid w:val="008E68A7"/>
    <w:rsid w:val="008E728C"/>
    <w:rsid w:val="008E7327"/>
    <w:rsid w:val="008E78BF"/>
    <w:rsid w:val="008F01F0"/>
    <w:rsid w:val="008F03CC"/>
    <w:rsid w:val="008F087E"/>
    <w:rsid w:val="008F189D"/>
    <w:rsid w:val="008F1B54"/>
    <w:rsid w:val="008F255D"/>
    <w:rsid w:val="008F2853"/>
    <w:rsid w:val="008F3209"/>
    <w:rsid w:val="008F3A03"/>
    <w:rsid w:val="008F3FDD"/>
    <w:rsid w:val="008F64D5"/>
    <w:rsid w:val="008F702F"/>
    <w:rsid w:val="008F70E1"/>
    <w:rsid w:val="008F735D"/>
    <w:rsid w:val="008F78C0"/>
    <w:rsid w:val="009012A5"/>
    <w:rsid w:val="00901A8A"/>
    <w:rsid w:val="0090208D"/>
    <w:rsid w:val="009024C4"/>
    <w:rsid w:val="009029DE"/>
    <w:rsid w:val="00902EBC"/>
    <w:rsid w:val="0090316E"/>
    <w:rsid w:val="009032CC"/>
    <w:rsid w:val="0090353B"/>
    <w:rsid w:val="009040EB"/>
    <w:rsid w:val="009045E3"/>
    <w:rsid w:val="0090627F"/>
    <w:rsid w:val="0090766A"/>
    <w:rsid w:val="00907B64"/>
    <w:rsid w:val="009101A0"/>
    <w:rsid w:val="009101A1"/>
    <w:rsid w:val="0091055F"/>
    <w:rsid w:val="009115D6"/>
    <w:rsid w:val="00912AAC"/>
    <w:rsid w:val="00913442"/>
    <w:rsid w:val="00913CB2"/>
    <w:rsid w:val="00913E0F"/>
    <w:rsid w:val="00915D22"/>
    <w:rsid w:val="00915ECE"/>
    <w:rsid w:val="0091610D"/>
    <w:rsid w:val="009163AD"/>
    <w:rsid w:val="009166B8"/>
    <w:rsid w:val="00916EFB"/>
    <w:rsid w:val="009201EE"/>
    <w:rsid w:val="009209BD"/>
    <w:rsid w:val="009212C2"/>
    <w:rsid w:val="00921361"/>
    <w:rsid w:val="0092191C"/>
    <w:rsid w:val="00922464"/>
    <w:rsid w:val="00922D98"/>
    <w:rsid w:val="00923600"/>
    <w:rsid w:val="0092394D"/>
    <w:rsid w:val="00923AC1"/>
    <w:rsid w:val="00923BAC"/>
    <w:rsid w:val="00923E46"/>
    <w:rsid w:val="00923E7D"/>
    <w:rsid w:val="00925FA1"/>
    <w:rsid w:val="00926019"/>
    <w:rsid w:val="0092634E"/>
    <w:rsid w:val="00926A42"/>
    <w:rsid w:val="0092700E"/>
    <w:rsid w:val="00927194"/>
    <w:rsid w:val="009276B1"/>
    <w:rsid w:val="009301AE"/>
    <w:rsid w:val="0093039C"/>
    <w:rsid w:val="00930F58"/>
    <w:rsid w:val="00932182"/>
    <w:rsid w:val="00932A54"/>
    <w:rsid w:val="00932C21"/>
    <w:rsid w:val="00933057"/>
    <w:rsid w:val="009333DA"/>
    <w:rsid w:val="0093379B"/>
    <w:rsid w:val="00933B5D"/>
    <w:rsid w:val="00933BE8"/>
    <w:rsid w:val="00933C65"/>
    <w:rsid w:val="00933CA9"/>
    <w:rsid w:val="00934CDB"/>
    <w:rsid w:val="00936B38"/>
    <w:rsid w:val="00936B7E"/>
    <w:rsid w:val="00937046"/>
    <w:rsid w:val="009370FF"/>
    <w:rsid w:val="009375FD"/>
    <w:rsid w:val="00937911"/>
    <w:rsid w:val="00941CE3"/>
    <w:rsid w:val="00942B91"/>
    <w:rsid w:val="00943A37"/>
    <w:rsid w:val="00944258"/>
    <w:rsid w:val="00944518"/>
    <w:rsid w:val="00944F09"/>
    <w:rsid w:val="0094537C"/>
    <w:rsid w:val="00945899"/>
    <w:rsid w:val="009460D9"/>
    <w:rsid w:val="00946B3E"/>
    <w:rsid w:val="00946D21"/>
    <w:rsid w:val="009474A0"/>
    <w:rsid w:val="00947ACC"/>
    <w:rsid w:val="00947B58"/>
    <w:rsid w:val="00947ECA"/>
    <w:rsid w:val="00950865"/>
    <w:rsid w:val="00950C35"/>
    <w:rsid w:val="00951444"/>
    <w:rsid w:val="00951816"/>
    <w:rsid w:val="0095273E"/>
    <w:rsid w:val="00952C40"/>
    <w:rsid w:val="00953589"/>
    <w:rsid w:val="009535F6"/>
    <w:rsid w:val="00953A15"/>
    <w:rsid w:val="00954DB3"/>
    <w:rsid w:val="00955755"/>
    <w:rsid w:val="00956091"/>
    <w:rsid w:val="009564B0"/>
    <w:rsid w:val="00957D5A"/>
    <w:rsid w:val="0096023A"/>
    <w:rsid w:val="009602F2"/>
    <w:rsid w:val="0096059E"/>
    <w:rsid w:val="00960F4B"/>
    <w:rsid w:val="0096139B"/>
    <w:rsid w:val="00961AFF"/>
    <w:rsid w:val="009634B8"/>
    <w:rsid w:val="0096394B"/>
    <w:rsid w:val="00963ED8"/>
    <w:rsid w:val="009640D3"/>
    <w:rsid w:val="00964D5A"/>
    <w:rsid w:val="00965C2C"/>
    <w:rsid w:val="00966078"/>
    <w:rsid w:val="00966CA6"/>
    <w:rsid w:val="00970C34"/>
    <w:rsid w:val="0097102C"/>
    <w:rsid w:val="00972702"/>
    <w:rsid w:val="0097275B"/>
    <w:rsid w:val="0097285E"/>
    <w:rsid w:val="00972ED7"/>
    <w:rsid w:val="00973519"/>
    <w:rsid w:val="00973A11"/>
    <w:rsid w:val="0097533B"/>
    <w:rsid w:val="0097578C"/>
    <w:rsid w:val="0097581D"/>
    <w:rsid w:val="00975B95"/>
    <w:rsid w:val="00976CE7"/>
    <w:rsid w:val="00976F30"/>
    <w:rsid w:val="00976F92"/>
    <w:rsid w:val="00977563"/>
    <w:rsid w:val="00977A76"/>
    <w:rsid w:val="00977FE0"/>
    <w:rsid w:val="00980019"/>
    <w:rsid w:val="009804CB"/>
    <w:rsid w:val="009806F1"/>
    <w:rsid w:val="009811F7"/>
    <w:rsid w:val="0098199C"/>
    <w:rsid w:val="00982F14"/>
    <w:rsid w:val="00983CBC"/>
    <w:rsid w:val="00983CFE"/>
    <w:rsid w:val="009842DC"/>
    <w:rsid w:val="0098438F"/>
    <w:rsid w:val="00984EEA"/>
    <w:rsid w:val="00984FC0"/>
    <w:rsid w:val="0098554F"/>
    <w:rsid w:val="009855AE"/>
    <w:rsid w:val="00985667"/>
    <w:rsid w:val="00986287"/>
    <w:rsid w:val="009875FA"/>
    <w:rsid w:val="0098764F"/>
    <w:rsid w:val="0098784D"/>
    <w:rsid w:val="009878CD"/>
    <w:rsid w:val="00987C93"/>
    <w:rsid w:val="00987EA5"/>
    <w:rsid w:val="0099023B"/>
    <w:rsid w:val="009909C3"/>
    <w:rsid w:val="00991216"/>
    <w:rsid w:val="00991349"/>
    <w:rsid w:val="00991354"/>
    <w:rsid w:val="009913D2"/>
    <w:rsid w:val="00991A65"/>
    <w:rsid w:val="00992415"/>
    <w:rsid w:val="009924AE"/>
    <w:rsid w:val="009934BD"/>
    <w:rsid w:val="009935C1"/>
    <w:rsid w:val="00993943"/>
    <w:rsid w:val="00993F01"/>
    <w:rsid w:val="00994035"/>
    <w:rsid w:val="0099436C"/>
    <w:rsid w:val="0099441A"/>
    <w:rsid w:val="0099476D"/>
    <w:rsid w:val="009960CC"/>
    <w:rsid w:val="00996724"/>
    <w:rsid w:val="00996779"/>
    <w:rsid w:val="009A0607"/>
    <w:rsid w:val="009A3457"/>
    <w:rsid w:val="009A357E"/>
    <w:rsid w:val="009A368D"/>
    <w:rsid w:val="009A3D96"/>
    <w:rsid w:val="009A3E02"/>
    <w:rsid w:val="009A4829"/>
    <w:rsid w:val="009A4ACF"/>
    <w:rsid w:val="009A621B"/>
    <w:rsid w:val="009A6ECD"/>
    <w:rsid w:val="009A6EFC"/>
    <w:rsid w:val="009A7E33"/>
    <w:rsid w:val="009B0780"/>
    <w:rsid w:val="009B11D0"/>
    <w:rsid w:val="009B13CF"/>
    <w:rsid w:val="009B16B7"/>
    <w:rsid w:val="009B21D3"/>
    <w:rsid w:val="009B2D7F"/>
    <w:rsid w:val="009B2E9F"/>
    <w:rsid w:val="009B2EB9"/>
    <w:rsid w:val="009B414C"/>
    <w:rsid w:val="009B41C6"/>
    <w:rsid w:val="009B498F"/>
    <w:rsid w:val="009B51AF"/>
    <w:rsid w:val="009B53E1"/>
    <w:rsid w:val="009B5586"/>
    <w:rsid w:val="009B5934"/>
    <w:rsid w:val="009B5EB5"/>
    <w:rsid w:val="009B6EEB"/>
    <w:rsid w:val="009B7205"/>
    <w:rsid w:val="009B72F3"/>
    <w:rsid w:val="009B737A"/>
    <w:rsid w:val="009B7639"/>
    <w:rsid w:val="009B77EE"/>
    <w:rsid w:val="009B7F81"/>
    <w:rsid w:val="009C0449"/>
    <w:rsid w:val="009C04C6"/>
    <w:rsid w:val="009C0C34"/>
    <w:rsid w:val="009C0E53"/>
    <w:rsid w:val="009C13F5"/>
    <w:rsid w:val="009C14DE"/>
    <w:rsid w:val="009C20F0"/>
    <w:rsid w:val="009C336E"/>
    <w:rsid w:val="009C3B4C"/>
    <w:rsid w:val="009C4C7E"/>
    <w:rsid w:val="009C5240"/>
    <w:rsid w:val="009C566F"/>
    <w:rsid w:val="009C56FC"/>
    <w:rsid w:val="009C5ABE"/>
    <w:rsid w:val="009C6600"/>
    <w:rsid w:val="009C690C"/>
    <w:rsid w:val="009C70A3"/>
    <w:rsid w:val="009C72E1"/>
    <w:rsid w:val="009C7776"/>
    <w:rsid w:val="009C7BEF"/>
    <w:rsid w:val="009D02B7"/>
    <w:rsid w:val="009D2726"/>
    <w:rsid w:val="009D2834"/>
    <w:rsid w:val="009D4FAE"/>
    <w:rsid w:val="009D7292"/>
    <w:rsid w:val="009E0B58"/>
    <w:rsid w:val="009E147D"/>
    <w:rsid w:val="009E17C0"/>
    <w:rsid w:val="009E1BC1"/>
    <w:rsid w:val="009E1BF4"/>
    <w:rsid w:val="009E1F8D"/>
    <w:rsid w:val="009E2020"/>
    <w:rsid w:val="009E21C8"/>
    <w:rsid w:val="009E27AA"/>
    <w:rsid w:val="009E2A3E"/>
    <w:rsid w:val="009E4219"/>
    <w:rsid w:val="009E431F"/>
    <w:rsid w:val="009E47C1"/>
    <w:rsid w:val="009E4F4F"/>
    <w:rsid w:val="009E501C"/>
    <w:rsid w:val="009E521F"/>
    <w:rsid w:val="009E5585"/>
    <w:rsid w:val="009E56E2"/>
    <w:rsid w:val="009E5CBF"/>
    <w:rsid w:val="009E621E"/>
    <w:rsid w:val="009E6BBC"/>
    <w:rsid w:val="009F0826"/>
    <w:rsid w:val="009F15A7"/>
    <w:rsid w:val="009F1638"/>
    <w:rsid w:val="009F19E1"/>
    <w:rsid w:val="009F200C"/>
    <w:rsid w:val="009F210D"/>
    <w:rsid w:val="009F287D"/>
    <w:rsid w:val="009F3454"/>
    <w:rsid w:val="009F3BBB"/>
    <w:rsid w:val="009F44FF"/>
    <w:rsid w:val="009F50E1"/>
    <w:rsid w:val="009F57EC"/>
    <w:rsid w:val="009F68AA"/>
    <w:rsid w:val="009F695B"/>
    <w:rsid w:val="009F6F83"/>
    <w:rsid w:val="00A0011F"/>
    <w:rsid w:val="00A00A2A"/>
    <w:rsid w:val="00A02D8B"/>
    <w:rsid w:val="00A02DDE"/>
    <w:rsid w:val="00A0317A"/>
    <w:rsid w:val="00A035A2"/>
    <w:rsid w:val="00A0362D"/>
    <w:rsid w:val="00A037BD"/>
    <w:rsid w:val="00A0384A"/>
    <w:rsid w:val="00A03C44"/>
    <w:rsid w:val="00A041E4"/>
    <w:rsid w:val="00A045F2"/>
    <w:rsid w:val="00A06BDD"/>
    <w:rsid w:val="00A07308"/>
    <w:rsid w:val="00A07345"/>
    <w:rsid w:val="00A07D1C"/>
    <w:rsid w:val="00A07F05"/>
    <w:rsid w:val="00A112F0"/>
    <w:rsid w:val="00A11DD5"/>
    <w:rsid w:val="00A14D37"/>
    <w:rsid w:val="00A1544B"/>
    <w:rsid w:val="00A1659E"/>
    <w:rsid w:val="00A16FAC"/>
    <w:rsid w:val="00A178A9"/>
    <w:rsid w:val="00A17D48"/>
    <w:rsid w:val="00A20927"/>
    <w:rsid w:val="00A21479"/>
    <w:rsid w:val="00A21640"/>
    <w:rsid w:val="00A21747"/>
    <w:rsid w:val="00A2188E"/>
    <w:rsid w:val="00A224F8"/>
    <w:rsid w:val="00A22832"/>
    <w:rsid w:val="00A22AB4"/>
    <w:rsid w:val="00A23FB0"/>
    <w:rsid w:val="00A241BD"/>
    <w:rsid w:val="00A251F4"/>
    <w:rsid w:val="00A26358"/>
    <w:rsid w:val="00A26652"/>
    <w:rsid w:val="00A26AC9"/>
    <w:rsid w:val="00A26BE1"/>
    <w:rsid w:val="00A277E4"/>
    <w:rsid w:val="00A27A5F"/>
    <w:rsid w:val="00A301C7"/>
    <w:rsid w:val="00A30AB2"/>
    <w:rsid w:val="00A316DF"/>
    <w:rsid w:val="00A323E5"/>
    <w:rsid w:val="00A32B87"/>
    <w:rsid w:val="00A3441A"/>
    <w:rsid w:val="00A34B0C"/>
    <w:rsid w:val="00A34E8B"/>
    <w:rsid w:val="00A35996"/>
    <w:rsid w:val="00A35E78"/>
    <w:rsid w:val="00A363C8"/>
    <w:rsid w:val="00A37422"/>
    <w:rsid w:val="00A37478"/>
    <w:rsid w:val="00A37922"/>
    <w:rsid w:val="00A4023F"/>
    <w:rsid w:val="00A4043C"/>
    <w:rsid w:val="00A41276"/>
    <w:rsid w:val="00A4136F"/>
    <w:rsid w:val="00A41873"/>
    <w:rsid w:val="00A41B6D"/>
    <w:rsid w:val="00A41E6E"/>
    <w:rsid w:val="00A41F5A"/>
    <w:rsid w:val="00A421B9"/>
    <w:rsid w:val="00A42493"/>
    <w:rsid w:val="00A43592"/>
    <w:rsid w:val="00A43D18"/>
    <w:rsid w:val="00A43F1F"/>
    <w:rsid w:val="00A44262"/>
    <w:rsid w:val="00A44CBD"/>
    <w:rsid w:val="00A5139A"/>
    <w:rsid w:val="00A52F63"/>
    <w:rsid w:val="00A5436E"/>
    <w:rsid w:val="00A54D38"/>
    <w:rsid w:val="00A550AE"/>
    <w:rsid w:val="00A559C9"/>
    <w:rsid w:val="00A564D4"/>
    <w:rsid w:val="00A56BA0"/>
    <w:rsid w:val="00A57F14"/>
    <w:rsid w:val="00A600ED"/>
    <w:rsid w:val="00A6080C"/>
    <w:rsid w:val="00A61E0B"/>
    <w:rsid w:val="00A6224B"/>
    <w:rsid w:val="00A623BD"/>
    <w:rsid w:val="00A62A82"/>
    <w:rsid w:val="00A6368B"/>
    <w:rsid w:val="00A63B46"/>
    <w:rsid w:val="00A64D8F"/>
    <w:rsid w:val="00A64ED2"/>
    <w:rsid w:val="00A65040"/>
    <w:rsid w:val="00A651BE"/>
    <w:rsid w:val="00A66666"/>
    <w:rsid w:val="00A677E0"/>
    <w:rsid w:val="00A67840"/>
    <w:rsid w:val="00A67966"/>
    <w:rsid w:val="00A70383"/>
    <w:rsid w:val="00A70393"/>
    <w:rsid w:val="00A719AE"/>
    <w:rsid w:val="00A734B1"/>
    <w:rsid w:val="00A74588"/>
    <w:rsid w:val="00A75216"/>
    <w:rsid w:val="00A75999"/>
    <w:rsid w:val="00A75A90"/>
    <w:rsid w:val="00A767C9"/>
    <w:rsid w:val="00A7699E"/>
    <w:rsid w:val="00A769AD"/>
    <w:rsid w:val="00A76DAA"/>
    <w:rsid w:val="00A76F0D"/>
    <w:rsid w:val="00A80636"/>
    <w:rsid w:val="00A80866"/>
    <w:rsid w:val="00A8105D"/>
    <w:rsid w:val="00A811E4"/>
    <w:rsid w:val="00A81FB6"/>
    <w:rsid w:val="00A824FE"/>
    <w:rsid w:val="00A82727"/>
    <w:rsid w:val="00A846B2"/>
    <w:rsid w:val="00A850D2"/>
    <w:rsid w:val="00A856A7"/>
    <w:rsid w:val="00A85E75"/>
    <w:rsid w:val="00A86002"/>
    <w:rsid w:val="00A86104"/>
    <w:rsid w:val="00A86836"/>
    <w:rsid w:val="00A8687B"/>
    <w:rsid w:val="00A873F7"/>
    <w:rsid w:val="00A87773"/>
    <w:rsid w:val="00A877E2"/>
    <w:rsid w:val="00A87C20"/>
    <w:rsid w:val="00A90992"/>
    <w:rsid w:val="00A90C4D"/>
    <w:rsid w:val="00A918BA"/>
    <w:rsid w:val="00A92ACF"/>
    <w:rsid w:val="00A92CE3"/>
    <w:rsid w:val="00A92DAE"/>
    <w:rsid w:val="00A93317"/>
    <w:rsid w:val="00A93F88"/>
    <w:rsid w:val="00A94055"/>
    <w:rsid w:val="00A94056"/>
    <w:rsid w:val="00A94231"/>
    <w:rsid w:val="00A94B5C"/>
    <w:rsid w:val="00A9529C"/>
    <w:rsid w:val="00A9558D"/>
    <w:rsid w:val="00A9577C"/>
    <w:rsid w:val="00A95D47"/>
    <w:rsid w:val="00A964CC"/>
    <w:rsid w:val="00A964D0"/>
    <w:rsid w:val="00A9695C"/>
    <w:rsid w:val="00A9697D"/>
    <w:rsid w:val="00A97928"/>
    <w:rsid w:val="00A97D17"/>
    <w:rsid w:val="00AA038F"/>
    <w:rsid w:val="00AA04CA"/>
    <w:rsid w:val="00AA0EB9"/>
    <w:rsid w:val="00AA13A3"/>
    <w:rsid w:val="00AA18FB"/>
    <w:rsid w:val="00AA1FD0"/>
    <w:rsid w:val="00AA2110"/>
    <w:rsid w:val="00AA2C69"/>
    <w:rsid w:val="00AA32CE"/>
    <w:rsid w:val="00AA3660"/>
    <w:rsid w:val="00AA382B"/>
    <w:rsid w:val="00AA4549"/>
    <w:rsid w:val="00AA4601"/>
    <w:rsid w:val="00AA47E3"/>
    <w:rsid w:val="00AA4DAB"/>
    <w:rsid w:val="00AA4E66"/>
    <w:rsid w:val="00AA4FFC"/>
    <w:rsid w:val="00AA51D2"/>
    <w:rsid w:val="00AA63EB"/>
    <w:rsid w:val="00AA648F"/>
    <w:rsid w:val="00AA6F19"/>
    <w:rsid w:val="00AA7073"/>
    <w:rsid w:val="00AB0120"/>
    <w:rsid w:val="00AB02DB"/>
    <w:rsid w:val="00AB0B13"/>
    <w:rsid w:val="00AB0C37"/>
    <w:rsid w:val="00AB0E61"/>
    <w:rsid w:val="00AB106D"/>
    <w:rsid w:val="00AB1D9F"/>
    <w:rsid w:val="00AB26E6"/>
    <w:rsid w:val="00AB4868"/>
    <w:rsid w:val="00AB499B"/>
    <w:rsid w:val="00AB4E90"/>
    <w:rsid w:val="00AB4FF3"/>
    <w:rsid w:val="00AB51E5"/>
    <w:rsid w:val="00AB53FB"/>
    <w:rsid w:val="00AB541F"/>
    <w:rsid w:val="00AB5906"/>
    <w:rsid w:val="00AB5DC4"/>
    <w:rsid w:val="00AB6092"/>
    <w:rsid w:val="00AB636C"/>
    <w:rsid w:val="00AB6716"/>
    <w:rsid w:val="00AB6937"/>
    <w:rsid w:val="00AB69AA"/>
    <w:rsid w:val="00AB6ADF"/>
    <w:rsid w:val="00AB6ED5"/>
    <w:rsid w:val="00AB6F6D"/>
    <w:rsid w:val="00AB769C"/>
    <w:rsid w:val="00AC052D"/>
    <w:rsid w:val="00AC09F3"/>
    <w:rsid w:val="00AC0B88"/>
    <w:rsid w:val="00AC0E21"/>
    <w:rsid w:val="00AC2F81"/>
    <w:rsid w:val="00AC3332"/>
    <w:rsid w:val="00AC35F0"/>
    <w:rsid w:val="00AC3ADF"/>
    <w:rsid w:val="00AC3EF5"/>
    <w:rsid w:val="00AC48F4"/>
    <w:rsid w:val="00AC5317"/>
    <w:rsid w:val="00AC5EF6"/>
    <w:rsid w:val="00AC6587"/>
    <w:rsid w:val="00AC6E1C"/>
    <w:rsid w:val="00AC7E2C"/>
    <w:rsid w:val="00AD0218"/>
    <w:rsid w:val="00AD07F8"/>
    <w:rsid w:val="00AD0E73"/>
    <w:rsid w:val="00AD0F7B"/>
    <w:rsid w:val="00AD18A8"/>
    <w:rsid w:val="00AD1F9D"/>
    <w:rsid w:val="00AD29DB"/>
    <w:rsid w:val="00AD36A2"/>
    <w:rsid w:val="00AD3A1E"/>
    <w:rsid w:val="00AD3CEC"/>
    <w:rsid w:val="00AD44EF"/>
    <w:rsid w:val="00AD45C8"/>
    <w:rsid w:val="00AD4F49"/>
    <w:rsid w:val="00AD5E9A"/>
    <w:rsid w:val="00AD66DB"/>
    <w:rsid w:val="00AD6AA9"/>
    <w:rsid w:val="00AE0B1E"/>
    <w:rsid w:val="00AE233C"/>
    <w:rsid w:val="00AE2434"/>
    <w:rsid w:val="00AE26DB"/>
    <w:rsid w:val="00AE51FE"/>
    <w:rsid w:val="00AE5313"/>
    <w:rsid w:val="00AE5364"/>
    <w:rsid w:val="00AE6A54"/>
    <w:rsid w:val="00AE720B"/>
    <w:rsid w:val="00AE786D"/>
    <w:rsid w:val="00AE7F27"/>
    <w:rsid w:val="00AF0C7C"/>
    <w:rsid w:val="00AF2C27"/>
    <w:rsid w:val="00AF353E"/>
    <w:rsid w:val="00AF3D70"/>
    <w:rsid w:val="00AF439D"/>
    <w:rsid w:val="00AF442F"/>
    <w:rsid w:val="00AF44B7"/>
    <w:rsid w:val="00AF4926"/>
    <w:rsid w:val="00AF52C6"/>
    <w:rsid w:val="00AF5A60"/>
    <w:rsid w:val="00AF73EA"/>
    <w:rsid w:val="00B00CD6"/>
    <w:rsid w:val="00B00FD2"/>
    <w:rsid w:val="00B0227F"/>
    <w:rsid w:val="00B0344F"/>
    <w:rsid w:val="00B0354B"/>
    <w:rsid w:val="00B059A7"/>
    <w:rsid w:val="00B05BCF"/>
    <w:rsid w:val="00B061BF"/>
    <w:rsid w:val="00B06780"/>
    <w:rsid w:val="00B067C4"/>
    <w:rsid w:val="00B06DC0"/>
    <w:rsid w:val="00B073F1"/>
    <w:rsid w:val="00B07B9A"/>
    <w:rsid w:val="00B07DEC"/>
    <w:rsid w:val="00B07FEE"/>
    <w:rsid w:val="00B102FC"/>
    <w:rsid w:val="00B1057D"/>
    <w:rsid w:val="00B10A34"/>
    <w:rsid w:val="00B110F4"/>
    <w:rsid w:val="00B121E6"/>
    <w:rsid w:val="00B125D5"/>
    <w:rsid w:val="00B127D2"/>
    <w:rsid w:val="00B131C6"/>
    <w:rsid w:val="00B13282"/>
    <w:rsid w:val="00B13596"/>
    <w:rsid w:val="00B156D1"/>
    <w:rsid w:val="00B16429"/>
    <w:rsid w:val="00B16808"/>
    <w:rsid w:val="00B169A4"/>
    <w:rsid w:val="00B16D9A"/>
    <w:rsid w:val="00B20176"/>
    <w:rsid w:val="00B2055C"/>
    <w:rsid w:val="00B207D8"/>
    <w:rsid w:val="00B20C48"/>
    <w:rsid w:val="00B20D3C"/>
    <w:rsid w:val="00B21604"/>
    <w:rsid w:val="00B21940"/>
    <w:rsid w:val="00B21C7D"/>
    <w:rsid w:val="00B22A72"/>
    <w:rsid w:val="00B22AC4"/>
    <w:rsid w:val="00B23174"/>
    <w:rsid w:val="00B24083"/>
    <w:rsid w:val="00B240A5"/>
    <w:rsid w:val="00B24F20"/>
    <w:rsid w:val="00B25DD6"/>
    <w:rsid w:val="00B26209"/>
    <w:rsid w:val="00B27215"/>
    <w:rsid w:val="00B27EA2"/>
    <w:rsid w:val="00B315DB"/>
    <w:rsid w:val="00B319A4"/>
    <w:rsid w:val="00B3204F"/>
    <w:rsid w:val="00B3285B"/>
    <w:rsid w:val="00B32984"/>
    <w:rsid w:val="00B337CA"/>
    <w:rsid w:val="00B33E86"/>
    <w:rsid w:val="00B3428E"/>
    <w:rsid w:val="00B34686"/>
    <w:rsid w:val="00B349AC"/>
    <w:rsid w:val="00B36577"/>
    <w:rsid w:val="00B36ED3"/>
    <w:rsid w:val="00B372A1"/>
    <w:rsid w:val="00B400DB"/>
    <w:rsid w:val="00B42F2E"/>
    <w:rsid w:val="00B43466"/>
    <w:rsid w:val="00B449D1"/>
    <w:rsid w:val="00B44C4F"/>
    <w:rsid w:val="00B45276"/>
    <w:rsid w:val="00B4541F"/>
    <w:rsid w:val="00B45583"/>
    <w:rsid w:val="00B45B7A"/>
    <w:rsid w:val="00B46195"/>
    <w:rsid w:val="00B46836"/>
    <w:rsid w:val="00B46B6A"/>
    <w:rsid w:val="00B46D80"/>
    <w:rsid w:val="00B47314"/>
    <w:rsid w:val="00B47CDE"/>
    <w:rsid w:val="00B47D08"/>
    <w:rsid w:val="00B51292"/>
    <w:rsid w:val="00B521DD"/>
    <w:rsid w:val="00B53257"/>
    <w:rsid w:val="00B53617"/>
    <w:rsid w:val="00B53B68"/>
    <w:rsid w:val="00B53D02"/>
    <w:rsid w:val="00B5450A"/>
    <w:rsid w:val="00B54600"/>
    <w:rsid w:val="00B56587"/>
    <w:rsid w:val="00B56594"/>
    <w:rsid w:val="00B56A88"/>
    <w:rsid w:val="00B5708C"/>
    <w:rsid w:val="00B57E4B"/>
    <w:rsid w:val="00B57E5E"/>
    <w:rsid w:val="00B6023B"/>
    <w:rsid w:val="00B60FCB"/>
    <w:rsid w:val="00B61D17"/>
    <w:rsid w:val="00B63EE9"/>
    <w:rsid w:val="00B64E8F"/>
    <w:rsid w:val="00B6559F"/>
    <w:rsid w:val="00B6597A"/>
    <w:rsid w:val="00B65E65"/>
    <w:rsid w:val="00B66056"/>
    <w:rsid w:val="00B66127"/>
    <w:rsid w:val="00B6617F"/>
    <w:rsid w:val="00B667EB"/>
    <w:rsid w:val="00B66B42"/>
    <w:rsid w:val="00B67071"/>
    <w:rsid w:val="00B6719C"/>
    <w:rsid w:val="00B67E4B"/>
    <w:rsid w:val="00B70A84"/>
    <w:rsid w:val="00B71787"/>
    <w:rsid w:val="00B71B1C"/>
    <w:rsid w:val="00B71C39"/>
    <w:rsid w:val="00B721F6"/>
    <w:rsid w:val="00B731BB"/>
    <w:rsid w:val="00B734ED"/>
    <w:rsid w:val="00B73712"/>
    <w:rsid w:val="00B73A9E"/>
    <w:rsid w:val="00B74418"/>
    <w:rsid w:val="00B75816"/>
    <w:rsid w:val="00B759C0"/>
    <w:rsid w:val="00B76545"/>
    <w:rsid w:val="00B775BA"/>
    <w:rsid w:val="00B80651"/>
    <w:rsid w:val="00B82842"/>
    <w:rsid w:val="00B84155"/>
    <w:rsid w:val="00B84431"/>
    <w:rsid w:val="00B853F9"/>
    <w:rsid w:val="00B85425"/>
    <w:rsid w:val="00B85762"/>
    <w:rsid w:val="00B85D59"/>
    <w:rsid w:val="00B863E2"/>
    <w:rsid w:val="00B86B25"/>
    <w:rsid w:val="00B86F02"/>
    <w:rsid w:val="00B87693"/>
    <w:rsid w:val="00B87DB4"/>
    <w:rsid w:val="00B904E4"/>
    <w:rsid w:val="00B905FC"/>
    <w:rsid w:val="00B90FE8"/>
    <w:rsid w:val="00B9204F"/>
    <w:rsid w:val="00B929CE"/>
    <w:rsid w:val="00B92FCF"/>
    <w:rsid w:val="00B93380"/>
    <w:rsid w:val="00B9444D"/>
    <w:rsid w:val="00B945FE"/>
    <w:rsid w:val="00B954F6"/>
    <w:rsid w:val="00B95A48"/>
    <w:rsid w:val="00B970A4"/>
    <w:rsid w:val="00B97855"/>
    <w:rsid w:val="00BA03DC"/>
    <w:rsid w:val="00BA061F"/>
    <w:rsid w:val="00BA079A"/>
    <w:rsid w:val="00BA277F"/>
    <w:rsid w:val="00BA2D7D"/>
    <w:rsid w:val="00BA3C8B"/>
    <w:rsid w:val="00BA4155"/>
    <w:rsid w:val="00BA4378"/>
    <w:rsid w:val="00BA5587"/>
    <w:rsid w:val="00BA6434"/>
    <w:rsid w:val="00BA66EA"/>
    <w:rsid w:val="00BA7346"/>
    <w:rsid w:val="00BA755A"/>
    <w:rsid w:val="00BA7BCA"/>
    <w:rsid w:val="00BA7D14"/>
    <w:rsid w:val="00BA7FD6"/>
    <w:rsid w:val="00BB0428"/>
    <w:rsid w:val="00BB05E7"/>
    <w:rsid w:val="00BB0621"/>
    <w:rsid w:val="00BB0DE4"/>
    <w:rsid w:val="00BB1E00"/>
    <w:rsid w:val="00BB1E03"/>
    <w:rsid w:val="00BB2DB1"/>
    <w:rsid w:val="00BB2FE2"/>
    <w:rsid w:val="00BB30CF"/>
    <w:rsid w:val="00BB4421"/>
    <w:rsid w:val="00BB4887"/>
    <w:rsid w:val="00BB55ED"/>
    <w:rsid w:val="00BC11E2"/>
    <w:rsid w:val="00BC1DCC"/>
    <w:rsid w:val="00BC26C0"/>
    <w:rsid w:val="00BC2FDB"/>
    <w:rsid w:val="00BC3215"/>
    <w:rsid w:val="00BC42AF"/>
    <w:rsid w:val="00BC4471"/>
    <w:rsid w:val="00BC4A30"/>
    <w:rsid w:val="00BC4A90"/>
    <w:rsid w:val="00BC5334"/>
    <w:rsid w:val="00BC5610"/>
    <w:rsid w:val="00BC6026"/>
    <w:rsid w:val="00BC6061"/>
    <w:rsid w:val="00BC6A12"/>
    <w:rsid w:val="00BC6C11"/>
    <w:rsid w:val="00BC7A84"/>
    <w:rsid w:val="00BC7F3D"/>
    <w:rsid w:val="00BD0F58"/>
    <w:rsid w:val="00BD13D8"/>
    <w:rsid w:val="00BD1CE5"/>
    <w:rsid w:val="00BD2860"/>
    <w:rsid w:val="00BD2AB3"/>
    <w:rsid w:val="00BD327A"/>
    <w:rsid w:val="00BD3315"/>
    <w:rsid w:val="00BD349B"/>
    <w:rsid w:val="00BD398B"/>
    <w:rsid w:val="00BD3A56"/>
    <w:rsid w:val="00BD5A3D"/>
    <w:rsid w:val="00BD61A8"/>
    <w:rsid w:val="00BD6459"/>
    <w:rsid w:val="00BD6714"/>
    <w:rsid w:val="00BD6A05"/>
    <w:rsid w:val="00BD6DE4"/>
    <w:rsid w:val="00BD6DF0"/>
    <w:rsid w:val="00BD745F"/>
    <w:rsid w:val="00BE1064"/>
    <w:rsid w:val="00BE14F4"/>
    <w:rsid w:val="00BE1820"/>
    <w:rsid w:val="00BE1D76"/>
    <w:rsid w:val="00BE1D92"/>
    <w:rsid w:val="00BE287F"/>
    <w:rsid w:val="00BE2C6C"/>
    <w:rsid w:val="00BE34DB"/>
    <w:rsid w:val="00BE3CD6"/>
    <w:rsid w:val="00BE52E7"/>
    <w:rsid w:val="00BE5BC1"/>
    <w:rsid w:val="00BE62F1"/>
    <w:rsid w:val="00BE63A7"/>
    <w:rsid w:val="00BE6828"/>
    <w:rsid w:val="00BE68FA"/>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354"/>
    <w:rsid w:val="00C013C5"/>
    <w:rsid w:val="00C02477"/>
    <w:rsid w:val="00C02AFC"/>
    <w:rsid w:val="00C043FD"/>
    <w:rsid w:val="00C0478B"/>
    <w:rsid w:val="00C047D6"/>
    <w:rsid w:val="00C04836"/>
    <w:rsid w:val="00C0489F"/>
    <w:rsid w:val="00C05234"/>
    <w:rsid w:val="00C052D3"/>
    <w:rsid w:val="00C06502"/>
    <w:rsid w:val="00C065DD"/>
    <w:rsid w:val="00C06A90"/>
    <w:rsid w:val="00C06B2A"/>
    <w:rsid w:val="00C07078"/>
    <w:rsid w:val="00C0767A"/>
    <w:rsid w:val="00C1042D"/>
    <w:rsid w:val="00C11019"/>
    <w:rsid w:val="00C1162A"/>
    <w:rsid w:val="00C11A89"/>
    <w:rsid w:val="00C1223E"/>
    <w:rsid w:val="00C135C4"/>
    <w:rsid w:val="00C13D55"/>
    <w:rsid w:val="00C15312"/>
    <w:rsid w:val="00C15836"/>
    <w:rsid w:val="00C15EF3"/>
    <w:rsid w:val="00C171A0"/>
    <w:rsid w:val="00C1789C"/>
    <w:rsid w:val="00C17E85"/>
    <w:rsid w:val="00C20A03"/>
    <w:rsid w:val="00C2199F"/>
    <w:rsid w:val="00C21AFE"/>
    <w:rsid w:val="00C222FA"/>
    <w:rsid w:val="00C223AA"/>
    <w:rsid w:val="00C2243A"/>
    <w:rsid w:val="00C22D7C"/>
    <w:rsid w:val="00C22E37"/>
    <w:rsid w:val="00C2370D"/>
    <w:rsid w:val="00C24249"/>
    <w:rsid w:val="00C2518F"/>
    <w:rsid w:val="00C2627F"/>
    <w:rsid w:val="00C26FDC"/>
    <w:rsid w:val="00C27520"/>
    <w:rsid w:val="00C27B79"/>
    <w:rsid w:val="00C3079D"/>
    <w:rsid w:val="00C30DA7"/>
    <w:rsid w:val="00C310A9"/>
    <w:rsid w:val="00C31837"/>
    <w:rsid w:val="00C31A2D"/>
    <w:rsid w:val="00C320FB"/>
    <w:rsid w:val="00C32173"/>
    <w:rsid w:val="00C322EE"/>
    <w:rsid w:val="00C328BF"/>
    <w:rsid w:val="00C3378A"/>
    <w:rsid w:val="00C34F6E"/>
    <w:rsid w:val="00C34FEB"/>
    <w:rsid w:val="00C357FE"/>
    <w:rsid w:val="00C364E8"/>
    <w:rsid w:val="00C36F60"/>
    <w:rsid w:val="00C378AD"/>
    <w:rsid w:val="00C40861"/>
    <w:rsid w:val="00C4131C"/>
    <w:rsid w:val="00C421C7"/>
    <w:rsid w:val="00C42572"/>
    <w:rsid w:val="00C42630"/>
    <w:rsid w:val="00C426F8"/>
    <w:rsid w:val="00C4304E"/>
    <w:rsid w:val="00C4350F"/>
    <w:rsid w:val="00C43B95"/>
    <w:rsid w:val="00C43D50"/>
    <w:rsid w:val="00C43F65"/>
    <w:rsid w:val="00C469E4"/>
    <w:rsid w:val="00C46BE6"/>
    <w:rsid w:val="00C47D80"/>
    <w:rsid w:val="00C47EC1"/>
    <w:rsid w:val="00C50EBA"/>
    <w:rsid w:val="00C5116C"/>
    <w:rsid w:val="00C5301F"/>
    <w:rsid w:val="00C5349E"/>
    <w:rsid w:val="00C538F8"/>
    <w:rsid w:val="00C53E0C"/>
    <w:rsid w:val="00C53FC9"/>
    <w:rsid w:val="00C5498C"/>
    <w:rsid w:val="00C55058"/>
    <w:rsid w:val="00C55175"/>
    <w:rsid w:val="00C552A6"/>
    <w:rsid w:val="00C559BF"/>
    <w:rsid w:val="00C55BC4"/>
    <w:rsid w:val="00C55FD1"/>
    <w:rsid w:val="00C5730F"/>
    <w:rsid w:val="00C60154"/>
    <w:rsid w:val="00C60A1A"/>
    <w:rsid w:val="00C613D2"/>
    <w:rsid w:val="00C617BA"/>
    <w:rsid w:val="00C62A9D"/>
    <w:rsid w:val="00C633F7"/>
    <w:rsid w:val="00C63707"/>
    <w:rsid w:val="00C63825"/>
    <w:rsid w:val="00C64206"/>
    <w:rsid w:val="00C64525"/>
    <w:rsid w:val="00C64E9E"/>
    <w:rsid w:val="00C658FB"/>
    <w:rsid w:val="00C6643E"/>
    <w:rsid w:val="00C66E4B"/>
    <w:rsid w:val="00C67CF0"/>
    <w:rsid w:val="00C700F2"/>
    <w:rsid w:val="00C710F6"/>
    <w:rsid w:val="00C712D9"/>
    <w:rsid w:val="00C7156E"/>
    <w:rsid w:val="00C71DA3"/>
    <w:rsid w:val="00C72940"/>
    <w:rsid w:val="00C72B99"/>
    <w:rsid w:val="00C737C9"/>
    <w:rsid w:val="00C744B1"/>
    <w:rsid w:val="00C74E7A"/>
    <w:rsid w:val="00C7568D"/>
    <w:rsid w:val="00C75698"/>
    <w:rsid w:val="00C7651F"/>
    <w:rsid w:val="00C76659"/>
    <w:rsid w:val="00C76E2C"/>
    <w:rsid w:val="00C80780"/>
    <w:rsid w:val="00C80796"/>
    <w:rsid w:val="00C80907"/>
    <w:rsid w:val="00C81AF4"/>
    <w:rsid w:val="00C8201C"/>
    <w:rsid w:val="00C8246F"/>
    <w:rsid w:val="00C8276D"/>
    <w:rsid w:val="00C82E23"/>
    <w:rsid w:val="00C833AB"/>
    <w:rsid w:val="00C837F9"/>
    <w:rsid w:val="00C84170"/>
    <w:rsid w:val="00C8533B"/>
    <w:rsid w:val="00C85E21"/>
    <w:rsid w:val="00C86421"/>
    <w:rsid w:val="00C8708C"/>
    <w:rsid w:val="00C87547"/>
    <w:rsid w:val="00C87D64"/>
    <w:rsid w:val="00C9049F"/>
    <w:rsid w:val="00C905E1"/>
    <w:rsid w:val="00C90EB3"/>
    <w:rsid w:val="00C93360"/>
    <w:rsid w:val="00C934A7"/>
    <w:rsid w:val="00C9600E"/>
    <w:rsid w:val="00C967BD"/>
    <w:rsid w:val="00C97452"/>
    <w:rsid w:val="00C9767C"/>
    <w:rsid w:val="00C97F01"/>
    <w:rsid w:val="00CA052C"/>
    <w:rsid w:val="00CA098E"/>
    <w:rsid w:val="00CA0A19"/>
    <w:rsid w:val="00CA0F7C"/>
    <w:rsid w:val="00CA2649"/>
    <w:rsid w:val="00CA278C"/>
    <w:rsid w:val="00CA2991"/>
    <w:rsid w:val="00CA4A2B"/>
    <w:rsid w:val="00CA4A3D"/>
    <w:rsid w:val="00CA5D42"/>
    <w:rsid w:val="00CA666A"/>
    <w:rsid w:val="00CA79E2"/>
    <w:rsid w:val="00CB03D3"/>
    <w:rsid w:val="00CB0504"/>
    <w:rsid w:val="00CB07F3"/>
    <w:rsid w:val="00CB1515"/>
    <w:rsid w:val="00CB164B"/>
    <w:rsid w:val="00CB1F8E"/>
    <w:rsid w:val="00CB270E"/>
    <w:rsid w:val="00CB2FBE"/>
    <w:rsid w:val="00CB33F8"/>
    <w:rsid w:val="00CB462C"/>
    <w:rsid w:val="00CB484E"/>
    <w:rsid w:val="00CB5900"/>
    <w:rsid w:val="00CB6519"/>
    <w:rsid w:val="00CB67D0"/>
    <w:rsid w:val="00CB6878"/>
    <w:rsid w:val="00CC03BA"/>
    <w:rsid w:val="00CC1386"/>
    <w:rsid w:val="00CC172C"/>
    <w:rsid w:val="00CC3AF2"/>
    <w:rsid w:val="00CC404B"/>
    <w:rsid w:val="00CC410F"/>
    <w:rsid w:val="00CC495D"/>
    <w:rsid w:val="00CC553D"/>
    <w:rsid w:val="00CC5721"/>
    <w:rsid w:val="00CC6292"/>
    <w:rsid w:val="00CC6DA8"/>
    <w:rsid w:val="00CC72CB"/>
    <w:rsid w:val="00CC7564"/>
    <w:rsid w:val="00CC79EA"/>
    <w:rsid w:val="00CD06C6"/>
    <w:rsid w:val="00CD0947"/>
    <w:rsid w:val="00CD0B5F"/>
    <w:rsid w:val="00CD115F"/>
    <w:rsid w:val="00CD153C"/>
    <w:rsid w:val="00CD1705"/>
    <w:rsid w:val="00CD1A26"/>
    <w:rsid w:val="00CD2219"/>
    <w:rsid w:val="00CD2C07"/>
    <w:rsid w:val="00CD2DFE"/>
    <w:rsid w:val="00CD44C7"/>
    <w:rsid w:val="00CD48D4"/>
    <w:rsid w:val="00CD4E71"/>
    <w:rsid w:val="00CD6A2E"/>
    <w:rsid w:val="00CD6F4C"/>
    <w:rsid w:val="00CE031A"/>
    <w:rsid w:val="00CE05F5"/>
    <w:rsid w:val="00CE0A30"/>
    <w:rsid w:val="00CE1DFF"/>
    <w:rsid w:val="00CE1F7F"/>
    <w:rsid w:val="00CE32B1"/>
    <w:rsid w:val="00CE32F8"/>
    <w:rsid w:val="00CE3300"/>
    <w:rsid w:val="00CE390B"/>
    <w:rsid w:val="00CE4129"/>
    <w:rsid w:val="00CE4EA4"/>
    <w:rsid w:val="00CE50C4"/>
    <w:rsid w:val="00CE575F"/>
    <w:rsid w:val="00CE57DE"/>
    <w:rsid w:val="00CE647F"/>
    <w:rsid w:val="00CE66BB"/>
    <w:rsid w:val="00CE69DB"/>
    <w:rsid w:val="00CE6A2A"/>
    <w:rsid w:val="00CE6A53"/>
    <w:rsid w:val="00CE71EF"/>
    <w:rsid w:val="00CE73AD"/>
    <w:rsid w:val="00CE75F6"/>
    <w:rsid w:val="00CF038A"/>
    <w:rsid w:val="00CF065A"/>
    <w:rsid w:val="00CF127D"/>
    <w:rsid w:val="00CF23B9"/>
    <w:rsid w:val="00CF278D"/>
    <w:rsid w:val="00CF35E8"/>
    <w:rsid w:val="00CF3CE7"/>
    <w:rsid w:val="00CF3EC8"/>
    <w:rsid w:val="00CF4189"/>
    <w:rsid w:val="00CF4334"/>
    <w:rsid w:val="00CF4402"/>
    <w:rsid w:val="00CF4569"/>
    <w:rsid w:val="00CF4888"/>
    <w:rsid w:val="00CF4F70"/>
    <w:rsid w:val="00CF5484"/>
    <w:rsid w:val="00CF60EC"/>
    <w:rsid w:val="00CF7E56"/>
    <w:rsid w:val="00D00492"/>
    <w:rsid w:val="00D00AA3"/>
    <w:rsid w:val="00D01014"/>
    <w:rsid w:val="00D018A0"/>
    <w:rsid w:val="00D01B90"/>
    <w:rsid w:val="00D01D34"/>
    <w:rsid w:val="00D0245F"/>
    <w:rsid w:val="00D0253F"/>
    <w:rsid w:val="00D02699"/>
    <w:rsid w:val="00D030AD"/>
    <w:rsid w:val="00D03D7B"/>
    <w:rsid w:val="00D04157"/>
    <w:rsid w:val="00D0433D"/>
    <w:rsid w:val="00D0490A"/>
    <w:rsid w:val="00D05068"/>
    <w:rsid w:val="00D05B1B"/>
    <w:rsid w:val="00D06088"/>
    <w:rsid w:val="00D068E3"/>
    <w:rsid w:val="00D0764C"/>
    <w:rsid w:val="00D07F60"/>
    <w:rsid w:val="00D1088D"/>
    <w:rsid w:val="00D1117C"/>
    <w:rsid w:val="00D11238"/>
    <w:rsid w:val="00D11D67"/>
    <w:rsid w:val="00D12D17"/>
    <w:rsid w:val="00D12D91"/>
    <w:rsid w:val="00D135A5"/>
    <w:rsid w:val="00D1388C"/>
    <w:rsid w:val="00D13E42"/>
    <w:rsid w:val="00D145D4"/>
    <w:rsid w:val="00D15EEA"/>
    <w:rsid w:val="00D20BA9"/>
    <w:rsid w:val="00D224E7"/>
    <w:rsid w:val="00D22FB3"/>
    <w:rsid w:val="00D236C2"/>
    <w:rsid w:val="00D23814"/>
    <w:rsid w:val="00D251AB"/>
    <w:rsid w:val="00D25292"/>
    <w:rsid w:val="00D25507"/>
    <w:rsid w:val="00D256E5"/>
    <w:rsid w:val="00D25A2C"/>
    <w:rsid w:val="00D26E1C"/>
    <w:rsid w:val="00D274D2"/>
    <w:rsid w:val="00D2786B"/>
    <w:rsid w:val="00D27D85"/>
    <w:rsid w:val="00D3122B"/>
    <w:rsid w:val="00D31B75"/>
    <w:rsid w:val="00D3201B"/>
    <w:rsid w:val="00D33326"/>
    <w:rsid w:val="00D347E9"/>
    <w:rsid w:val="00D34D53"/>
    <w:rsid w:val="00D34F0D"/>
    <w:rsid w:val="00D3532B"/>
    <w:rsid w:val="00D36388"/>
    <w:rsid w:val="00D364BC"/>
    <w:rsid w:val="00D37712"/>
    <w:rsid w:val="00D37D94"/>
    <w:rsid w:val="00D401FA"/>
    <w:rsid w:val="00D407CC"/>
    <w:rsid w:val="00D408AA"/>
    <w:rsid w:val="00D41146"/>
    <w:rsid w:val="00D417DB"/>
    <w:rsid w:val="00D418F4"/>
    <w:rsid w:val="00D42794"/>
    <w:rsid w:val="00D42ADB"/>
    <w:rsid w:val="00D42CDC"/>
    <w:rsid w:val="00D44575"/>
    <w:rsid w:val="00D44D89"/>
    <w:rsid w:val="00D44DCE"/>
    <w:rsid w:val="00D453A1"/>
    <w:rsid w:val="00D46546"/>
    <w:rsid w:val="00D46A00"/>
    <w:rsid w:val="00D46D25"/>
    <w:rsid w:val="00D516D3"/>
    <w:rsid w:val="00D517B4"/>
    <w:rsid w:val="00D518D2"/>
    <w:rsid w:val="00D51D03"/>
    <w:rsid w:val="00D52AB6"/>
    <w:rsid w:val="00D52D4B"/>
    <w:rsid w:val="00D5360A"/>
    <w:rsid w:val="00D53D03"/>
    <w:rsid w:val="00D540AB"/>
    <w:rsid w:val="00D54A42"/>
    <w:rsid w:val="00D56598"/>
    <w:rsid w:val="00D56C08"/>
    <w:rsid w:val="00D5764E"/>
    <w:rsid w:val="00D577D1"/>
    <w:rsid w:val="00D57A67"/>
    <w:rsid w:val="00D602BB"/>
    <w:rsid w:val="00D61112"/>
    <w:rsid w:val="00D62347"/>
    <w:rsid w:val="00D64D10"/>
    <w:rsid w:val="00D65856"/>
    <w:rsid w:val="00D66903"/>
    <w:rsid w:val="00D66B91"/>
    <w:rsid w:val="00D67422"/>
    <w:rsid w:val="00D708E2"/>
    <w:rsid w:val="00D70A0F"/>
    <w:rsid w:val="00D719E8"/>
    <w:rsid w:val="00D71AFB"/>
    <w:rsid w:val="00D723DA"/>
    <w:rsid w:val="00D7255C"/>
    <w:rsid w:val="00D72856"/>
    <w:rsid w:val="00D72E86"/>
    <w:rsid w:val="00D74F8F"/>
    <w:rsid w:val="00D75373"/>
    <w:rsid w:val="00D764A3"/>
    <w:rsid w:val="00D76BB7"/>
    <w:rsid w:val="00D80F3A"/>
    <w:rsid w:val="00D82BCE"/>
    <w:rsid w:val="00D82DA2"/>
    <w:rsid w:val="00D82E48"/>
    <w:rsid w:val="00D83DCA"/>
    <w:rsid w:val="00D844AB"/>
    <w:rsid w:val="00D851BB"/>
    <w:rsid w:val="00D8521D"/>
    <w:rsid w:val="00D861C2"/>
    <w:rsid w:val="00D86267"/>
    <w:rsid w:val="00D86582"/>
    <w:rsid w:val="00D86B73"/>
    <w:rsid w:val="00D8731D"/>
    <w:rsid w:val="00D87574"/>
    <w:rsid w:val="00D87C5D"/>
    <w:rsid w:val="00D908C0"/>
    <w:rsid w:val="00D90DA0"/>
    <w:rsid w:val="00D92B1A"/>
    <w:rsid w:val="00D935C4"/>
    <w:rsid w:val="00D93896"/>
    <w:rsid w:val="00D9579F"/>
    <w:rsid w:val="00D95979"/>
    <w:rsid w:val="00D95C97"/>
    <w:rsid w:val="00D96DE2"/>
    <w:rsid w:val="00D97057"/>
    <w:rsid w:val="00D97559"/>
    <w:rsid w:val="00DA0229"/>
    <w:rsid w:val="00DA0897"/>
    <w:rsid w:val="00DA0A99"/>
    <w:rsid w:val="00DA15D2"/>
    <w:rsid w:val="00DA27B9"/>
    <w:rsid w:val="00DA29D1"/>
    <w:rsid w:val="00DA30D8"/>
    <w:rsid w:val="00DA3932"/>
    <w:rsid w:val="00DA3C65"/>
    <w:rsid w:val="00DA3CE0"/>
    <w:rsid w:val="00DA4E66"/>
    <w:rsid w:val="00DA4FA3"/>
    <w:rsid w:val="00DA5092"/>
    <w:rsid w:val="00DA6975"/>
    <w:rsid w:val="00DA6AC1"/>
    <w:rsid w:val="00DA7243"/>
    <w:rsid w:val="00DA77FA"/>
    <w:rsid w:val="00DA7D1C"/>
    <w:rsid w:val="00DB127E"/>
    <w:rsid w:val="00DB1C28"/>
    <w:rsid w:val="00DB2AAD"/>
    <w:rsid w:val="00DB3094"/>
    <w:rsid w:val="00DB3431"/>
    <w:rsid w:val="00DB3972"/>
    <w:rsid w:val="00DB3F40"/>
    <w:rsid w:val="00DB4B43"/>
    <w:rsid w:val="00DB5BDE"/>
    <w:rsid w:val="00DB5EE3"/>
    <w:rsid w:val="00DB603C"/>
    <w:rsid w:val="00DB6187"/>
    <w:rsid w:val="00DB61C7"/>
    <w:rsid w:val="00DB6EF7"/>
    <w:rsid w:val="00DB7153"/>
    <w:rsid w:val="00DB7503"/>
    <w:rsid w:val="00DB7B4A"/>
    <w:rsid w:val="00DC0A31"/>
    <w:rsid w:val="00DC10CC"/>
    <w:rsid w:val="00DC215E"/>
    <w:rsid w:val="00DC2824"/>
    <w:rsid w:val="00DC28A9"/>
    <w:rsid w:val="00DC2B34"/>
    <w:rsid w:val="00DC2B56"/>
    <w:rsid w:val="00DC33C3"/>
    <w:rsid w:val="00DC3532"/>
    <w:rsid w:val="00DC3963"/>
    <w:rsid w:val="00DC3CAC"/>
    <w:rsid w:val="00DC44A5"/>
    <w:rsid w:val="00DC4707"/>
    <w:rsid w:val="00DC51B4"/>
    <w:rsid w:val="00DC5976"/>
    <w:rsid w:val="00DC61C5"/>
    <w:rsid w:val="00DC63ED"/>
    <w:rsid w:val="00DC667E"/>
    <w:rsid w:val="00DC69A0"/>
    <w:rsid w:val="00DC7DAF"/>
    <w:rsid w:val="00DD0713"/>
    <w:rsid w:val="00DD1090"/>
    <w:rsid w:val="00DD1520"/>
    <w:rsid w:val="00DD157A"/>
    <w:rsid w:val="00DD1903"/>
    <w:rsid w:val="00DD1A3B"/>
    <w:rsid w:val="00DD2065"/>
    <w:rsid w:val="00DD21D8"/>
    <w:rsid w:val="00DD2BEC"/>
    <w:rsid w:val="00DD3051"/>
    <w:rsid w:val="00DD3A56"/>
    <w:rsid w:val="00DD456D"/>
    <w:rsid w:val="00DD46CA"/>
    <w:rsid w:val="00DD5130"/>
    <w:rsid w:val="00DD5605"/>
    <w:rsid w:val="00DD5716"/>
    <w:rsid w:val="00DD5FBC"/>
    <w:rsid w:val="00DD645B"/>
    <w:rsid w:val="00DD64AD"/>
    <w:rsid w:val="00DD6BDA"/>
    <w:rsid w:val="00DD707A"/>
    <w:rsid w:val="00DD776F"/>
    <w:rsid w:val="00DD7F79"/>
    <w:rsid w:val="00DE0573"/>
    <w:rsid w:val="00DE27E3"/>
    <w:rsid w:val="00DE2840"/>
    <w:rsid w:val="00DE2A9B"/>
    <w:rsid w:val="00DE2D8A"/>
    <w:rsid w:val="00DE348F"/>
    <w:rsid w:val="00DE34A7"/>
    <w:rsid w:val="00DE3907"/>
    <w:rsid w:val="00DE3A0D"/>
    <w:rsid w:val="00DE4ACE"/>
    <w:rsid w:val="00DE521C"/>
    <w:rsid w:val="00DE643A"/>
    <w:rsid w:val="00DE6590"/>
    <w:rsid w:val="00DE7AC1"/>
    <w:rsid w:val="00DF033F"/>
    <w:rsid w:val="00DF05AF"/>
    <w:rsid w:val="00DF0FC9"/>
    <w:rsid w:val="00DF11F1"/>
    <w:rsid w:val="00DF1DBD"/>
    <w:rsid w:val="00DF2899"/>
    <w:rsid w:val="00DF3813"/>
    <w:rsid w:val="00DF3E05"/>
    <w:rsid w:val="00DF3FF1"/>
    <w:rsid w:val="00DF422F"/>
    <w:rsid w:val="00DF4557"/>
    <w:rsid w:val="00DF5A06"/>
    <w:rsid w:val="00DF60D3"/>
    <w:rsid w:val="00DF7320"/>
    <w:rsid w:val="00DF7897"/>
    <w:rsid w:val="00DF7F27"/>
    <w:rsid w:val="00E00686"/>
    <w:rsid w:val="00E02B92"/>
    <w:rsid w:val="00E03753"/>
    <w:rsid w:val="00E05A52"/>
    <w:rsid w:val="00E06F82"/>
    <w:rsid w:val="00E07987"/>
    <w:rsid w:val="00E07ECB"/>
    <w:rsid w:val="00E10446"/>
    <w:rsid w:val="00E10AAD"/>
    <w:rsid w:val="00E114F8"/>
    <w:rsid w:val="00E11D41"/>
    <w:rsid w:val="00E12DF9"/>
    <w:rsid w:val="00E13002"/>
    <w:rsid w:val="00E1364B"/>
    <w:rsid w:val="00E13966"/>
    <w:rsid w:val="00E14140"/>
    <w:rsid w:val="00E144A9"/>
    <w:rsid w:val="00E14D66"/>
    <w:rsid w:val="00E16313"/>
    <w:rsid w:val="00E1744E"/>
    <w:rsid w:val="00E17953"/>
    <w:rsid w:val="00E17F9D"/>
    <w:rsid w:val="00E2049B"/>
    <w:rsid w:val="00E205A9"/>
    <w:rsid w:val="00E2071B"/>
    <w:rsid w:val="00E20754"/>
    <w:rsid w:val="00E20F60"/>
    <w:rsid w:val="00E21725"/>
    <w:rsid w:val="00E22196"/>
    <w:rsid w:val="00E229AE"/>
    <w:rsid w:val="00E235FA"/>
    <w:rsid w:val="00E23D60"/>
    <w:rsid w:val="00E24871"/>
    <w:rsid w:val="00E24F99"/>
    <w:rsid w:val="00E25502"/>
    <w:rsid w:val="00E25653"/>
    <w:rsid w:val="00E257C1"/>
    <w:rsid w:val="00E25C8E"/>
    <w:rsid w:val="00E261E2"/>
    <w:rsid w:val="00E26760"/>
    <w:rsid w:val="00E27381"/>
    <w:rsid w:val="00E30406"/>
    <w:rsid w:val="00E30438"/>
    <w:rsid w:val="00E30BF9"/>
    <w:rsid w:val="00E313AD"/>
    <w:rsid w:val="00E31BD8"/>
    <w:rsid w:val="00E3246B"/>
    <w:rsid w:val="00E325D8"/>
    <w:rsid w:val="00E328FF"/>
    <w:rsid w:val="00E331B7"/>
    <w:rsid w:val="00E3365B"/>
    <w:rsid w:val="00E336E4"/>
    <w:rsid w:val="00E3400D"/>
    <w:rsid w:val="00E34436"/>
    <w:rsid w:val="00E34996"/>
    <w:rsid w:val="00E34CEB"/>
    <w:rsid w:val="00E3538C"/>
    <w:rsid w:val="00E35810"/>
    <w:rsid w:val="00E35F86"/>
    <w:rsid w:val="00E3648E"/>
    <w:rsid w:val="00E36E30"/>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39"/>
    <w:rsid w:val="00E43CA1"/>
    <w:rsid w:val="00E44793"/>
    <w:rsid w:val="00E44950"/>
    <w:rsid w:val="00E44AD3"/>
    <w:rsid w:val="00E45377"/>
    <w:rsid w:val="00E45DC9"/>
    <w:rsid w:val="00E45E05"/>
    <w:rsid w:val="00E46978"/>
    <w:rsid w:val="00E46C71"/>
    <w:rsid w:val="00E47C67"/>
    <w:rsid w:val="00E514C7"/>
    <w:rsid w:val="00E5156F"/>
    <w:rsid w:val="00E51BC2"/>
    <w:rsid w:val="00E51E96"/>
    <w:rsid w:val="00E52404"/>
    <w:rsid w:val="00E52F36"/>
    <w:rsid w:val="00E53F5C"/>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D8"/>
    <w:rsid w:val="00E64E53"/>
    <w:rsid w:val="00E652E9"/>
    <w:rsid w:val="00E6715F"/>
    <w:rsid w:val="00E673FD"/>
    <w:rsid w:val="00E675C9"/>
    <w:rsid w:val="00E67C5E"/>
    <w:rsid w:val="00E70061"/>
    <w:rsid w:val="00E7096F"/>
    <w:rsid w:val="00E71682"/>
    <w:rsid w:val="00E720FC"/>
    <w:rsid w:val="00E72401"/>
    <w:rsid w:val="00E7271A"/>
    <w:rsid w:val="00E731A5"/>
    <w:rsid w:val="00E7376C"/>
    <w:rsid w:val="00E747A9"/>
    <w:rsid w:val="00E74862"/>
    <w:rsid w:val="00E748B6"/>
    <w:rsid w:val="00E74950"/>
    <w:rsid w:val="00E753B5"/>
    <w:rsid w:val="00E759C3"/>
    <w:rsid w:val="00E75B7B"/>
    <w:rsid w:val="00E75F11"/>
    <w:rsid w:val="00E7700B"/>
    <w:rsid w:val="00E77C6E"/>
    <w:rsid w:val="00E809EB"/>
    <w:rsid w:val="00E80A86"/>
    <w:rsid w:val="00E8501C"/>
    <w:rsid w:val="00E851A5"/>
    <w:rsid w:val="00E851AA"/>
    <w:rsid w:val="00E8576B"/>
    <w:rsid w:val="00E85A30"/>
    <w:rsid w:val="00E85FBE"/>
    <w:rsid w:val="00E86CBC"/>
    <w:rsid w:val="00E86E48"/>
    <w:rsid w:val="00E870AB"/>
    <w:rsid w:val="00E87CD5"/>
    <w:rsid w:val="00E9082B"/>
    <w:rsid w:val="00E911CE"/>
    <w:rsid w:val="00E91664"/>
    <w:rsid w:val="00E91C0B"/>
    <w:rsid w:val="00E924C5"/>
    <w:rsid w:val="00E92D29"/>
    <w:rsid w:val="00E92D44"/>
    <w:rsid w:val="00E9394D"/>
    <w:rsid w:val="00E94337"/>
    <w:rsid w:val="00E94965"/>
    <w:rsid w:val="00E94A5A"/>
    <w:rsid w:val="00E96BBA"/>
    <w:rsid w:val="00E975EF"/>
    <w:rsid w:val="00E97801"/>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A7D61"/>
    <w:rsid w:val="00EB05EC"/>
    <w:rsid w:val="00EB0C1A"/>
    <w:rsid w:val="00EB15FB"/>
    <w:rsid w:val="00EB1E31"/>
    <w:rsid w:val="00EB1EA2"/>
    <w:rsid w:val="00EB21C2"/>
    <w:rsid w:val="00EB26ED"/>
    <w:rsid w:val="00EB279C"/>
    <w:rsid w:val="00EB320E"/>
    <w:rsid w:val="00EB4FFB"/>
    <w:rsid w:val="00EB598D"/>
    <w:rsid w:val="00EB6C1C"/>
    <w:rsid w:val="00EB7271"/>
    <w:rsid w:val="00EC0FD6"/>
    <w:rsid w:val="00EC190C"/>
    <w:rsid w:val="00EC27BB"/>
    <w:rsid w:val="00EC3C4B"/>
    <w:rsid w:val="00EC3CF5"/>
    <w:rsid w:val="00EC3E9E"/>
    <w:rsid w:val="00EC42C8"/>
    <w:rsid w:val="00EC5A7B"/>
    <w:rsid w:val="00EC5B60"/>
    <w:rsid w:val="00EC5EF1"/>
    <w:rsid w:val="00EC6072"/>
    <w:rsid w:val="00EC75EC"/>
    <w:rsid w:val="00EC798B"/>
    <w:rsid w:val="00ED183B"/>
    <w:rsid w:val="00ED2F0F"/>
    <w:rsid w:val="00ED30D0"/>
    <w:rsid w:val="00ED31A4"/>
    <w:rsid w:val="00ED3203"/>
    <w:rsid w:val="00ED337A"/>
    <w:rsid w:val="00ED367A"/>
    <w:rsid w:val="00ED36E8"/>
    <w:rsid w:val="00ED50C9"/>
    <w:rsid w:val="00ED603D"/>
    <w:rsid w:val="00ED6328"/>
    <w:rsid w:val="00ED6345"/>
    <w:rsid w:val="00ED672A"/>
    <w:rsid w:val="00ED6A9A"/>
    <w:rsid w:val="00ED6BF1"/>
    <w:rsid w:val="00ED6C96"/>
    <w:rsid w:val="00ED6FE7"/>
    <w:rsid w:val="00ED7570"/>
    <w:rsid w:val="00EE01BA"/>
    <w:rsid w:val="00EE0A61"/>
    <w:rsid w:val="00EE1534"/>
    <w:rsid w:val="00EE199A"/>
    <w:rsid w:val="00EE377B"/>
    <w:rsid w:val="00EE3AD2"/>
    <w:rsid w:val="00EE558E"/>
    <w:rsid w:val="00EE5937"/>
    <w:rsid w:val="00EE645F"/>
    <w:rsid w:val="00EE678E"/>
    <w:rsid w:val="00EE6918"/>
    <w:rsid w:val="00EE6A0F"/>
    <w:rsid w:val="00EE6A86"/>
    <w:rsid w:val="00EF072D"/>
    <w:rsid w:val="00EF119D"/>
    <w:rsid w:val="00EF135F"/>
    <w:rsid w:val="00EF1B00"/>
    <w:rsid w:val="00EF375B"/>
    <w:rsid w:val="00EF38F2"/>
    <w:rsid w:val="00EF41B6"/>
    <w:rsid w:val="00EF4A7B"/>
    <w:rsid w:val="00EF71EE"/>
    <w:rsid w:val="00EF74B5"/>
    <w:rsid w:val="00EF7825"/>
    <w:rsid w:val="00F0044E"/>
    <w:rsid w:val="00F010E9"/>
    <w:rsid w:val="00F01974"/>
    <w:rsid w:val="00F0290D"/>
    <w:rsid w:val="00F02F72"/>
    <w:rsid w:val="00F0307B"/>
    <w:rsid w:val="00F03948"/>
    <w:rsid w:val="00F03C1D"/>
    <w:rsid w:val="00F03E5D"/>
    <w:rsid w:val="00F04615"/>
    <w:rsid w:val="00F04771"/>
    <w:rsid w:val="00F04F98"/>
    <w:rsid w:val="00F05675"/>
    <w:rsid w:val="00F056BB"/>
    <w:rsid w:val="00F05F14"/>
    <w:rsid w:val="00F06DFD"/>
    <w:rsid w:val="00F0752F"/>
    <w:rsid w:val="00F0765A"/>
    <w:rsid w:val="00F10236"/>
    <w:rsid w:val="00F104E3"/>
    <w:rsid w:val="00F125FA"/>
    <w:rsid w:val="00F1277D"/>
    <w:rsid w:val="00F135D5"/>
    <w:rsid w:val="00F13836"/>
    <w:rsid w:val="00F13863"/>
    <w:rsid w:val="00F14190"/>
    <w:rsid w:val="00F15C0E"/>
    <w:rsid w:val="00F16015"/>
    <w:rsid w:val="00F16281"/>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42DC"/>
    <w:rsid w:val="00F24BD1"/>
    <w:rsid w:val="00F260C9"/>
    <w:rsid w:val="00F261EF"/>
    <w:rsid w:val="00F2635F"/>
    <w:rsid w:val="00F26FFB"/>
    <w:rsid w:val="00F27404"/>
    <w:rsid w:val="00F278C4"/>
    <w:rsid w:val="00F27DA3"/>
    <w:rsid w:val="00F27E8A"/>
    <w:rsid w:val="00F3085A"/>
    <w:rsid w:val="00F30905"/>
    <w:rsid w:val="00F30BCD"/>
    <w:rsid w:val="00F30BD6"/>
    <w:rsid w:val="00F314A2"/>
    <w:rsid w:val="00F323A5"/>
    <w:rsid w:val="00F32894"/>
    <w:rsid w:val="00F32A44"/>
    <w:rsid w:val="00F32D4D"/>
    <w:rsid w:val="00F32F58"/>
    <w:rsid w:val="00F333B8"/>
    <w:rsid w:val="00F33A07"/>
    <w:rsid w:val="00F33B22"/>
    <w:rsid w:val="00F33B6F"/>
    <w:rsid w:val="00F34415"/>
    <w:rsid w:val="00F34606"/>
    <w:rsid w:val="00F3478A"/>
    <w:rsid w:val="00F353BC"/>
    <w:rsid w:val="00F35686"/>
    <w:rsid w:val="00F3614C"/>
    <w:rsid w:val="00F3738D"/>
    <w:rsid w:val="00F37786"/>
    <w:rsid w:val="00F377DB"/>
    <w:rsid w:val="00F37AA3"/>
    <w:rsid w:val="00F37E99"/>
    <w:rsid w:val="00F400CB"/>
    <w:rsid w:val="00F400D1"/>
    <w:rsid w:val="00F41035"/>
    <w:rsid w:val="00F41688"/>
    <w:rsid w:val="00F4242E"/>
    <w:rsid w:val="00F424A3"/>
    <w:rsid w:val="00F42F6A"/>
    <w:rsid w:val="00F431B8"/>
    <w:rsid w:val="00F43CF7"/>
    <w:rsid w:val="00F44F27"/>
    <w:rsid w:val="00F45F1D"/>
    <w:rsid w:val="00F46401"/>
    <w:rsid w:val="00F471FD"/>
    <w:rsid w:val="00F4768E"/>
    <w:rsid w:val="00F50BCC"/>
    <w:rsid w:val="00F50C08"/>
    <w:rsid w:val="00F5100A"/>
    <w:rsid w:val="00F5136B"/>
    <w:rsid w:val="00F5159B"/>
    <w:rsid w:val="00F51E48"/>
    <w:rsid w:val="00F52316"/>
    <w:rsid w:val="00F5293A"/>
    <w:rsid w:val="00F52AC0"/>
    <w:rsid w:val="00F52E2D"/>
    <w:rsid w:val="00F54084"/>
    <w:rsid w:val="00F549A1"/>
    <w:rsid w:val="00F5603F"/>
    <w:rsid w:val="00F56E01"/>
    <w:rsid w:val="00F57DA4"/>
    <w:rsid w:val="00F603F8"/>
    <w:rsid w:val="00F6062F"/>
    <w:rsid w:val="00F606A7"/>
    <w:rsid w:val="00F606C2"/>
    <w:rsid w:val="00F60715"/>
    <w:rsid w:val="00F60B09"/>
    <w:rsid w:val="00F61877"/>
    <w:rsid w:val="00F61ABE"/>
    <w:rsid w:val="00F61ACE"/>
    <w:rsid w:val="00F61D84"/>
    <w:rsid w:val="00F62810"/>
    <w:rsid w:val="00F63B1C"/>
    <w:rsid w:val="00F64888"/>
    <w:rsid w:val="00F65260"/>
    <w:rsid w:val="00F6612D"/>
    <w:rsid w:val="00F662BB"/>
    <w:rsid w:val="00F66A9E"/>
    <w:rsid w:val="00F67239"/>
    <w:rsid w:val="00F70762"/>
    <w:rsid w:val="00F721CA"/>
    <w:rsid w:val="00F72655"/>
    <w:rsid w:val="00F72660"/>
    <w:rsid w:val="00F73B9F"/>
    <w:rsid w:val="00F740A0"/>
    <w:rsid w:val="00F74801"/>
    <w:rsid w:val="00F74AE7"/>
    <w:rsid w:val="00F74C5A"/>
    <w:rsid w:val="00F76B6A"/>
    <w:rsid w:val="00F76C17"/>
    <w:rsid w:val="00F7713B"/>
    <w:rsid w:val="00F80F83"/>
    <w:rsid w:val="00F81011"/>
    <w:rsid w:val="00F81B08"/>
    <w:rsid w:val="00F81BDE"/>
    <w:rsid w:val="00F8258B"/>
    <w:rsid w:val="00F82614"/>
    <w:rsid w:val="00F826C1"/>
    <w:rsid w:val="00F828EE"/>
    <w:rsid w:val="00F83970"/>
    <w:rsid w:val="00F84018"/>
    <w:rsid w:val="00F84B09"/>
    <w:rsid w:val="00F84B5A"/>
    <w:rsid w:val="00F84B93"/>
    <w:rsid w:val="00F84D11"/>
    <w:rsid w:val="00F855B5"/>
    <w:rsid w:val="00F858B5"/>
    <w:rsid w:val="00F85FF6"/>
    <w:rsid w:val="00F868C1"/>
    <w:rsid w:val="00F87A66"/>
    <w:rsid w:val="00F87CBF"/>
    <w:rsid w:val="00F90206"/>
    <w:rsid w:val="00F90DC6"/>
    <w:rsid w:val="00F9230A"/>
    <w:rsid w:val="00F92626"/>
    <w:rsid w:val="00F9285A"/>
    <w:rsid w:val="00F92B52"/>
    <w:rsid w:val="00F93BBC"/>
    <w:rsid w:val="00F94F5F"/>
    <w:rsid w:val="00F958C2"/>
    <w:rsid w:val="00F95F56"/>
    <w:rsid w:val="00F96137"/>
    <w:rsid w:val="00F9644D"/>
    <w:rsid w:val="00F97296"/>
    <w:rsid w:val="00F979AC"/>
    <w:rsid w:val="00F97DF6"/>
    <w:rsid w:val="00FA0BA0"/>
    <w:rsid w:val="00FA19C1"/>
    <w:rsid w:val="00FA1ED1"/>
    <w:rsid w:val="00FA25EE"/>
    <w:rsid w:val="00FA3B86"/>
    <w:rsid w:val="00FA3ECA"/>
    <w:rsid w:val="00FA4969"/>
    <w:rsid w:val="00FA53D7"/>
    <w:rsid w:val="00FA58E1"/>
    <w:rsid w:val="00FA60BD"/>
    <w:rsid w:val="00FA6796"/>
    <w:rsid w:val="00FA7557"/>
    <w:rsid w:val="00FA7558"/>
    <w:rsid w:val="00FA774E"/>
    <w:rsid w:val="00FB12FB"/>
    <w:rsid w:val="00FB1E74"/>
    <w:rsid w:val="00FB2347"/>
    <w:rsid w:val="00FB2D85"/>
    <w:rsid w:val="00FB3108"/>
    <w:rsid w:val="00FB3587"/>
    <w:rsid w:val="00FB3B2E"/>
    <w:rsid w:val="00FB3D97"/>
    <w:rsid w:val="00FB3EE6"/>
    <w:rsid w:val="00FB440B"/>
    <w:rsid w:val="00FB4510"/>
    <w:rsid w:val="00FB4A92"/>
    <w:rsid w:val="00FB56AF"/>
    <w:rsid w:val="00FB5AA2"/>
    <w:rsid w:val="00FB5BD7"/>
    <w:rsid w:val="00FB63BC"/>
    <w:rsid w:val="00FB6514"/>
    <w:rsid w:val="00FB6614"/>
    <w:rsid w:val="00FB7083"/>
    <w:rsid w:val="00FC05C0"/>
    <w:rsid w:val="00FC085D"/>
    <w:rsid w:val="00FC1CE1"/>
    <w:rsid w:val="00FC29E0"/>
    <w:rsid w:val="00FC2B13"/>
    <w:rsid w:val="00FC315E"/>
    <w:rsid w:val="00FC3E96"/>
    <w:rsid w:val="00FC5728"/>
    <w:rsid w:val="00FC572D"/>
    <w:rsid w:val="00FC6714"/>
    <w:rsid w:val="00FC6E87"/>
    <w:rsid w:val="00FC7EBB"/>
    <w:rsid w:val="00FC7F08"/>
    <w:rsid w:val="00FD0FD1"/>
    <w:rsid w:val="00FD106D"/>
    <w:rsid w:val="00FD13AA"/>
    <w:rsid w:val="00FD1975"/>
    <w:rsid w:val="00FD1A3D"/>
    <w:rsid w:val="00FD2191"/>
    <w:rsid w:val="00FD266B"/>
    <w:rsid w:val="00FD2B28"/>
    <w:rsid w:val="00FD2D33"/>
    <w:rsid w:val="00FD3580"/>
    <w:rsid w:val="00FD4710"/>
    <w:rsid w:val="00FD5B50"/>
    <w:rsid w:val="00FD6195"/>
    <w:rsid w:val="00FD63FC"/>
    <w:rsid w:val="00FE0670"/>
    <w:rsid w:val="00FE17C0"/>
    <w:rsid w:val="00FE2147"/>
    <w:rsid w:val="00FE219D"/>
    <w:rsid w:val="00FE2620"/>
    <w:rsid w:val="00FE3864"/>
    <w:rsid w:val="00FE3E75"/>
    <w:rsid w:val="00FE4B0E"/>
    <w:rsid w:val="00FE4D6E"/>
    <w:rsid w:val="00FE5143"/>
    <w:rsid w:val="00FE6349"/>
    <w:rsid w:val="00FE6BFA"/>
    <w:rsid w:val="00FE7282"/>
    <w:rsid w:val="00FE7304"/>
    <w:rsid w:val="00FE79B7"/>
    <w:rsid w:val="00FF0310"/>
    <w:rsid w:val="00FF11DA"/>
    <w:rsid w:val="00FF20DC"/>
    <w:rsid w:val="00FF23DE"/>
    <w:rsid w:val="00FF2792"/>
    <w:rsid w:val="00FF59D0"/>
    <w:rsid w:val="00FF670F"/>
    <w:rsid w:val="00FF72F4"/>
    <w:rsid w:val="00FF7454"/>
    <w:rsid w:val="00FF7ED8"/>
    <w:rsid w:val="010354AC"/>
    <w:rsid w:val="010F11F6"/>
    <w:rsid w:val="01255330"/>
    <w:rsid w:val="01301ECB"/>
    <w:rsid w:val="01F42E2D"/>
    <w:rsid w:val="01FB5C4F"/>
    <w:rsid w:val="023B0988"/>
    <w:rsid w:val="0256548E"/>
    <w:rsid w:val="02657094"/>
    <w:rsid w:val="02767515"/>
    <w:rsid w:val="02890D36"/>
    <w:rsid w:val="029370C7"/>
    <w:rsid w:val="02960963"/>
    <w:rsid w:val="02BD78CB"/>
    <w:rsid w:val="02DE1725"/>
    <w:rsid w:val="02FF41F8"/>
    <w:rsid w:val="0314419D"/>
    <w:rsid w:val="0315776F"/>
    <w:rsid w:val="03611042"/>
    <w:rsid w:val="04691FC5"/>
    <w:rsid w:val="0495663D"/>
    <w:rsid w:val="04A12FC1"/>
    <w:rsid w:val="04E24159"/>
    <w:rsid w:val="04E81B1A"/>
    <w:rsid w:val="05097AD0"/>
    <w:rsid w:val="05187985"/>
    <w:rsid w:val="056D3AD0"/>
    <w:rsid w:val="05CC0E93"/>
    <w:rsid w:val="05DC4842"/>
    <w:rsid w:val="05F306FA"/>
    <w:rsid w:val="06443FD4"/>
    <w:rsid w:val="066C1DBB"/>
    <w:rsid w:val="069471B1"/>
    <w:rsid w:val="069A435F"/>
    <w:rsid w:val="06BD225B"/>
    <w:rsid w:val="07277E4A"/>
    <w:rsid w:val="073F1CAD"/>
    <w:rsid w:val="07B16AC6"/>
    <w:rsid w:val="07C83968"/>
    <w:rsid w:val="08073E22"/>
    <w:rsid w:val="081437C9"/>
    <w:rsid w:val="086728D9"/>
    <w:rsid w:val="087424D8"/>
    <w:rsid w:val="08822685"/>
    <w:rsid w:val="08FA104A"/>
    <w:rsid w:val="08FA57C7"/>
    <w:rsid w:val="09385C0D"/>
    <w:rsid w:val="09403420"/>
    <w:rsid w:val="09AA1547"/>
    <w:rsid w:val="09D007CD"/>
    <w:rsid w:val="09E3201C"/>
    <w:rsid w:val="0A18470E"/>
    <w:rsid w:val="0A2E79CD"/>
    <w:rsid w:val="0A765FB8"/>
    <w:rsid w:val="0A814349"/>
    <w:rsid w:val="0AF8308E"/>
    <w:rsid w:val="0B077F8D"/>
    <w:rsid w:val="0B581C7A"/>
    <w:rsid w:val="0B733CEA"/>
    <w:rsid w:val="0B832C72"/>
    <w:rsid w:val="0C483CB5"/>
    <w:rsid w:val="0C4F15A3"/>
    <w:rsid w:val="0C5F0057"/>
    <w:rsid w:val="0CA926F0"/>
    <w:rsid w:val="0CAF268A"/>
    <w:rsid w:val="0CBA158E"/>
    <w:rsid w:val="0D38584D"/>
    <w:rsid w:val="0D6126DC"/>
    <w:rsid w:val="0D8D654B"/>
    <w:rsid w:val="0D984FAD"/>
    <w:rsid w:val="0DA914DF"/>
    <w:rsid w:val="0DB22BA4"/>
    <w:rsid w:val="0E263246"/>
    <w:rsid w:val="0E26741D"/>
    <w:rsid w:val="0E3015D7"/>
    <w:rsid w:val="0E5D5416"/>
    <w:rsid w:val="0E644D03"/>
    <w:rsid w:val="0E6A02CB"/>
    <w:rsid w:val="0EF337BC"/>
    <w:rsid w:val="0F1C5B09"/>
    <w:rsid w:val="0F2446FC"/>
    <w:rsid w:val="101500B2"/>
    <w:rsid w:val="10507C42"/>
    <w:rsid w:val="105A7962"/>
    <w:rsid w:val="109C3C4F"/>
    <w:rsid w:val="10E45C0D"/>
    <w:rsid w:val="10F87069"/>
    <w:rsid w:val="115C57C9"/>
    <w:rsid w:val="11BC2E71"/>
    <w:rsid w:val="11F62C07"/>
    <w:rsid w:val="120F1EA3"/>
    <w:rsid w:val="12326342"/>
    <w:rsid w:val="123A64AD"/>
    <w:rsid w:val="124F3295"/>
    <w:rsid w:val="1319100A"/>
    <w:rsid w:val="13737B75"/>
    <w:rsid w:val="13894B8D"/>
    <w:rsid w:val="13B43E61"/>
    <w:rsid w:val="147719A1"/>
    <w:rsid w:val="147F40D2"/>
    <w:rsid w:val="148C1946"/>
    <w:rsid w:val="14A4244E"/>
    <w:rsid w:val="14AD2260"/>
    <w:rsid w:val="14B8240A"/>
    <w:rsid w:val="14F0383F"/>
    <w:rsid w:val="1534142B"/>
    <w:rsid w:val="15392D4C"/>
    <w:rsid w:val="154C7218"/>
    <w:rsid w:val="155557E1"/>
    <w:rsid w:val="156D5FF4"/>
    <w:rsid w:val="15F333DA"/>
    <w:rsid w:val="160D7DF3"/>
    <w:rsid w:val="16AE3114"/>
    <w:rsid w:val="17524576"/>
    <w:rsid w:val="17707100"/>
    <w:rsid w:val="17853822"/>
    <w:rsid w:val="17DA2583"/>
    <w:rsid w:val="17E06C0C"/>
    <w:rsid w:val="1868584B"/>
    <w:rsid w:val="187907B9"/>
    <w:rsid w:val="18947263"/>
    <w:rsid w:val="18B50E83"/>
    <w:rsid w:val="194C23DB"/>
    <w:rsid w:val="196C5A40"/>
    <w:rsid w:val="19C2556A"/>
    <w:rsid w:val="19C41B53"/>
    <w:rsid w:val="1A2608F3"/>
    <w:rsid w:val="1A2A3350"/>
    <w:rsid w:val="1A336B23"/>
    <w:rsid w:val="1A750A6F"/>
    <w:rsid w:val="1A88534B"/>
    <w:rsid w:val="1AA10218"/>
    <w:rsid w:val="1AEF729B"/>
    <w:rsid w:val="1B143072"/>
    <w:rsid w:val="1B28788F"/>
    <w:rsid w:val="1B686DBB"/>
    <w:rsid w:val="1B824877"/>
    <w:rsid w:val="1BCD57AB"/>
    <w:rsid w:val="1BEE1992"/>
    <w:rsid w:val="1C0E1A98"/>
    <w:rsid w:val="1C1A682C"/>
    <w:rsid w:val="1C1E3533"/>
    <w:rsid w:val="1C2078F3"/>
    <w:rsid w:val="1C2428E7"/>
    <w:rsid w:val="1C490289"/>
    <w:rsid w:val="1C67088B"/>
    <w:rsid w:val="1C6F4FB4"/>
    <w:rsid w:val="1CA6768D"/>
    <w:rsid w:val="1CDB5968"/>
    <w:rsid w:val="1CFE635D"/>
    <w:rsid w:val="1D1F6145"/>
    <w:rsid w:val="1D54432D"/>
    <w:rsid w:val="1D651739"/>
    <w:rsid w:val="1DA82A10"/>
    <w:rsid w:val="1DAF569C"/>
    <w:rsid w:val="1DC86030"/>
    <w:rsid w:val="1E2D620F"/>
    <w:rsid w:val="1E422931"/>
    <w:rsid w:val="1EA615BB"/>
    <w:rsid w:val="1ED10ED1"/>
    <w:rsid w:val="1EEA2A97"/>
    <w:rsid w:val="1EF615FC"/>
    <w:rsid w:val="1F210622"/>
    <w:rsid w:val="1F306401"/>
    <w:rsid w:val="1F365B1C"/>
    <w:rsid w:val="1F3E1D77"/>
    <w:rsid w:val="1F4277F5"/>
    <w:rsid w:val="1F5E4382"/>
    <w:rsid w:val="1F68484A"/>
    <w:rsid w:val="1FF258FC"/>
    <w:rsid w:val="201812D5"/>
    <w:rsid w:val="205B095C"/>
    <w:rsid w:val="20621846"/>
    <w:rsid w:val="2066678B"/>
    <w:rsid w:val="208244E5"/>
    <w:rsid w:val="208337BA"/>
    <w:rsid w:val="2164349D"/>
    <w:rsid w:val="217E06CB"/>
    <w:rsid w:val="21AE27C3"/>
    <w:rsid w:val="21BD09EA"/>
    <w:rsid w:val="21C734F7"/>
    <w:rsid w:val="21D2510C"/>
    <w:rsid w:val="220D5256"/>
    <w:rsid w:val="22352E85"/>
    <w:rsid w:val="22550749"/>
    <w:rsid w:val="22823F04"/>
    <w:rsid w:val="22920395"/>
    <w:rsid w:val="22B60C01"/>
    <w:rsid w:val="22DE3BE4"/>
    <w:rsid w:val="231879A1"/>
    <w:rsid w:val="23242793"/>
    <w:rsid w:val="23434A62"/>
    <w:rsid w:val="237D1557"/>
    <w:rsid w:val="239A46F7"/>
    <w:rsid w:val="2411343C"/>
    <w:rsid w:val="2425741B"/>
    <w:rsid w:val="247174BF"/>
    <w:rsid w:val="24855F40"/>
    <w:rsid w:val="249E6E14"/>
    <w:rsid w:val="249F6523"/>
    <w:rsid w:val="24A54BEC"/>
    <w:rsid w:val="24EE61B2"/>
    <w:rsid w:val="2593314B"/>
    <w:rsid w:val="25AD1ED4"/>
    <w:rsid w:val="25B84A72"/>
    <w:rsid w:val="25F52A65"/>
    <w:rsid w:val="25FA34AB"/>
    <w:rsid w:val="261A7D35"/>
    <w:rsid w:val="262249B0"/>
    <w:rsid w:val="26386BBE"/>
    <w:rsid w:val="26824AC6"/>
    <w:rsid w:val="26CA35AD"/>
    <w:rsid w:val="2749366C"/>
    <w:rsid w:val="278F00E9"/>
    <w:rsid w:val="28145A17"/>
    <w:rsid w:val="28B1694E"/>
    <w:rsid w:val="28BC0562"/>
    <w:rsid w:val="29254FDF"/>
    <w:rsid w:val="29747D10"/>
    <w:rsid w:val="298635F5"/>
    <w:rsid w:val="29EA739F"/>
    <w:rsid w:val="29F96A50"/>
    <w:rsid w:val="2A1F2738"/>
    <w:rsid w:val="2A2D713F"/>
    <w:rsid w:val="2A423861"/>
    <w:rsid w:val="2A5C0462"/>
    <w:rsid w:val="2A63541A"/>
    <w:rsid w:val="2A7964DB"/>
    <w:rsid w:val="2A8F5EDF"/>
    <w:rsid w:val="2AA84B6D"/>
    <w:rsid w:val="2AAB11ED"/>
    <w:rsid w:val="2ABA4466"/>
    <w:rsid w:val="2ABF0192"/>
    <w:rsid w:val="2AFB6893"/>
    <w:rsid w:val="2B0065E0"/>
    <w:rsid w:val="2B937D0B"/>
    <w:rsid w:val="2BB521F8"/>
    <w:rsid w:val="2C0262C1"/>
    <w:rsid w:val="2C773E97"/>
    <w:rsid w:val="2C9938D3"/>
    <w:rsid w:val="2CA80A74"/>
    <w:rsid w:val="2CC54020"/>
    <w:rsid w:val="2D2F5194"/>
    <w:rsid w:val="2D566901"/>
    <w:rsid w:val="2D7D2E49"/>
    <w:rsid w:val="2D871473"/>
    <w:rsid w:val="2D966AB6"/>
    <w:rsid w:val="2DCA0C7A"/>
    <w:rsid w:val="2E0B1B47"/>
    <w:rsid w:val="2E144A59"/>
    <w:rsid w:val="2E1E06B9"/>
    <w:rsid w:val="2E3704AF"/>
    <w:rsid w:val="2EB61B31"/>
    <w:rsid w:val="2EC15135"/>
    <w:rsid w:val="2EDE1D07"/>
    <w:rsid w:val="2EF8259B"/>
    <w:rsid w:val="2EF835AC"/>
    <w:rsid w:val="2EF8398F"/>
    <w:rsid w:val="2F2537C4"/>
    <w:rsid w:val="2F2954D5"/>
    <w:rsid w:val="2F312813"/>
    <w:rsid w:val="2F6F09B3"/>
    <w:rsid w:val="2F8F3DC0"/>
    <w:rsid w:val="2F9959A7"/>
    <w:rsid w:val="2FB22EB0"/>
    <w:rsid w:val="2FDE4A00"/>
    <w:rsid w:val="302000BC"/>
    <w:rsid w:val="30251807"/>
    <w:rsid w:val="30332B06"/>
    <w:rsid w:val="30575FA2"/>
    <w:rsid w:val="30A957E4"/>
    <w:rsid w:val="30C56DD2"/>
    <w:rsid w:val="30D277B2"/>
    <w:rsid w:val="30E177A7"/>
    <w:rsid w:val="310C507E"/>
    <w:rsid w:val="314225B0"/>
    <w:rsid w:val="31511AD6"/>
    <w:rsid w:val="3198766B"/>
    <w:rsid w:val="319D0DD6"/>
    <w:rsid w:val="323B7E0F"/>
    <w:rsid w:val="3281725C"/>
    <w:rsid w:val="328E3A30"/>
    <w:rsid w:val="32CA15BD"/>
    <w:rsid w:val="32DE1F01"/>
    <w:rsid w:val="331630E9"/>
    <w:rsid w:val="335F6FD7"/>
    <w:rsid w:val="33D463AE"/>
    <w:rsid w:val="34227F73"/>
    <w:rsid w:val="342D1038"/>
    <w:rsid w:val="3430230D"/>
    <w:rsid w:val="34377FF9"/>
    <w:rsid w:val="343B6470"/>
    <w:rsid w:val="34B3796B"/>
    <w:rsid w:val="34C131AF"/>
    <w:rsid w:val="34CA3577"/>
    <w:rsid w:val="34E87C04"/>
    <w:rsid w:val="35476355"/>
    <w:rsid w:val="35681C92"/>
    <w:rsid w:val="356928AF"/>
    <w:rsid w:val="358A40AE"/>
    <w:rsid w:val="35D579E0"/>
    <w:rsid w:val="35DA72AE"/>
    <w:rsid w:val="35E84393"/>
    <w:rsid w:val="36013D27"/>
    <w:rsid w:val="36025D97"/>
    <w:rsid w:val="36B45A08"/>
    <w:rsid w:val="36C9251E"/>
    <w:rsid w:val="36E47B9D"/>
    <w:rsid w:val="370928C0"/>
    <w:rsid w:val="372157C4"/>
    <w:rsid w:val="3747231F"/>
    <w:rsid w:val="374F2A6F"/>
    <w:rsid w:val="37645C9B"/>
    <w:rsid w:val="376C2F19"/>
    <w:rsid w:val="37A23B04"/>
    <w:rsid w:val="38095130"/>
    <w:rsid w:val="382E44BD"/>
    <w:rsid w:val="38733E42"/>
    <w:rsid w:val="38C2712E"/>
    <w:rsid w:val="38EB4DDC"/>
    <w:rsid w:val="3925521E"/>
    <w:rsid w:val="39A62C24"/>
    <w:rsid w:val="39CB790F"/>
    <w:rsid w:val="39CF05D0"/>
    <w:rsid w:val="39F45841"/>
    <w:rsid w:val="3A29797A"/>
    <w:rsid w:val="3A385A75"/>
    <w:rsid w:val="3A3E409C"/>
    <w:rsid w:val="3A5B7D04"/>
    <w:rsid w:val="3A9E62B0"/>
    <w:rsid w:val="3AB30E95"/>
    <w:rsid w:val="3AF15396"/>
    <w:rsid w:val="3B045C51"/>
    <w:rsid w:val="3B1D351E"/>
    <w:rsid w:val="3B2575DE"/>
    <w:rsid w:val="3B2D253C"/>
    <w:rsid w:val="3B2F5F58"/>
    <w:rsid w:val="3B863442"/>
    <w:rsid w:val="3B88778D"/>
    <w:rsid w:val="3C487939"/>
    <w:rsid w:val="3C682428"/>
    <w:rsid w:val="3C9402BA"/>
    <w:rsid w:val="3CF66AB4"/>
    <w:rsid w:val="3D417B8C"/>
    <w:rsid w:val="3D4C5F1D"/>
    <w:rsid w:val="3E154B46"/>
    <w:rsid w:val="3E1A5671"/>
    <w:rsid w:val="3E667CEF"/>
    <w:rsid w:val="3E6809D1"/>
    <w:rsid w:val="3E780B78"/>
    <w:rsid w:val="3E8C73DD"/>
    <w:rsid w:val="3ED34AA0"/>
    <w:rsid w:val="3EEC5C83"/>
    <w:rsid w:val="3F1C4C99"/>
    <w:rsid w:val="3F2A54AE"/>
    <w:rsid w:val="3F6E789D"/>
    <w:rsid w:val="3FE04FF8"/>
    <w:rsid w:val="3FED2FEE"/>
    <w:rsid w:val="406A624F"/>
    <w:rsid w:val="406A6AFE"/>
    <w:rsid w:val="40A91E62"/>
    <w:rsid w:val="40B118C6"/>
    <w:rsid w:val="40CE78E8"/>
    <w:rsid w:val="40ED414F"/>
    <w:rsid w:val="40FE0BC1"/>
    <w:rsid w:val="412874F2"/>
    <w:rsid w:val="41664225"/>
    <w:rsid w:val="416D601F"/>
    <w:rsid w:val="419701EC"/>
    <w:rsid w:val="41B676E4"/>
    <w:rsid w:val="42014C57"/>
    <w:rsid w:val="42161379"/>
    <w:rsid w:val="42AF6075"/>
    <w:rsid w:val="42CC520C"/>
    <w:rsid w:val="42CF43AB"/>
    <w:rsid w:val="42E12969"/>
    <w:rsid w:val="42EE6E5E"/>
    <w:rsid w:val="430F4AB3"/>
    <w:rsid w:val="43204EC2"/>
    <w:rsid w:val="43A13601"/>
    <w:rsid w:val="43C845C3"/>
    <w:rsid w:val="4478090D"/>
    <w:rsid w:val="447B4624"/>
    <w:rsid w:val="44A479C5"/>
    <w:rsid w:val="44A553F2"/>
    <w:rsid w:val="44AB5BB5"/>
    <w:rsid w:val="44ED7546"/>
    <w:rsid w:val="44FF51C4"/>
    <w:rsid w:val="45AA6F6F"/>
    <w:rsid w:val="46113D52"/>
    <w:rsid w:val="46737A24"/>
    <w:rsid w:val="4674666E"/>
    <w:rsid w:val="46CA0433"/>
    <w:rsid w:val="46DF36FF"/>
    <w:rsid w:val="471E0126"/>
    <w:rsid w:val="47530F1F"/>
    <w:rsid w:val="47772728"/>
    <w:rsid w:val="47C876CB"/>
    <w:rsid w:val="47D73A93"/>
    <w:rsid w:val="48034366"/>
    <w:rsid w:val="481B4154"/>
    <w:rsid w:val="48516FB5"/>
    <w:rsid w:val="4860425D"/>
    <w:rsid w:val="488E0B7F"/>
    <w:rsid w:val="48910A08"/>
    <w:rsid w:val="48B459D5"/>
    <w:rsid w:val="48F416EC"/>
    <w:rsid w:val="49497D40"/>
    <w:rsid w:val="4A3A6E9E"/>
    <w:rsid w:val="4A5E657A"/>
    <w:rsid w:val="4A761B16"/>
    <w:rsid w:val="4A9216E3"/>
    <w:rsid w:val="4AE820F1"/>
    <w:rsid w:val="4BA62F67"/>
    <w:rsid w:val="4C3E19EB"/>
    <w:rsid w:val="4C6B2F56"/>
    <w:rsid w:val="4CAA52F9"/>
    <w:rsid w:val="4D7E0331"/>
    <w:rsid w:val="4D9066EF"/>
    <w:rsid w:val="4DAB5852"/>
    <w:rsid w:val="4DE8639C"/>
    <w:rsid w:val="4E386C3C"/>
    <w:rsid w:val="4E6241F5"/>
    <w:rsid w:val="4E634927"/>
    <w:rsid w:val="4E6D0038"/>
    <w:rsid w:val="4E751CC3"/>
    <w:rsid w:val="4EAD1E2E"/>
    <w:rsid w:val="4F105D44"/>
    <w:rsid w:val="4F355850"/>
    <w:rsid w:val="4F437C01"/>
    <w:rsid w:val="4F5C4B3F"/>
    <w:rsid w:val="4F645657"/>
    <w:rsid w:val="4F8B14B0"/>
    <w:rsid w:val="4FB671CF"/>
    <w:rsid w:val="4FEFB9BD"/>
    <w:rsid w:val="4FFD7F4B"/>
    <w:rsid w:val="501F5F01"/>
    <w:rsid w:val="505521CD"/>
    <w:rsid w:val="5063360F"/>
    <w:rsid w:val="50654B91"/>
    <w:rsid w:val="5079308D"/>
    <w:rsid w:val="50BF05A8"/>
    <w:rsid w:val="50E74F74"/>
    <w:rsid w:val="519F5DF6"/>
    <w:rsid w:val="51A04A97"/>
    <w:rsid w:val="51DF1D99"/>
    <w:rsid w:val="52077FA0"/>
    <w:rsid w:val="523E6CC9"/>
    <w:rsid w:val="524E473C"/>
    <w:rsid w:val="52B03DCF"/>
    <w:rsid w:val="52E361B6"/>
    <w:rsid w:val="52E76DC3"/>
    <w:rsid w:val="52F61E27"/>
    <w:rsid w:val="530B34BA"/>
    <w:rsid w:val="539D3912"/>
    <w:rsid w:val="545C6276"/>
    <w:rsid w:val="556C60B3"/>
    <w:rsid w:val="55E8168E"/>
    <w:rsid w:val="55EF7972"/>
    <w:rsid w:val="561A74D1"/>
    <w:rsid w:val="565A7F33"/>
    <w:rsid w:val="571B72E1"/>
    <w:rsid w:val="57283E0B"/>
    <w:rsid w:val="5733084B"/>
    <w:rsid w:val="573E37FA"/>
    <w:rsid w:val="574A1DC1"/>
    <w:rsid w:val="57A16150"/>
    <w:rsid w:val="57C00B06"/>
    <w:rsid w:val="58021570"/>
    <w:rsid w:val="580E5197"/>
    <w:rsid w:val="581F0C45"/>
    <w:rsid w:val="582C16A6"/>
    <w:rsid w:val="582F247B"/>
    <w:rsid w:val="5831455A"/>
    <w:rsid w:val="5863030F"/>
    <w:rsid w:val="58E93DFA"/>
    <w:rsid w:val="58F52B38"/>
    <w:rsid w:val="5906339C"/>
    <w:rsid w:val="592616D2"/>
    <w:rsid w:val="59341B00"/>
    <w:rsid w:val="59D10B16"/>
    <w:rsid w:val="59DE0E81"/>
    <w:rsid w:val="59F55223"/>
    <w:rsid w:val="59FF35B4"/>
    <w:rsid w:val="5A4D3694"/>
    <w:rsid w:val="5A9E4C3C"/>
    <w:rsid w:val="5AE470AA"/>
    <w:rsid w:val="5AF2051E"/>
    <w:rsid w:val="5AF57202"/>
    <w:rsid w:val="5B2B34B2"/>
    <w:rsid w:val="5B301727"/>
    <w:rsid w:val="5B5A5DEF"/>
    <w:rsid w:val="5BB41608"/>
    <w:rsid w:val="5BC56904"/>
    <w:rsid w:val="5C0A6E8C"/>
    <w:rsid w:val="5C170F24"/>
    <w:rsid w:val="5CA9096B"/>
    <w:rsid w:val="5CCE6D02"/>
    <w:rsid w:val="5CEC2D02"/>
    <w:rsid w:val="5D16383F"/>
    <w:rsid w:val="5D2353DA"/>
    <w:rsid w:val="5D2F1D61"/>
    <w:rsid w:val="5DA14B7B"/>
    <w:rsid w:val="5DDF7727"/>
    <w:rsid w:val="5E2A2B5D"/>
    <w:rsid w:val="5E892159"/>
    <w:rsid w:val="5E8E347A"/>
    <w:rsid w:val="5F4257D5"/>
    <w:rsid w:val="5F6D531F"/>
    <w:rsid w:val="5F9822A0"/>
    <w:rsid w:val="5FAE2505"/>
    <w:rsid w:val="5FB33563"/>
    <w:rsid w:val="60056797"/>
    <w:rsid w:val="60B453AD"/>
    <w:rsid w:val="61094D40"/>
    <w:rsid w:val="61271980"/>
    <w:rsid w:val="614172DE"/>
    <w:rsid w:val="6160574F"/>
    <w:rsid w:val="6190291A"/>
    <w:rsid w:val="61A86ECD"/>
    <w:rsid w:val="62214A74"/>
    <w:rsid w:val="630700DA"/>
    <w:rsid w:val="64134CCE"/>
    <w:rsid w:val="64342372"/>
    <w:rsid w:val="643F6C0E"/>
    <w:rsid w:val="64453605"/>
    <w:rsid w:val="646B5BC7"/>
    <w:rsid w:val="64770E73"/>
    <w:rsid w:val="648B18C9"/>
    <w:rsid w:val="64C161CD"/>
    <w:rsid w:val="64CD2937"/>
    <w:rsid w:val="6511265D"/>
    <w:rsid w:val="651C4271"/>
    <w:rsid w:val="655B398A"/>
    <w:rsid w:val="65A8181D"/>
    <w:rsid w:val="65A836AB"/>
    <w:rsid w:val="65A93AD5"/>
    <w:rsid w:val="65BB2FC6"/>
    <w:rsid w:val="662B3EC2"/>
    <w:rsid w:val="66786787"/>
    <w:rsid w:val="66B25BAB"/>
    <w:rsid w:val="679F4E53"/>
    <w:rsid w:val="6808013C"/>
    <w:rsid w:val="6839078D"/>
    <w:rsid w:val="68490BA5"/>
    <w:rsid w:val="685305E5"/>
    <w:rsid w:val="6872092B"/>
    <w:rsid w:val="68A320F0"/>
    <w:rsid w:val="68B11D24"/>
    <w:rsid w:val="68C10A03"/>
    <w:rsid w:val="691702F9"/>
    <w:rsid w:val="692E7F1E"/>
    <w:rsid w:val="69430A4C"/>
    <w:rsid w:val="695A32F7"/>
    <w:rsid w:val="69625FE3"/>
    <w:rsid w:val="698C6D71"/>
    <w:rsid w:val="6A180541"/>
    <w:rsid w:val="6A242849"/>
    <w:rsid w:val="6A496830"/>
    <w:rsid w:val="6A8F166B"/>
    <w:rsid w:val="6AAE4622"/>
    <w:rsid w:val="6ADF78E5"/>
    <w:rsid w:val="6B0B3C2C"/>
    <w:rsid w:val="6B187E6F"/>
    <w:rsid w:val="6B57739A"/>
    <w:rsid w:val="6B596996"/>
    <w:rsid w:val="6B72636C"/>
    <w:rsid w:val="6B8D0D02"/>
    <w:rsid w:val="6BBB152F"/>
    <w:rsid w:val="6BC323BD"/>
    <w:rsid w:val="6BF1393B"/>
    <w:rsid w:val="6C7C2B89"/>
    <w:rsid w:val="6C8143AB"/>
    <w:rsid w:val="6CB30AE5"/>
    <w:rsid w:val="6CE20953"/>
    <w:rsid w:val="6D017EA8"/>
    <w:rsid w:val="6E10608E"/>
    <w:rsid w:val="6E92338D"/>
    <w:rsid w:val="6EA50F15"/>
    <w:rsid w:val="6EFA3169"/>
    <w:rsid w:val="6F1218C9"/>
    <w:rsid w:val="6F35142D"/>
    <w:rsid w:val="6F563453"/>
    <w:rsid w:val="6F737876"/>
    <w:rsid w:val="6FE10C9C"/>
    <w:rsid w:val="70257F20"/>
    <w:rsid w:val="70375E28"/>
    <w:rsid w:val="70593DDE"/>
    <w:rsid w:val="70CE3BAA"/>
    <w:rsid w:val="7105681E"/>
    <w:rsid w:val="711B22EB"/>
    <w:rsid w:val="713F3812"/>
    <w:rsid w:val="717C1858"/>
    <w:rsid w:val="718F3339"/>
    <w:rsid w:val="71900D99"/>
    <w:rsid w:val="72401A80"/>
    <w:rsid w:val="726603B7"/>
    <w:rsid w:val="7298562B"/>
    <w:rsid w:val="73047240"/>
    <w:rsid w:val="732516DD"/>
    <w:rsid w:val="73403E28"/>
    <w:rsid w:val="73577E87"/>
    <w:rsid w:val="737C78ED"/>
    <w:rsid w:val="73A83638"/>
    <w:rsid w:val="74125278"/>
    <w:rsid w:val="742D6B8B"/>
    <w:rsid w:val="7474619D"/>
    <w:rsid w:val="749E4E60"/>
    <w:rsid w:val="74DD7D93"/>
    <w:rsid w:val="75063D16"/>
    <w:rsid w:val="75435570"/>
    <w:rsid w:val="763E2D8B"/>
    <w:rsid w:val="765E373E"/>
    <w:rsid w:val="76912AA8"/>
    <w:rsid w:val="76936197"/>
    <w:rsid w:val="76B352E5"/>
    <w:rsid w:val="76BB5179"/>
    <w:rsid w:val="77A44220"/>
    <w:rsid w:val="77B42785"/>
    <w:rsid w:val="78496BAB"/>
    <w:rsid w:val="784A497A"/>
    <w:rsid w:val="786E73D3"/>
    <w:rsid w:val="79015EE8"/>
    <w:rsid w:val="790C5439"/>
    <w:rsid w:val="79FB26B5"/>
    <w:rsid w:val="7A2D6D03"/>
    <w:rsid w:val="7A926212"/>
    <w:rsid w:val="7AF15D92"/>
    <w:rsid w:val="7AF244C2"/>
    <w:rsid w:val="7B7968C3"/>
    <w:rsid w:val="7C1F2672"/>
    <w:rsid w:val="7C492337"/>
    <w:rsid w:val="7C8313D5"/>
    <w:rsid w:val="7C9149ED"/>
    <w:rsid w:val="7CB1637A"/>
    <w:rsid w:val="7CD82311"/>
    <w:rsid w:val="7CEA6A35"/>
    <w:rsid w:val="7D0564AB"/>
    <w:rsid w:val="7D5052A6"/>
    <w:rsid w:val="7D5A741C"/>
    <w:rsid w:val="7DA912DF"/>
    <w:rsid w:val="7DC71521"/>
    <w:rsid w:val="7DE50961"/>
    <w:rsid w:val="7E1A6070"/>
    <w:rsid w:val="7E351938"/>
    <w:rsid w:val="7E3A462D"/>
    <w:rsid w:val="7E437985"/>
    <w:rsid w:val="7E813419"/>
    <w:rsid w:val="7EC74BC9"/>
    <w:rsid w:val="7F0204F0"/>
    <w:rsid w:val="7F106C3A"/>
    <w:rsid w:val="7F6E6C48"/>
    <w:rsid w:val="7F880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54"/>
    <w:qFormat/>
    <w:uiPriority w:val="9"/>
    <w:pPr>
      <w:keepNext/>
      <w:keepLines/>
      <w:spacing w:before="340" w:after="330" w:line="578" w:lineRule="auto"/>
      <w:jc w:val="center"/>
      <w:outlineLvl w:val="0"/>
    </w:pPr>
    <w:rPr>
      <w:rFonts w:eastAsia="仿宋_GB2312"/>
      <w:b/>
      <w:bCs/>
      <w:kern w:val="44"/>
      <w:sz w:val="44"/>
      <w:szCs w:val="44"/>
    </w:rPr>
  </w:style>
  <w:style w:type="paragraph" w:styleId="5">
    <w:name w:val="heading 2"/>
    <w:basedOn w:val="1"/>
    <w:next w:val="1"/>
    <w:link w:val="88"/>
    <w:qFormat/>
    <w:uiPriority w:val="9"/>
    <w:pPr>
      <w:keepNext/>
      <w:keepLines/>
      <w:spacing w:before="260" w:after="260" w:line="400" w:lineRule="exact"/>
      <w:outlineLvl w:val="1"/>
    </w:pPr>
    <w:rPr>
      <w:rFonts w:ascii="Arial" w:hAnsi="Arial" w:eastAsia="黑体"/>
      <w:b/>
      <w:bCs/>
      <w:sz w:val="24"/>
      <w:szCs w:val="32"/>
    </w:rPr>
  </w:style>
  <w:style w:type="paragraph" w:styleId="6">
    <w:name w:val="heading 3"/>
    <w:basedOn w:val="1"/>
    <w:next w:val="1"/>
    <w:link w:val="64"/>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132"/>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133"/>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134"/>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5"/>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136"/>
    <w:qFormat/>
    <w:uiPriority w:val="0"/>
    <w:pPr>
      <w:keepNext/>
      <w:keepLines/>
      <w:numPr>
        <w:ilvl w:val="8"/>
        <w:numId w:val="1"/>
      </w:numPr>
      <w:spacing w:before="240" w:after="64" w:line="320" w:lineRule="auto"/>
      <w:outlineLvl w:val="8"/>
    </w:pPr>
    <w:rPr>
      <w:rFonts w:ascii="Arial" w:hAnsi="Arial" w:eastAsia="黑体"/>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9"/>
    <w:qFormat/>
    <w:uiPriority w:val="0"/>
    <w:pPr>
      <w:spacing w:line="380" w:lineRule="exact"/>
    </w:pPr>
    <w:rPr>
      <w:sz w:val="24"/>
    </w:rPr>
  </w:style>
  <w:style w:type="paragraph" w:styleId="3">
    <w:name w:val="Body Text 2"/>
    <w:basedOn w:val="1"/>
    <w:link w:val="143"/>
    <w:qFormat/>
    <w:uiPriority w:val="0"/>
    <w:pPr>
      <w:spacing w:after="120" w:line="480" w:lineRule="auto"/>
    </w:pPr>
  </w:style>
  <w:style w:type="paragraph" w:styleId="9">
    <w:name w:val="Normal Indent"/>
    <w:basedOn w:val="1"/>
    <w:link w:val="62"/>
    <w:qFormat/>
    <w:uiPriority w:val="0"/>
    <w:pPr>
      <w:ind w:firstLine="420"/>
    </w:pPr>
    <w:rPr>
      <w:szCs w:val="20"/>
    </w:rPr>
  </w:style>
  <w:style w:type="paragraph" w:styleId="14">
    <w:name w:val="index 8"/>
    <w:basedOn w:val="1"/>
    <w:next w:val="1"/>
    <w:unhideWhenUsed/>
    <w:qFormat/>
    <w:uiPriority w:val="99"/>
    <w:pPr>
      <w:ind w:left="1400" w:leftChars="1400"/>
    </w:p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137"/>
    <w:qFormat/>
    <w:uiPriority w:val="0"/>
    <w:pPr>
      <w:shd w:val="clear" w:color="auto" w:fill="000080"/>
    </w:pPr>
  </w:style>
  <w:style w:type="paragraph" w:styleId="18">
    <w:name w:val="annotation text"/>
    <w:basedOn w:val="1"/>
    <w:link w:val="78"/>
    <w:qFormat/>
    <w:uiPriority w:val="0"/>
    <w:pPr>
      <w:jc w:val="left"/>
    </w:pPr>
  </w:style>
  <w:style w:type="paragraph" w:styleId="19">
    <w:name w:val="Body Text 3"/>
    <w:basedOn w:val="1"/>
    <w:link w:val="138"/>
    <w:qFormat/>
    <w:uiPriority w:val="0"/>
    <w:pPr>
      <w:spacing w:line="500" w:lineRule="exact"/>
    </w:pPr>
    <w:rPr>
      <w:b/>
      <w:bCs/>
      <w:sz w:val="24"/>
    </w:rPr>
  </w:style>
  <w:style w:type="paragraph" w:styleId="20">
    <w:name w:val="Body Text Indent"/>
    <w:basedOn w:val="1"/>
    <w:link w:val="71"/>
    <w:qFormat/>
    <w:uiPriority w:val="0"/>
    <w:pPr>
      <w:ind w:firstLine="830" w:firstLineChars="352"/>
    </w:pPr>
    <w:rPr>
      <w:rFonts w:ascii="仿宋_GB2312" w:eastAsia="仿宋_GB2312"/>
      <w:sz w:val="32"/>
      <w:szCs w:val="20"/>
    </w:rPr>
  </w:style>
  <w:style w:type="paragraph" w:styleId="21">
    <w:name w:val="List Number 3"/>
    <w:basedOn w:val="1"/>
    <w:qFormat/>
    <w:uiPriority w:val="0"/>
    <w:pPr>
      <w:numPr>
        <w:ilvl w:val="0"/>
        <w:numId w:val="1"/>
      </w:numPr>
    </w:pPr>
  </w:style>
  <w:style w:type="paragraph" w:styleId="22">
    <w:name w:val="List 2"/>
    <w:basedOn w:val="1"/>
    <w:qFormat/>
    <w:uiPriority w:val="0"/>
    <w:pPr>
      <w:ind w:left="100" w:leftChars="200" w:hanging="200" w:hangingChars="200"/>
    </w:pPr>
    <w:rPr>
      <w:sz w:val="28"/>
    </w:rPr>
  </w:style>
  <w:style w:type="paragraph" w:styleId="23">
    <w:name w:val="Plain Text"/>
    <w:basedOn w:val="1"/>
    <w:next w:val="14"/>
    <w:link w:val="58"/>
    <w:qFormat/>
    <w:uiPriority w:val="0"/>
    <w:rPr>
      <w:rFonts w:ascii="宋体" w:hAnsi="Courier New" w:cs="Courier New"/>
      <w:szCs w:val="21"/>
    </w:rPr>
  </w:style>
  <w:style w:type="paragraph" w:styleId="24">
    <w:name w:val="Date"/>
    <w:basedOn w:val="1"/>
    <w:next w:val="1"/>
    <w:link w:val="140"/>
    <w:qFormat/>
    <w:uiPriority w:val="0"/>
    <w:pPr>
      <w:ind w:left="100" w:leftChars="2500"/>
    </w:pPr>
    <w:rPr>
      <w:rFonts w:ascii="宋体" w:hAnsi="Courier New" w:cs="Courier New"/>
      <w:szCs w:val="21"/>
    </w:rPr>
  </w:style>
  <w:style w:type="paragraph" w:styleId="25">
    <w:name w:val="Body Text Indent 2"/>
    <w:basedOn w:val="1"/>
    <w:link w:val="141"/>
    <w:qFormat/>
    <w:uiPriority w:val="0"/>
    <w:pPr>
      <w:ind w:firstLine="630"/>
    </w:pPr>
    <w:rPr>
      <w:sz w:val="32"/>
      <w:szCs w:val="20"/>
    </w:rPr>
  </w:style>
  <w:style w:type="paragraph" w:styleId="26">
    <w:name w:val="Balloon Text"/>
    <w:basedOn w:val="1"/>
    <w:link w:val="77"/>
    <w:qFormat/>
    <w:uiPriority w:val="0"/>
    <w:rPr>
      <w:sz w:val="18"/>
      <w:szCs w:val="18"/>
      <w:lang w:val="zh-CN"/>
    </w:rPr>
  </w:style>
  <w:style w:type="paragraph" w:styleId="27">
    <w:name w:val="footer"/>
    <w:basedOn w:val="1"/>
    <w:link w:val="73"/>
    <w:qFormat/>
    <w:uiPriority w:val="99"/>
    <w:pPr>
      <w:tabs>
        <w:tab w:val="center" w:pos="4153"/>
        <w:tab w:val="right" w:pos="8306"/>
      </w:tabs>
      <w:snapToGrid w:val="0"/>
      <w:jc w:val="left"/>
    </w:pPr>
    <w:rPr>
      <w:sz w:val="18"/>
      <w:szCs w:val="18"/>
      <w:lang w:val="zh-CN"/>
    </w:rPr>
  </w:style>
  <w:style w:type="paragraph" w:styleId="28">
    <w:name w:val="header"/>
    <w:basedOn w:val="1"/>
    <w:link w:val="75"/>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Subtitle"/>
    <w:basedOn w:val="1"/>
    <w:next w:val="1"/>
    <w:link w:val="76"/>
    <w:qFormat/>
    <w:uiPriority w:val="0"/>
    <w:pPr>
      <w:spacing w:line="312" w:lineRule="auto"/>
      <w:ind w:left="200" w:leftChars="200"/>
      <w:jc w:val="left"/>
      <w:outlineLvl w:val="1"/>
    </w:pPr>
    <w:rPr>
      <w:rFonts w:ascii="Cambria" w:hAnsi="Cambria"/>
      <w:b/>
      <w:bCs/>
      <w:kern w:val="28"/>
      <w:sz w:val="28"/>
      <w:szCs w:val="32"/>
    </w:rPr>
  </w:style>
  <w:style w:type="paragraph" w:styleId="31">
    <w:name w:val="List"/>
    <w:basedOn w:val="1"/>
    <w:qFormat/>
    <w:uiPriority w:val="0"/>
    <w:pPr>
      <w:ind w:left="200" w:hanging="200" w:hangingChars="200"/>
    </w:pPr>
    <w:rPr>
      <w:sz w:val="28"/>
    </w:rPr>
  </w:style>
  <w:style w:type="paragraph" w:styleId="32">
    <w:name w:val="footnote text"/>
    <w:qFormat/>
    <w:uiPriority w:val="0"/>
    <w:pPr>
      <w:widowControl w:val="0"/>
      <w:snapToGrid w:val="0"/>
    </w:pPr>
    <w:rPr>
      <w:rFonts w:ascii="Calibri" w:hAnsi="Calibri" w:eastAsia="宋体" w:cs="Times New Roman"/>
      <w:kern w:val="2"/>
      <w:sz w:val="18"/>
      <w:szCs w:val="24"/>
      <w:lang w:val="en-US" w:eastAsia="zh-CN" w:bidi="ar-SA"/>
    </w:rPr>
  </w:style>
  <w:style w:type="paragraph" w:styleId="33">
    <w:name w:val="Body Text Indent 3"/>
    <w:basedOn w:val="1"/>
    <w:link w:val="142"/>
    <w:qFormat/>
    <w:uiPriority w:val="0"/>
    <w:pPr>
      <w:spacing w:after="120"/>
      <w:ind w:left="420" w:leftChars="200"/>
    </w:pPr>
    <w:rPr>
      <w:sz w:val="16"/>
      <w:szCs w:val="16"/>
    </w:rPr>
  </w:style>
  <w:style w:type="paragraph" w:styleId="34">
    <w:name w:val="toc 2"/>
    <w:basedOn w:val="1"/>
    <w:next w:val="1"/>
    <w:qFormat/>
    <w:uiPriority w:val="39"/>
    <w:pPr>
      <w:ind w:left="420" w:leftChars="200"/>
    </w:pPr>
  </w:style>
  <w:style w:type="paragraph" w:styleId="35">
    <w:name w:val="HTML Preformatted"/>
    <w:basedOn w:val="1"/>
    <w:link w:val="1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6">
    <w:name w:val="Normal (Web)"/>
    <w:basedOn w:val="1"/>
    <w:qFormat/>
    <w:uiPriority w:val="0"/>
    <w:pPr>
      <w:widowControl/>
      <w:spacing w:before="100" w:beforeAutospacing="1" w:after="100" w:afterAutospacing="1"/>
      <w:jc w:val="left"/>
    </w:pPr>
    <w:rPr>
      <w:rFonts w:ascii="宋体" w:hAnsi="宋体"/>
      <w:kern w:val="0"/>
      <w:sz w:val="24"/>
    </w:rPr>
  </w:style>
  <w:style w:type="paragraph" w:styleId="37">
    <w:name w:val="index 1"/>
    <w:basedOn w:val="1"/>
    <w:next w:val="1"/>
    <w:semiHidden/>
    <w:qFormat/>
    <w:uiPriority w:val="0"/>
    <w:pPr>
      <w:spacing w:line="400" w:lineRule="exact"/>
      <w:ind w:firstLine="420" w:firstLineChars="200"/>
    </w:pPr>
    <w:rPr>
      <w:rFonts w:ascii="宋体" w:hAnsi="Courier New"/>
      <w:b/>
      <w:szCs w:val="20"/>
    </w:rPr>
  </w:style>
  <w:style w:type="paragraph" w:styleId="38">
    <w:name w:val="Title"/>
    <w:basedOn w:val="1"/>
    <w:qFormat/>
    <w:uiPriority w:val="0"/>
    <w:pPr>
      <w:widowControl/>
      <w:kinsoku w:val="0"/>
      <w:autoSpaceDE w:val="0"/>
      <w:autoSpaceDN w:val="0"/>
      <w:adjustRightInd w:val="0"/>
      <w:snapToGrid w:val="0"/>
      <w:spacing w:before="240" w:after="60"/>
      <w:jc w:val="center"/>
      <w:textAlignment w:val="baseline"/>
      <w:outlineLvl w:val="0"/>
    </w:pPr>
    <w:rPr>
      <w:rFonts w:ascii="Arial" w:hAnsi="Arial" w:eastAsia="微软雅黑" w:cs="Arial"/>
      <w:b/>
      <w:snapToGrid w:val="0"/>
      <w:color w:val="000000"/>
      <w:kern w:val="0"/>
      <w:sz w:val="32"/>
      <w:szCs w:val="21"/>
    </w:rPr>
  </w:style>
  <w:style w:type="paragraph" w:styleId="39">
    <w:name w:val="annotation subject"/>
    <w:basedOn w:val="18"/>
    <w:next w:val="18"/>
    <w:link w:val="89"/>
    <w:qFormat/>
    <w:uiPriority w:val="0"/>
    <w:rPr>
      <w:b/>
      <w:bCs/>
    </w:rPr>
  </w:style>
  <w:style w:type="paragraph" w:styleId="40">
    <w:name w:val="Body Text First Indent"/>
    <w:basedOn w:val="2"/>
    <w:qFormat/>
    <w:uiPriority w:val="0"/>
    <w:pPr>
      <w:spacing w:after="120"/>
      <w:ind w:firstLine="420" w:firstLineChars="100"/>
    </w:pPr>
    <w:rPr>
      <w:rFonts w:ascii="宋体"/>
      <w:sz w:val="21"/>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rFonts w:ascii="Times New Roman" w:hAnsi="Times New Roman" w:eastAsia="宋体" w:cs="Times New Roman"/>
      <w:b/>
      <w:bCs/>
    </w:rPr>
  </w:style>
  <w:style w:type="character" w:styleId="45">
    <w:name w:val="page number"/>
    <w:qFormat/>
    <w:uiPriority w:val="0"/>
    <w:rPr>
      <w:rFonts w:ascii="Times New Roman" w:hAnsi="Times New Roman" w:eastAsia="宋体" w:cs="Times New Roman"/>
    </w:rPr>
  </w:style>
  <w:style w:type="character" w:styleId="46">
    <w:name w:val="FollowedHyperlink"/>
    <w:basedOn w:val="43"/>
    <w:unhideWhenUsed/>
    <w:qFormat/>
    <w:uiPriority w:val="99"/>
    <w:rPr>
      <w:color w:val="954F72" w:themeColor="followedHyperlink"/>
      <w:u w:val="single"/>
      <w14:textFill>
        <w14:solidFill>
          <w14:schemeClr w14:val="folHlink"/>
        </w14:solidFill>
      </w14:textFill>
    </w:rPr>
  </w:style>
  <w:style w:type="character" w:styleId="47">
    <w:name w:val="Emphasis"/>
    <w:qFormat/>
    <w:uiPriority w:val="0"/>
    <w:rPr>
      <w:rFonts w:ascii="Times New Roman" w:hAnsi="Times New Roman" w:eastAsia="宋体" w:cs="Times New Roman"/>
      <w:color w:val="CC0033"/>
    </w:rPr>
  </w:style>
  <w:style w:type="character" w:styleId="48">
    <w:name w:val="Hyperlink"/>
    <w:qFormat/>
    <w:uiPriority w:val="99"/>
    <w:rPr>
      <w:rFonts w:ascii="Times New Roman" w:hAnsi="Times New Roman" w:eastAsia="宋体" w:cs="Times New Roman"/>
      <w:color w:val="0000FF"/>
      <w:u w:val="single"/>
    </w:rPr>
  </w:style>
  <w:style w:type="character" w:styleId="49">
    <w:name w:val="annotation reference"/>
    <w:qFormat/>
    <w:uiPriority w:val="0"/>
    <w:rPr>
      <w:rFonts w:ascii="Times New Roman" w:hAnsi="Times New Roman" w:eastAsia="宋体" w:cs="Times New Roman"/>
      <w:sz w:val="21"/>
      <w:szCs w:val="21"/>
    </w:rPr>
  </w:style>
  <w:style w:type="paragraph" w:customStyle="1" w:styleId="50">
    <w:name w:val="Default"/>
    <w:qFormat/>
    <w:uiPriority w:val="0"/>
    <w:pPr>
      <w:widowControl w:val="0"/>
      <w:autoSpaceDE w:val="0"/>
      <w:autoSpaceDN w:val="0"/>
      <w:adjustRightInd w:val="0"/>
      <w:spacing w:line="360" w:lineRule="auto"/>
      <w:ind w:firstLine="147" w:firstLineChars="147"/>
      <w:jc w:val="both"/>
    </w:pPr>
    <w:rPr>
      <w:rFonts w:ascii="宋体" w:hAnsi="Times New Roman" w:eastAsia="宋体" w:cs="Times New Roman"/>
      <w:color w:val="000000"/>
      <w:sz w:val="24"/>
      <w:szCs w:val="24"/>
      <w:lang w:val="en-US" w:eastAsia="zh-CN" w:bidi="ar-SA"/>
    </w:rPr>
  </w:style>
  <w:style w:type="character" w:customStyle="1" w:styleId="51">
    <w:name w:val="font21"/>
    <w:qFormat/>
    <w:uiPriority w:val="0"/>
    <w:rPr>
      <w:rFonts w:hint="eastAsia" w:ascii="宋体" w:hAnsi="宋体" w:eastAsia="宋体" w:cs="宋体"/>
      <w:color w:val="000000"/>
      <w:sz w:val="20"/>
      <w:szCs w:val="20"/>
    </w:rPr>
  </w:style>
  <w:style w:type="character" w:customStyle="1" w:styleId="52">
    <w:name w:val="st1"/>
    <w:qFormat/>
    <w:uiPriority w:val="0"/>
    <w:rPr>
      <w:rFonts w:ascii="Times New Roman" w:hAnsi="Times New Roman" w:eastAsia="宋体" w:cs="Times New Roman"/>
    </w:rPr>
  </w:style>
  <w:style w:type="character" w:customStyle="1" w:styleId="53">
    <w:name w:val="标题 1 字符"/>
    <w:qFormat/>
    <w:uiPriority w:val="9"/>
    <w:rPr>
      <w:rFonts w:ascii="Times New Roman" w:hAnsi="Times New Roman" w:eastAsia="仿宋_GB2312" w:cs="Times New Roman"/>
      <w:b/>
      <w:bCs/>
      <w:kern w:val="44"/>
      <w:sz w:val="44"/>
      <w:szCs w:val="44"/>
      <w:lang w:val="en-US" w:eastAsia="zh-CN" w:bidi="ar-SA"/>
    </w:rPr>
  </w:style>
  <w:style w:type="character" w:customStyle="1" w:styleId="54">
    <w:name w:val="ca-2"/>
    <w:qFormat/>
    <w:uiPriority w:val="0"/>
    <w:rPr>
      <w:rFonts w:ascii="Times New Roman" w:hAnsi="Times New Roman" w:eastAsia="宋体" w:cs="Times New Roman"/>
    </w:rPr>
  </w:style>
  <w:style w:type="character" w:customStyle="1" w:styleId="55">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56">
    <w:name w:val="1ji Char"/>
    <w:link w:val="57"/>
    <w:qFormat/>
    <w:uiPriority w:val="0"/>
    <w:rPr>
      <w:rFonts w:ascii="宋体" w:hAnsi="宋体" w:eastAsia="仿宋_GB2312" w:cs="Times New Roman"/>
      <w:b/>
      <w:bCs/>
      <w:kern w:val="44"/>
      <w:sz w:val="36"/>
      <w:szCs w:val="44"/>
      <w:lang w:val="en-US" w:eastAsia="zh-CN" w:bidi="ar-SA"/>
    </w:rPr>
  </w:style>
  <w:style w:type="paragraph" w:customStyle="1" w:styleId="57">
    <w:name w:val="1ji"/>
    <w:basedOn w:val="4"/>
    <w:link w:val="56"/>
    <w:qFormat/>
    <w:uiPriority w:val="0"/>
    <w:pPr>
      <w:keepLines w:val="0"/>
      <w:widowControl/>
      <w:spacing w:before="0" w:after="0" w:line="240" w:lineRule="auto"/>
    </w:pPr>
    <w:rPr>
      <w:rFonts w:ascii="宋体" w:hAnsi="宋体"/>
      <w:sz w:val="36"/>
    </w:rPr>
  </w:style>
  <w:style w:type="character" w:customStyle="1" w:styleId="58">
    <w:name w:val="纯文本 Char"/>
    <w:link w:val="23"/>
    <w:qFormat/>
    <w:uiPriority w:val="0"/>
    <w:rPr>
      <w:rFonts w:ascii="宋体" w:hAnsi="Courier New" w:eastAsia="宋体" w:cs="Courier New"/>
      <w:kern w:val="2"/>
      <w:sz w:val="21"/>
      <w:szCs w:val="21"/>
      <w:lang w:val="en-US" w:eastAsia="zh-CN" w:bidi="ar-SA"/>
    </w:rPr>
  </w:style>
  <w:style w:type="character" w:customStyle="1" w:styleId="59">
    <w:name w:val="font41"/>
    <w:qFormat/>
    <w:uiPriority w:val="0"/>
    <w:rPr>
      <w:rFonts w:hint="default" w:ascii="Times New Roman" w:hAnsi="Times New Roman" w:eastAsia="宋体" w:cs="Times New Roman"/>
      <w:color w:val="000000"/>
      <w:sz w:val="20"/>
      <w:szCs w:val="20"/>
    </w:rPr>
  </w:style>
  <w:style w:type="character" w:customStyle="1" w:styleId="60">
    <w:name w:val="font31"/>
    <w:qFormat/>
    <w:uiPriority w:val="0"/>
    <w:rPr>
      <w:rFonts w:hint="default" w:ascii="Times New Roman" w:hAnsi="Times New Roman" w:eastAsia="宋体" w:cs="Times New Roman"/>
      <w:color w:val="000000"/>
      <w:sz w:val="20"/>
      <w:szCs w:val="20"/>
    </w:rPr>
  </w:style>
  <w:style w:type="character" w:customStyle="1" w:styleId="61">
    <w:name w:val="apple-style-span"/>
    <w:qFormat/>
    <w:uiPriority w:val="0"/>
    <w:rPr>
      <w:rFonts w:ascii="Times New Roman" w:hAnsi="Times New Roman" w:eastAsia="宋体" w:cs="Times New Roman"/>
    </w:rPr>
  </w:style>
  <w:style w:type="character" w:customStyle="1" w:styleId="62">
    <w:name w:val="正文缩进 Char"/>
    <w:link w:val="9"/>
    <w:qFormat/>
    <w:uiPriority w:val="0"/>
    <w:rPr>
      <w:rFonts w:ascii="Times New Roman" w:hAnsi="Times New Roman" w:eastAsia="宋体" w:cs="Times New Roman"/>
      <w:kern w:val="2"/>
      <w:sz w:val="21"/>
      <w:lang w:val="en-US" w:eastAsia="zh-CN" w:bidi="ar-SA"/>
    </w:rPr>
  </w:style>
  <w:style w:type="character" w:customStyle="1" w:styleId="63">
    <w:name w:val="font51"/>
    <w:qFormat/>
    <w:uiPriority w:val="0"/>
    <w:rPr>
      <w:rFonts w:hint="default" w:ascii="Times New Roman" w:hAnsi="Times New Roman" w:eastAsia="宋体" w:cs="Times New Roman"/>
      <w:color w:val="000000"/>
      <w:sz w:val="20"/>
      <w:szCs w:val="20"/>
    </w:rPr>
  </w:style>
  <w:style w:type="character" w:customStyle="1" w:styleId="64">
    <w:name w:val="标题 3 Char"/>
    <w:link w:val="6"/>
    <w:qFormat/>
    <w:uiPriority w:val="0"/>
    <w:rPr>
      <w:rFonts w:ascii="Times New Roman" w:hAnsi="Times New Roman" w:eastAsia="宋体" w:cs="Times New Roman"/>
      <w:b/>
      <w:bCs/>
      <w:kern w:val="2"/>
      <w:sz w:val="32"/>
      <w:szCs w:val="32"/>
      <w:lang w:val="en-US" w:eastAsia="zh-CN" w:bidi="ar-SA"/>
    </w:rPr>
  </w:style>
  <w:style w:type="character" w:customStyle="1" w:styleId="65">
    <w:name w:val="apple-converted-space"/>
    <w:qFormat/>
    <w:uiPriority w:val="0"/>
    <w:rPr>
      <w:rFonts w:ascii="Times New Roman" w:hAnsi="Times New Roman" w:eastAsia="宋体" w:cs="Times New Roman"/>
    </w:rPr>
  </w:style>
  <w:style w:type="character" w:customStyle="1" w:styleId="66">
    <w:name w:val="Header Char"/>
    <w:qFormat/>
    <w:uiPriority w:val="0"/>
    <w:rPr>
      <w:rFonts w:ascii="Calibri" w:hAnsi="Calibri" w:eastAsia="宋体" w:cs="Times New Roman"/>
      <w:kern w:val="2"/>
      <w:sz w:val="18"/>
      <w:szCs w:val="18"/>
      <w:lang w:val="en-US" w:eastAsia="zh-CN" w:bidi="ar-SA"/>
    </w:rPr>
  </w:style>
  <w:style w:type="character" w:customStyle="1" w:styleId="67">
    <w:name w:val="Footer Char"/>
    <w:qFormat/>
    <w:uiPriority w:val="0"/>
    <w:rPr>
      <w:rFonts w:ascii="Calibri" w:hAnsi="Calibri" w:eastAsia="宋体" w:cs="Times New Roman"/>
      <w:kern w:val="2"/>
      <w:sz w:val="18"/>
      <w:szCs w:val="18"/>
      <w:lang w:val="en-US" w:eastAsia="zh-CN" w:bidi="ar-SA"/>
    </w:rPr>
  </w:style>
  <w:style w:type="character" w:customStyle="1" w:styleId="68">
    <w:name w:val="Plain Text Char"/>
    <w:qFormat/>
    <w:uiPriority w:val="0"/>
    <w:rPr>
      <w:rFonts w:ascii="宋体" w:hAnsi="Courier New" w:eastAsia="宋体" w:cs="Times New Roman"/>
      <w:lang w:bidi="ar-SA"/>
    </w:rPr>
  </w:style>
  <w:style w:type="character" w:customStyle="1" w:styleId="69">
    <w:name w:val="普通文字 Char Char3"/>
    <w:qFormat/>
    <w:uiPriority w:val="0"/>
    <w:rPr>
      <w:rFonts w:ascii="宋体" w:hAnsi="Times New Roman" w:eastAsia="宋体" w:cs="Courier New"/>
      <w:kern w:val="2"/>
      <w:sz w:val="21"/>
      <w:szCs w:val="21"/>
      <w:lang w:val="en-US" w:eastAsia="zh-CN" w:bidi="ar-SA"/>
    </w:rPr>
  </w:style>
  <w:style w:type="character" w:customStyle="1" w:styleId="70">
    <w:name w:val="样式 正文 +"/>
    <w:qFormat/>
    <w:uiPriority w:val="0"/>
    <w:rPr>
      <w:rFonts w:ascii="Times New Roman" w:hAnsi="Times New Roman" w:eastAsia="宋体" w:cs="Times New Roman"/>
      <w:kern w:val="0"/>
      <w:sz w:val="28"/>
    </w:rPr>
  </w:style>
  <w:style w:type="character" w:customStyle="1" w:styleId="71">
    <w:name w:val="正文文本缩进 Char"/>
    <w:link w:val="20"/>
    <w:qFormat/>
    <w:uiPriority w:val="0"/>
    <w:rPr>
      <w:rFonts w:ascii="仿宋_GB2312" w:hAnsi="Times New Roman" w:eastAsia="仿宋_GB2312" w:cs="Times New Roman"/>
      <w:kern w:val="2"/>
      <w:sz w:val="32"/>
      <w:lang w:val="en-US" w:eastAsia="zh-CN" w:bidi="ar-SA"/>
    </w:rPr>
  </w:style>
  <w:style w:type="character" w:customStyle="1" w:styleId="72">
    <w:name w:val="普通文字 Char Char2"/>
    <w:qFormat/>
    <w:uiPriority w:val="0"/>
    <w:rPr>
      <w:rFonts w:ascii="宋体" w:hAnsi="Courier New" w:eastAsia="宋体" w:cs="Times New Roman"/>
      <w:kern w:val="2"/>
      <w:sz w:val="21"/>
      <w:lang w:val="en-US" w:eastAsia="zh-CN" w:bidi="ar-SA"/>
    </w:rPr>
  </w:style>
  <w:style w:type="character" w:customStyle="1" w:styleId="73">
    <w:name w:val="页脚 Char"/>
    <w:link w:val="27"/>
    <w:qFormat/>
    <w:uiPriority w:val="99"/>
    <w:rPr>
      <w:rFonts w:ascii="Times New Roman" w:hAnsi="Times New Roman" w:eastAsia="宋体" w:cs="Times New Roman"/>
      <w:kern w:val="2"/>
      <w:sz w:val="18"/>
      <w:szCs w:val="18"/>
    </w:rPr>
  </w:style>
  <w:style w:type="character" w:customStyle="1" w:styleId="74">
    <w:name w:val="样式 宋体 小四"/>
    <w:qFormat/>
    <w:uiPriority w:val="0"/>
    <w:rPr>
      <w:rFonts w:ascii="宋体" w:hAnsi="宋体" w:eastAsia="宋体" w:cs="Times New Roman"/>
      <w:sz w:val="24"/>
    </w:rPr>
  </w:style>
  <w:style w:type="character" w:customStyle="1" w:styleId="75">
    <w:name w:val="页眉 Char"/>
    <w:link w:val="28"/>
    <w:qFormat/>
    <w:uiPriority w:val="99"/>
    <w:rPr>
      <w:rFonts w:ascii="Times New Roman" w:hAnsi="Times New Roman" w:eastAsia="宋体" w:cs="Times New Roman"/>
      <w:kern w:val="2"/>
      <w:sz w:val="18"/>
      <w:szCs w:val="18"/>
      <w:lang w:val="en-US" w:eastAsia="zh-CN" w:bidi="ar-SA"/>
    </w:rPr>
  </w:style>
  <w:style w:type="character" w:customStyle="1" w:styleId="76">
    <w:name w:val="副标题 Char"/>
    <w:link w:val="30"/>
    <w:qFormat/>
    <w:uiPriority w:val="0"/>
    <w:rPr>
      <w:rFonts w:ascii="Cambria" w:hAnsi="Cambria" w:eastAsia="宋体" w:cs="Times New Roman"/>
      <w:b/>
      <w:bCs/>
      <w:kern w:val="28"/>
      <w:sz w:val="28"/>
      <w:szCs w:val="32"/>
      <w:lang w:val="en-US" w:eastAsia="zh-CN" w:bidi="ar-SA"/>
    </w:rPr>
  </w:style>
  <w:style w:type="character" w:customStyle="1" w:styleId="77">
    <w:name w:val="批注框文本 Char"/>
    <w:link w:val="26"/>
    <w:qFormat/>
    <w:uiPriority w:val="0"/>
    <w:rPr>
      <w:rFonts w:ascii="Times New Roman" w:hAnsi="Times New Roman" w:eastAsia="宋体" w:cs="Times New Roman"/>
      <w:kern w:val="2"/>
      <w:sz w:val="18"/>
      <w:szCs w:val="18"/>
    </w:rPr>
  </w:style>
  <w:style w:type="character" w:customStyle="1" w:styleId="78">
    <w:name w:val="批注文字 Char"/>
    <w:link w:val="18"/>
    <w:qFormat/>
    <w:uiPriority w:val="0"/>
    <w:rPr>
      <w:rFonts w:ascii="Times New Roman" w:hAnsi="Times New Roman" w:eastAsia="宋体" w:cs="Times New Roman"/>
      <w:kern w:val="2"/>
      <w:sz w:val="21"/>
      <w:szCs w:val="24"/>
      <w:lang w:val="en-US" w:eastAsia="zh-CN" w:bidi="ar-SA"/>
    </w:rPr>
  </w:style>
  <w:style w:type="character" w:customStyle="1" w:styleId="79">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80">
    <w:name w:val="ca-1"/>
    <w:qFormat/>
    <w:uiPriority w:val="0"/>
    <w:rPr>
      <w:rFonts w:ascii="Times New Roman" w:hAnsi="Times New Roman" w:eastAsia="宋体" w:cs="Times New Roman"/>
    </w:rPr>
  </w:style>
  <w:style w:type="character" w:customStyle="1" w:styleId="81">
    <w:name w:val="正文360首行缩进 Char"/>
    <w:link w:val="82"/>
    <w:qFormat/>
    <w:uiPriority w:val="0"/>
    <w:rPr>
      <w:rFonts w:ascii="Times New Roman" w:hAnsi="Times New Roman" w:eastAsia="宋体" w:cs="Times New Roman"/>
      <w:sz w:val="24"/>
      <w:szCs w:val="24"/>
    </w:rPr>
  </w:style>
  <w:style w:type="paragraph" w:customStyle="1" w:styleId="82">
    <w:name w:val="正文360首行缩进"/>
    <w:basedOn w:val="1"/>
    <w:link w:val="81"/>
    <w:qFormat/>
    <w:uiPriority w:val="0"/>
    <w:pPr>
      <w:widowControl/>
      <w:spacing w:before="120" w:line="300" w:lineRule="auto"/>
      <w:ind w:firstLine="200"/>
      <w:jc w:val="left"/>
    </w:pPr>
    <w:rPr>
      <w:kern w:val="0"/>
      <w:sz w:val="24"/>
    </w:rPr>
  </w:style>
  <w:style w:type="character" w:customStyle="1" w:styleId="83">
    <w:name w:val="List Paragraph Char"/>
    <w:link w:val="84"/>
    <w:qFormat/>
    <w:locked/>
    <w:uiPriority w:val="0"/>
    <w:rPr>
      <w:rFonts w:ascii="宋体" w:hAnsi="宋体" w:cs="宋体"/>
      <w:sz w:val="24"/>
      <w:szCs w:val="24"/>
    </w:rPr>
  </w:style>
  <w:style w:type="paragraph" w:customStyle="1" w:styleId="84">
    <w:name w:val="列表段落1"/>
    <w:basedOn w:val="1"/>
    <w:link w:val="83"/>
    <w:qFormat/>
    <w:uiPriority w:val="0"/>
    <w:pPr>
      <w:widowControl/>
      <w:ind w:firstLine="420" w:firstLineChars="200"/>
      <w:jc w:val="left"/>
    </w:pPr>
    <w:rPr>
      <w:rFonts w:ascii="宋体" w:hAnsi="宋体"/>
      <w:kern w:val="0"/>
      <w:sz w:val="24"/>
      <w:lang w:val="zh-CN"/>
    </w:rPr>
  </w:style>
  <w:style w:type="character" w:customStyle="1" w:styleId="85">
    <w:name w:val="yyii"/>
    <w:qFormat/>
    <w:uiPriority w:val="0"/>
    <w:rPr>
      <w:rFonts w:ascii="Times New Roman" w:hAnsi="Times New Roman" w:eastAsia="宋体" w:cs="Times New Roman"/>
    </w:rPr>
  </w:style>
  <w:style w:type="character" w:customStyle="1" w:styleId="86">
    <w:name w:val="纯文本 Char1"/>
    <w:qFormat/>
    <w:uiPriority w:val="0"/>
    <w:rPr>
      <w:rFonts w:ascii="宋体" w:hAnsi="Courier New" w:eastAsia="宋体" w:cs="Times New Roman"/>
      <w:kern w:val="2"/>
      <w:sz w:val="21"/>
    </w:rPr>
  </w:style>
  <w:style w:type="character" w:customStyle="1" w:styleId="87">
    <w:name w:val="标题 1 Char1"/>
    <w:qFormat/>
    <w:uiPriority w:val="0"/>
    <w:rPr>
      <w:rFonts w:ascii="Times New Roman" w:hAnsi="Times New Roman" w:eastAsia="宋体" w:cs="Times New Roman"/>
      <w:b/>
      <w:bCs/>
      <w:kern w:val="44"/>
      <w:sz w:val="44"/>
      <w:szCs w:val="44"/>
    </w:rPr>
  </w:style>
  <w:style w:type="character" w:customStyle="1" w:styleId="88">
    <w:name w:val="标题 2 Char"/>
    <w:link w:val="5"/>
    <w:qFormat/>
    <w:uiPriority w:val="9"/>
    <w:rPr>
      <w:rFonts w:ascii="Arial" w:hAnsi="Arial" w:eastAsia="黑体"/>
      <w:b/>
      <w:bCs/>
      <w:kern w:val="2"/>
      <w:sz w:val="24"/>
      <w:szCs w:val="32"/>
    </w:rPr>
  </w:style>
  <w:style w:type="character" w:customStyle="1" w:styleId="89">
    <w:name w:val="批注主题 Char"/>
    <w:link w:val="39"/>
    <w:qFormat/>
    <w:uiPriority w:val="0"/>
    <w:rPr>
      <w:rFonts w:ascii="Times New Roman" w:hAnsi="Times New Roman" w:eastAsia="宋体" w:cs="Times New Roman"/>
      <w:b/>
      <w:bCs/>
      <w:kern w:val="2"/>
      <w:sz w:val="21"/>
      <w:szCs w:val="24"/>
      <w:lang w:val="en-US" w:eastAsia="zh-CN" w:bidi="ar-SA"/>
    </w:rPr>
  </w:style>
  <w:style w:type="paragraph" w:customStyle="1" w:styleId="90">
    <w:name w:val="目录 11"/>
    <w:basedOn w:val="1"/>
    <w:next w:val="1"/>
    <w:qFormat/>
    <w:uiPriority w:val="39"/>
  </w:style>
  <w:style w:type="paragraph" w:customStyle="1" w:styleId="91">
    <w:name w:val="目录 21"/>
    <w:basedOn w:val="1"/>
    <w:next w:val="1"/>
    <w:qFormat/>
    <w:uiPriority w:val="39"/>
    <w:pPr>
      <w:tabs>
        <w:tab w:val="right" w:leader="dot" w:pos="9402"/>
      </w:tabs>
      <w:ind w:left="718" w:leftChars="200" w:hanging="298" w:hangingChars="142"/>
    </w:pPr>
  </w:style>
  <w:style w:type="paragraph" w:customStyle="1" w:styleId="92">
    <w:name w:val="目录 31"/>
    <w:basedOn w:val="1"/>
    <w:next w:val="1"/>
    <w:qFormat/>
    <w:uiPriority w:val="39"/>
    <w:pPr>
      <w:ind w:left="840" w:leftChars="400"/>
    </w:pPr>
  </w:style>
  <w:style w:type="paragraph" w:customStyle="1" w:styleId="93">
    <w:name w:val="正文首行缩进1"/>
    <w:basedOn w:val="2"/>
    <w:qFormat/>
    <w:uiPriority w:val="0"/>
    <w:pPr>
      <w:spacing w:after="120" w:line="240" w:lineRule="auto"/>
      <w:ind w:firstLine="420" w:firstLineChars="100"/>
    </w:pPr>
    <w:rPr>
      <w:sz w:val="21"/>
    </w:rPr>
  </w:style>
  <w:style w:type="paragraph" w:customStyle="1" w:styleId="94">
    <w:name w:val="Char Char1 Char Char Char Char"/>
    <w:basedOn w:val="17"/>
    <w:qFormat/>
    <w:uiPriority w:val="0"/>
    <w:rPr>
      <w:rFonts w:ascii="Tahoma" w:hAnsi="Tahoma"/>
      <w:sz w:val="24"/>
    </w:rPr>
  </w:style>
  <w:style w:type="paragraph" w:customStyle="1" w:styleId="95">
    <w:name w:val="列出段落1"/>
    <w:basedOn w:val="1"/>
    <w:qFormat/>
    <w:uiPriority w:val="99"/>
    <w:pPr>
      <w:ind w:firstLine="420" w:firstLineChars="200"/>
    </w:pPr>
    <w:rPr>
      <w:rFonts w:ascii="Calibri" w:hAnsi="Calibri"/>
    </w:rPr>
  </w:style>
  <w:style w:type="paragraph" w:customStyle="1" w:styleId="96">
    <w:name w:val="Char Char Char1 Char"/>
    <w:basedOn w:val="17"/>
    <w:qFormat/>
    <w:uiPriority w:val="0"/>
  </w:style>
  <w:style w:type="paragraph" w:customStyle="1" w:styleId="97">
    <w:name w:val="pa-5"/>
    <w:basedOn w:val="1"/>
    <w:qFormat/>
    <w:uiPriority w:val="0"/>
    <w:pPr>
      <w:widowControl/>
      <w:spacing w:before="150" w:after="150"/>
      <w:jc w:val="left"/>
    </w:pPr>
    <w:rPr>
      <w:rFonts w:ascii="宋体" w:hAnsi="宋体" w:cs="宋体"/>
      <w:kern w:val="0"/>
      <w:sz w:val="24"/>
    </w:rPr>
  </w:style>
  <w:style w:type="paragraph" w:customStyle="1" w:styleId="98">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99">
    <w:name w:val="Char Char1 Char Char Char Char1"/>
    <w:basedOn w:val="17"/>
    <w:qFormat/>
    <w:uiPriority w:val="0"/>
    <w:rPr>
      <w:rFonts w:ascii="Tahoma" w:hAnsi="Tahoma"/>
      <w:sz w:val="24"/>
    </w:rPr>
  </w:style>
  <w:style w:type="paragraph" w:customStyle="1" w:styleId="100">
    <w:name w:val="_Style 35"/>
    <w:basedOn w:val="17"/>
    <w:qFormat/>
    <w:uiPriority w:val="0"/>
    <w:pPr>
      <w:widowControl/>
      <w:ind w:firstLine="454"/>
      <w:jc w:val="left"/>
    </w:pPr>
  </w:style>
  <w:style w:type="paragraph" w:customStyle="1" w:styleId="101">
    <w:name w:val="5 Char Char Char Char Char Char Char Char Char Char"/>
    <w:basedOn w:val="1"/>
    <w:qFormat/>
    <w:uiPriority w:val="0"/>
  </w:style>
  <w:style w:type="paragraph" w:customStyle="1" w:styleId="10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03">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104">
    <w:name w:val="默认段落字体 Para Char"/>
    <w:basedOn w:val="1"/>
    <w:qFormat/>
    <w:uiPriority w:val="0"/>
    <w:rPr>
      <w:szCs w:val="20"/>
    </w:rPr>
  </w:style>
  <w:style w:type="paragraph" w:customStyle="1" w:styleId="105">
    <w:name w:val="表格文字"/>
    <w:basedOn w:val="1"/>
    <w:qFormat/>
    <w:uiPriority w:val="0"/>
    <w:pPr>
      <w:spacing w:before="25" w:after="25"/>
      <w:jc w:val="left"/>
    </w:pPr>
    <w:rPr>
      <w:bCs/>
      <w:spacing w:val="10"/>
      <w:kern w:val="0"/>
      <w:sz w:val="24"/>
    </w:rPr>
  </w:style>
  <w:style w:type="paragraph" w:customStyle="1" w:styleId="106">
    <w:name w:val="_Style 7"/>
    <w:basedOn w:val="17"/>
    <w:qFormat/>
    <w:uiPriority w:val="0"/>
  </w:style>
  <w:style w:type="paragraph" w:customStyle="1" w:styleId="10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8">
    <w:name w:val="默认段落字体 Para Char Char Char Char Char Char Char Char Char1 Char Char Char Char"/>
    <w:basedOn w:val="1"/>
    <w:qFormat/>
    <w:uiPriority w:val="0"/>
    <w:rPr>
      <w:rFonts w:ascii="Tahoma" w:hAnsi="Tahoma"/>
      <w:sz w:val="24"/>
      <w:szCs w:val="20"/>
    </w:rPr>
  </w:style>
  <w:style w:type="paragraph" w:customStyle="1" w:styleId="109">
    <w:name w:val="样式 标题 1 + 居中 段前: 0 磅 段后: 0 磅 行距: 固定值 30 磅"/>
    <w:basedOn w:val="4"/>
    <w:qFormat/>
    <w:uiPriority w:val="0"/>
    <w:pPr>
      <w:spacing w:before="0" w:after="0" w:line="600" w:lineRule="exact"/>
    </w:pPr>
    <w:rPr>
      <w:rFonts w:eastAsia="宋体" w:cs="宋体"/>
      <w:szCs w:val="20"/>
    </w:rPr>
  </w:style>
  <w:style w:type="paragraph" w:customStyle="1" w:styleId="110">
    <w:name w:val="样式 小四 行距: 1.5 倍行距"/>
    <w:basedOn w:val="1"/>
    <w:qFormat/>
    <w:uiPriority w:val="0"/>
    <w:pPr>
      <w:spacing w:line="360" w:lineRule="auto"/>
      <w:ind w:firstLine="480" w:firstLineChars="200"/>
    </w:pPr>
    <w:rPr>
      <w:rFonts w:cs="宋体"/>
      <w:sz w:val="24"/>
      <w:szCs w:val="20"/>
    </w:rPr>
  </w:style>
  <w:style w:type="paragraph" w:customStyle="1" w:styleId="111">
    <w:name w:val="p0"/>
    <w:basedOn w:val="1"/>
    <w:qFormat/>
    <w:uiPriority w:val="0"/>
    <w:pPr>
      <w:widowControl/>
    </w:pPr>
    <w:rPr>
      <w:rFonts w:ascii="宋体" w:hAnsi="宋体" w:cs="宋体"/>
      <w:kern w:val="0"/>
      <w:szCs w:val="21"/>
    </w:rPr>
  </w:style>
  <w:style w:type="paragraph" w:customStyle="1" w:styleId="112">
    <w:name w:val="Char Char Char Char Char Char Char Char Char Char Char Char"/>
    <w:basedOn w:val="1"/>
    <w:qFormat/>
    <w:uiPriority w:val="0"/>
    <w:pPr>
      <w:widowControl/>
      <w:spacing w:after="160" w:line="240" w:lineRule="exact"/>
      <w:jc w:val="left"/>
    </w:pPr>
  </w:style>
  <w:style w:type="paragraph" w:customStyle="1" w:styleId="113">
    <w:name w:val="Char Char Char1 Char1"/>
    <w:basedOn w:val="1"/>
    <w:qFormat/>
    <w:uiPriority w:val="0"/>
    <w:rPr>
      <w:rFonts w:ascii="Calibri" w:hAnsi="Calibri"/>
      <w:szCs w:val="22"/>
    </w:rPr>
  </w:style>
  <w:style w:type="paragraph" w:customStyle="1" w:styleId="114">
    <w:name w:val="Char Char Char Char Char Char Char"/>
    <w:basedOn w:val="1"/>
    <w:qFormat/>
    <w:uiPriority w:val="0"/>
  </w:style>
  <w:style w:type="paragraph" w:customStyle="1" w:styleId="115">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6">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17">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9">
    <w:name w:val="Char"/>
    <w:basedOn w:val="17"/>
    <w:qFormat/>
    <w:uiPriority w:val="0"/>
    <w:pPr>
      <w:widowControl/>
      <w:ind w:firstLine="454"/>
      <w:jc w:val="left"/>
    </w:pPr>
    <w:rPr>
      <w:rFonts w:ascii="Tahoma" w:hAnsi="Tahoma" w:cs="宋体"/>
      <w:kern w:val="0"/>
      <w:sz w:val="24"/>
      <w:szCs w:val="20"/>
    </w:rPr>
  </w:style>
  <w:style w:type="paragraph" w:customStyle="1" w:styleId="120">
    <w:name w:val="Char1"/>
    <w:basedOn w:val="17"/>
    <w:qFormat/>
    <w:uiPriority w:val="0"/>
    <w:pPr>
      <w:widowControl/>
      <w:ind w:firstLine="454"/>
      <w:jc w:val="left"/>
    </w:pPr>
    <w:rPr>
      <w:rFonts w:ascii="Tahoma" w:hAnsi="Tahoma" w:cs="宋体"/>
      <w:kern w:val="0"/>
      <w:sz w:val="24"/>
      <w:szCs w:val="20"/>
    </w:rPr>
  </w:style>
  <w:style w:type="paragraph" w:customStyle="1" w:styleId="121">
    <w:name w:val="1"/>
    <w:basedOn w:val="1"/>
    <w:next w:val="23"/>
    <w:qFormat/>
    <w:uiPriority w:val="0"/>
    <w:rPr>
      <w:rFonts w:ascii="宋体" w:hAnsi="Courier New"/>
      <w:szCs w:val="20"/>
    </w:rPr>
  </w:style>
  <w:style w:type="paragraph" w:customStyle="1" w:styleId="122">
    <w:name w:val="_Style 2"/>
    <w:basedOn w:val="1"/>
    <w:qFormat/>
    <w:uiPriority w:val="0"/>
    <w:pPr>
      <w:ind w:firstLine="420" w:firstLineChars="200"/>
    </w:pPr>
  </w:style>
  <w:style w:type="paragraph" w:customStyle="1" w:styleId="123">
    <w:name w:val="正文段"/>
    <w:basedOn w:val="1"/>
    <w:qFormat/>
    <w:uiPriority w:val="0"/>
    <w:pPr>
      <w:widowControl/>
      <w:snapToGrid w:val="0"/>
      <w:spacing w:afterLines="50"/>
      <w:ind w:firstLine="200" w:firstLineChars="200"/>
    </w:pPr>
    <w:rPr>
      <w:kern w:val="0"/>
      <w:sz w:val="24"/>
      <w:szCs w:val="20"/>
    </w:rPr>
  </w:style>
  <w:style w:type="paragraph" w:customStyle="1" w:styleId="124">
    <w:name w:val="列出段落2"/>
    <w:basedOn w:val="1"/>
    <w:qFormat/>
    <w:uiPriority w:val="34"/>
    <w:pPr>
      <w:ind w:firstLine="420" w:firstLineChars="200"/>
    </w:pPr>
    <w:rPr>
      <w:rFonts w:ascii="Calibri" w:hAnsi="Calibri"/>
      <w:szCs w:val="22"/>
    </w:rPr>
  </w:style>
  <w:style w:type="paragraph" w:customStyle="1" w:styleId="125">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6">
    <w:name w:val="未处理的提及1"/>
    <w:basedOn w:val="43"/>
    <w:unhideWhenUsed/>
    <w:qFormat/>
    <w:uiPriority w:val="99"/>
    <w:rPr>
      <w:color w:val="605E5C"/>
      <w:shd w:val="clear" w:color="auto" w:fill="E1DFDD"/>
    </w:rPr>
  </w:style>
  <w:style w:type="character" w:customStyle="1" w:styleId="127">
    <w:name w:val="font81"/>
    <w:basedOn w:val="43"/>
    <w:qFormat/>
    <w:uiPriority w:val="0"/>
    <w:rPr>
      <w:rFonts w:hint="eastAsia" w:ascii="宋体" w:hAnsi="宋体" w:eastAsia="宋体" w:cs="宋体"/>
      <w:color w:val="000000"/>
      <w:sz w:val="18"/>
      <w:szCs w:val="18"/>
      <w:u w:val="none"/>
    </w:rPr>
  </w:style>
  <w:style w:type="paragraph" w:customStyle="1" w:styleId="128">
    <w:name w:val="列出段落3"/>
    <w:basedOn w:val="1"/>
    <w:qFormat/>
    <w:uiPriority w:val="34"/>
    <w:pPr>
      <w:ind w:firstLine="420" w:firstLineChars="200"/>
    </w:pPr>
  </w:style>
  <w:style w:type="character" w:customStyle="1" w:styleId="129">
    <w:name w:val="未处理的提及2"/>
    <w:basedOn w:val="43"/>
    <w:unhideWhenUsed/>
    <w:qFormat/>
    <w:uiPriority w:val="99"/>
    <w:rPr>
      <w:color w:val="605E5C"/>
      <w:shd w:val="clear" w:color="auto" w:fill="E1DFDD"/>
    </w:rPr>
  </w:style>
  <w:style w:type="character" w:customStyle="1" w:styleId="130">
    <w:name w:val="纯文本 字符1"/>
    <w:qFormat/>
    <w:uiPriority w:val="0"/>
    <w:rPr>
      <w:rFonts w:ascii="宋体" w:hAnsi="Courier New" w:eastAsia="宋体" w:cs="Courier New"/>
      <w:kern w:val="2"/>
      <w:sz w:val="21"/>
      <w:szCs w:val="21"/>
      <w:lang w:val="en-US" w:eastAsia="zh-CN" w:bidi="ar-SA"/>
    </w:rPr>
  </w:style>
  <w:style w:type="paragraph" w:customStyle="1" w:styleId="131">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132">
    <w:name w:val="标题 5 Char"/>
    <w:basedOn w:val="43"/>
    <w:link w:val="8"/>
    <w:qFormat/>
    <w:uiPriority w:val="0"/>
    <w:rPr>
      <w:b/>
      <w:kern w:val="2"/>
      <w:sz w:val="28"/>
      <w:szCs w:val="24"/>
    </w:rPr>
  </w:style>
  <w:style w:type="character" w:customStyle="1" w:styleId="133">
    <w:name w:val="标题 6 Char"/>
    <w:basedOn w:val="43"/>
    <w:link w:val="10"/>
    <w:qFormat/>
    <w:uiPriority w:val="0"/>
    <w:rPr>
      <w:rFonts w:ascii="Arial" w:hAnsi="Arial" w:eastAsia="黑体"/>
      <w:b/>
      <w:kern w:val="2"/>
      <w:sz w:val="24"/>
      <w:szCs w:val="24"/>
    </w:rPr>
  </w:style>
  <w:style w:type="character" w:customStyle="1" w:styleId="134">
    <w:name w:val="标题 7 Char"/>
    <w:basedOn w:val="43"/>
    <w:link w:val="11"/>
    <w:qFormat/>
    <w:uiPriority w:val="0"/>
    <w:rPr>
      <w:b/>
      <w:kern w:val="2"/>
      <w:sz w:val="24"/>
      <w:szCs w:val="24"/>
    </w:rPr>
  </w:style>
  <w:style w:type="character" w:customStyle="1" w:styleId="135">
    <w:name w:val="标题 8 Char"/>
    <w:basedOn w:val="43"/>
    <w:link w:val="12"/>
    <w:qFormat/>
    <w:uiPriority w:val="0"/>
    <w:rPr>
      <w:rFonts w:ascii="Arial" w:hAnsi="Arial" w:eastAsia="黑体"/>
      <w:kern w:val="2"/>
      <w:sz w:val="24"/>
      <w:szCs w:val="24"/>
    </w:rPr>
  </w:style>
  <w:style w:type="character" w:customStyle="1" w:styleId="136">
    <w:name w:val="标题 9 Char"/>
    <w:basedOn w:val="43"/>
    <w:link w:val="13"/>
    <w:qFormat/>
    <w:uiPriority w:val="0"/>
    <w:rPr>
      <w:rFonts w:ascii="Arial" w:hAnsi="Arial" w:eastAsia="黑体"/>
      <w:kern w:val="2"/>
      <w:sz w:val="21"/>
      <w:szCs w:val="24"/>
    </w:rPr>
  </w:style>
  <w:style w:type="character" w:customStyle="1" w:styleId="137">
    <w:name w:val="文档结构图 Char"/>
    <w:basedOn w:val="43"/>
    <w:link w:val="17"/>
    <w:qFormat/>
    <w:uiPriority w:val="0"/>
    <w:rPr>
      <w:kern w:val="2"/>
      <w:sz w:val="21"/>
      <w:szCs w:val="24"/>
      <w:shd w:val="clear" w:color="auto" w:fill="000080"/>
    </w:rPr>
  </w:style>
  <w:style w:type="character" w:customStyle="1" w:styleId="138">
    <w:name w:val="正文文本 3 Char"/>
    <w:basedOn w:val="43"/>
    <w:link w:val="19"/>
    <w:qFormat/>
    <w:uiPriority w:val="0"/>
    <w:rPr>
      <w:b/>
      <w:bCs/>
      <w:kern w:val="2"/>
      <w:sz w:val="24"/>
      <w:szCs w:val="24"/>
    </w:rPr>
  </w:style>
  <w:style w:type="character" w:customStyle="1" w:styleId="139">
    <w:name w:val="正文文本 Char"/>
    <w:basedOn w:val="43"/>
    <w:link w:val="2"/>
    <w:qFormat/>
    <w:uiPriority w:val="0"/>
    <w:rPr>
      <w:kern w:val="2"/>
      <w:sz w:val="24"/>
      <w:szCs w:val="24"/>
    </w:rPr>
  </w:style>
  <w:style w:type="character" w:customStyle="1" w:styleId="140">
    <w:name w:val="日期 Char"/>
    <w:basedOn w:val="43"/>
    <w:link w:val="24"/>
    <w:qFormat/>
    <w:uiPriority w:val="0"/>
    <w:rPr>
      <w:rFonts w:ascii="宋体" w:hAnsi="Courier New" w:cs="Courier New"/>
      <w:kern w:val="2"/>
      <w:sz w:val="21"/>
      <w:szCs w:val="21"/>
    </w:rPr>
  </w:style>
  <w:style w:type="character" w:customStyle="1" w:styleId="141">
    <w:name w:val="正文文本缩进 2 Char"/>
    <w:basedOn w:val="43"/>
    <w:link w:val="25"/>
    <w:qFormat/>
    <w:uiPriority w:val="0"/>
    <w:rPr>
      <w:kern w:val="2"/>
      <w:sz w:val="32"/>
    </w:rPr>
  </w:style>
  <w:style w:type="character" w:customStyle="1" w:styleId="142">
    <w:name w:val="正文文本缩进 3 Char"/>
    <w:basedOn w:val="43"/>
    <w:link w:val="33"/>
    <w:qFormat/>
    <w:uiPriority w:val="0"/>
    <w:rPr>
      <w:kern w:val="2"/>
      <w:sz w:val="16"/>
      <w:szCs w:val="16"/>
    </w:rPr>
  </w:style>
  <w:style w:type="character" w:customStyle="1" w:styleId="143">
    <w:name w:val="正文文本 2 Char"/>
    <w:basedOn w:val="43"/>
    <w:link w:val="3"/>
    <w:qFormat/>
    <w:uiPriority w:val="0"/>
    <w:rPr>
      <w:kern w:val="2"/>
      <w:sz w:val="21"/>
      <w:szCs w:val="24"/>
    </w:rPr>
  </w:style>
  <w:style w:type="character" w:customStyle="1" w:styleId="144">
    <w:name w:val="HTML 预设格式 Char"/>
    <w:basedOn w:val="43"/>
    <w:link w:val="35"/>
    <w:qFormat/>
    <w:uiPriority w:val="0"/>
    <w:rPr>
      <w:rFonts w:ascii="宋体" w:hAnsi="宋体" w:cs="宋体"/>
      <w:sz w:val="24"/>
      <w:szCs w:val="24"/>
    </w:rPr>
  </w:style>
  <w:style w:type="paragraph" w:customStyle="1" w:styleId="14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146">
    <w:name w:val="font122"/>
    <w:basedOn w:val="43"/>
    <w:qFormat/>
    <w:uiPriority w:val="0"/>
    <w:rPr>
      <w:rFonts w:hint="default" w:ascii="Times New Roman" w:hAnsi="Times New Roman" w:cs="Times New Roman"/>
      <w:color w:val="000000"/>
      <w:sz w:val="20"/>
      <w:szCs w:val="20"/>
      <w:u w:val="none"/>
    </w:rPr>
  </w:style>
  <w:style w:type="character" w:customStyle="1" w:styleId="147">
    <w:name w:val="font01"/>
    <w:basedOn w:val="43"/>
    <w:qFormat/>
    <w:uiPriority w:val="0"/>
    <w:rPr>
      <w:rFonts w:hint="eastAsia" w:ascii="宋体" w:hAnsi="宋体" w:eastAsia="宋体" w:cs="宋体"/>
      <w:color w:val="000000"/>
      <w:sz w:val="22"/>
      <w:szCs w:val="22"/>
      <w:u w:val="none"/>
    </w:rPr>
  </w:style>
  <w:style w:type="paragraph" w:customStyle="1" w:styleId="14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9">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50">
    <w:name w:val="Table Paragraph_file_341_file_582"/>
    <w:basedOn w:val="151"/>
    <w:qFormat/>
    <w:uiPriority w:val="1"/>
    <w:pPr>
      <w:autoSpaceDE w:val="0"/>
      <w:autoSpaceDN w:val="0"/>
      <w:adjustRightInd w:val="0"/>
      <w:jc w:val="left"/>
    </w:pPr>
    <w:rPr>
      <w:rFonts w:ascii="黑体" w:eastAsia="黑体" w:cs="黑体"/>
      <w:kern w:val="0"/>
      <w:sz w:val="24"/>
    </w:rPr>
  </w:style>
  <w:style w:type="paragraph" w:customStyle="1" w:styleId="151">
    <w:name w:val="Normal_file_341_file_582"/>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Table Paragraph_file_582"/>
    <w:basedOn w:val="153"/>
    <w:qFormat/>
    <w:uiPriority w:val="1"/>
    <w:pPr>
      <w:kinsoku w:val="0"/>
      <w:overflowPunct w:val="0"/>
      <w:autoSpaceDE w:val="0"/>
      <w:autoSpaceDN w:val="0"/>
      <w:adjustRightInd w:val="0"/>
      <w:spacing w:before="1"/>
      <w:ind w:left="162" w:firstLine="134" w:firstLineChars="56"/>
      <w:jc w:val="left"/>
    </w:pPr>
    <w:rPr>
      <w:rFonts w:ascii="黑体" w:eastAsia="黑体" w:cs="黑体"/>
      <w:kern w:val="0"/>
      <w:sz w:val="24"/>
    </w:rPr>
  </w:style>
  <w:style w:type="paragraph" w:customStyle="1" w:styleId="153">
    <w:name w:val="Normal_file_58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标题 1 Char"/>
    <w:link w:val="4"/>
    <w:qFormat/>
    <w:uiPriority w:val="0"/>
    <w:rPr>
      <w:rFonts w:ascii="Times New Roman" w:hAnsi="Times New Roman" w:eastAsia="宋体"/>
      <w:b/>
      <w:bCs/>
      <w:kern w:val="44"/>
      <w:sz w:val="44"/>
      <w:szCs w:val="44"/>
    </w:rPr>
  </w:style>
  <w:style w:type="character" w:customStyle="1" w:styleId="155">
    <w:name w:val="font71"/>
    <w:qFormat/>
    <w:uiPriority w:val="0"/>
    <w:rPr>
      <w:rFonts w:hint="eastAsia" w:ascii="宋体" w:hAnsi="宋体" w:eastAsia="宋体" w:cs="宋体"/>
      <w:color w:val="000000"/>
      <w:sz w:val="21"/>
      <w:szCs w:val="21"/>
      <w:u w:val="none"/>
    </w:rPr>
  </w:style>
  <w:style w:type="character" w:customStyle="1" w:styleId="156">
    <w:name w:val="font61"/>
    <w:qFormat/>
    <w:uiPriority w:val="0"/>
    <w:rPr>
      <w:rFonts w:hint="default" w:ascii="Times New Roman" w:hAnsi="Times New Roman" w:cs="Times New Roman"/>
      <w:color w:val="000000"/>
      <w:sz w:val="21"/>
      <w:szCs w:val="21"/>
      <w:u w:val="none"/>
    </w:rPr>
  </w:style>
  <w:style w:type="paragraph" w:customStyle="1" w:styleId="15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82</Pages>
  <Words>47096</Words>
  <Characters>51827</Characters>
  <Lines>431</Lines>
  <Paragraphs>121</Paragraphs>
  <TotalTime>16</TotalTime>
  <ScaleCrop>false</ScaleCrop>
  <LinksUpToDate>false</LinksUpToDate>
  <CharactersWithSpaces>55390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2024-06-17T15:53:00Z</dcterms:created>
  <dc:creator>Huang Qian</dc:creator>
  <cp:lastModifiedBy>~猫~石榴</cp:lastModifiedBy>
  <cp:lastPrinted>2025-04-11T02:00:00Z</cp:lastPrinted>
  <dcterms:modified xsi:type="dcterms:W3CDTF">2025-04-14T01:34:00Z</dcterms:modified>
  <dc:title>竞争性谈判文件</dc:title>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47305732943F4D379C982110E14FBC4D_13</vt:lpwstr>
  </property>
  <property fmtid="{D5CDD505-2E9C-101B-9397-08002B2CF9AE}" pid="4" name="KSOTemplateDocerSaveRecord">
    <vt:lpwstr>eyJoZGlkIjoiN2UxZDU1Yzc0OTQ3NGY2MWNjYmI5ODQyY2QyNDY0ZTgiLCJ1c2VySWQiOiIxMzM5Mjk0NDEwIn0=</vt:lpwstr>
  </property>
</Properties>
</file>