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4F10C398">
      <w:pPr>
        <w:rPr>
          <w:color w:val="auto"/>
          <w:highlight w:val="none"/>
        </w:rPr>
      </w:pPr>
      <w:bookmarkStart w:id="0" w:name="_Hlk92961273"/>
      <w:bookmarkEnd w:id="0"/>
    </w:p>
    <w:p w14:paraId="34C3EC7C">
      <w:pPr>
        <w:rPr>
          <w:color w:val="auto"/>
          <w:highlight w:val="none"/>
        </w:rPr>
      </w:pPr>
    </w:p>
    <w:p w14:paraId="61D4D376">
      <w:pPr>
        <w:rPr>
          <w:color w:val="auto"/>
          <w:highlight w:val="none"/>
        </w:rPr>
      </w:pPr>
    </w:p>
    <w:p w14:paraId="0228FEEE">
      <w:pPr>
        <w:rPr>
          <w:color w:val="auto"/>
          <w:highlight w:val="none"/>
        </w:rPr>
      </w:pPr>
    </w:p>
    <w:p w14:paraId="78372E56">
      <w:pPr>
        <w:spacing w:before="156" w:beforeLines="50" w:line="780" w:lineRule="exact"/>
        <w:jc w:val="center"/>
        <w:rPr>
          <w:rFonts w:ascii="方正小标宋_GBK" w:hAnsi="黑体" w:eastAsia="方正小标宋_GBK"/>
          <w:b/>
          <w:color w:val="auto"/>
          <w:sz w:val="84"/>
          <w:szCs w:val="84"/>
          <w:highlight w:val="none"/>
        </w:rPr>
      </w:pPr>
      <w:r>
        <w:rPr>
          <w:rFonts w:hint="eastAsia" w:ascii="方正小标宋_GBK" w:hAnsi="黑体" w:eastAsia="方正小标宋_GBK"/>
          <w:b/>
          <w:color w:val="auto"/>
          <w:sz w:val="84"/>
          <w:szCs w:val="84"/>
          <w:highlight w:val="none"/>
        </w:rPr>
        <w:t>竞争性磋商采购文件</w:t>
      </w:r>
    </w:p>
    <w:p w14:paraId="6EAF4173">
      <w:pPr>
        <w:rPr>
          <w:color w:val="auto"/>
          <w:highlight w:val="none"/>
        </w:rPr>
      </w:pPr>
    </w:p>
    <w:p w14:paraId="510038E4">
      <w:pPr>
        <w:rPr>
          <w:color w:val="auto"/>
          <w:highlight w:val="none"/>
        </w:rPr>
      </w:pPr>
    </w:p>
    <w:p w14:paraId="7CD537D3">
      <w:pPr>
        <w:rPr>
          <w:color w:val="auto"/>
          <w:highlight w:val="none"/>
        </w:rPr>
      </w:pPr>
    </w:p>
    <w:p w14:paraId="06D10942">
      <w:pPr>
        <w:rPr>
          <w:color w:val="auto"/>
          <w:highlight w:val="none"/>
        </w:rPr>
      </w:pPr>
    </w:p>
    <w:p w14:paraId="048DBC63">
      <w:pPr>
        <w:rPr>
          <w:color w:val="auto"/>
          <w:highlight w:val="none"/>
        </w:rPr>
      </w:pPr>
    </w:p>
    <w:p w14:paraId="71E5A2A9">
      <w:pPr>
        <w:rPr>
          <w:color w:val="auto"/>
          <w:highlight w:val="none"/>
        </w:rPr>
      </w:pPr>
    </w:p>
    <w:p w14:paraId="65571000">
      <w:pPr>
        <w:rPr>
          <w:color w:val="auto"/>
          <w:highlight w:val="none"/>
        </w:rPr>
      </w:pPr>
    </w:p>
    <w:p w14:paraId="037C0553">
      <w:pPr>
        <w:rPr>
          <w:color w:val="auto"/>
          <w:highlight w:val="none"/>
        </w:rPr>
      </w:pPr>
    </w:p>
    <w:p w14:paraId="58A1E1F8">
      <w:pPr>
        <w:rPr>
          <w:color w:val="auto"/>
          <w:highlight w:val="none"/>
        </w:rPr>
      </w:pPr>
    </w:p>
    <w:p w14:paraId="78DB55B2">
      <w:pPr>
        <w:rPr>
          <w:color w:val="auto"/>
          <w:highlight w:val="none"/>
        </w:rPr>
      </w:pPr>
    </w:p>
    <w:p w14:paraId="0A9A17E8">
      <w:pPr>
        <w:rPr>
          <w:color w:val="auto"/>
          <w:highlight w:val="none"/>
        </w:rPr>
      </w:pPr>
    </w:p>
    <w:p w14:paraId="427202AC">
      <w:pPr>
        <w:rPr>
          <w:color w:val="auto"/>
          <w:highlight w:val="none"/>
        </w:rPr>
      </w:pPr>
    </w:p>
    <w:p w14:paraId="67C4C8F3">
      <w:pPr>
        <w:spacing w:line="500" w:lineRule="exact"/>
        <w:ind w:firstLine="1920" w:firstLineChars="600"/>
        <w:rPr>
          <w:rFonts w:hint="default" w:ascii="方正小标宋_GBK" w:hAnsi="微软雅黑" w:eastAsia="方正小标宋_GBK"/>
          <w:color w:val="auto"/>
          <w:sz w:val="32"/>
          <w:szCs w:val="32"/>
          <w:highlight w:val="none"/>
          <w:lang w:val="en-US" w:eastAsia="zh-CN"/>
        </w:rPr>
      </w:pPr>
      <w:r>
        <w:rPr>
          <w:rFonts w:hint="eastAsia" w:ascii="方正小标宋_GBK" w:hAnsi="微软雅黑" w:eastAsia="方正小标宋_GBK"/>
          <w:color w:val="auto"/>
          <w:sz w:val="32"/>
          <w:szCs w:val="32"/>
          <w:highlight w:val="none"/>
        </w:rPr>
        <w:t>项目名称:</w:t>
      </w:r>
      <w:r>
        <w:rPr>
          <w:rFonts w:hint="eastAsia" w:ascii="方正小标宋_GBK" w:hAnsi="微软雅黑" w:eastAsia="方正小标宋_GBK"/>
          <w:color w:val="auto"/>
          <w:sz w:val="32"/>
          <w:szCs w:val="32"/>
          <w:highlight w:val="none"/>
          <w:lang w:val="en-US" w:eastAsia="zh-CN"/>
        </w:rPr>
        <w:t>灵山县人民检察院采购通信运营商服务项目</w:t>
      </w:r>
    </w:p>
    <w:p w14:paraId="3FE42852">
      <w:pPr>
        <w:spacing w:line="500" w:lineRule="exact"/>
        <w:rPr>
          <w:rFonts w:hint="eastAsia" w:ascii="方正小标宋_GBK" w:hAnsi="微软雅黑" w:eastAsia="方正小标宋_GBK"/>
          <w:color w:val="auto"/>
          <w:sz w:val="32"/>
          <w:szCs w:val="32"/>
          <w:highlight w:val="none"/>
          <w:lang w:val="en-US" w:eastAsia="zh-CN"/>
        </w:rPr>
      </w:pPr>
      <w:r>
        <w:rPr>
          <w:rFonts w:hint="eastAsia" w:ascii="方正小标宋_GBK" w:hAnsi="微软雅黑" w:eastAsia="方正小标宋_GBK"/>
          <w:color w:val="auto"/>
          <w:sz w:val="32"/>
          <w:szCs w:val="32"/>
          <w:highlight w:val="none"/>
        </w:rPr>
        <w:t xml:space="preserve"> </w:t>
      </w:r>
      <w:r>
        <w:rPr>
          <w:rFonts w:ascii="方正小标宋_GBK" w:hAnsi="微软雅黑" w:eastAsia="方正小标宋_GBK"/>
          <w:color w:val="auto"/>
          <w:sz w:val="32"/>
          <w:szCs w:val="32"/>
          <w:highlight w:val="none"/>
        </w:rPr>
        <w:t xml:space="preserve">          </w:t>
      </w:r>
      <w:r>
        <w:rPr>
          <w:rFonts w:hint="eastAsia" w:ascii="方正小标宋_GBK" w:hAnsi="微软雅黑" w:eastAsia="方正小标宋_GBK"/>
          <w:color w:val="auto"/>
          <w:sz w:val="32"/>
          <w:szCs w:val="32"/>
          <w:highlight w:val="none"/>
          <w:lang w:val="en-US" w:eastAsia="zh-CN"/>
        </w:rPr>
        <w:t xml:space="preserve"> </w:t>
      </w:r>
    </w:p>
    <w:p w14:paraId="2EBEC7CF">
      <w:pPr>
        <w:spacing w:line="500" w:lineRule="exact"/>
        <w:ind w:firstLine="1920" w:firstLineChars="600"/>
        <w:rPr>
          <w:rFonts w:hint="eastAsia" w:ascii="方正小标宋_GBK" w:hAnsi="微软雅黑" w:eastAsia="方正小标宋_GBK"/>
          <w:color w:val="auto"/>
          <w:sz w:val="32"/>
          <w:szCs w:val="32"/>
          <w:highlight w:val="none"/>
          <w:lang w:eastAsia="zh-CN"/>
        </w:rPr>
      </w:pPr>
      <w:r>
        <w:rPr>
          <w:rFonts w:hint="eastAsia" w:ascii="方正小标宋_GBK" w:hAnsi="微软雅黑" w:eastAsia="方正小标宋_GBK"/>
          <w:color w:val="auto"/>
          <w:sz w:val="32"/>
          <w:szCs w:val="32"/>
          <w:highlight w:val="none"/>
        </w:rPr>
        <w:t>项目编号:</w:t>
      </w:r>
      <w:r>
        <w:rPr>
          <w:rFonts w:hint="eastAsia" w:ascii="方正小标宋_GBK" w:hAnsi="微软雅黑" w:eastAsia="方正小标宋_GBK"/>
          <w:color w:val="auto"/>
          <w:sz w:val="32"/>
          <w:szCs w:val="32"/>
          <w:highlight w:val="none"/>
          <w:lang w:eastAsia="zh-CN"/>
        </w:rPr>
        <w:t>QZZC2025-C3-990027-QZSZ</w:t>
      </w:r>
    </w:p>
    <w:p w14:paraId="75AEF929">
      <w:pPr>
        <w:rPr>
          <w:color w:val="auto"/>
          <w:highlight w:val="none"/>
        </w:rPr>
      </w:pPr>
    </w:p>
    <w:p w14:paraId="18920CAC">
      <w:pPr>
        <w:rPr>
          <w:color w:val="auto"/>
          <w:highlight w:val="none"/>
        </w:rPr>
      </w:pPr>
    </w:p>
    <w:p w14:paraId="714A339E">
      <w:pPr>
        <w:rPr>
          <w:color w:val="auto"/>
          <w:highlight w:val="none"/>
        </w:rPr>
      </w:pPr>
    </w:p>
    <w:p w14:paraId="0EE783F5">
      <w:pPr>
        <w:rPr>
          <w:color w:val="auto"/>
          <w:highlight w:val="none"/>
        </w:rPr>
      </w:pPr>
    </w:p>
    <w:p w14:paraId="27E98325">
      <w:pPr>
        <w:rPr>
          <w:color w:val="auto"/>
          <w:highlight w:val="none"/>
        </w:rPr>
      </w:pPr>
    </w:p>
    <w:p w14:paraId="7F0003A6">
      <w:pPr>
        <w:rPr>
          <w:color w:val="auto"/>
          <w:highlight w:val="none"/>
        </w:rPr>
      </w:pPr>
    </w:p>
    <w:p w14:paraId="3EBDF772">
      <w:pPr>
        <w:rPr>
          <w:color w:val="auto"/>
          <w:highlight w:val="none"/>
        </w:rPr>
      </w:pPr>
    </w:p>
    <w:p w14:paraId="6067A556">
      <w:pPr>
        <w:rPr>
          <w:color w:val="auto"/>
          <w:highlight w:val="none"/>
        </w:rPr>
      </w:pPr>
    </w:p>
    <w:p w14:paraId="02D10A25">
      <w:pPr>
        <w:rPr>
          <w:color w:val="auto"/>
          <w:highlight w:val="none"/>
        </w:rPr>
      </w:pPr>
    </w:p>
    <w:p w14:paraId="46F01556">
      <w:pPr>
        <w:rPr>
          <w:color w:val="auto"/>
          <w:highlight w:val="none"/>
        </w:rPr>
      </w:pPr>
    </w:p>
    <w:p w14:paraId="38175717">
      <w:pPr>
        <w:rPr>
          <w:color w:val="auto"/>
          <w:highlight w:val="none"/>
        </w:rPr>
      </w:pPr>
    </w:p>
    <w:p w14:paraId="50C4445B">
      <w:pPr>
        <w:rPr>
          <w:color w:val="auto"/>
          <w:highlight w:val="none"/>
        </w:rPr>
      </w:pPr>
    </w:p>
    <w:p w14:paraId="5C16D451">
      <w:pPr>
        <w:rPr>
          <w:color w:val="auto"/>
          <w:highlight w:val="none"/>
        </w:rPr>
      </w:pPr>
    </w:p>
    <w:p w14:paraId="41D1BFC1">
      <w:pPr>
        <w:rPr>
          <w:color w:val="auto"/>
          <w:highlight w:val="none"/>
        </w:rPr>
      </w:pPr>
    </w:p>
    <w:p w14:paraId="30BA56CE">
      <w:pPr>
        <w:rPr>
          <w:color w:val="auto"/>
          <w:highlight w:val="none"/>
        </w:rPr>
      </w:pPr>
    </w:p>
    <w:p w14:paraId="7F577ACC">
      <w:pPr>
        <w:rPr>
          <w:color w:val="auto"/>
          <w:highlight w:val="none"/>
        </w:rPr>
      </w:pPr>
    </w:p>
    <w:p w14:paraId="458B692D">
      <w:pPr>
        <w:rPr>
          <w:color w:val="auto"/>
          <w:highlight w:val="none"/>
        </w:rPr>
      </w:pPr>
    </w:p>
    <w:p w14:paraId="7CB1C046">
      <w:pPr>
        <w:spacing w:line="360" w:lineRule="exact"/>
        <w:jc w:val="center"/>
        <w:rPr>
          <w:rFonts w:ascii="方正小标宋_GBK" w:hAnsi="微软雅黑" w:eastAsia="方正小标宋_GBK"/>
          <w:color w:val="auto"/>
          <w:sz w:val="32"/>
          <w:szCs w:val="32"/>
          <w:highlight w:val="none"/>
        </w:rPr>
      </w:pPr>
      <w:r>
        <w:rPr>
          <w:rFonts w:hint="eastAsia" w:ascii="方正小标宋_GBK" w:hAnsi="微软雅黑" w:eastAsia="方正小标宋_GBK"/>
          <w:color w:val="auto"/>
          <w:sz w:val="32"/>
          <w:szCs w:val="32"/>
          <w:highlight w:val="none"/>
        </w:rPr>
        <w:t>钦州市政府采购中心</w:t>
      </w:r>
    </w:p>
    <w:p w14:paraId="441BA016">
      <w:pPr>
        <w:tabs>
          <w:tab w:val="left" w:pos="360"/>
        </w:tabs>
        <w:spacing w:line="440" w:lineRule="exact"/>
        <w:jc w:val="center"/>
        <w:rPr>
          <w:rFonts w:ascii="仿宋_GB2312" w:hAnsi="宋体" w:eastAsia="仿宋_GB2312"/>
          <w:color w:val="auto"/>
          <w:sz w:val="32"/>
          <w:szCs w:val="32"/>
          <w:highlight w:val="none"/>
        </w:rPr>
      </w:pPr>
      <w:r>
        <w:rPr>
          <w:rFonts w:hint="eastAsia" w:ascii="方正小标宋_GBK" w:hAnsi="微软雅黑" w:eastAsia="方正小标宋_GBK"/>
          <w:color w:val="auto"/>
          <w:sz w:val="32"/>
          <w:szCs w:val="32"/>
          <w:highlight w:val="none"/>
        </w:rPr>
        <w:t>202</w:t>
      </w:r>
      <w:r>
        <w:rPr>
          <w:rFonts w:hint="eastAsia" w:ascii="方正小标宋_GBK" w:hAnsi="微软雅黑" w:eastAsia="方正小标宋_GBK"/>
          <w:color w:val="auto"/>
          <w:sz w:val="32"/>
          <w:szCs w:val="32"/>
          <w:highlight w:val="none"/>
          <w:lang w:val="en-US" w:eastAsia="zh-CN"/>
        </w:rPr>
        <w:t>5</w:t>
      </w:r>
      <w:r>
        <w:rPr>
          <w:rFonts w:hint="eastAsia" w:ascii="方正小标宋_GBK" w:hAnsi="微软雅黑" w:eastAsia="方正小标宋_GBK"/>
          <w:color w:val="auto"/>
          <w:sz w:val="32"/>
          <w:szCs w:val="32"/>
          <w:highlight w:val="none"/>
        </w:rPr>
        <w:t>年</w:t>
      </w:r>
      <w:r>
        <w:rPr>
          <w:rFonts w:hint="eastAsia" w:ascii="方正小标宋_GBK" w:hAnsi="微软雅黑" w:eastAsia="方正小标宋_GBK"/>
          <w:color w:val="auto"/>
          <w:sz w:val="32"/>
          <w:szCs w:val="32"/>
          <w:highlight w:val="none"/>
          <w:lang w:val="en-US" w:eastAsia="zh-CN"/>
        </w:rPr>
        <w:t>2</w:t>
      </w:r>
      <w:r>
        <w:rPr>
          <w:rFonts w:hint="eastAsia" w:ascii="方正小标宋_GBK" w:hAnsi="微软雅黑" w:eastAsia="方正小标宋_GBK"/>
          <w:color w:val="auto"/>
          <w:sz w:val="32"/>
          <w:szCs w:val="32"/>
          <w:highlight w:val="none"/>
        </w:rPr>
        <w:t>月</w:t>
      </w:r>
    </w:p>
    <w:p w14:paraId="095C786B">
      <w:pPr>
        <w:rPr>
          <w:color w:val="auto"/>
          <w:highlight w:val="none"/>
        </w:rPr>
      </w:pPr>
    </w:p>
    <w:p w14:paraId="0FF95F92">
      <w:pPr>
        <w:rPr>
          <w:color w:val="auto"/>
          <w:highlight w:val="none"/>
        </w:rPr>
      </w:pPr>
    </w:p>
    <w:p w14:paraId="05912CB1">
      <w:pPr>
        <w:spacing w:line="640" w:lineRule="exact"/>
        <w:jc w:val="center"/>
        <w:rPr>
          <w:rFonts w:ascii="方正小标宋_GBK" w:hAnsi="宋体" w:eastAsia="方正小标宋_GBK"/>
          <w:b/>
          <w:color w:val="auto"/>
          <w:sz w:val="32"/>
          <w:szCs w:val="32"/>
          <w:highlight w:val="none"/>
        </w:rPr>
      </w:pPr>
      <w:r>
        <w:rPr>
          <w:rFonts w:hint="eastAsia" w:ascii="方正小标宋_GBK" w:hAnsi="宋体" w:eastAsia="方正小标宋_GBK"/>
          <w:b/>
          <w:color w:val="auto"/>
          <w:sz w:val="44"/>
          <w:szCs w:val="44"/>
          <w:highlight w:val="none"/>
        </w:rPr>
        <w:t>目   录</w:t>
      </w:r>
    </w:p>
    <w:p w14:paraId="541D8712">
      <w:pPr>
        <w:rPr>
          <w:color w:val="auto"/>
          <w:highlight w:val="none"/>
        </w:rPr>
      </w:pPr>
    </w:p>
    <w:p w14:paraId="5B5222BF">
      <w:pPr>
        <w:pStyle w:val="29"/>
        <w:tabs>
          <w:tab w:val="right" w:leader="dot" w:pos="9514"/>
        </w:tabs>
        <w:spacing w:line="1000" w:lineRule="exact"/>
        <w:rPr>
          <w:rFonts w:asciiTheme="minorHAnsi" w:hAnsiTheme="minorHAnsi" w:eastAsiaTheme="minorEastAsia" w:cstheme="minorBidi"/>
          <w:color w:val="auto"/>
          <w:sz w:val="28"/>
          <w:szCs w:val="28"/>
          <w:highlight w:val="none"/>
        </w:rPr>
      </w:pPr>
      <w:bookmarkStart w:id="1" w:name="_Toc354479497"/>
      <w:r>
        <w:rPr>
          <w:rFonts w:hint="eastAsia" w:ascii="方正小标宋_GBK" w:hAnsi="仿宋" w:eastAsia="方正小标宋_GBK"/>
          <w:b/>
          <w:color w:val="auto"/>
          <w:sz w:val="28"/>
          <w:szCs w:val="28"/>
          <w:highlight w:val="none"/>
        </w:rPr>
        <w:fldChar w:fldCharType="begin"/>
      </w:r>
      <w:r>
        <w:rPr>
          <w:rFonts w:hint="eastAsia" w:ascii="方正小标宋_GBK" w:hAnsi="仿宋" w:eastAsia="方正小标宋_GBK"/>
          <w:b/>
          <w:color w:val="auto"/>
          <w:sz w:val="28"/>
          <w:szCs w:val="28"/>
          <w:highlight w:val="none"/>
        </w:rPr>
        <w:instrText xml:space="preserve"> TOC \o "1-1" \h \z \u </w:instrText>
      </w:r>
      <w:r>
        <w:rPr>
          <w:rFonts w:hint="eastAsia" w:ascii="方正小标宋_GBK" w:hAnsi="仿宋" w:eastAsia="方正小标宋_GBK"/>
          <w:b/>
          <w:color w:val="auto"/>
          <w:sz w:val="28"/>
          <w:szCs w:val="28"/>
          <w:highlight w:val="none"/>
        </w:rPr>
        <w:fldChar w:fldCharType="separate"/>
      </w:r>
      <w:r>
        <w:rPr>
          <w:color w:val="auto"/>
          <w:highlight w:val="none"/>
        </w:rPr>
        <w:fldChar w:fldCharType="begin"/>
      </w:r>
      <w:r>
        <w:rPr>
          <w:color w:val="auto"/>
          <w:highlight w:val="none"/>
        </w:rPr>
        <w:instrText xml:space="preserve"> HYPERLINK \l "_Toc92355023" </w:instrText>
      </w:r>
      <w:r>
        <w:rPr>
          <w:color w:val="auto"/>
          <w:highlight w:val="none"/>
        </w:rPr>
        <w:fldChar w:fldCharType="separate"/>
      </w:r>
      <w:r>
        <w:rPr>
          <w:rStyle w:val="46"/>
          <w:rFonts w:ascii="方正小标宋_GBK" w:hAnsi="宋体" w:eastAsia="方正小标宋_GBK"/>
          <w:color w:val="auto"/>
          <w:sz w:val="28"/>
          <w:szCs w:val="28"/>
          <w:highlight w:val="none"/>
        </w:rPr>
        <w:t>第一章  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_Toc92355023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color w:val="auto"/>
          <w:sz w:val="28"/>
          <w:szCs w:val="28"/>
          <w:highlight w:val="none"/>
        </w:rPr>
        <w:fldChar w:fldCharType="end"/>
      </w:r>
    </w:p>
    <w:p w14:paraId="204CB546">
      <w:pPr>
        <w:pStyle w:val="29"/>
        <w:tabs>
          <w:tab w:val="right" w:leader="dot" w:pos="9514"/>
        </w:tabs>
        <w:spacing w:line="1000" w:lineRule="exact"/>
        <w:rPr>
          <w:rFonts w:asciiTheme="minorHAnsi" w:hAnsiTheme="minorHAnsi"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"_Toc92355024" </w:instrText>
      </w:r>
      <w:r>
        <w:rPr>
          <w:color w:val="auto"/>
          <w:highlight w:val="none"/>
        </w:rPr>
        <w:fldChar w:fldCharType="separate"/>
      </w:r>
      <w:r>
        <w:rPr>
          <w:rStyle w:val="46"/>
          <w:rFonts w:ascii="方正小标宋_GBK" w:hAnsi="宋体" w:eastAsia="方正小标宋_GBK"/>
          <w:color w:val="auto"/>
          <w:sz w:val="28"/>
          <w:szCs w:val="28"/>
          <w:highlight w:val="none"/>
        </w:rPr>
        <w:t xml:space="preserve">第二章  </w:t>
      </w:r>
      <w:r>
        <w:rPr>
          <w:rStyle w:val="46"/>
          <w:rFonts w:hint="eastAsia" w:ascii="方正小标宋_GBK" w:hAnsi="宋体" w:eastAsia="方正小标宋_GBK"/>
          <w:color w:val="auto"/>
          <w:sz w:val="28"/>
          <w:szCs w:val="28"/>
          <w:highlight w:val="none"/>
          <w:lang w:val="en-US" w:eastAsia="zh-CN"/>
        </w:rPr>
        <w:t>项目</w:t>
      </w:r>
      <w:r>
        <w:rPr>
          <w:rStyle w:val="46"/>
          <w:rFonts w:ascii="方正小标宋_GBK" w:hAnsi="宋体" w:eastAsia="方正小标宋_GBK"/>
          <w:color w:val="auto"/>
          <w:sz w:val="28"/>
          <w:szCs w:val="28"/>
          <w:highlight w:val="none"/>
        </w:rPr>
        <w:t>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_Toc92355024 \h </w:instrText>
      </w:r>
      <w:r>
        <w:rPr>
          <w:color w:val="auto"/>
          <w:sz w:val="28"/>
          <w:szCs w:val="28"/>
          <w:highlight w:val="none"/>
        </w:rPr>
        <w:fldChar w:fldCharType="separate"/>
      </w:r>
      <w:r>
        <w:rPr>
          <w:color w:val="auto"/>
          <w:sz w:val="28"/>
          <w:szCs w:val="28"/>
          <w:highlight w:val="none"/>
        </w:rPr>
        <w:t>7</w:t>
      </w:r>
      <w:r>
        <w:rPr>
          <w:color w:val="auto"/>
          <w:sz w:val="28"/>
          <w:szCs w:val="28"/>
          <w:highlight w:val="none"/>
        </w:rPr>
        <w:fldChar w:fldCharType="end"/>
      </w:r>
      <w:r>
        <w:rPr>
          <w:color w:val="auto"/>
          <w:sz w:val="28"/>
          <w:szCs w:val="28"/>
          <w:highlight w:val="none"/>
        </w:rPr>
        <w:fldChar w:fldCharType="end"/>
      </w:r>
    </w:p>
    <w:p w14:paraId="38976945">
      <w:pPr>
        <w:pStyle w:val="29"/>
        <w:tabs>
          <w:tab w:val="right" w:leader="dot" w:pos="9514"/>
        </w:tabs>
        <w:spacing w:line="1000" w:lineRule="exact"/>
        <w:rPr>
          <w:rFonts w:asciiTheme="minorHAnsi" w:hAnsiTheme="minorHAnsi"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"_Toc92355025" </w:instrText>
      </w:r>
      <w:r>
        <w:rPr>
          <w:color w:val="auto"/>
          <w:highlight w:val="none"/>
        </w:rPr>
        <w:fldChar w:fldCharType="separate"/>
      </w:r>
      <w:r>
        <w:rPr>
          <w:rStyle w:val="46"/>
          <w:rFonts w:ascii="Arial Unicode MS" w:eastAsia="Arial Unicode MS"/>
          <w:color w:val="auto"/>
          <w:sz w:val="28"/>
          <w:szCs w:val="28"/>
          <w:highlight w:val="none"/>
        </w:rPr>
        <w:t>第三章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_Toc92355025 \h </w:instrText>
      </w:r>
      <w:r>
        <w:rPr>
          <w:color w:val="auto"/>
          <w:sz w:val="28"/>
          <w:szCs w:val="28"/>
          <w:highlight w:val="none"/>
        </w:rPr>
        <w:fldChar w:fldCharType="separate"/>
      </w:r>
      <w:r>
        <w:rPr>
          <w:color w:val="auto"/>
          <w:sz w:val="28"/>
          <w:szCs w:val="28"/>
          <w:highlight w:val="none"/>
        </w:rPr>
        <w:t>12</w:t>
      </w:r>
      <w:r>
        <w:rPr>
          <w:color w:val="auto"/>
          <w:sz w:val="28"/>
          <w:szCs w:val="28"/>
          <w:highlight w:val="none"/>
        </w:rPr>
        <w:fldChar w:fldCharType="end"/>
      </w:r>
      <w:r>
        <w:rPr>
          <w:color w:val="auto"/>
          <w:sz w:val="28"/>
          <w:szCs w:val="28"/>
          <w:highlight w:val="none"/>
        </w:rPr>
        <w:fldChar w:fldCharType="end"/>
      </w:r>
    </w:p>
    <w:p w14:paraId="495A8BF9">
      <w:pPr>
        <w:pStyle w:val="29"/>
        <w:tabs>
          <w:tab w:val="right" w:leader="dot" w:pos="9514"/>
        </w:tabs>
        <w:spacing w:line="1000" w:lineRule="exact"/>
        <w:rPr>
          <w:rFonts w:asciiTheme="minorHAnsi" w:hAnsiTheme="minorHAnsi"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"_Toc92355026" </w:instrText>
      </w:r>
      <w:r>
        <w:rPr>
          <w:color w:val="auto"/>
          <w:highlight w:val="none"/>
        </w:rPr>
        <w:fldChar w:fldCharType="separate"/>
      </w:r>
      <w:r>
        <w:rPr>
          <w:rStyle w:val="46"/>
          <w:rFonts w:ascii="方正小标宋_GBK" w:hAnsi="宋体" w:eastAsia="方正小标宋_GBK"/>
          <w:color w:val="auto"/>
          <w:sz w:val="28"/>
          <w:szCs w:val="28"/>
          <w:highlight w:val="none"/>
        </w:rPr>
        <w:t>第四章  评定标准及推荐原则</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_Toc92355026 \h </w:instrText>
      </w:r>
      <w:r>
        <w:rPr>
          <w:color w:val="auto"/>
          <w:sz w:val="28"/>
          <w:szCs w:val="28"/>
          <w:highlight w:val="none"/>
        </w:rPr>
        <w:fldChar w:fldCharType="separate"/>
      </w:r>
      <w:r>
        <w:rPr>
          <w:color w:val="auto"/>
          <w:sz w:val="28"/>
          <w:szCs w:val="28"/>
          <w:highlight w:val="none"/>
        </w:rPr>
        <w:t>23</w:t>
      </w:r>
      <w:r>
        <w:rPr>
          <w:color w:val="auto"/>
          <w:sz w:val="28"/>
          <w:szCs w:val="28"/>
          <w:highlight w:val="none"/>
        </w:rPr>
        <w:fldChar w:fldCharType="end"/>
      </w:r>
      <w:r>
        <w:rPr>
          <w:color w:val="auto"/>
          <w:sz w:val="28"/>
          <w:szCs w:val="28"/>
          <w:highlight w:val="none"/>
        </w:rPr>
        <w:fldChar w:fldCharType="end"/>
      </w:r>
    </w:p>
    <w:p w14:paraId="2CD99BB1">
      <w:pPr>
        <w:pStyle w:val="29"/>
        <w:tabs>
          <w:tab w:val="right" w:leader="dot" w:pos="9514"/>
        </w:tabs>
        <w:spacing w:line="1000" w:lineRule="exact"/>
        <w:rPr>
          <w:rFonts w:hint="eastAsia" w:eastAsia="宋体" w:asciiTheme="minorHAnsi" w:hAnsiTheme="minorHAnsi" w:cstheme="minorBidi"/>
          <w:color w:val="auto"/>
          <w:sz w:val="28"/>
          <w:szCs w:val="28"/>
          <w:highlight w:val="none"/>
          <w:lang w:val="en-US" w:eastAsia="zh-CN"/>
        </w:rPr>
      </w:pPr>
      <w:r>
        <w:rPr>
          <w:color w:val="auto"/>
          <w:highlight w:val="none"/>
        </w:rPr>
        <w:fldChar w:fldCharType="begin"/>
      </w:r>
      <w:r>
        <w:rPr>
          <w:color w:val="auto"/>
          <w:highlight w:val="none"/>
        </w:rPr>
        <w:instrText xml:space="preserve"> HYPERLINK \l "_Toc92355027" </w:instrText>
      </w:r>
      <w:r>
        <w:rPr>
          <w:color w:val="auto"/>
          <w:highlight w:val="none"/>
        </w:rPr>
        <w:fldChar w:fldCharType="separate"/>
      </w:r>
      <w:r>
        <w:rPr>
          <w:rStyle w:val="46"/>
          <w:rFonts w:ascii="方正小标宋_GBK" w:eastAsia="方正小标宋_GBK"/>
          <w:color w:val="auto"/>
          <w:sz w:val="28"/>
          <w:szCs w:val="28"/>
          <w:highlight w:val="none"/>
        </w:rPr>
        <w:t>第五章  合同文本</w:t>
      </w:r>
      <w:r>
        <w:rPr>
          <w:color w:val="auto"/>
          <w:sz w:val="28"/>
          <w:szCs w:val="28"/>
          <w:highlight w:val="none"/>
        </w:rPr>
        <w:tab/>
      </w:r>
      <w:r>
        <w:rPr>
          <w:rFonts w:hint="eastAsia"/>
          <w:color w:val="auto"/>
          <w:sz w:val="28"/>
          <w:szCs w:val="28"/>
          <w:highlight w:val="none"/>
          <w:lang w:val="en-US" w:eastAsia="zh-CN"/>
        </w:rPr>
        <w:t>5</w:t>
      </w:r>
      <w:r>
        <w:rPr>
          <w:color w:val="auto"/>
          <w:sz w:val="28"/>
          <w:szCs w:val="28"/>
          <w:highlight w:val="none"/>
        </w:rPr>
        <w:fldChar w:fldCharType="end"/>
      </w:r>
      <w:r>
        <w:rPr>
          <w:rFonts w:hint="eastAsia"/>
          <w:color w:val="auto"/>
          <w:sz w:val="28"/>
          <w:szCs w:val="28"/>
          <w:highlight w:val="none"/>
          <w:lang w:val="en-US" w:eastAsia="zh-CN"/>
        </w:rPr>
        <w:t>9</w:t>
      </w:r>
    </w:p>
    <w:p w14:paraId="63DB9D2B">
      <w:pPr>
        <w:pStyle w:val="29"/>
        <w:tabs>
          <w:tab w:val="right" w:leader="dot" w:pos="9514"/>
        </w:tabs>
        <w:spacing w:line="1000" w:lineRule="exact"/>
        <w:rPr>
          <w:rFonts w:hint="eastAsia" w:eastAsia="宋体" w:asciiTheme="minorHAnsi" w:hAnsiTheme="minorHAnsi" w:cstheme="minorBidi"/>
          <w:color w:val="auto"/>
          <w:sz w:val="28"/>
          <w:szCs w:val="28"/>
          <w:highlight w:val="none"/>
          <w:lang w:val="en-US" w:eastAsia="zh-CN"/>
        </w:rPr>
      </w:pPr>
      <w:r>
        <w:rPr>
          <w:color w:val="auto"/>
          <w:highlight w:val="none"/>
        </w:rPr>
        <w:fldChar w:fldCharType="begin"/>
      </w:r>
      <w:r>
        <w:rPr>
          <w:color w:val="auto"/>
          <w:highlight w:val="none"/>
        </w:rPr>
        <w:instrText xml:space="preserve"> HYPERLINK \l "_Toc92355028" </w:instrText>
      </w:r>
      <w:r>
        <w:rPr>
          <w:color w:val="auto"/>
          <w:highlight w:val="none"/>
        </w:rPr>
        <w:fldChar w:fldCharType="separate"/>
      </w:r>
      <w:r>
        <w:rPr>
          <w:rStyle w:val="46"/>
          <w:rFonts w:ascii="方正小标宋_GBK" w:hAnsi="方正小标宋_GBK" w:eastAsia="方正小标宋_GBK"/>
          <w:color w:val="auto"/>
          <w:sz w:val="28"/>
          <w:szCs w:val="28"/>
          <w:highlight w:val="none"/>
        </w:rPr>
        <w:t>第六章  响应文件格式</w:t>
      </w:r>
      <w:r>
        <w:rPr>
          <w:color w:val="auto"/>
          <w:sz w:val="28"/>
          <w:szCs w:val="28"/>
          <w:highlight w:val="none"/>
        </w:rPr>
        <w:tab/>
      </w:r>
      <w:r>
        <w:rPr>
          <w:rFonts w:hint="eastAsia"/>
          <w:color w:val="auto"/>
          <w:sz w:val="28"/>
          <w:szCs w:val="28"/>
          <w:highlight w:val="none"/>
          <w:lang w:val="en-US" w:eastAsia="zh-CN"/>
        </w:rPr>
        <w:t>6</w:t>
      </w:r>
      <w:r>
        <w:rPr>
          <w:color w:val="auto"/>
          <w:sz w:val="28"/>
          <w:szCs w:val="28"/>
          <w:highlight w:val="none"/>
        </w:rPr>
        <w:fldChar w:fldCharType="end"/>
      </w:r>
      <w:r>
        <w:rPr>
          <w:rFonts w:hint="eastAsia"/>
          <w:color w:val="auto"/>
          <w:sz w:val="28"/>
          <w:szCs w:val="28"/>
          <w:highlight w:val="none"/>
          <w:lang w:val="en-US" w:eastAsia="zh-CN"/>
        </w:rPr>
        <w:t>4</w:t>
      </w:r>
    </w:p>
    <w:p w14:paraId="3B5DECFD">
      <w:pPr>
        <w:rPr>
          <w:color w:val="auto"/>
          <w:highlight w:val="none"/>
        </w:rPr>
        <w:sectPr>
          <w:footerReference r:id="rId4" w:type="first"/>
          <w:footerReference r:id="rId3" w:type="default"/>
          <w:pgSz w:w="11906" w:h="16838"/>
          <w:pgMar w:top="936" w:right="1191" w:bottom="936" w:left="1191"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color w:val="auto"/>
          <w:highlight w:val="none"/>
        </w:rPr>
        <w:fldChar w:fldCharType="end"/>
      </w:r>
    </w:p>
    <w:p w14:paraId="2B623927">
      <w:pPr>
        <w:rPr>
          <w:color w:val="auto"/>
          <w:highlight w:val="none"/>
        </w:rPr>
      </w:pPr>
    </w:p>
    <w:p w14:paraId="058FF3FE">
      <w:pPr>
        <w:widowControl/>
        <w:jc w:val="left"/>
        <w:rPr>
          <w:color w:val="auto"/>
          <w:highlight w:val="none"/>
        </w:rPr>
      </w:pPr>
    </w:p>
    <w:p w14:paraId="741EB219">
      <w:pPr>
        <w:rPr>
          <w:color w:val="auto"/>
          <w:highlight w:val="none"/>
        </w:rPr>
      </w:pPr>
    </w:p>
    <w:p w14:paraId="49C0BFC4">
      <w:pPr>
        <w:rPr>
          <w:color w:val="auto"/>
          <w:highlight w:val="none"/>
        </w:rPr>
      </w:pPr>
    </w:p>
    <w:p w14:paraId="1EDAD640">
      <w:pPr>
        <w:rPr>
          <w:color w:val="auto"/>
          <w:highlight w:val="none"/>
        </w:rPr>
      </w:pPr>
    </w:p>
    <w:p w14:paraId="0CC41DBA">
      <w:pPr>
        <w:rPr>
          <w:color w:val="auto"/>
          <w:highlight w:val="none"/>
        </w:rPr>
      </w:pPr>
    </w:p>
    <w:p w14:paraId="384A69E6">
      <w:pPr>
        <w:rPr>
          <w:color w:val="auto"/>
          <w:highlight w:val="none"/>
        </w:rPr>
      </w:pPr>
    </w:p>
    <w:p w14:paraId="2D32A161">
      <w:pPr>
        <w:rPr>
          <w:color w:val="auto"/>
          <w:highlight w:val="none"/>
        </w:rPr>
      </w:pPr>
    </w:p>
    <w:p w14:paraId="63C844AA">
      <w:pPr>
        <w:rPr>
          <w:color w:val="auto"/>
          <w:highlight w:val="none"/>
        </w:rPr>
      </w:pPr>
    </w:p>
    <w:p w14:paraId="796AA7FC">
      <w:pPr>
        <w:rPr>
          <w:color w:val="auto"/>
          <w:highlight w:val="none"/>
        </w:rPr>
      </w:pPr>
    </w:p>
    <w:p w14:paraId="0B7C504C">
      <w:pPr>
        <w:rPr>
          <w:color w:val="auto"/>
          <w:highlight w:val="none"/>
        </w:rPr>
      </w:pPr>
    </w:p>
    <w:p w14:paraId="25055681">
      <w:pPr>
        <w:rPr>
          <w:color w:val="auto"/>
          <w:highlight w:val="none"/>
        </w:rPr>
      </w:pPr>
    </w:p>
    <w:p w14:paraId="72BED5AD">
      <w:pPr>
        <w:rPr>
          <w:color w:val="auto"/>
          <w:highlight w:val="none"/>
        </w:rPr>
      </w:pPr>
    </w:p>
    <w:p w14:paraId="0CE544FB">
      <w:pPr>
        <w:rPr>
          <w:color w:val="auto"/>
          <w:highlight w:val="none"/>
        </w:rPr>
      </w:pPr>
    </w:p>
    <w:p w14:paraId="724CEFC2">
      <w:pPr>
        <w:pStyle w:val="2"/>
        <w:spacing w:line="400" w:lineRule="exact"/>
        <w:rPr>
          <w:rFonts w:ascii="方正小标宋_GBK" w:hAnsi="宋体" w:eastAsia="方正小标宋_GBK"/>
          <w:color w:val="auto"/>
          <w:highlight w:val="none"/>
        </w:rPr>
      </w:pPr>
      <w:bookmarkStart w:id="2" w:name="_Toc92355023"/>
      <w:r>
        <w:rPr>
          <w:rFonts w:hint="eastAsia" w:ascii="方正小标宋_GBK" w:hAnsi="宋体" w:eastAsia="方正小标宋_GBK"/>
          <w:color w:val="auto"/>
          <w:highlight w:val="none"/>
        </w:rPr>
        <w:t>第一章  竞争性磋商公告</w:t>
      </w:r>
      <w:bookmarkEnd w:id="1"/>
      <w:bookmarkEnd w:id="2"/>
    </w:p>
    <w:p w14:paraId="386D6EE2">
      <w:pPr>
        <w:spacing w:line="600" w:lineRule="exact"/>
        <w:jc w:val="center"/>
        <w:rPr>
          <w:rFonts w:ascii="黑体" w:hAnsi="宋体" w:eastAsia="黑体"/>
          <w:b/>
          <w:color w:val="auto"/>
          <w:sz w:val="32"/>
          <w:szCs w:val="32"/>
          <w:highlight w:val="none"/>
        </w:rPr>
      </w:pPr>
      <w:r>
        <w:rPr>
          <w:rFonts w:ascii="黑体" w:hAnsi="宋体" w:eastAsia="黑体"/>
          <w:b/>
          <w:color w:val="auto"/>
          <w:sz w:val="32"/>
          <w:szCs w:val="32"/>
          <w:highlight w:val="none"/>
        </w:rPr>
        <w:br w:type="page"/>
      </w:r>
    </w:p>
    <w:p w14:paraId="76D35603">
      <w:pPr>
        <w:rPr>
          <w:color w:val="auto"/>
          <w:highlight w:val="none"/>
        </w:rPr>
      </w:pPr>
    </w:p>
    <w:p w14:paraId="0D8DF170">
      <w:pPr>
        <w:spacing w:line="600" w:lineRule="exact"/>
        <w:jc w:val="center"/>
        <w:rPr>
          <w:rFonts w:ascii="方正小标宋_GBK" w:hAnsi="宋体" w:eastAsia="方正小标宋_GBK"/>
          <w:b/>
          <w:color w:val="auto"/>
          <w:sz w:val="34"/>
          <w:szCs w:val="34"/>
          <w:highlight w:val="none"/>
        </w:rPr>
      </w:pPr>
      <w:r>
        <w:rPr>
          <w:rFonts w:hint="eastAsia" w:ascii="方正小标宋_GBK" w:hAnsi="宋体" w:eastAsia="方正小标宋_GBK"/>
          <w:b/>
          <w:color w:val="auto"/>
          <w:sz w:val="34"/>
          <w:szCs w:val="34"/>
          <w:highlight w:val="none"/>
        </w:rPr>
        <w:t>钦州市政府采购中心关于</w:t>
      </w:r>
      <w:r>
        <w:rPr>
          <w:rFonts w:hint="eastAsia" w:ascii="方正小标宋_GBK" w:hAnsi="宋体" w:eastAsia="方正小标宋_GBK"/>
          <w:b/>
          <w:color w:val="auto"/>
          <w:sz w:val="34"/>
          <w:szCs w:val="34"/>
          <w:highlight w:val="none"/>
          <w:lang w:val="en-US" w:eastAsia="zh-CN"/>
        </w:rPr>
        <w:t>灵山县人民检察院采购通信运营商服务项目</w:t>
      </w:r>
      <w:r>
        <w:rPr>
          <w:rFonts w:hint="eastAsia" w:ascii="方正小标宋_GBK" w:hAnsi="宋体" w:eastAsia="方正小标宋_GBK"/>
          <w:b/>
          <w:color w:val="auto"/>
          <w:sz w:val="34"/>
          <w:szCs w:val="34"/>
          <w:highlight w:val="none"/>
        </w:rPr>
        <w:t>(</w:t>
      </w:r>
      <w:r>
        <w:rPr>
          <w:rFonts w:hint="eastAsia" w:ascii="方正小标宋_GBK" w:hAnsi="宋体" w:eastAsia="方正小标宋_GBK"/>
          <w:b/>
          <w:color w:val="auto"/>
          <w:sz w:val="34"/>
          <w:szCs w:val="34"/>
          <w:highlight w:val="none"/>
          <w:lang w:eastAsia="zh-CN"/>
        </w:rPr>
        <w:t>QZZC2025-C3-990027-QZSZ</w:t>
      </w:r>
      <w:r>
        <w:rPr>
          <w:rFonts w:hint="eastAsia" w:ascii="方正小标宋_GBK" w:hAnsi="宋体" w:eastAsia="方正小标宋_GBK"/>
          <w:b/>
          <w:color w:val="auto"/>
          <w:sz w:val="34"/>
          <w:szCs w:val="34"/>
          <w:highlight w:val="none"/>
        </w:rPr>
        <w:t>)的竞争性磋商公告</w:t>
      </w:r>
    </w:p>
    <w:p w14:paraId="1AD38AC0">
      <w:pPr>
        <w:pBdr>
          <w:top w:val="single" w:color="auto" w:sz="4" w:space="0"/>
          <w:left w:val="single" w:color="auto" w:sz="4" w:space="4"/>
          <w:bottom w:val="single" w:color="auto" w:sz="4" w:space="1"/>
          <w:right w:val="single" w:color="auto" w:sz="4" w:space="4"/>
        </w:pBdr>
        <w:spacing w:line="400" w:lineRule="exact"/>
        <w:rPr>
          <w:rFonts w:ascii="Arial Unicode MS" w:hAnsi="宋体" w:eastAsia="Arial Unicode MS"/>
          <w:b/>
          <w:color w:val="auto"/>
          <w:sz w:val="32"/>
          <w:szCs w:val="32"/>
          <w:highlight w:val="none"/>
        </w:rPr>
      </w:pPr>
      <w:bookmarkStart w:id="3" w:name="_Toc38370138"/>
      <w:r>
        <w:rPr>
          <w:rFonts w:hint="eastAsia" w:ascii="宋体" w:hAnsi="宋体"/>
          <w:color w:val="auto"/>
          <w:szCs w:val="21"/>
          <w:highlight w:val="none"/>
        </w:rPr>
        <w:t>项目概况</w:t>
      </w:r>
    </w:p>
    <w:p w14:paraId="08976F9D">
      <w:pPr>
        <w:pBdr>
          <w:top w:val="single" w:color="auto" w:sz="4" w:space="0"/>
          <w:left w:val="single" w:color="auto" w:sz="4" w:space="4"/>
          <w:bottom w:val="single" w:color="auto" w:sz="4" w:space="1"/>
          <w:right w:val="single" w:color="auto" w:sz="4" w:space="4"/>
        </w:pBd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灵山县人民检察院采购通信运营商服务项目采购</w:t>
      </w:r>
      <w:r>
        <w:rPr>
          <w:rFonts w:hint="eastAsia" w:ascii="宋体" w:hAnsi="宋体"/>
          <w:color w:val="auto"/>
          <w:szCs w:val="21"/>
          <w:highlight w:val="none"/>
        </w:rPr>
        <w:t>项目的潜在供应商应在广西政府采购云平台（https://www.gcy.zfcg.gxzf.gov.cn/）获取采购文件，并于202</w:t>
      </w:r>
      <w:r>
        <w:rPr>
          <w:rFonts w:hint="eastAsia" w:ascii="宋体" w:hAnsi="宋体"/>
          <w:color w:val="auto"/>
          <w:szCs w:val="21"/>
          <w:highlight w:val="none"/>
          <w:lang w:val="en-US" w:eastAsia="zh-CN"/>
        </w:rPr>
        <w:t>5</w:t>
      </w:r>
      <w:r>
        <w:rPr>
          <w:rFonts w:hint="eastAsia" w:ascii="宋体" w:hAnsi="宋体"/>
          <w:bCs/>
          <w:color w:val="auto"/>
          <w:szCs w:val="21"/>
          <w:highlight w:val="none"/>
        </w:rPr>
        <w:t>年</w:t>
      </w:r>
      <w:r>
        <w:rPr>
          <w:rFonts w:hint="eastAsia" w:ascii="宋体" w:hAnsi="宋体"/>
          <w:bCs/>
          <w:color w:val="auto"/>
          <w:szCs w:val="21"/>
          <w:highlight w:val="none"/>
          <w:lang w:val="en-US" w:eastAsia="zh-CN"/>
        </w:rPr>
        <w:t>2</w:t>
      </w:r>
      <w:r>
        <w:rPr>
          <w:rFonts w:hint="eastAsia" w:ascii="宋体" w:hAnsi="宋体"/>
          <w:bCs/>
          <w:color w:val="auto"/>
          <w:szCs w:val="21"/>
          <w:highlight w:val="none"/>
        </w:rPr>
        <w:t>月</w:t>
      </w:r>
      <w:r>
        <w:rPr>
          <w:rFonts w:hint="eastAsia" w:ascii="宋体" w:hAnsi="宋体"/>
          <w:bCs/>
          <w:color w:val="auto"/>
          <w:szCs w:val="21"/>
          <w:highlight w:val="none"/>
          <w:lang w:val="en-US" w:eastAsia="zh-CN"/>
        </w:rPr>
        <w:t>17</w:t>
      </w:r>
      <w:r>
        <w:rPr>
          <w:rFonts w:hint="eastAsia" w:ascii="宋体" w:hAnsi="宋体"/>
          <w:bCs/>
          <w:color w:val="auto"/>
          <w:szCs w:val="21"/>
          <w:highlight w:val="none"/>
        </w:rPr>
        <w:t>日</w:t>
      </w:r>
      <w:r>
        <w:rPr>
          <w:rFonts w:hint="eastAsia"/>
          <w:color w:val="auto"/>
          <w:highlight w:val="none"/>
          <w:lang w:val="en-US" w:eastAsia="zh-CN"/>
        </w:rPr>
        <w:t>10</w:t>
      </w:r>
      <w:r>
        <w:rPr>
          <w:color w:val="auto"/>
          <w:highlight w:val="none"/>
        </w:rPr>
        <w:t>:</w:t>
      </w:r>
      <w:r>
        <w:rPr>
          <w:rFonts w:hint="eastAsia"/>
          <w:color w:val="auto"/>
          <w:highlight w:val="none"/>
          <w:lang w:val="en-US" w:eastAsia="zh-CN"/>
        </w:rPr>
        <w:t>00</w:t>
      </w:r>
      <w:r>
        <w:rPr>
          <w:rFonts w:hint="eastAsia" w:ascii="宋体" w:hAnsi="宋体"/>
          <w:bCs/>
          <w:color w:val="auto"/>
          <w:szCs w:val="21"/>
          <w:highlight w:val="none"/>
        </w:rPr>
        <w:t>（北京时间）前提交响应</w:t>
      </w:r>
      <w:r>
        <w:rPr>
          <w:rFonts w:ascii="宋体" w:hAnsi="宋体"/>
          <w:bCs/>
          <w:color w:val="auto"/>
          <w:szCs w:val="21"/>
          <w:highlight w:val="none"/>
        </w:rPr>
        <w:t>文件</w:t>
      </w:r>
      <w:r>
        <w:rPr>
          <w:rFonts w:hint="eastAsia" w:ascii="宋体" w:hAnsi="宋体"/>
          <w:color w:val="auto"/>
          <w:szCs w:val="21"/>
          <w:highlight w:val="none"/>
        </w:rPr>
        <w:t>。</w:t>
      </w:r>
    </w:p>
    <w:bookmarkEnd w:id="3"/>
    <w:p w14:paraId="19721FB1">
      <w:pPr>
        <w:spacing w:line="400" w:lineRule="exact"/>
        <w:rPr>
          <w:b/>
          <w:color w:val="auto"/>
          <w:highlight w:val="none"/>
        </w:rPr>
      </w:pPr>
      <w:bookmarkStart w:id="4" w:name="_Toc28359079"/>
      <w:bookmarkStart w:id="5" w:name="_Toc28359002"/>
      <w:bookmarkStart w:id="6" w:name="_Toc35393621"/>
      <w:bookmarkStart w:id="7" w:name="_Toc35393790"/>
      <w:bookmarkStart w:id="8" w:name="_Hlk24379207"/>
      <w:bookmarkStart w:id="9" w:name="_Toc38370146"/>
      <w:r>
        <w:rPr>
          <w:rFonts w:hint="eastAsia"/>
          <w:b/>
          <w:color w:val="auto"/>
          <w:highlight w:val="none"/>
        </w:rPr>
        <w:t>一、项目基本情况</w:t>
      </w:r>
      <w:bookmarkEnd w:id="4"/>
      <w:bookmarkEnd w:id="5"/>
      <w:bookmarkEnd w:id="6"/>
      <w:bookmarkEnd w:id="7"/>
    </w:p>
    <w:p w14:paraId="4019AFC0">
      <w:pPr>
        <w:spacing w:line="400" w:lineRule="exact"/>
        <w:ind w:firstLine="420"/>
        <w:rPr>
          <w:rFonts w:hint="eastAsia" w:eastAsia="宋体"/>
          <w:color w:val="auto"/>
          <w:highlight w:val="none"/>
          <w:lang w:eastAsia="zh-CN"/>
        </w:rPr>
      </w:pPr>
      <w:r>
        <w:rPr>
          <w:rFonts w:hint="eastAsia"/>
          <w:color w:val="auto"/>
          <w:highlight w:val="none"/>
        </w:rPr>
        <w:t>项目编号：</w:t>
      </w:r>
      <w:r>
        <w:rPr>
          <w:rFonts w:hint="eastAsia" w:ascii="宋体" w:hAnsi="宋体"/>
          <w:bCs/>
          <w:color w:val="auto"/>
          <w:highlight w:val="none"/>
          <w:lang w:eastAsia="zh-CN"/>
        </w:rPr>
        <w:t>QZZC2025-C3-990027-QZSZ</w:t>
      </w:r>
    </w:p>
    <w:p w14:paraId="2E4FFDCD">
      <w:pPr>
        <w:spacing w:line="400" w:lineRule="exact"/>
        <w:ind w:firstLine="420"/>
        <w:rPr>
          <w:color w:val="auto"/>
          <w:highlight w:val="none"/>
        </w:rPr>
      </w:pPr>
      <w:r>
        <w:rPr>
          <w:rFonts w:hint="eastAsia"/>
          <w:color w:val="auto"/>
          <w:highlight w:val="none"/>
        </w:rPr>
        <w:t>项目名称：</w:t>
      </w:r>
      <w:r>
        <w:rPr>
          <w:rFonts w:hint="eastAsia" w:ascii="宋体" w:hAnsi="宋体"/>
          <w:color w:val="auto"/>
          <w:szCs w:val="21"/>
          <w:highlight w:val="none"/>
          <w:lang w:val="en-US" w:eastAsia="zh-CN"/>
        </w:rPr>
        <w:t>灵山县人民检察院采购通信运营商服务项目</w:t>
      </w:r>
    </w:p>
    <w:bookmarkEnd w:id="8"/>
    <w:p w14:paraId="2FA374BA">
      <w:pPr>
        <w:spacing w:line="400" w:lineRule="exact"/>
        <w:ind w:firstLine="420"/>
        <w:rPr>
          <w:rFonts w:hint="default" w:eastAsia="宋体"/>
          <w:color w:val="auto"/>
          <w:highlight w:val="none"/>
          <w:lang w:val="en-US" w:eastAsia="zh-CN"/>
        </w:rPr>
      </w:pPr>
      <w:r>
        <w:rPr>
          <w:rFonts w:hint="eastAsia"/>
          <w:color w:val="auto"/>
          <w:highlight w:val="none"/>
        </w:rPr>
        <w:t>预算总金额(元</w:t>
      </w:r>
      <w:r>
        <w:rPr>
          <w:color w:val="auto"/>
          <w:highlight w:val="none"/>
        </w:rPr>
        <w:t>)</w:t>
      </w:r>
      <w:r>
        <w:rPr>
          <w:rFonts w:hint="eastAsia"/>
          <w:color w:val="auto"/>
          <w:highlight w:val="none"/>
        </w:rPr>
        <w:t>：</w:t>
      </w:r>
      <w:r>
        <w:rPr>
          <w:rFonts w:hint="eastAsia"/>
          <w:color w:val="auto"/>
          <w:highlight w:val="none"/>
          <w:lang w:val="en-US" w:eastAsia="zh-CN"/>
        </w:rPr>
        <w:t>550000.00</w:t>
      </w:r>
    </w:p>
    <w:p w14:paraId="2873BC5A">
      <w:pPr>
        <w:spacing w:line="400" w:lineRule="exact"/>
        <w:ind w:firstLine="420"/>
        <w:rPr>
          <w:color w:val="auto"/>
          <w:highlight w:val="none"/>
        </w:rPr>
      </w:pPr>
      <w:r>
        <w:rPr>
          <w:rFonts w:hint="eastAsia"/>
          <w:color w:val="auto"/>
          <w:highlight w:val="none"/>
        </w:rPr>
        <w:t>采购需求：</w:t>
      </w:r>
    </w:p>
    <w:p w14:paraId="55156574">
      <w:pPr>
        <w:spacing w:line="400" w:lineRule="exact"/>
        <w:ind w:firstLine="420"/>
        <w:rPr>
          <w:bCs/>
          <w:color w:val="auto"/>
          <w:highlight w:val="none"/>
        </w:rPr>
      </w:pPr>
      <w:r>
        <w:rPr>
          <w:rFonts w:hint="eastAsia"/>
          <w:color w:val="auto"/>
          <w:highlight w:val="none"/>
        </w:rPr>
        <w:t>标项名称：</w:t>
      </w:r>
      <w:r>
        <w:rPr>
          <w:rFonts w:hint="eastAsia" w:ascii="宋体" w:hAnsi="宋体"/>
          <w:color w:val="auto"/>
          <w:szCs w:val="21"/>
          <w:highlight w:val="none"/>
          <w:lang w:val="en-US" w:eastAsia="zh-CN"/>
        </w:rPr>
        <w:t>灵山县人民检察院采购通信运营商服务项目</w:t>
      </w:r>
    </w:p>
    <w:p w14:paraId="56253AD6">
      <w:pPr>
        <w:spacing w:line="400" w:lineRule="exact"/>
        <w:ind w:firstLine="420"/>
        <w:rPr>
          <w:rFonts w:hint="eastAsia" w:eastAsia="宋体"/>
          <w:color w:val="auto"/>
          <w:highlight w:val="none"/>
          <w:lang w:val="en-US" w:eastAsia="zh-CN"/>
        </w:rPr>
      </w:pPr>
      <w:r>
        <w:rPr>
          <w:rFonts w:hint="eastAsia"/>
          <w:bCs/>
          <w:color w:val="auto"/>
          <w:highlight w:val="none"/>
        </w:rPr>
        <w:t>数量：</w:t>
      </w:r>
      <w:r>
        <w:rPr>
          <w:rFonts w:hint="eastAsia"/>
          <w:bCs/>
          <w:color w:val="auto"/>
          <w:highlight w:val="none"/>
          <w:lang w:val="en-US" w:eastAsia="zh-CN"/>
        </w:rPr>
        <w:t>1</w:t>
      </w:r>
    </w:p>
    <w:p w14:paraId="7C9D51F7">
      <w:pPr>
        <w:spacing w:line="400" w:lineRule="exact"/>
        <w:ind w:firstLine="420"/>
        <w:rPr>
          <w:color w:val="auto"/>
          <w:highlight w:val="none"/>
        </w:rPr>
      </w:pPr>
      <w:r>
        <w:rPr>
          <w:rFonts w:hint="eastAsia"/>
          <w:color w:val="auto"/>
          <w:highlight w:val="none"/>
        </w:rPr>
        <w:t>预算金额(元</w:t>
      </w:r>
      <w:r>
        <w:rPr>
          <w:color w:val="auto"/>
          <w:highlight w:val="none"/>
        </w:rPr>
        <w:t>)</w:t>
      </w:r>
      <w:r>
        <w:rPr>
          <w:rFonts w:hint="eastAsia"/>
          <w:color w:val="auto"/>
          <w:highlight w:val="none"/>
        </w:rPr>
        <w:t>：</w:t>
      </w:r>
      <w:r>
        <w:rPr>
          <w:rFonts w:hint="eastAsia"/>
          <w:color w:val="auto"/>
          <w:highlight w:val="none"/>
          <w:lang w:val="en-US" w:eastAsia="zh-CN"/>
        </w:rPr>
        <w:t>550000.00</w:t>
      </w:r>
    </w:p>
    <w:p w14:paraId="0F3014EA">
      <w:pPr>
        <w:spacing w:line="400" w:lineRule="exact"/>
        <w:ind w:firstLine="420"/>
        <w:rPr>
          <w:rFonts w:hint="default" w:eastAsia="宋体"/>
          <w:color w:val="auto"/>
          <w:highlight w:val="none"/>
          <w:lang w:val="en-US" w:eastAsia="zh-CN"/>
        </w:rPr>
      </w:pPr>
      <w:r>
        <w:rPr>
          <w:rFonts w:hint="eastAsia"/>
          <w:color w:val="auto"/>
          <w:highlight w:val="none"/>
        </w:rPr>
        <w:t>简要规格描述或项目基本概况介绍、用途：</w:t>
      </w:r>
      <w:r>
        <w:rPr>
          <w:rFonts w:hint="eastAsia" w:ascii="宋体" w:hAnsi="宋体"/>
          <w:color w:val="auto"/>
          <w:szCs w:val="21"/>
          <w:highlight w:val="none"/>
          <w:lang w:val="en-US" w:eastAsia="zh-CN"/>
        </w:rPr>
        <w:t>灵山县人民检察院采购通信运营商服务项目</w:t>
      </w:r>
      <w:r>
        <w:rPr>
          <w:rFonts w:hint="eastAsia" w:ascii="宋体" w:hAnsi="宋体"/>
          <w:strike w:val="0"/>
          <w:color w:val="auto"/>
          <w:szCs w:val="21"/>
          <w:highlight w:val="none"/>
          <w:lang w:val="en-US" w:eastAsia="zh-CN"/>
        </w:rPr>
        <w:t>，</w:t>
      </w:r>
      <w:r>
        <w:rPr>
          <w:rFonts w:hint="eastAsia" w:ascii="宋体" w:hAnsi="宋体"/>
          <w:color w:val="auto"/>
          <w:szCs w:val="21"/>
          <w:highlight w:val="none"/>
          <w:lang w:val="en-US" w:eastAsia="zh-CN"/>
        </w:rPr>
        <w:t>详见采</w:t>
      </w:r>
      <w:r>
        <w:rPr>
          <w:rFonts w:hint="eastAsia"/>
          <w:color w:val="auto"/>
          <w:highlight w:val="none"/>
          <w:lang w:val="en-US" w:eastAsia="zh-CN"/>
        </w:rPr>
        <w:t>购文件第二章《项目需求》</w:t>
      </w:r>
    </w:p>
    <w:p w14:paraId="4B342C5A">
      <w:pPr>
        <w:spacing w:line="400" w:lineRule="exact"/>
        <w:ind w:firstLine="420"/>
        <w:rPr>
          <w:rFonts w:hint="default"/>
          <w:color w:val="auto"/>
          <w:highlight w:val="cyan"/>
          <w:lang w:val="en-US"/>
        </w:rPr>
      </w:pPr>
      <w:r>
        <w:rPr>
          <w:rFonts w:hint="eastAsia"/>
          <w:color w:val="auto"/>
          <w:highlight w:val="none"/>
        </w:rPr>
        <w:t>最高限价(</w:t>
      </w:r>
      <w:r>
        <w:rPr>
          <w:rFonts w:hint="eastAsia"/>
          <w:color w:val="auto"/>
          <w:highlight w:val="none"/>
          <w:lang w:eastAsia="zh-CN"/>
        </w:rPr>
        <w:t>元</w:t>
      </w:r>
      <w:r>
        <w:rPr>
          <w:color w:val="auto"/>
          <w:highlight w:val="none"/>
        </w:rPr>
        <w:t>)</w:t>
      </w:r>
      <w:r>
        <w:rPr>
          <w:rFonts w:hint="eastAsia"/>
          <w:color w:val="auto"/>
          <w:highlight w:val="none"/>
        </w:rPr>
        <w:t>：</w:t>
      </w:r>
    </w:p>
    <w:p w14:paraId="44603955">
      <w:pPr>
        <w:spacing w:line="400" w:lineRule="exact"/>
        <w:ind w:firstLine="420"/>
        <w:rPr>
          <w:rFonts w:hint="eastAsia"/>
          <w:strike/>
          <w:color w:val="FF0000"/>
          <w:highlight w:val="none"/>
          <w:lang w:val="en-US" w:eastAsia="zh-CN"/>
        </w:rPr>
      </w:pPr>
      <w:r>
        <w:rPr>
          <w:rFonts w:hint="eastAsia"/>
          <w:color w:val="auto"/>
          <w:highlight w:val="none"/>
        </w:rPr>
        <w:t>合同履行期限：</w:t>
      </w:r>
      <w:r>
        <w:rPr>
          <w:rFonts w:hint="eastAsia" w:ascii="宋体" w:hAnsi="宋体" w:cs="宋体"/>
          <w:snapToGrid w:val="0"/>
          <w:color w:val="auto"/>
          <w:kern w:val="0"/>
          <w:sz w:val="21"/>
          <w:szCs w:val="21"/>
          <w:highlight w:val="none"/>
          <w:lang w:val="en-US" w:eastAsia="zh-CN" w:bidi="ar-SA"/>
        </w:rPr>
        <w:t>整体项目服务期24</w:t>
      </w:r>
      <w:r>
        <w:rPr>
          <w:rFonts w:hint="eastAsia" w:ascii="宋体" w:hAnsi="宋体" w:eastAsia="宋体" w:cs="宋体"/>
          <w:snapToGrid w:val="0"/>
          <w:color w:val="auto"/>
          <w:kern w:val="0"/>
          <w:sz w:val="21"/>
          <w:szCs w:val="21"/>
          <w:highlight w:val="none"/>
          <w:lang w:val="en-US" w:eastAsia="en-US" w:bidi="ar-SA"/>
        </w:rPr>
        <w:t>个月（自</w:t>
      </w:r>
      <w:r>
        <w:rPr>
          <w:rFonts w:hint="eastAsia" w:ascii="宋体" w:hAnsi="宋体" w:cs="宋体"/>
          <w:snapToGrid w:val="0"/>
          <w:color w:val="auto"/>
          <w:kern w:val="0"/>
          <w:sz w:val="21"/>
          <w:szCs w:val="21"/>
          <w:highlight w:val="none"/>
          <w:lang w:val="en-US" w:eastAsia="zh-CN" w:bidi="ar-SA"/>
        </w:rPr>
        <w:t>项目交付签收日起算</w:t>
      </w:r>
      <w:r>
        <w:rPr>
          <w:rFonts w:hint="eastAsia" w:ascii="宋体" w:hAnsi="宋体" w:eastAsia="宋体" w:cs="宋体"/>
          <w:snapToGrid w:val="0"/>
          <w:color w:val="auto"/>
          <w:kern w:val="0"/>
          <w:sz w:val="21"/>
          <w:szCs w:val="21"/>
          <w:highlight w:val="none"/>
          <w:lang w:val="en-US" w:eastAsia="en-US" w:bidi="ar-SA"/>
        </w:rPr>
        <w:t>）</w:t>
      </w:r>
    </w:p>
    <w:p w14:paraId="49220EF8">
      <w:pPr>
        <w:spacing w:line="400" w:lineRule="exact"/>
        <w:ind w:firstLine="420"/>
        <w:rPr>
          <w:color w:val="auto"/>
          <w:highlight w:val="none"/>
        </w:rPr>
      </w:pPr>
      <w:r>
        <w:rPr>
          <w:rFonts w:hint="eastAsia"/>
          <w:color w:val="auto"/>
          <w:highlight w:val="none"/>
        </w:rPr>
        <w:t>本标项</w:t>
      </w:r>
      <w:r>
        <w:rPr>
          <w:rFonts w:hint="eastAsia"/>
          <w:color w:val="auto"/>
          <w:highlight w:val="none"/>
          <w:lang w:val="en-US" w:eastAsia="zh-CN"/>
        </w:rPr>
        <w:t>（否）</w:t>
      </w:r>
      <w:r>
        <w:rPr>
          <w:rFonts w:hint="eastAsia"/>
          <w:color w:val="auto"/>
          <w:highlight w:val="none"/>
        </w:rPr>
        <w:t>接受联合体投标。</w:t>
      </w:r>
    </w:p>
    <w:p w14:paraId="2C3F7A8C">
      <w:pPr>
        <w:spacing w:line="400" w:lineRule="exact"/>
        <w:ind w:firstLine="420"/>
        <w:rPr>
          <w:color w:val="auto"/>
          <w:highlight w:val="none"/>
        </w:rPr>
      </w:pPr>
      <w:r>
        <w:rPr>
          <w:rFonts w:hint="eastAsia"/>
          <w:color w:val="auto"/>
          <w:highlight w:val="none"/>
        </w:rPr>
        <w:t>备注：</w:t>
      </w:r>
    </w:p>
    <w:p w14:paraId="4D4A0218">
      <w:pPr>
        <w:spacing w:line="400" w:lineRule="exact"/>
        <w:ind w:firstLine="420"/>
        <w:rPr>
          <w:color w:val="auto"/>
          <w:highlight w:val="none"/>
        </w:rPr>
      </w:pPr>
    </w:p>
    <w:p w14:paraId="6E934176">
      <w:pPr>
        <w:spacing w:line="400" w:lineRule="exact"/>
        <w:rPr>
          <w:b/>
          <w:color w:val="auto"/>
          <w:highlight w:val="none"/>
        </w:rPr>
      </w:pPr>
      <w:bookmarkStart w:id="10" w:name="_Toc28359080"/>
      <w:bookmarkStart w:id="11" w:name="_Toc35393622"/>
      <w:bookmarkStart w:id="12" w:name="_Toc28359003"/>
      <w:bookmarkStart w:id="13" w:name="_Toc35393791"/>
      <w:r>
        <w:rPr>
          <w:rFonts w:hint="eastAsia"/>
          <w:b/>
          <w:color w:val="auto"/>
          <w:highlight w:val="none"/>
        </w:rPr>
        <w:t>二、申请人的资格要求：</w:t>
      </w:r>
      <w:bookmarkEnd w:id="10"/>
      <w:bookmarkEnd w:id="11"/>
      <w:bookmarkEnd w:id="12"/>
      <w:bookmarkEnd w:id="13"/>
      <w:bookmarkStart w:id="14" w:name="_Toc28359081"/>
      <w:bookmarkStart w:id="15" w:name="_Toc35393792"/>
      <w:bookmarkStart w:id="16" w:name="_Toc35393623"/>
      <w:bookmarkStart w:id="17" w:name="_Toc28359004"/>
    </w:p>
    <w:p w14:paraId="4AC3E03A">
      <w:pPr>
        <w:spacing w:line="400" w:lineRule="exact"/>
        <w:ind w:firstLine="420"/>
        <w:rPr>
          <w:b/>
          <w:color w:val="auto"/>
          <w:highlight w:val="none"/>
        </w:rPr>
      </w:pPr>
      <w:bookmarkStart w:id="18" w:name="_Hlk111714912"/>
      <w:r>
        <w:rPr>
          <w:rFonts w:hint="eastAsia"/>
          <w:color w:val="auto"/>
          <w:highlight w:val="none"/>
        </w:rPr>
        <w:t>1.满足《中华人民共和国政府采购法》第二十二条规定</w:t>
      </w:r>
    </w:p>
    <w:p w14:paraId="29C347F4">
      <w:pPr>
        <w:spacing w:line="400" w:lineRule="exact"/>
        <w:ind w:firstLine="420"/>
        <w:rPr>
          <w:rFonts w:hint="eastAsia" w:ascii="宋体" w:hAnsi="宋体" w:eastAsia="宋体"/>
          <w:color w:val="auto"/>
          <w:szCs w:val="21"/>
          <w:highlight w:val="none"/>
          <w:lang w:eastAsia="zh-CN"/>
        </w:rPr>
      </w:pPr>
      <w:r>
        <w:rPr>
          <w:rFonts w:hint="eastAsia"/>
          <w:color w:val="auto"/>
          <w:highlight w:val="none"/>
        </w:rPr>
        <w:t>2.落实政府采购政策需满足的资格要求：</w:t>
      </w:r>
      <w:r>
        <w:rPr>
          <w:rFonts w:hint="eastAsia"/>
          <w:color w:val="auto"/>
          <w:lang w:val="en-US" w:eastAsia="zh-CN"/>
        </w:rPr>
        <w:t>无</w:t>
      </w:r>
    </w:p>
    <w:p w14:paraId="65B01237">
      <w:pPr>
        <w:spacing w:line="400" w:lineRule="exact"/>
        <w:ind w:firstLine="435"/>
        <w:rPr>
          <w:color w:val="auto"/>
          <w:highlight w:val="none"/>
        </w:rPr>
      </w:pPr>
      <w:r>
        <w:rPr>
          <w:rFonts w:hint="eastAsia"/>
          <w:color w:val="auto"/>
          <w:highlight w:val="none"/>
        </w:rPr>
        <w:t>3.本项目的特定资格要求：无</w:t>
      </w:r>
    </w:p>
    <w:bookmarkEnd w:id="18"/>
    <w:p w14:paraId="7E03B1F3">
      <w:pPr>
        <w:spacing w:line="400" w:lineRule="exact"/>
        <w:rPr>
          <w:b/>
          <w:color w:val="auto"/>
          <w:highlight w:val="none"/>
        </w:rPr>
      </w:pPr>
      <w:r>
        <w:rPr>
          <w:rFonts w:hint="eastAsia"/>
          <w:b/>
          <w:color w:val="auto"/>
          <w:highlight w:val="none"/>
        </w:rPr>
        <w:t>三、获取采购文件</w:t>
      </w:r>
      <w:bookmarkEnd w:id="14"/>
      <w:bookmarkEnd w:id="15"/>
      <w:bookmarkEnd w:id="16"/>
      <w:bookmarkEnd w:id="17"/>
    </w:p>
    <w:p w14:paraId="0798BAF5">
      <w:pPr>
        <w:spacing w:line="400" w:lineRule="exact"/>
        <w:ind w:firstLine="420"/>
        <w:jc w:val="left"/>
        <w:rPr>
          <w:color w:val="auto"/>
          <w:highlight w:val="none"/>
        </w:rPr>
      </w:pPr>
      <w:bookmarkStart w:id="19" w:name="_Toc38370141"/>
      <w:r>
        <w:rPr>
          <w:rFonts w:hint="eastAsia"/>
          <w:color w:val="auto"/>
          <w:highlight w:val="none"/>
        </w:rPr>
        <w:t>时间：</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bCs/>
          <w:color w:val="auto"/>
          <w:szCs w:val="21"/>
          <w:highlight w:val="none"/>
        </w:rPr>
        <w:t>年</w:t>
      </w:r>
      <w:r>
        <w:rPr>
          <w:rFonts w:hint="eastAsia" w:ascii="宋体" w:hAnsi="宋体"/>
          <w:bCs/>
          <w:color w:val="auto"/>
          <w:szCs w:val="21"/>
          <w:highlight w:val="none"/>
          <w:lang w:val="en-US" w:eastAsia="zh-CN"/>
        </w:rPr>
        <w:t>2</w:t>
      </w:r>
      <w:r>
        <w:rPr>
          <w:rFonts w:hint="eastAsia" w:ascii="宋体" w:hAnsi="宋体"/>
          <w:bCs/>
          <w:color w:val="auto"/>
          <w:szCs w:val="21"/>
          <w:highlight w:val="none"/>
        </w:rPr>
        <w:t>月</w:t>
      </w:r>
      <w:r>
        <w:rPr>
          <w:rFonts w:hint="eastAsia" w:ascii="宋体" w:hAnsi="宋体"/>
          <w:bCs/>
          <w:color w:val="auto"/>
          <w:szCs w:val="21"/>
          <w:highlight w:val="none"/>
          <w:lang w:val="en-US" w:eastAsia="zh-CN"/>
        </w:rPr>
        <w:t>5</w:t>
      </w:r>
      <w:r>
        <w:rPr>
          <w:rFonts w:hint="eastAsia" w:ascii="宋体" w:hAnsi="宋体"/>
          <w:bCs/>
          <w:color w:val="auto"/>
          <w:szCs w:val="21"/>
          <w:highlight w:val="none"/>
        </w:rPr>
        <w:t>日</w:t>
      </w:r>
      <w:r>
        <w:rPr>
          <w:rFonts w:hint="eastAsia"/>
          <w:color w:val="auto"/>
          <w:highlight w:val="none"/>
        </w:rPr>
        <w:t>至</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bCs/>
          <w:color w:val="auto"/>
          <w:szCs w:val="21"/>
          <w:highlight w:val="none"/>
        </w:rPr>
        <w:t>年</w:t>
      </w:r>
      <w:r>
        <w:rPr>
          <w:rFonts w:hint="eastAsia" w:ascii="宋体" w:hAnsi="宋体"/>
          <w:bCs/>
          <w:color w:val="auto"/>
          <w:szCs w:val="21"/>
          <w:highlight w:val="none"/>
          <w:lang w:val="en-US" w:eastAsia="zh-CN"/>
        </w:rPr>
        <w:t>2</w:t>
      </w:r>
      <w:r>
        <w:rPr>
          <w:rFonts w:hint="eastAsia" w:ascii="宋体" w:hAnsi="宋体"/>
          <w:bCs/>
          <w:color w:val="auto"/>
          <w:szCs w:val="21"/>
          <w:highlight w:val="none"/>
        </w:rPr>
        <w:t>月</w:t>
      </w:r>
      <w:r>
        <w:rPr>
          <w:rFonts w:hint="eastAsia" w:ascii="宋体" w:hAnsi="宋体"/>
          <w:bCs/>
          <w:color w:val="auto"/>
          <w:szCs w:val="21"/>
          <w:highlight w:val="none"/>
          <w:lang w:val="en-US" w:eastAsia="zh-CN"/>
        </w:rPr>
        <w:t>12</w:t>
      </w:r>
      <w:r>
        <w:rPr>
          <w:rFonts w:hint="eastAsia" w:ascii="宋体" w:hAnsi="宋体"/>
          <w:bCs/>
          <w:color w:val="auto"/>
          <w:szCs w:val="21"/>
          <w:highlight w:val="none"/>
        </w:rPr>
        <w:t>日</w:t>
      </w:r>
      <w:r>
        <w:rPr>
          <w:rFonts w:hint="eastAsia"/>
          <w:color w:val="auto"/>
          <w:highlight w:val="none"/>
        </w:rPr>
        <w:t>，每天上午00:00至12:00，下午12:00至23:59（北京时间，法定节假日除外）</w:t>
      </w:r>
    </w:p>
    <w:p w14:paraId="5768C252">
      <w:pPr>
        <w:spacing w:line="400" w:lineRule="exact"/>
        <w:ind w:firstLine="420"/>
        <w:rPr>
          <w:color w:val="auto"/>
          <w:highlight w:val="none"/>
        </w:rPr>
      </w:pPr>
      <w:r>
        <w:rPr>
          <w:rFonts w:hint="eastAsia"/>
          <w:color w:val="auto"/>
          <w:highlight w:val="none"/>
        </w:rPr>
        <w:t>地点(网址</w:t>
      </w:r>
      <w:r>
        <w:rPr>
          <w:color w:val="auto"/>
          <w:highlight w:val="none"/>
        </w:rPr>
        <w:t>)</w:t>
      </w:r>
      <w:r>
        <w:rPr>
          <w:rFonts w:hint="eastAsia"/>
          <w:color w:val="auto"/>
          <w:highlight w:val="none"/>
        </w:rPr>
        <w:t>：</w:t>
      </w:r>
      <w:bookmarkStart w:id="20" w:name="_Hlk164066481"/>
      <w:r>
        <w:rPr>
          <w:rFonts w:hint="eastAsia" w:ascii="宋体" w:hAnsi="宋体"/>
          <w:color w:val="auto"/>
          <w:szCs w:val="21"/>
          <w:highlight w:val="none"/>
        </w:rPr>
        <w:t>广西政府采购云平台（https://www.gcy.zfcg.gxzf.gov.cn/）</w:t>
      </w:r>
      <w:bookmarkEnd w:id="20"/>
    </w:p>
    <w:p w14:paraId="2EB965F0">
      <w:pPr>
        <w:spacing w:line="400" w:lineRule="exact"/>
        <w:ind w:firstLine="420"/>
        <w:rPr>
          <w:color w:val="auto"/>
          <w:highlight w:val="none"/>
        </w:rPr>
      </w:pPr>
      <w:r>
        <w:rPr>
          <w:rFonts w:hint="eastAsia"/>
          <w:color w:val="auto"/>
          <w:highlight w:val="none"/>
        </w:rPr>
        <w:t>方式：供应商登录广西政府采购云平台(以下称“政采云平台”)在线获取采购文件（进入“项目采购”应用选择项目，获取采购文件）</w:t>
      </w:r>
    </w:p>
    <w:p w14:paraId="3182DF7F">
      <w:pPr>
        <w:spacing w:line="400" w:lineRule="exact"/>
        <w:ind w:firstLine="420"/>
        <w:rPr>
          <w:color w:val="auto"/>
          <w:highlight w:val="none"/>
        </w:rPr>
      </w:pPr>
      <w:r>
        <w:rPr>
          <w:rFonts w:hint="eastAsia"/>
          <w:color w:val="auto"/>
          <w:highlight w:val="none"/>
        </w:rPr>
        <w:t>售价(元</w:t>
      </w:r>
      <w:r>
        <w:rPr>
          <w:color w:val="auto"/>
          <w:highlight w:val="none"/>
        </w:rPr>
        <w:t>)</w:t>
      </w:r>
      <w:r>
        <w:rPr>
          <w:rFonts w:hint="eastAsia"/>
          <w:color w:val="auto"/>
          <w:highlight w:val="none"/>
        </w:rPr>
        <w:t>：0</w:t>
      </w:r>
    </w:p>
    <w:p w14:paraId="704A77D5">
      <w:pPr>
        <w:spacing w:line="400" w:lineRule="exact"/>
        <w:rPr>
          <w:b/>
          <w:color w:val="auto"/>
          <w:highlight w:val="none"/>
        </w:rPr>
      </w:pPr>
      <w:r>
        <w:rPr>
          <w:rFonts w:hint="eastAsia"/>
          <w:b/>
          <w:bCs/>
          <w:color w:val="auto"/>
          <w:highlight w:val="none"/>
        </w:rPr>
        <w:t>四、</w:t>
      </w:r>
      <w:bookmarkEnd w:id="19"/>
      <w:bookmarkStart w:id="21" w:name="_Toc28359005"/>
      <w:bookmarkStart w:id="22" w:name="_Toc28359082"/>
      <w:bookmarkStart w:id="23" w:name="_Toc35393793"/>
      <w:bookmarkStart w:id="24" w:name="_Toc35393624"/>
      <w:r>
        <w:rPr>
          <w:rFonts w:hint="eastAsia"/>
          <w:b/>
          <w:color w:val="auto"/>
          <w:highlight w:val="none"/>
        </w:rPr>
        <w:t>响应文件</w:t>
      </w:r>
      <w:bookmarkEnd w:id="21"/>
      <w:bookmarkEnd w:id="22"/>
      <w:r>
        <w:rPr>
          <w:rFonts w:hint="eastAsia"/>
          <w:b/>
          <w:color w:val="auto"/>
          <w:highlight w:val="none"/>
        </w:rPr>
        <w:t>提交</w:t>
      </w:r>
      <w:bookmarkEnd w:id="23"/>
      <w:bookmarkEnd w:id="24"/>
    </w:p>
    <w:p w14:paraId="63F56C17">
      <w:pPr>
        <w:spacing w:line="400" w:lineRule="exact"/>
        <w:ind w:firstLine="420"/>
        <w:rPr>
          <w:color w:val="auto"/>
          <w:highlight w:val="none"/>
        </w:rPr>
      </w:pPr>
      <w:r>
        <w:rPr>
          <w:rFonts w:hint="eastAsia"/>
          <w:color w:val="auto"/>
          <w:highlight w:val="none"/>
        </w:rPr>
        <w:t>截止时间：</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bCs/>
          <w:color w:val="auto"/>
          <w:szCs w:val="21"/>
          <w:highlight w:val="none"/>
        </w:rPr>
        <w:t>年</w:t>
      </w:r>
      <w:r>
        <w:rPr>
          <w:rFonts w:hint="eastAsia" w:ascii="宋体" w:hAnsi="宋体"/>
          <w:bCs/>
          <w:color w:val="auto"/>
          <w:szCs w:val="21"/>
          <w:highlight w:val="none"/>
          <w:lang w:val="en-US" w:eastAsia="zh-CN"/>
        </w:rPr>
        <w:t>2</w:t>
      </w:r>
      <w:r>
        <w:rPr>
          <w:rFonts w:hint="eastAsia" w:ascii="宋体" w:hAnsi="宋体"/>
          <w:bCs/>
          <w:color w:val="auto"/>
          <w:szCs w:val="21"/>
          <w:highlight w:val="none"/>
        </w:rPr>
        <w:t>月</w:t>
      </w:r>
      <w:r>
        <w:rPr>
          <w:rFonts w:hint="eastAsia" w:ascii="宋体" w:hAnsi="宋体"/>
          <w:bCs/>
          <w:color w:val="auto"/>
          <w:szCs w:val="21"/>
          <w:highlight w:val="none"/>
          <w:lang w:val="en-US" w:eastAsia="zh-CN"/>
        </w:rPr>
        <w:t>17</w:t>
      </w:r>
      <w:r>
        <w:rPr>
          <w:rFonts w:hint="eastAsia" w:ascii="宋体" w:hAnsi="宋体"/>
          <w:bCs/>
          <w:color w:val="auto"/>
          <w:szCs w:val="21"/>
          <w:highlight w:val="none"/>
        </w:rPr>
        <w:t>日</w:t>
      </w:r>
      <w:r>
        <w:rPr>
          <w:rFonts w:hint="eastAsia"/>
          <w:color w:val="auto"/>
          <w:highlight w:val="none"/>
          <w:lang w:val="en-US" w:eastAsia="zh-CN"/>
        </w:rPr>
        <w:t>10</w:t>
      </w:r>
      <w:r>
        <w:rPr>
          <w:color w:val="auto"/>
          <w:highlight w:val="none"/>
        </w:rPr>
        <w:t>:</w:t>
      </w:r>
      <w:r>
        <w:rPr>
          <w:rFonts w:hint="eastAsia"/>
          <w:color w:val="auto"/>
          <w:highlight w:val="none"/>
          <w:lang w:val="en-US" w:eastAsia="zh-CN"/>
        </w:rPr>
        <w:t>00</w:t>
      </w:r>
      <w:r>
        <w:rPr>
          <w:rFonts w:hint="eastAsia"/>
          <w:color w:val="auto"/>
          <w:highlight w:val="none"/>
        </w:rPr>
        <w:t>（北京时间）</w:t>
      </w:r>
    </w:p>
    <w:p w14:paraId="0EE3055A">
      <w:pPr>
        <w:spacing w:line="400" w:lineRule="exact"/>
        <w:ind w:firstLine="420"/>
        <w:rPr>
          <w:rFonts w:ascii="宋体" w:hAnsi="宋体" w:cs="Courier New"/>
          <w:color w:val="auto"/>
          <w:szCs w:val="21"/>
          <w:highlight w:val="none"/>
        </w:rPr>
      </w:pPr>
      <w:r>
        <w:rPr>
          <w:rFonts w:hint="eastAsia"/>
          <w:color w:val="auto"/>
          <w:highlight w:val="none"/>
        </w:rPr>
        <w:t>地点(网址）：</w:t>
      </w:r>
      <w:r>
        <w:rPr>
          <w:rFonts w:hint="eastAsia" w:ascii="宋体" w:hAnsi="宋体"/>
          <w:color w:val="auto"/>
          <w:szCs w:val="21"/>
          <w:highlight w:val="none"/>
        </w:rPr>
        <w:t>广西政府采购云平台（https://www.gcy.zfcg.gxzf.gov.cn/）</w:t>
      </w:r>
    </w:p>
    <w:p w14:paraId="06D21FFA">
      <w:pPr>
        <w:spacing w:line="400" w:lineRule="exact"/>
        <w:rPr>
          <w:rFonts w:ascii="宋体" w:hAnsi="宋体" w:cs="Courier New"/>
          <w:b/>
          <w:bCs/>
          <w:color w:val="auto"/>
          <w:szCs w:val="21"/>
          <w:highlight w:val="none"/>
        </w:rPr>
      </w:pPr>
      <w:r>
        <w:rPr>
          <w:rFonts w:hint="eastAsia" w:ascii="宋体" w:hAnsi="宋体" w:cs="Courier New"/>
          <w:b/>
          <w:bCs/>
          <w:color w:val="auto"/>
          <w:szCs w:val="21"/>
          <w:highlight w:val="none"/>
        </w:rPr>
        <w:t>五、响应文件开启</w:t>
      </w:r>
    </w:p>
    <w:p w14:paraId="7A067646">
      <w:pPr>
        <w:spacing w:line="400" w:lineRule="exact"/>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开启时间：</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bCs/>
          <w:color w:val="auto"/>
          <w:szCs w:val="21"/>
          <w:highlight w:val="none"/>
        </w:rPr>
        <w:t>年</w:t>
      </w:r>
      <w:r>
        <w:rPr>
          <w:rFonts w:hint="eastAsia" w:ascii="宋体" w:hAnsi="宋体"/>
          <w:bCs/>
          <w:color w:val="auto"/>
          <w:szCs w:val="21"/>
          <w:highlight w:val="none"/>
          <w:lang w:val="en-US" w:eastAsia="zh-CN"/>
        </w:rPr>
        <w:t>2</w:t>
      </w:r>
      <w:r>
        <w:rPr>
          <w:rFonts w:hint="eastAsia" w:ascii="宋体" w:hAnsi="宋体"/>
          <w:bCs/>
          <w:color w:val="auto"/>
          <w:szCs w:val="21"/>
          <w:highlight w:val="none"/>
        </w:rPr>
        <w:t>月</w:t>
      </w:r>
      <w:r>
        <w:rPr>
          <w:rFonts w:hint="eastAsia" w:ascii="宋体" w:hAnsi="宋体"/>
          <w:bCs/>
          <w:color w:val="auto"/>
          <w:szCs w:val="21"/>
          <w:highlight w:val="none"/>
          <w:lang w:val="en-US" w:eastAsia="zh-CN"/>
        </w:rPr>
        <w:t>17</w:t>
      </w:r>
      <w:r>
        <w:rPr>
          <w:rFonts w:hint="eastAsia" w:ascii="宋体" w:hAnsi="宋体"/>
          <w:bCs/>
          <w:color w:val="auto"/>
          <w:szCs w:val="21"/>
          <w:highlight w:val="none"/>
        </w:rPr>
        <w:t>日</w:t>
      </w:r>
      <w:r>
        <w:rPr>
          <w:rFonts w:hint="eastAsia"/>
          <w:color w:val="auto"/>
          <w:highlight w:val="none"/>
          <w:lang w:val="en-US" w:eastAsia="zh-CN"/>
        </w:rPr>
        <w:t>10</w:t>
      </w:r>
      <w:r>
        <w:rPr>
          <w:color w:val="auto"/>
          <w:highlight w:val="none"/>
        </w:rPr>
        <w:t>:</w:t>
      </w:r>
      <w:r>
        <w:rPr>
          <w:rFonts w:hint="eastAsia"/>
          <w:color w:val="auto"/>
          <w:highlight w:val="none"/>
          <w:lang w:val="en-US" w:eastAsia="zh-CN"/>
        </w:rPr>
        <w:t>00</w:t>
      </w:r>
      <w:r>
        <w:rPr>
          <w:rFonts w:hint="eastAsia"/>
          <w:color w:val="auto"/>
          <w:highlight w:val="none"/>
        </w:rPr>
        <w:t>（北京时间）</w:t>
      </w:r>
    </w:p>
    <w:p w14:paraId="0D8BA505">
      <w:pPr>
        <w:spacing w:line="400" w:lineRule="exact"/>
        <w:ind w:firstLine="420"/>
        <w:rPr>
          <w:rFonts w:ascii="宋体" w:hAnsi="宋体" w:cs="Courier New"/>
          <w:color w:val="auto"/>
          <w:szCs w:val="21"/>
          <w:highlight w:val="none"/>
        </w:rPr>
      </w:pPr>
      <w:r>
        <w:rPr>
          <w:rFonts w:hint="eastAsia" w:ascii="宋体" w:hAnsi="宋体" w:cs="Courier New"/>
          <w:color w:val="auto"/>
          <w:szCs w:val="21"/>
          <w:highlight w:val="none"/>
        </w:rPr>
        <w:t>地点：</w:t>
      </w:r>
      <w:bookmarkStart w:id="25" w:name="_Toc28359007"/>
      <w:bookmarkStart w:id="26" w:name="_Toc35393625"/>
      <w:bookmarkStart w:id="27" w:name="_Toc35393794"/>
      <w:bookmarkStart w:id="28" w:name="_Toc28359084"/>
      <w:r>
        <w:rPr>
          <w:rFonts w:hint="eastAsia"/>
          <w:color w:val="auto"/>
          <w:highlight w:val="none"/>
        </w:rPr>
        <w:t>广西钦州市金海湾东大街8号市政务服务中心三楼开标室</w:t>
      </w:r>
    </w:p>
    <w:p w14:paraId="59E8B875">
      <w:pPr>
        <w:spacing w:line="400" w:lineRule="exact"/>
        <w:rPr>
          <w:b/>
          <w:color w:val="auto"/>
          <w:highlight w:val="none"/>
        </w:rPr>
      </w:pPr>
      <w:r>
        <w:rPr>
          <w:rFonts w:hint="eastAsia"/>
          <w:b/>
          <w:color w:val="auto"/>
          <w:highlight w:val="none"/>
        </w:rPr>
        <w:t>六、公告期限</w:t>
      </w:r>
      <w:bookmarkEnd w:id="25"/>
      <w:bookmarkEnd w:id="26"/>
      <w:bookmarkEnd w:id="27"/>
      <w:bookmarkEnd w:id="28"/>
    </w:p>
    <w:p w14:paraId="25F10FD9">
      <w:pPr>
        <w:spacing w:line="400" w:lineRule="exact"/>
        <w:ind w:firstLine="420"/>
        <w:rPr>
          <w:color w:val="auto"/>
          <w:highlight w:val="none"/>
        </w:rPr>
      </w:pPr>
      <w:r>
        <w:rPr>
          <w:rFonts w:hint="eastAsia"/>
          <w:color w:val="auto"/>
          <w:highlight w:val="none"/>
        </w:rPr>
        <w:t>自本公告发布之日起</w:t>
      </w:r>
      <w:r>
        <w:rPr>
          <w:color w:val="auto"/>
          <w:highlight w:val="none"/>
        </w:rPr>
        <w:t>5</w:t>
      </w:r>
      <w:r>
        <w:rPr>
          <w:rFonts w:hint="eastAsia"/>
          <w:color w:val="auto"/>
          <w:highlight w:val="none"/>
        </w:rPr>
        <w:t>个工作日。</w:t>
      </w:r>
    </w:p>
    <w:p w14:paraId="59017A78">
      <w:pPr>
        <w:spacing w:line="400" w:lineRule="exact"/>
        <w:rPr>
          <w:b/>
          <w:color w:val="auto"/>
          <w:highlight w:val="none"/>
        </w:rPr>
      </w:pPr>
      <w:bookmarkStart w:id="29" w:name="_Toc35393627"/>
      <w:bookmarkStart w:id="30" w:name="_Toc28359008"/>
      <w:bookmarkStart w:id="31" w:name="_Toc35393796"/>
      <w:bookmarkStart w:id="32" w:name="_Toc28359085"/>
      <w:r>
        <w:rPr>
          <w:rFonts w:hint="eastAsia"/>
          <w:b/>
          <w:color w:val="auto"/>
          <w:highlight w:val="none"/>
        </w:rPr>
        <w:t>七、其他补充事宜</w:t>
      </w:r>
    </w:p>
    <w:p w14:paraId="2C46C0C9">
      <w:pPr>
        <w:spacing w:line="400" w:lineRule="exact"/>
        <w:ind w:firstLine="420"/>
        <w:rPr>
          <w:rFonts w:hint="eastAsia" w:eastAsia="宋体"/>
          <w:color w:val="FF0000"/>
          <w:highlight w:val="none"/>
          <w:lang w:eastAsia="zh-CN"/>
        </w:rPr>
      </w:pPr>
      <w:r>
        <w:rPr>
          <w:rFonts w:hint="eastAsia"/>
          <w:color w:val="auto"/>
          <w:highlight w:val="none"/>
          <w:lang w:val="en-US" w:eastAsia="zh-CN"/>
        </w:rPr>
        <w:t>1.本项目允许分支机构（分公司）参与磋商活动。</w:t>
      </w:r>
    </w:p>
    <w:p w14:paraId="24E1398C">
      <w:pPr>
        <w:spacing w:line="400" w:lineRule="exact"/>
        <w:ind w:firstLine="420"/>
        <w:rPr>
          <w:b/>
          <w:color w:val="auto"/>
          <w:highlight w:val="none"/>
        </w:rPr>
      </w:pPr>
      <w:r>
        <w:rPr>
          <w:rFonts w:hint="eastAsia"/>
          <w:color w:val="auto"/>
          <w:highlight w:val="none"/>
          <w:lang w:val="en-US" w:eastAsia="zh-CN"/>
        </w:rPr>
        <w:t>2</w:t>
      </w:r>
      <w:r>
        <w:rPr>
          <w:color w:val="auto"/>
          <w:highlight w:val="none"/>
        </w:rPr>
        <w:t>.</w:t>
      </w:r>
      <w:r>
        <w:rPr>
          <w:rFonts w:hint="eastAsia"/>
          <w:bCs/>
          <w:color w:val="auto"/>
          <w:highlight w:val="none"/>
        </w:rPr>
        <w:t>本项目须要落实的政府采购政策</w:t>
      </w:r>
      <w:r>
        <w:rPr>
          <w:rFonts w:hint="eastAsia"/>
          <w:b/>
          <w:color w:val="auto"/>
          <w:highlight w:val="none"/>
        </w:rPr>
        <w:t>：</w:t>
      </w:r>
    </w:p>
    <w:p w14:paraId="2171E5F8">
      <w:pPr>
        <w:spacing w:line="400" w:lineRule="exact"/>
        <w:ind w:firstLine="420"/>
        <w:rPr>
          <w:rFonts w:hint="eastAsia"/>
          <w:color w:val="auto"/>
          <w:highlight w:val="none"/>
        </w:rPr>
      </w:pPr>
      <w:r>
        <w:rPr>
          <w:rFonts w:hint="eastAsia"/>
          <w:color w:val="auto"/>
          <w:highlight w:val="none"/>
        </w:rPr>
        <w:t>(1)财政部 工业和信息化部关于印发《政府采购促进中小企业发展管理办法》的通知(财库﹝2020﹞46号)</w:t>
      </w:r>
    </w:p>
    <w:p w14:paraId="000CBBD3">
      <w:pPr>
        <w:spacing w:line="400" w:lineRule="exact"/>
        <w:ind w:firstLine="420"/>
        <w:rPr>
          <w:rFonts w:hint="eastAsia"/>
          <w:color w:val="auto"/>
          <w:highlight w:val="none"/>
        </w:rPr>
      </w:pPr>
      <w:r>
        <w:rPr>
          <w:rFonts w:hint="eastAsia"/>
          <w:color w:val="auto"/>
          <w:highlight w:val="none"/>
        </w:rPr>
        <w:t>(2)财政部 司法部关于政府采购支持监狱企业发展有关问题的通知 (财库﹝2014﹞68号)</w:t>
      </w:r>
    </w:p>
    <w:p w14:paraId="34E45FE8">
      <w:pPr>
        <w:spacing w:line="400" w:lineRule="exact"/>
        <w:ind w:firstLine="420"/>
        <w:rPr>
          <w:rFonts w:hint="eastAsia"/>
          <w:color w:val="auto"/>
          <w:highlight w:val="none"/>
        </w:rPr>
      </w:pPr>
      <w:r>
        <w:rPr>
          <w:rFonts w:hint="eastAsia"/>
          <w:color w:val="auto"/>
          <w:highlight w:val="none"/>
        </w:rPr>
        <w:t>(3)财政部 民政部 中国残疾人联合会关于促进残疾人就业政府采购政策的通知 (财库﹝2017﹞141号)</w:t>
      </w:r>
    </w:p>
    <w:p w14:paraId="684D1401">
      <w:pPr>
        <w:spacing w:line="400" w:lineRule="exact"/>
        <w:ind w:firstLine="420"/>
        <w:rPr>
          <w:rFonts w:hint="default" w:eastAsia="宋体"/>
          <w:b/>
          <w:color w:val="auto"/>
          <w:highlight w:val="none"/>
          <w:lang w:val="en-US" w:eastAsia="zh-CN"/>
        </w:rPr>
      </w:pPr>
      <w:r>
        <w:rPr>
          <w:rFonts w:hint="eastAsia"/>
          <w:color w:val="auto"/>
          <w:highlight w:val="none"/>
          <w:lang w:val="en-US" w:eastAsia="zh-CN"/>
        </w:rPr>
        <w:t>3</w:t>
      </w:r>
      <w:r>
        <w:rPr>
          <w:color w:val="auto"/>
          <w:highlight w:val="none"/>
        </w:rPr>
        <w:t>.</w:t>
      </w:r>
      <w:r>
        <w:rPr>
          <w:rFonts w:hint="eastAsia"/>
          <w:color w:val="auto"/>
          <w:highlight w:val="none"/>
        </w:rPr>
        <w:t>磋商保证金：</w:t>
      </w:r>
      <w:r>
        <w:rPr>
          <w:rFonts w:hint="eastAsia"/>
          <w:color w:val="auto"/>
          <w:highlight w:val="none"/>
          <w:lang w:val="en-US" w:eastAsia="zh-CN"/>
        </w:rPr>
        <w:t>免收。</w:t>
      </w:r>
    </w:p>
    <w:p w14:paraId="3242C751">
      <w:pPr>
        <w:spacing w:line="400" w:lineRule="exact"/>
        <w:ind w:firstLine="420"/>
        <w:rPr>
          <w:color w:val="auto"/>
          <w:highlight w:val="none"/>
        </w:rPr>
      </w:pPr>
      <w:r>
        <w:rPr>
          <w:rFonts w:hint="eastAsia"/>
          <w:color w:val="auto"/>
          <w:highlight w:val="none"/>
          <w:lang w:val="en-US" w:eastAsia="zh-CN"/>
        </w:rPr>
        <w:t>4</w:t>
      </w:r>
      <w:r>
        <w:rPr>
          <w:color w:val="auto"/>
          <w:highlight w:val="none"/>
        </w:rPr>
        <w:t>.</w:t>
      </w:r>
      <w:bookmarkStart w:id="33" w:name="_Hlk91598380"/>
      <w:r>
        <w:rPr>
          <w:rFonts w:hint="eastAsia"/>
          <w:color w:val="auto"/>
          <w:highlight w:val="none"/>
        </w:rPr>
        <w:t>全流程电子化</w:t>
      </w:r>
      <w:bookmarkEnd w:id="33"/>
      <w:r>
        <w:rPr>
          <w:rFonts w:hint="eastAsia"/>
          <w:color w:val="auto"/>
          <w:highlight w:val="none"/>
        </w:rPr>
        <w:t>要求：</w:t>
      </w:r>
    </w:p>
    <w:p w14:paraId="081D4231">
      <w:pPr>
        <w:spacing w:line="400" w:lineRule="exact"/>
        <w:ind w:firstLine="420"/>
        <w:rPr>
          <w:color w:val="auto"/>
          <w:highlight w:val="none"/>
        </w:rPr>
      </w:pPr>
      <w:r>
        <w:rPr>
          <w:rFonts w:hint="eastAsia"/>
          <w:color w:val="auto"/>
          <w:highlight w:val="none"/>
        </w:rPr>
        <w:t>本项目为全流程电子化项目，供应商应做好参与全流程电子化交易的充分准备，熟悉掌握电子化采购项目操作指南</w:t>
      </w:r>
      <w:bookmarkStart w:id="34" w:name="_Hlk147760538"/>
      <w:r>
        <w:rPr>
          <w:rFonts w:hint="eastAsia"/>
          <w:color w:val="auto"/>
          <w:highlight w:val="none"/>
        </w:rPr>
        <w:t>(操作指南：</w:t>
      </w:r>
      <w:r>
        <w:rPr>
          <w:color w:val="auto"/>
          <w:highlight w:val="none"/>
        </w:rPr>
        <w:fldChar w:fldCharType="begin"/>
      </w:r>
      <w:r>
        <w:rPr>
          <w:color w:val="auto"/>
          <w:highlight w:val="none"/>
        </w:rPr>
        <w:instrText xml:space="preserve"> HYPERLINK "https://helpcenter.zcygov.cn/document/" \l "/document/dashboard?siteCode=beijing&amp;channel=dt" </w:instrText>
      </w:r>
      <w:r>
        <w:rPr>
          <w:color w:val="auto"/>
          <w:highlight w:val="none"/>
        </w:rPr>
        <w:fldChar w:fldCharType="separate"/>
      </w:r>
      <w:r>
        <w:rPr>
          <w:rStyle w:val="46"/>
          <w:rFonts w:hint="eastAsia"/>
          <w:color w:val="auto"/>
          <w:highlight w:val="none"/>
        </w:rPr>
        <w:t>政采云电子卖场首页右上角—服务中心—帮助文档—项目采购</w:t>
      </w:r>
      <w:r>
        <w:rPr>
          <w:rStyle w:val="46"/>
          <w:rFonts w:hint="eastAsia"/>
          <w:color w:val="auto"/>
          <w:highlight w:val="none"/>
        </w:rPr>
        <w:fldChar w:fldCharType="end"/>
      </w:r>
      <w:r>
        <w:rPr>
          <w:rFonts w:hint="eastAsia"/>
          <w:color w:val="auto"/>
          <w:highlight w:val="none"/>
        </w:rPr>
        <w:t>)，及时完成CA申领和绑定(操作指南：</w:t>
      </w:r>
      <w:r>
        <w:rPr>
          <w:color w:val="auto"/>
          <w:highlight w:val="none"/>
        </w:rPr>
        <w:fldChar w:fldCharType="begin"/>
      </w:r>
      <w:r>
        <w:rPr>
          <w:color w:val="auto"/>
          <w:highlight w:val="none"/>
        </w:rPr>
        <w:instrText xml:space="preserve"> HYPERLINK "https://helpcenter.zcygov.cn/document/" \l "/document/detail?siteCode=beijing&amp;manualId=795&amp;topicId=4081" </w:instrText>
      </w:r>
      <w:r>
        <w:rPr>
          <w:color w:val="auto"/>
          <w:highlight w:val="none"/>
        </w:rPr>
        <w:fldChar w:fldCharType="separate"/>
      </w:r>
      <w:r>
        <w:rPr>
          <w:rStyle w:val="46"/>
          <w:rFonts w:hint="eastAsia"/>
          <w:color w:val="auto"/>
          <w:highlight w:val="none"/>
        </w:rPr>
        <w:t>政采云电子卖场首页右上角—帮助文档—入驻与配置—CA管理</w:t>
      </w:r>
      <w:r>
        <w:rPr>
          <w:rStyle w:val="46"/>
          <w:rFonts w:hint="eastAsia"/>
          <w:color w:val="auto"/>
          <w:highlight w:val="none"/>
        </w:rPr>
        <w:fldChar w:fldCharType="end"/>
      </w:r>
      <w:r>
        <w:rPr>
          <w:rFonts w:hint="eastAsia"/>
          <w:color w:val="auto"/>
          <w:highlight w:val="none"/>
        </w:rPr>
        <w:t>；CA证书申领路径：</w:t>
      </w:r>
      <w:r>
        <w:rPr>
          <w:color w:val="auto"/>
          <w:highlight w:val="none"/>
        </w:rPr>
        <w:fldChar w:fldCharType="begin"/>
      </w:r>
      <w:r>
        <w:rPr>
          <w:color w:val="auto"/>
          <w:highlight w:val="none"/>
        </w:rPr>
        <w:instrText xml:space="preserve"> HYPERLINK "https://helpcenter.zcygov.cn/document/" \l "/document/detail?siteCode=beijing&amp;manualId=795&amp;topicId=4083" </w:instrText>
      </w:r>
      <w:r>
        <w:rPr>
          <w:color w:val="auto"/>
          <w:highlight w:val="none"/>
        </w:rPr>
        <w:fldChar w:fldCharType="separate"/>
      </w:r>
      <w:r>
        <w:rPr>
          <w:rStyle w:val="46"/>
          <w:rFonts w:hint="eastAsia"/>
          <w:color w:val="auto"/>
          <w:highlight w:val="none"/>
        </w:rPr>
        <w:t>政采云平台—我的工作台右上角—CA管理—CA证书申领</w:t>
      </w:r>
      <w:r>
        <w:rPr>
          <w:rStyle w:val="46"/>
          <w:rFonts w:hint="eastAsia"/>
          <w:color w:val="auto"/>
          <w:highlight w:val="none"/>
        </w:rPr>
        <w:fldChar w:fldCharType="end"/>
      </w:r>
      <w:r>
        <w:rPr>
          <w:rFonts w:hint="eastAsia"/>
          <w:color w:val="auto"/>
          <w:highlight w:val="none"/>
        </w:rPr>
        <w:t>)</w:t>
      </w:r>
      <w:bookmarkEnd w:id="34"/>
      <w:r>
        <w:rPr>
          <w:rFonts w:hint="eastAsia"/>
          <w:color w:val="auto"/>
          <w:highlight w:val="none"/>
        </w:rPr>
        <w:t>。因未注册入库、未办理CA数字证书、CA证书故障、操作不当等原因造成谈判失败等后果由供应商承担。</w:t>
      </w:r>
    </w:p>
    <w:p w14:paraId="18042D84">
      <w:pPr>
        <w:spacing w:line="400" w:lineRule="exact"/>
        <w:ind w:firstLine="420"/>
        <w:rPr>
          <w:color w:val="auto"/>
          <w:highlight w:val="none"/>
        </w:rPr>
      </w:pPr>
      <w:r>
        <w:rPr>
          <w:color w:val="auto"/>
          <w:highlight w:val="none"/>
        </w:rPr>
        <w:t>(1)</w:t>
      </w:r>
      <w:r>
        <w:rPr>
          <w:rFonts w:hint="eastAsia"/>
          <w:color w:val="auto"/>
          <w:highlight w:val="none"/>
        </w:rPr>
        <w:t>依法获取采购文件：供应商须在获取采购文件时间内登录</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46"/>
          <w:rFonts w:hint="eastAsia"/>
          <w:color w:val="auto"/>
          <w:highlight w:val="none"/>
        </w:rPr>
        <w:t>政府采购云平台</w:t>
      </w:r>
      <w:r>
        <w:rPr>
          <w:rStyle w:val="46"/>
          <w:rFonts w:hint="eastAsia"/>
          <w:color w:val="auto"/>
          <w:highlight w:val="none"/>
        </w:rPr>
        <w:fldChar w:fldCharType="end"/>
      </w:r>
      <w:r>
        <w:rPr>
          <w:rFonts w:hint="eastAsia"/>
          <w:color w:val="auto"/>
          <w:highlight w:val="none"/>
        </w:rPr>
        <w:t>申请下载采购文件才视作依法获取采购文件。</w:t>
      </w:r>
    </w:p>
    <w:p w14:paraId="33417B49">
      <w:pPr>
        <w:spacing w:line="400" w:lineRule="exact"/>
        <w:ind w:firstLine="420"/>
        <w:rPr>
          <w:b/>
          <w:color w:val="auto"/>
          <w:highlight w:val="none"/>
        </w:rPr>
      </w:pPr>
      <w:r>
        <w:rPr>
          <w:rFonts w:hint="eastAsia"/>
          <w:color w:val="auto"/>
          <w:highlight w:val="none"/>
        </w:rPr>
        <w:t>(</w:t>
      </w:r>
      <w:r>
        <w:rPr>
          <w:color w:val="auto"/>
          <w:highlight w:val="none"/>
        </w:rPr>
        <w:t>2)</w:t>
      </w:r>
      <w:r>
        <w:rPr>
          <w:rFonts w:hint="eastAsia"/>
          <w:color w:val="auto"/>
          <w:highlight w:val="none"/>
        </w:rPr>
        <w:t>供应商应通过广西政府采购云平台客户端制作响应文件，供应商自行前往下载安装（</w:t>
      </w:r>
      <w:r>
        <w:rPr>
          <w:color w:val="auto"/>
          <w:highlight w:val="none"/>
        </w:rPr>
        <w:fldChar w:fldCharType="begin"/>
      </w:r>
      <w:r>
        <w:rPr>
          <w:color w:val="auto"/>
          <w:highlight w:val="none"/>
        </w:rPr>
        <w:instrText xml:space="preserve"> HYPERLINK "https://sitecdn.zcycdn.com/zcy-client/bidding-client-new/official/guangxi/GuangXiSetup.exe" </w:instrText>
      </w:r>
      <w:r>
        <w:rPr>
          <w:color w:val="auto"/>
          <w:highlight w:val="none"/>
        </w:rPr>
        <w:fldChar w:fldCharType="separate"/>
      </w:r>
      <w:r>
        <w:rPr>
          <w:rFonts w:hint="eastAsia"/>
          <w:color w:val="auto"/>
          <w:highlight w:val="none"/>
        </w:rPr>
        <w:t>客户端下载</w:t>
      </w:r>
      <w:r>
        <w:rPr>
          <w:rFonts w:hint="eastAsia"/>
          <w:color w:val="auto"/>
          <w:highlight w:val="none"/>
        </w:rPr>
        <w:fldChar w:fldCharType="end"/>
      </w:r>
      <w:r>
        <w:rPr>
          <w:rFonts w:hint="eastAsia"/>
          <w:color w:val="auto"/>
          <w:highlight w:val="none"/>
        </w:rPr>
        <w:t>）。</w:t>
      </w:r>
    </w:p>
    <w:p w14:paraId="1DBBF4DC">
      <w:pPr>
        <w:spacing w:line="400" w:lineRule="exact"/>
        <w:ind w:firstLine="420"/>
        <w:rPr>
          <w:color w:val="auto"/>
          <w:highlight w:val="none"/>
        </w:rPr>
      </w:pPr>
      <w:r>
        <w:rPr>
          <w:rFonts w:hint="eastAsia"/>
          <w:color w:val="auto"/>
          <w:highlight w:val="none"/>
        </w:rPr>
        <w:t>(</w:t>
      </w:r>
      <w:r>
        <w:rPr>
          <w:color w:val="auto"/>
          <w:highlight w:val="none"/>
        </w:rPr>
        <w:t>3)</w:t>
      </w:r>
      <w:r>
        <w:rPr>
          <w:rFonts w:hint="eastAsia"/>
          <w:color w:val="auto"/>
          <w:highlight w:val="none"/>
        </w:rPr>
        <w:t>供应商须按照采购文件和政府采购云平台的要求进行编制、上传、加密、提交、解密响应文件，响应文件提交截止时间后，政府采购云平台自动提取全部响应文件，各供应商须在提交截止时间后30分钟内对已上传政府采购云平台的响应文件进行解密，参与本项目的全部供应商在规定的解密时限内解密完成或解密时限结束后，我中心开启响应文件；供应商在解密时限内未完成解密的，政府采购云平台默认为供应商放弃参与本项目。</w:t>
      </w:r>
    </w:p>
    <w:p w14:paraId="12D7FFDB">
      <w:pPr>
        <w:spacing w:line="400" w:lineRule="exact"/>
        <w:ind w:firstLine="420"/>
        <w:rPr>
          <w:b/>
          <w:color w:val="auto"/>
          <w:highlight w:val="none"/>
        </w:rPr>
      </w:pPr>
      <w:r>
        <w:rPr>
          <w:rFonts w:hint="eastAsia"/>
          <w:color w:val="auto"/>
          <w:highlight w:val="none"/>
        </w:rPr>
        <w:t>(</w:t>
      </w:r>
      <w:r>
        <w:rPr>
          <w:color w:val="auto"/>
          <w:highlight w:val="none"/>
        </w:rPr>
        <w:t>4)</w:t>
      </w:r>
      <w:r>
        <w:rPr>
          <w:rFonts w:hint="eastAsia"/>
          <w:color w:val="auto"/>
          <w:highlight w:val="none"/>
        </w:rPr>
        <w:t>供应商</w:t>
      </w:r>
      <w:r>
        <w:rPr>
          <w:rFonts w:hint="eastAsia"/>
          <w:color w:val="auto"/>
          <w:highlight w:val="none"/>
          <w:lang w:eastAsia="zh-CN"/>
        </w:rPr>
        <w:t>法定代表人（负责人）</w:t>
      </w:r>
      <w:r>
        <w:rPr>
          <w:rFonts w:hint="eastAsia"/>
          <w:color w:val="auto"/>
          <w:highlight w:val="none"/>
        </w:rPr>
        <w:t>或委托代理人须按时登录</w:t>
      </w:r>
      <w:bookmarkStart w:id="35" w:name="_Hlk90367388"/>
      <w:r>
        <w:rPr>
          <w:rFonts w:hint="eastAsia" w:ascii="宋体" w:hAnsi="宋体" w:cs="Courier New"/>
          <w:color w:val="auto"/>
          <w:szCs w:val="21"/>
          <w:highlight w:val="none"/>
        </w:rPr>
        <w:t>政采云远程开标大厅</w:t>
      </w:r>
      <w:bookmarkEnd w:id="35"/>
      <w:r>
        <w:rPr>
          <w:rFonts w:hint="eastAsia"/>
          <w:color w:val="auto"/>
          <w:highlight w:val="none"/>
        </w:rPr>
        <w:t>，保持全程在线并关注评审磋商进度，评审期间磋商小组提出澄清等要求时，供应商须在规定时间内进行应答，否则按采购文件或政采云平台的相关规定执行。</w:t>
      </w:r>
    </w:p>
    <w:p w14:paraId="27349635">
      <w:pPr>
        <w:spacing w:line="400" w:lineRule="exact"/>
        <w:ind w:firstLine="420"/>
        <w:rPr>
          <w:rFonts w:hAnsi="宋体"/>
          <w:color w:val="auto"/>
          <w:highlight w:val="none"/>
        </w:rPr>
      </w:pPr>
      <w:r>
        <w:rPr>
          <w:rFonts w:hint="eastAsia"/>
          <w:color w:val="auto"/>
          <w:highlight w:val="none"/>
        </w:rPr>
        <w:t>(</w:t>
      </w:r>
      <w:r>
        <w:rPr>
          <w:color w:val="auto"/>
          <w:highlight w:val="none"/>
        </w:rPr>
        <w:t>5)</w:t>
      </w:r>
      <w:r>
        <w:rPr>
          <w:rFonts w:hint="eastAsia"/>
          <w:color w:val="auto"/>
          <w:highlight w:val="none"/>
        </w:rPr>
        <w:t>供应商参与磋商过程中涉及政府采购云平台的问题，请咨询政采云</w:t>
      </w:r>
      <w:r>
        <w:rPr>
          <w:rFonts w:hint="eastAsia" w:hAnsi="宋体"/>
          <w:color w:val="auto"/>
          <w:highlight w:val="none"/>
        </w:rPr>
        <w:t>技术支持热线：</w:t>
      </w:r>
      <w:r>
        <w:rPr>
          <w:rFonts w:hAnsi="宋体"/>
          <w:color w:val="auto"/>
          <w:highlight w:val="none"/>
        </w:rPr>
        <w:t>95763</w:t>
      </w:r>
      <w:r>
        <w:rPr>
          <w:rFonts w:hint="eastAsia" w:hAnsi="宋体"/>
          <w:color w:val="auto"/>
          <w:highlight w:val="none"/>
        </w:rPr>
        <w:t>。</w:t>
      </w:r>
    </w:p>
    <w:p w14:paraId="1149939A">
      <w:pPr>
        <w:spacing w:line="400" w:lineRule="exact"/>
        <w:ind w:firstLine="420"/>
        <w:jc w:val="left"/>
        <w:rPr>
          <w:rFonts w:hAnsi="宋体"/>
          <w:color w:val="auto"/>
          <w:highlight w:val="none"/>
        </w:rPr>
      </w:pPr>
      <w:r>
        <w:rPr>
          <w:rFonts w:hint="eastAsia" w:hAnsi="宋体"/>
          <w:color w:val="auto"/>
          <w:highlight w:val="none"/>
          <w:lang w:val="en-US" w:eastAsia="zh-CN"/>
        </w:rPr>
        <w:t>5</w:t>
      </w:r>
      <w:r>
        <w:rPr>
          <w:rFonts w:hAnsi="宋体"/>
          <w:color w:val="auto"/>
          <w:highlight w:val="none"/>
        </w:rPr>
        <w:t>.</w:t>
      </w:r>
      <w:r>
        <w:rPr>
          <w:rFonts w:hint="eastAsia" w:hAnsi="宋体"/>
          <w:color w:val="auto"/>
          <w:highlight w:val="none"/>
        </w:rPr>
        <w:t>查询媒体：中国政府采购网、</w:t>
      </w:r>
      <w:r>
        <w:rPr>
          <w:color w:val="auto"/>
          <w:highlight w:val="none"/>
        </w:rPr>
        <w:fldChar w:fldCharType="begin"/>
      </w:r>
      <w:r>
        <w:rPr>
          <w:color w:val="auto"/>
          <w:highlight w:val="none"/>
        </w:rPr>
        <w:instrText xml:space="preserve"> HYPERLINK "http://zfcg.gxzf.gov.cn/" </w:instrText>
      </w:r>
      <w:r>
        <w:rPr>
          <w:color w:val="auto"/>
          <w:highlight w:val="none"/>
        </w:rPr>
        <w:fldChar w:fldCharType="separate"/>
      </w:r>
      <w:r>
        <w:rPr>
          <w:rStyle w:val="46"/>
          <w:rFonts w:hint="eastAsia" w:hAnsi="宋体"/>
          <w:color w:val="auto"/>
          <w:highlight w:val="none"/>
          <w:u w:val="none"/>
        </w:rPr>
        <w:t>广西政府采购网</w:t>
      </w:r>
      <w:r>
        <w:rPr>
          <w:rStyle w:val="46"/>
          <w:rFonts w:hint="eastAsia" w:hAnsi="宋体"/>
          <w:color w:val="auto"/>
          <w:highlight w:val="none"/>
          <w:u w:val="none"/>
        </w:rPr>
        <w:fldChar w:fldCharType="end"/>
      </w:r>
      <w:r>
        <w:rPr>
          <w:rFonts w:hint="eastAsia" w:hAnsi="宋体"/>
          <w:color w:val="auto"/>
          <w:highlight w:val="none"/>
        </w:rPr>
        <w:t>。</w:t>
      </w:r>
    </w:p>
    <w:p w14:paraId="28D8EE20">
      <w:pPr>
        <w:spacing w:line="400" w:lineRule="exact"/>
        <w:ind w:firstLine="420"/>
        <w:jc w:val="left"/>
        <w:rPr>
          <w:rFonts w:hAnsi="宋体"/>
          <w:color w:val="auto"/>
          <w:highlight w:val="none"/>
        </w:rPr>
      </w:pPr>
      <w:bookmarkStart w:id="36" w:name="_Hlk107409555"/>
      <w:bookmarkStart w:id="37" w:name="_Hlk108515619"/>
      <w:r>
        <w:rPr>
          <w:rFonts w:hint="eastAsia" w:hAnsi="宋体"/>
          <w:color w:val="auto"/>
          <w:highlight w:val="none"/>
          <w:lang w:val="en-US" w:eastAsia="zh-CN"/>
        </w:rPr>
        <w:t>6</w:t>
      </w:r>
      <w:r>
        <w:rPr>
          <w:rFonts w:hAnsi="宋体"/>
          <w:color w:val="auto"/>
          <w:highlight w:val="none"/>
        </w:rPr>
        <w:t>.</w:t>
      </w:r>
      <w:r>
        <w:rPr>
          <w:rFonts w:hint="eastAsia" w:hAnsi="宋体"/>
          <w:color w:val="auto"/>
          <w:highlight w:val="none"/>
        </w:rPr>
        <w:t>钦州市政府采购中心联系方式：</w:t>
      </w:r>
    </w:p>
    <w:p w14:paraId="5B867FDA">
      <w:pPr>
        <w:spacing w:line="400" w:lineRule="exact"/>
        <w:ind w:firstLine="420"/>
        <w:jc w:val="left"/>
        <w:rPr>
          <w:rFonts w:hAnsi="宋体"/>
          <w:color w:val="auto"/>
          <w:highlight w:val="none"/>
        </w:rPr>
      </w:pPr>
      <w:r>
        <w:rPr>
          <w:rFonts w:hAnsi="宋体"/>
          <w:color w:val="auto"/>
          <w:highlight w:val="none"/>
        </w:rPr>
        <w:t>(1)</w:t>
      </w:r>
      <w:r>
        <w:rPr>
          <w:rFonts w:hint="eastAsia" w:hAnsi="宋体"/>
          <w:color w:val="auto"/>
          <w:highlight w:val="none"/>
        </w:rPr>
        <w:t>采购部(采购文件</w:t>
      </w:r>
      <w:r>
        <w:rPr>
          <w:rFonts w:hAnsi="宋体"/>
          <w:color w:val="auto"/>
          <w:highlight w:val="none"/>
        </w:rPr>
        <w:t>)</w:t>
      </w:r>
    </w:p>
    <w:p w14:paraId="60C6DBA4">
      <w:pPr>
        <w:spacing w:line="400" w:lineRule="exact"/>
        <w:ind w:firstLine="420"/>
        <w:jc w:val="left"/>
        <w:rPr>
          <w:rFonts w:hAnsi="宋体"/>
          <w:color w:val="auto"/>
          <w:highlight w:val="none"/>
        </w:rPr>
      </w:pPr>
      <w:r>
        <w:rPr>
          <w:rFonts w:hint="eastAsia" w:hAnsi="宋体"/>
          <w:color w:val="auto"/>
          <w:highlight w:val="none"/>
        </w:rPr>
        <w:t>联系人：</w:t>
      </w:r>
      <w:r>
        <w:rPr>
          <w:rFonts w:hint="eastAsia" w:hAnsi="宋体"/>
          <w:color w:val="auto"/>
          <w:highlight w:val="none"/>
          <w:lang w:val="en-US" w:eastAsia="zh-CN"/>
        </w:rPr>
        <w:t>苏晓婷</w:t>
      </w:r>
      <w:r>
        <w:rPr>
          <w:rFonts w:hint="eastAsia" w:hAnsi="宋体"/>
          <w:color w:val="auto"/>
          <w:highlight w:val="none"/>
        </w:rPr>
        <w:t xml:space="preserve"> </w:t>
      </w:r>
      <w:r>
        <w:rPr>
          <w:rFonts w:hAnsi="宋体"/>
          <w:color w:val="auto"/>
          <w:highlight w:val="none"/>
        </w:rPr>
        <w:t xml:space="preserve"> </w:t>
      </w:r>
      <w:r>
        <w:rPr>
          <w:rFonts w:hint="eastAsia" w:hAnsi="宋体"/>
          <w:color w:val="auto"/>
          <w:highlight w:val="none"/>
        </w:rPr>
        <w:t xml:space="preserve"> 联系方式：0777-2886022</w:t>
      </w:r>
    </w:p>
    <w:p w14:paraId="515F035B">
      <w:pPr>
        <w:spacing w:line="400" w:lineRule="exact"/>
        <w:ind w:firstLine="420"/>
        <w:jc w:val="left"/>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综合二部(评审、磋商、成交及合同管理)</w:t>
      </w:r>
    </w:p>
    <w:p w14:paraId="6FE9D3AA">
      <w:pPr>
        <w:spacing w:line="400" w:lineRule="exact"/>
        <w:ind w:firstLine="420"/>
        <w:jc w:val="left"/>
        <w:rPr>
          <w:rFonts w:hAnsi="宋体"/>
          <w:color w:val="auto"/>
          <w:highlight w:val="none"/>
        </w:rPr>
      </w:pPr>
      <w:r>
        <w:rPr>
          <w:rFonts w:hint="eastAsia" w:hAnsi="宋体"/>
          <w:color w:val="auto"/>
          <w:highlight w:val="none"/>
        </w:rPr>
        <w:t xml:space="preserve">联系人：陈启梅、陈侃 </w:t>
      </w:r>
      <w:r>
        <w:rPr>
          <w:rFonts w:hAnsi="宋体"/>
          <w:color w:val="auto"/>
          <w:highlight w:val="none"/>
        </w:rPr>
        <w:t xml:space="preserve">  </w:t>
      </w:r>
      <w:r>
        <w:rPr>
          <w:rFonts w:hint="eastAsia" w:hAnsi="宋体"/>
          <w:color w:val="auto"/>
          <w:highlight w:val="none"/>
        </w:rPr>
        <w:t>联系方式：0777-2886006</w:t>
      </w:r>
      <w:bookmarkEnd w:id="36"/>
    </w:p>
    <w:bookmarkEnd w:id="37"/>
    <w:p w14:paraId="75E3ECA7">
      <w:pPr>
        <w:spacing w:line="400" w:lineRule="exact"/>
        <w:rPr>
          <w:b/>
          <w:color w:val="auto"/>
          <w:highlight w:val="none"/>
        </w:rPr>
      </w:pPr>
      <w:r>
        <w:rPr>
          <w:rFonts w:hint="eastAsia"/>
          <w:b/>
          <w:color w:val="auto"/>
          <w:highlight w:val="none"/>
        </w:rPr>
        <w:t>八、对本次采购项目提出询问，请按</w:t>
      </w:r>
      <w:r>
        <w:rPr>
          <w:b/>
          <w:color w:val="auto"/>
          <w:highlight w:val="none"/>
        </w:rPr>
        <w:t>以下方式</w:t>
      </w:r>
      <w:r>
        <w:rPr>
          <w:rFonts w:hint="eastAsia"/>
          <w:b/>
          <w:color w:val="auto"/>
          <w:highlight w:val="none"/>
        </w:rPr>
        <w:t>联系</w:t>
      </w:r>
      <w:bookmarkEnd w:id="29"/>
      <w:bookmarkEnd w:id="30"/>
      <w:bookmarkEnd w:id="31"/>
      <w:bookmarkEnd w:id="32"/>
    </w:p>
    <w:p w14:paraId="481D33F3">
      <w:pPr>
        <w:spacing w:line="400" w:lineRule="exact"/>
        <w:ind w:firstLine="420" w:firstLineChars="200"/>
        <w:rPr>
          <w:color w:val="auto"/>
          <w:highlight w:val="none"/>
        </w:rPr>
      </w:pPr>
      <w:r>
        <w:rPr>
          <w:rFonts w:hint="eastAsia"/>
          <w:color w:val="auto"/>
          <w:highlight w:val="none"/>
        </w:rPr>
        <w:t>1.采购人信息</w:t>
      </w:r>
      <w:bookmarkEnd w:id="9"/>
    </w:p>
    <w:p w14:paraId="7A5CF926">
      <w:pPr>
        <w:spacing w:line="400" w:lineRule="exact"/>
        <w:ind w:firstLine="420" w:firstLineChars="200"/>
        <w:rPr>
          <w:rFonts w:hint="default" w:ascii="Times New Roman" w:hAnsi="Times New Roman" w:eastAsia="宋体" w:cs="Times New Roman"/>
          <w:color w:val="auto"/>
          <w:highlight w:val="none"/>
          <w:lang w:val="en-US" w:eastAsia="zh-CN"/>
        </w:rPr>
      </w:pPr>
      <w:r>
        <w:rPr>
          <w:rFonts w:hint="eastAsia"/>
          <w:color w:val="auto"/>
          <w:highlight w:val="none"/>
        </w:rPr>
        <w:t>名称</w:t>
      </w:r>
      <w:r>
        <w:rPr>
          <w:rFonts w:hint="eastAsia" w:ascii="Times New Roman" w:hAnsi="Times New Roman" w:eastAsia="宋体" w:cs="Times New Roman"/>
          <w:color w:val="auto"/>
          <w:highlight w:val="none"/>
          <w:lang w:val="en-US" w:eastAsia="zh-CN"/>
        </w:rPr>
        <w:t>：</w:t>
      </w:r>
      <w:r>
        <w:rPr>
          <w:rFonts w:hint="eastAsia" w:ascii="宋体" w:hAnsi="宋体"/>
          <w:color w:val="auto"/>
          <w:szCs w:val="21"/>
          <w:highlight w:val="none"/>
          <w:lang w:val="en-US" w:eastAsia="zh-CN"/>
        </w:rPr>
        <w:t>灵山县人民检察院</w:t>
      </w:r>
    </w:p>
    <w:p w14:paraId="6EE01B69">
      <w:pPr>
        <w:spacing w:line="400" w:lineRule="exact"/>
        <w:ind w:firstLine="420" w:firstLineChars="200"/>
        <w:rPr>
          <w:rFonts w:hint="eastAsia" w:ascii="Times New Roman" w:hAnsi="Times New Roman" w:eastAsia="宋体" w:cs="Times New Roman"/>
          <w:color w:val="auto"/>
          <w:highlight w:val="none"/>
          <w:lang w:val="en-US" w:eastAsia="zh-CN"/>
        </w:rPr>
      </w:pPr>
      <w:bookmarkStart w:id="38" w:name="_Toc38370147"/>
      <w:r>
        <w:rPr>
          <w:rFonts w:hint="eastAsia"/>
          <w:color w:val="auto"/>
          <w:highlight w:val="none"/>
          <w:lang w:val="en-US" w:eastAsia="zh-CN"/>
        </w:rPr>
        <w:t>地址：</w:t>
      </w:r>
      <w:r>
        <w:rPr>
          <w:rFonts w:hint="eastAsia" w:ascii="宋体" w:hAnsi="宋体"/>
          <w:szCs w:val="21"/>
          <w:lang w:eastAsia="zh-CN"/>
        </w:rPr>
        <w:t>灵山县三海街道江南路2号</w:t>
      </w:r>
      <w:r>
        <w:rPr>
          <w:rFonts w:hint="eastAsia" w:ascii="Times New Roman" w:hAnsi="Times New Roman" w:eastAsia="宋体" w:cs="Times New Roman"/>
          <w:color w:val="auto"/>
          <w:highlight w:val="none"/>
          <w:lang w:val="en-US" w:eastAsia="zh-CN"/>
        </w:rPr>
        <w:t> </w:t>
      </w:r>
    </w:p>
    <w:p w14:paraId="552B2BD6">
      <w:pPr>
        <w:spacing w:line="400" w:lineRule="exact"/>
        <w:ind w:firstLine="420" w:firstLineChars="200"/>
        <w:rPr>
          <w:rFonts w:hint="eastAsia" w:ascii="Times New Roman" w:hAnsi="Times New Roman" w:eastAsia="宋体" w:cs="Times New Roman"/>
          <w:color w:val="auto"/>
          <w:highlight w:val="none"/>
          <w:lang w:val="en-US" w:eastAsia="zh-CN"/>
        </w:rPr>
      </w:pPr>
      <w:r>
        <w:rPr>
          <w:rFonts w:hint="eastAsia"/>
          <w:color w:val="auto"/>
          <w:highlight w:val="none"/>
          <w:lang w:val="en-US" w:eastAsia="zh-CN"/>
        </w:rPr>
        <w:t>项目联系人</w:t>
      </w:r>
      <w:r>
        <w:rPr>
          <w:rFonts w:hint="eastAsia" w:ascii="Times New Roman" w:hAnsi="Times New Roman" w:eastAsia="宋体" w:cs="Times New Roman"/>
          <w:color w:val="auto"/>
          <w:highlight w:val="none"/>
          <w:lang w:val="en-US" w:eastAsia="zh-CN"/>
        </w:rPr>
        <w:t>：</w:t>
      </w:r>
      <w:r>
        <w:rPr>
          <w:rFonts w:hint="eastAsia"/>
          <w:lang w:eastAsia="zh-CN"/>
        </w:rPr>
        <w:t>李家宏</w:t>
      </w:r>
    </w:p>
    <w:p w14:paraId="664A2708">
      <w:pPr>
        <w:spacing w:line="400" w:lineRule="exact"/>
        <w:ind w:firstLine="420" w:firstLineChars="200"/>
        <w:rPr>
          <w:rFonts w:hint="default" w:ascii="Times New Roman" w:hAnsi="Times New Roman" w:eastAsia="宋体" w:cs="Times New Roman"/>
          <w:color w:val="auto"/>
          <w:highlight w:val="none"/>
          <w:lang w:val="en-US" w:eastAsia="zh-CN"/>
        </w:rPr>
      </w:pPr>
      <w:r>
        <w:rPr>
          <w:rFonts w:hint="eastAsia"/>
          <w:color w:val="auto"/>
          <w:highlight w:val="none"/>
          <w:lang w:val="en-US" w:eastAsia="zh-CN"/>
        </w:rPr>
        <w:t>项目联系方式</w:t>
      </w:r>
      <w:r>
        <w:rPr>
          <w:rFonts w:hint="eastAsia" w:ascii="Times New Roman" w:hAnsi="Times New Roman" w:eastAsia="宋体" w:cs="Times New Roman"/>
          <w:color w:val="auto"/>
          <w:highlight w:val="none"/>
          <w:lang w:val="en-US" w:eastAsia="zh-CN"/>
        </w:rPr>
        <w:t>：</w:t>
      </w:r>
      <w:r>
        <w:rPr>
          <w:rFonts w:hint="eastAsia"/>
          <w:lang w:val="en-US" w:eastAsia="zh-CN"/>
        </w:rPr>
        <w:t>0777-6428183</w:t>
      </w:r>
    </w:p>
    <w:p w14:paraId="44EF4E54">
      <w:pPr>
        <w:spacing w:line="400" w:lineRule="exact"/>
        <w:ind w:firstLine="420" w:firstLineChars="200"/>
        <w:rPr>
          <w:color w:val="auto"/>
          <w:highlight w:val="none"/>
        </w:rPr>
      </w:pPr>
    </w:p>
    <w:bookmarkEnd w:id="38"/>
    <w:p w14:paraId="5390C412">
      <w:pPr>
        <w:spacing w:line="400" w:lineRule="exact"/>
        <w:ind w:firstLine="420" w:firstLineChars="200"/>
        <w:rPr>
          <w:color w:val="auto"/>
          <w:highlight w:val="none"/>
        </w:rPr>
      </w:pPr>
      <w:r>
        <w:rPr>
          <w:rFonts w:hint="eastAsia"/>
          <w:color w:val="auto"/>
          <w:highlight w:val="none"/>
        </w:rPr>
        <w:t>2.采购代理机构信息</w:t>
      </w:r>
    </w:p>
    <w:p w14:paraId="13C67F96">
      <w:pPr>
        <w:spacing w:line="400" w:lineRule="exact"/>
        <w:ind w:firstLine="420" w:firstLineChars="200"/>
        <w:rPr>
          <w:color w:val="auto"/>
          <w:highlight w:val="none"/>
        </w:rPr>
      </w:pPr>
      <w:r>
        <w:rPr>
          <w:rFonts w:hint="eastAsia"/>
          <w:color w:val="auto"/>
          <w:highlight w:val="none"/>
        </w:rPr>
        <w:t>名称：钦州市政府采购中心</w:t>
      </w:r>
    </w:p>
    <w:p w14:paraId="1FF6983E">
      <w:pPr>
        <w:spacing w:line="400" w:lineRule="exact"/>
        <w:ind w:firstLine="420" w:firstLineChars="200"/>
        <w:rPr>
          <w:color w:val="auto"/>
          <w:highlight w:val="none"/>
        </w:rPr>
      </w:pPr>
      <w:r>
        <w:rPr>
          <w:rFonts w:hint="eastAsia"/>
          <w:color w:val="auto"/>
          <w:highlight w:val="none"/>
        </w:rPr>
        <w:t>地址：钦州市金海湾东大街8号</w:t>
      </w:r>
    </w:p>
    <w:p w14:paraId="51696867">
      <w:pPr>
        <w:spacing w:line="400" w:lineRule="exact"/>
        <w:ind w:firstLine="420" w:firstLineChars="200"/>
        <w:rPr>
          <w:rFonts w:hint="eastAsia" w:eastAsia="宋体"/>
          <w:color w:val="auto"/>
          <w:highlight w:val="none"/>
          <w:lang w:val="en-US" w:eastAsia="zh-CN"/>
        </w:rPr>
      </w:pPr>
      <w:r>
        <w:rPr>
          <w:rFonts w:hint="eastAsia"/>
          <w:color w:val="auto"/>
          <w:highlight w:val="none"/>
        </w:rPr>
        <w:t>项目联系人：</w:t>
      </w:r>
      <w:r>
        <w:rPr>
          <w:rFonts w:hint="eastAsia"/>
          <w:color w:val="auto"/>
          <w:highlight w:val="none"/>
          <w:lang w:val="en-US" w:eastAsia="zh-CN"/>
        </w:rPr>
        <w:t>苏晓婷</w:t>
      </w:r>
    </w:p>
    <w:p w14:paraId="57C4947B">
      <w:pPr>
        <w:spacing w:line="400" w:lineRule="exact"/>
        <w:ind w:firstLine="420" w:firstLineChars="200"/>
        <w:rPr>
          <w:rFonts w:hint="default" w:eastAsia="宋体"/>
          <w:color w:val="auto"/>
          <w:highlight w:val="none"/>
          <w:lang w:val="en-US" w:eastAsia="zh-CN"/>
        </w:rPr>
      </w:pPr>
      <w:r>
        <w:rPr>
          <w:rFonts w:hint="eastAsia"/>
          <w:color w:val="auto"/>
          <w:highlight w:val="none"/>
        </w:rPr>
        <w:t>项目联系方式：</w:t>
      </w:r>
      <w:bookmarkStart w:id="39" w:name="_Toc28359087"/>
      <w:bookmarkStart w:id="40" w:name="_Toc28359010"/>
      <w:r>
        <w:rPr>
          <w:rFonts w:hint="eastAsia"/>
          <w:color w:val="auto"/>
          <w:highlight w:val="none"/>
          <w:lang w:val="en-US" w:eastAsia="zh-CN"/>
        </w:rPr>
        <w:t>0777-2886022</w:t>
      </w:r>
    </w:p>
    <w:p w14:paraId="2E703690">
      <w:pPr>
        <w:widowControl/>
        <w:jc w:val="left"/>
        <w:rPr>
          <w:color w:val="auto"/>
          <w:highlight w:val="none"/>
        </w:rPr>
      </w:pPr>
      <w:r>
        <w:rPr>
          <w:color w:val="auto"/>
          <w:highlight w:val="none"/>
        </w:rPr>
        <w:br w:type="page"/>
      </w:r>
    </w:p>
    <w:p w14:paraId="484005F1">
      <w:pPr>
        <w:rPr>
          <w:color w:val="auto"/>
          <w:highlight w:val="none"/>
        </w:rPr>
      </w:pPr>
    </w:p>
    <w:bookmarkEnd w:id="39"/>
    <w:bookmarkEnd w:id="40"/>
    <w:p w14:paraId="4C5B60E3">
      <w:pPr>
        <w:rPr>
          <w:color w:val="auto"/>
          <w:highlight w:val="none"/>
        </w:rPr>
      </w:pPr>
    </w:p>
    <w:p w14:paraId="3DD67189">
      <w:pPr>
        <w:rPr>
          <w:color w:val="auto"/>
          <w:highlight w:val="none"/>
        </w:rPr>
      </w:pPr>
    </w:p>
    <w:p w14:paraId="575FCC0D">
      <w:pPr>
        <w:rPr>
          <w:color w:val="auto"/>
          <w:highlight w:val="none"/>
        </w:rPr>
      </w:pPr>
    </w:p>
    <w:p w14:paraId="66B1024F">
      <w:pPr>
        <w:rPr>
          <w:color w:val="auto"/>
          <w:highlight w:val="none"/>
        </w:rPr>
      </w:pPr>
    </w:p>
    <w:p w14:paraId="56185793">
      <w:pPr>
        <w:rPr>
          <w:color w:val="auto"/>
          <w:highlight w:val="none"/>
        </w:rPr>
      </w:pPr>
    </w:p>
    <w:p w14:paraId="6609034C">
      <w:pPr>
        <w:rPr>
          <w:color w:val="auto"/>
          <w:highlight w:val="none"/>
        </w:rPr>
      </w:pPr>
    </w:p>
    <w:p w14:paraId="6DE8CF19">
      <w:pPr>
        <w:rPr>
          <w:color w:val="auto"/>
          <w:highlight w:val="none"/>
        </w:rPr>
      </w:pPr>
    </w:p>
    <w:p w14:paraId="1B9A8CA9">
      <w:pPr>
        <w:rPr>
          <w:color w:val="auto"/>
          <w:highlight w:val="none"/>
        </w:rPr>
      </w:pPr>
    </w:p>
    <w:p w14:paraId="7CA768A0">
      <w:pPr>
        <w:rPr>
          <w:color w:val="auto"/>
          <w:highlight w:val="none"/>
        </w:rPr>
      </w:pPr>
    </w:p>
    <w:p w14:paraId="692C8F3C">
      <w:pPr>
        <w:rPr>
          <w:color w:val="auto"/>
          <w:highlight w:val="none"/>
        </w:rPr>
      </w:pPr>
    </w:p>
    <w:p w14:paraId="4E55C9FA">
      <w:pPr>
        <w:rPr>
          <w:color w:val="auto"/>
          <w:highlight w:val="none"/>
        </w:rPr>
      </w:pPr>
    </w:p>
    <w:p w14:paraId="5BFF6E44">
      <w:pPr>
        <w:rPr>
          <w:color w:val="auto"/>
          <w:highlight w:val="none"/>
        </w:rPr>
      </w:pPr>
    </w:p>
    <w:p w14:paraId="6163D7DD">
      <w:pPr>
        <w:pStyle w:val="2"/>
        <w:spacing w:line="400" w:lineRule="exact"/>
        <w:rPr>
          <w:rFonts w:ascii="方正小标宋_GBK" w:hAnsi="宋体" w:eastAsia="方正小标宋_GBK"/>
          <w:color w:val="auto"/>
          <w:highlight w:val="none"/>
        </w:rPr>
      </w:pPr>
      <w:bookmarkStart w:id="41" w:name="_Toc92355024"/>
      <w:r>
        <w:rPr>
          <w:rFonts w:hint="eastAsia" w:ascii="方正小标宋_GBK" w:hAnsi="宋体" w:eastAsia="方正小标宋_GBK"/>
          <w:color w:val="auto"/>
          <w:highlight w:val="none"/>
        </w:rPr>
        <w:t>第二章  项目需求</w:t>
      </w:r>
      <w:bookmarkEnd w:id="41"/>
    </w:p>
    <w:p w14:paraId="646C58D7">
      <w:pPr>
        <w:widowControl/>
        <w:spacing w:line="460" w:lineRule="exact"/>
        <w:jc w:val="left"/>
        <w:rPr>
          <w:rFonts w:ascii="宋体" w:hAnsi="宋体"/>
          <w:color w:val="auto"/>
          <w:szCs w:val="21"/>
          <w:highlight w:val="none"/>
        </w:rPr>
      </w:pPr>
      <w:r>
        <w:rPr>
          <w:rFonts w:ascii="宋体" w:hAnsi="宋体"/>
          <w:b/>
          <w:color w:val="auto"/>
          <w:szCs w:val="21"/>
          <w:highlight w:val="none"/>
        </w:rPr>
        <w:br w:type="page"/>
      </w:r>
      <w:bookmarkStart w:id="42" w:name="_Toc354479498"/>
      <w:bookmarkStart w:id="43" w:name="_Toc358477280"/>
    </w:p>
    <w:p w14:paraId="38E8AD7D">
      <w:pPr>
        <w:widowControl/>
        <w:spacing w:line="460" w:lineRule="exact"/>
        <w:jc w:val="left"/>
        <w:rPr>
          <w:rFonts w:ascii="宋体" w:hAnsi="宋体"/>
          <w:color w:val="auto"/>
          <w:szCs w:val="21"/>
          <w:highlight w:val="none"/>
        </w:rPr>
      </w:pPr>
    </w:p>
    <w:p w14:paraId="3EDCF52C">
      <w:pPr>
        <w:spacing w:line="440" w:lineRule="exact"/>
        <w:jc w:val="center"/>
        <w:rPr>
          <w:rFonts w:ascii="宋体" w:hAnsi="宋体"/>
          <w:b/>
          <w:color w:val="auto"/>
          <w:sz w:val="36"/>
          <w:szCs w:val="36"/>
          <w:highlight w:val="none"/>
        </w:rPr>
      </w:pPr>
      <w:r>
        <w:rPr>
          <w:rFonts w:hint="eastAsia" w:ascii="宋体" w:hAnsi="宋体"/>
          <w:b/>
          <w:color w:val="auto"/>
          <w:sz w:val="36"/>
          <w:szCs w:val="36"/>
          <w:highlight w:val="none"/>
        </w:rPr>
        <w:t>项目需求</w:t>
      </w:r>
    </w:p>
    <w:p w14:paraId="29CF90A3">
      <w:pPr>
        <w:spacing w:line="500" w:lineRule="exact"/>
        <w:rPr>
          <w:rFonts w:hint="eastAsia" w:ascii="黑体" w:hAnsi="黑体" w:eastAsia="黑体" w:cs="黑体"/>
          <w:bCs/>
          <w:color w:val="auto"/>
          <w:sz w:val="28"/>
          <w:szCs w:val="28"/>
          <w:highlight w:val="none"/>
          <w:lang w:val="en-US" w:eastAsia="zh-CN"/>
        </w:rPr>
      </w:pPr>
      <w:bookmarkStart w:id="44" w:name="_Hlk89960406"/>
    </w:p>
    <w:p w14:paraId="77494557">
      <w:pPr>
        <w:spacing w:line="500" w:lineRule="exact"/>
        <w:rPr>
          <w:rFonts w:hint="default" w:ascii="黑体" w:hAnsi="黑体" w:eastAsia="黑体" w:cs="黑体"/>
          <w:bCs/>
          <w:color w:val="auto"/>
          <w:sz w:val="28"/>
          <w:szCs w:val="28"/>
          <w:highlight w:val="none"/>
          <w:lang w:val="en-US" w:eastAsia="zh-CN"/>
        </w:rPr>
      </w:pPr>
      <w:r>
        <w:rPr>
          <w:rFonts w:hint="eastAsia" w:ascii="黑体" w:hAnsi="黑体" w:eastAsia="黑体" w:cs="黑体"/>
          <w:bCs/>
          <w:color w:val="auto"/>
          <w:sz w:val="28"/>
          <w:szCs w:val="28"/>
          <w:highlight w:val="none"/>
          <w:lang w:val="en-US" w:eastAsia="zh-CN"/>
        </w:rPr>
        <w:t>说明：</w:t>
      </w:r>
    </w:p>
    <w:p w14:paraId="21A10BD3">
      <w:pPr>
        <w:tabs>
          <w:tab w:val="left" w:pos="180"/>
          <w:tab w:val="left" w:pos="1620"/>
        </w:tabs>
        <w:spacing w:line="360" w:lineRule="auto"/>
        <w:ind w:firstLine="420" w:firstLineChars="200"/>
        <w:rPr>
          <w:rFonts w:hint="eastAsia" w:ascii="宋体" w:hAnsi="宋体" w:eastAsia="宋体"/>
          <w:b w:val="0"/>
          <w:bCs/>
          <w:color w:val="auto"/>
          <w:highlight w:val="none"/>
          <w:lang w:eastAsia="zh-CN"/>
        </w:rPr>
      </w:pPr>
      <w:r>
        <w:rPr>
          <w:rFonts w:hint="eastAsia" w:ascii="宋体" w:hAnsi="宋体"/>
          <w:b w:val="0"/>
          <w:bCs/>
          <w:color w:val="auto"/>
          <w:highlight w:val="none"/>
          <w:lang w:eastAsia="zh-CN"/>
        </w:rPr>
        <w:t>（</w:t>
      </w:r>
      <w:r>
        <w:rPr>
          <w:rFonts w:hint="eastAsia" w:ascii="宋体" w:hAnsi="宋体"/>
          <w:b w:val="0"/>
          <w:bCs/>
          <w:color w:val="auto"/>
          <w:highlight w:val="none"/>
          <w:lang w:val="en-US" w:eastAsia="zh-CN"/>
        </w:rPr>
        <w:t>一</w:t>
      </w:r>
      <w:r>
        <w:rPr>
          <w:rFonts w:hint="eastAsia" w:ascii="宋体" w:hAnsi="宋体"/>
          <w:b w:val="0"/>
          <w:bCs/>
          <w:color w:val="auto"/>
          <w:highlight w:val="none"/>
          <w:lang w:eastAsia="zh-CN"/>
        </w:rPr>
        <w:t>）</w:t>
      </w:r>
      <w:r>
        <w:rPr>
          <w:rFonts w:hint="eastAsia" w:ascii="宋体" w:hAnsi="宋体"/>
          <w:b w:val="0"/>
          <w:bCs/>
          <w:color w:val="auto"/>
          <w:highlight w:val="none"/>
        </w:rPr>
        <w:t>项目名称：</w:t>
      </w:r>
      <w:r>
        <w:rPr>
          <w:rFonts w:hint="eastAsia" w:ascii="宋体" w:hAnsi="宋体"/>
          <w:b w:val="0"/>
          <w:bCs/>
          <w:color w:val="auto"/>
          <w:highlight w:val="none"/>
          <w:u w:val="single"/>
          <w:lang w:eastAsia="zh-CN"/>
        </w:rPr>
        <w:t>灵山县人民检察院采购通信运营商服务项目</w:t>
      </w:r>
    </w:p>
    <w:p w14:paraId="008CFC00">
      <w:pPr>
        <w:tabs>
          <w:tab w:val="left" w:pos="180"/>
          <w:tab w:val="left" w:pos="1620"/>
        </w:tabs>
        <w:spacing w:line="360" w:lineRule="auto"/>
        <w:ind w:firstLine="420" w:firstLineChars="200"/>
        <w:rPr>
          <w:rFonts w:ascii="宋体" w:hAnsi="宋体"/>
          <w:b w:val="0"/>
          <w:bCs/>
          <w:color w:val="auto"/>
          <w:highlight w:val="none"/>
          <w:u w:val="single"/>
        </w:rPr>
      </w:pPr>
      <w:r>
        <w:rPr>
          <w:rFonts w:hint="eastAsia" w:ascii="宋体" w:hAnsi="宋体"/>
          <w:b w:val="0"/>
          <w:bCs/>
          <w:color w:val="auto"/>
          <w:highlight w:val="none"/>
          <w:lang w:eastAsia="zh-CN"/>
        </w:rPr>
        <w:t>（</w:t>
      </w:r>
      <w:r>
        <w:rPr>
          <w:rFonts w:hint="eastAsia" w:ascii="宋体" w:hAnsi="宋体"/>
          <w:b w:val="0"/>
          <w:bCs/>
          <w:color w:val="auto"/>
          <w:highlight w:val="none"/>
          <w:lang w:val="en-US" w:eastAsia="zh-CN"/>
        </w:rPr>
        <w:t>二</w:t>
      </w:r>
      <w:r>
        <w:rPr>
          <w:rFonts w:hint="eastAsia" w:ascii="宋体" w:hAnsi="宋体"/>
          <w:b w:val="0"/>
          <w:bCs/>
          <w:color w:val="auto"/>
          <w:highlight w:val="none"/>
          <w:lang w:eastAsia="zh-CN"/>
        </w:rPr>
        <w:t>）</w:t>
      </w:r>
      <w:r>
        <w:rPr>
          <w:rFonts w:hint="eastAsia" w:ascii="宋体" w:hAnsi="宋体"/>
          <w:b w:val="0"/>
          <w:bCs/>
          <w:color w:val="auto"/>
          <w:highlight w:val="none"/>
        </w:rPr>
        <w:t xml:space="preserve">项目编号: </w:t>
      </w:r>
      <w:r>
        <w:rPr>
          <w:rFonts w:hint="eastAsia" w:ascii="宋体" w:hAnsi="宋体"/>
          <w:b w:val="0"/>
          <w:bCs/>
          <w:color w:val="auto"/>
          <w:highlight w:val="none"/>
          <w:u w:val="single"/>
          <w:lang w:eastAsia="zh-CN"/>
        </w:rPr>
        <w:t>QZZC2025-C3-990027-QZSZ</w:t>
      </w:r>
      <w:r>
        <w:rPr>
          <w:rFonts w:hint="eastAsia" w:ascii="宋体" w:hAnsi="宋体"/>
          <w:b w:val="0"/>
          <w:bCs/>
          <w:color w:val="auto"/>
          <w:highlight w:val="none"/>
          <w:u w:val="single"/>
        </w:rPr>
        <w:t xml:space="preserve"> </w:t>
      </w:r>
    </w:p>
    <w:p w14:paraId="231F13F6">
      <w:pPr>
        <w:tabs>
          <w:tab w:val="left" w:pos="180"/>
          <w:tab w:val="left" w:pos="1620"/>
        </w:tabs>
        <w:spacing w:line="360" w:lineRule="auto"/>
        <w:ind w:firstLine="420" w:firstLineChars="200"/>
        <w:rPr>
          <w:rFonts w:ascii="宋体" w:hAnsi="宋体"/>
          <w:b w:val="0"/>
          <w:bCs/>
          <w:color w:val="auto"/>
          <w:highlight w:val="none"/>
          <w:u w:val="single"/>
        </w:rPr>
      </w:pPr>
      <w:r>
        <w:rPr>
          <w:rFonts w:hint="eastAsia" w:ascii="宋体" w:hAnsi="宋体"/>
          <w:b w:val="0"/>
          <w:bCs/>
          <w:color w:val="auto"/>
          <w:highlight w:val="none"/>
          <w:lang w:eastAsia="zh-CN"/>
        </w:rPr>
        <w:t>（</w:t>
      </w:r>
      <w:r>
        <w:rPr>
          <w:rFonts w:hint="eastAsia" w:ascii="宋体" w:hAnsi="宋体"/>
          <w:b w:val="0"/>
          <w:bCs/>
          <w:color w:val="auto"/>
          <w:highlight w:val="none"/>
          <w:lang w:val="en-US" w:eastAsia="zh-CN"/>
        </w:rPr>
        <w:t>三</w:t>
      </w:r>
      <w:r>
        <w:rPr>
          <w:rFonts w:hint="eastAsia" w:ascii="宋体" w:hAnsi="宋体"/>
          <w:b w:val="0"/>
          <w:bCs/>
          <w:color w:val="auto"/>
          <w:highlight w:val="none"/>
          <w:lang w:eastAsia="zh-CN"/>
        </w:rPr>
        <w:t>）</w:t>
      </w:r>
      <w:r>
        <w:rPr>
          <w:rFonts w:hint="eastAsia" w:ascii="宋体" w:hAnsi="宋体"/>
          <w:b w:val="0"/>
          <w:bCs/>
          <w:color w:val="auto"/>
          <w:highlight w:val="none"/>
        </w:rPr>
        <w:t>项目类别：</w:t>
      </w:r>
      <w:r>
        <w:rPr>
          <w:rFonts w:hint="eastAsia" w:ascii="宋体" w:hAnsi="宋体"/>
          <w:b w:val="0"/>
          <w:bCs/>
          <w:color w:val="auto"/>
          <w:highlight w:val="none"/>
          <w:u w:val="single"/>
        </w:rPr>
        <w:t>服务类</w:t>
      </w:r>
    </w:p>
    <w:p w14:paraId="0A232670">
      <w:pPr>
        <w:tabs>
          <w:tab w:val="left" w:pos="180"/>
          <w:tab w:val="left" w:pos="1620"/>
        </w:tabs>
        <w:spacing w:line="360" w:lineRule="auto"/>
        <w:ind w:firstLine="420" w:firstLineChars="200"/>
        <w:rPr>
          <w:rFonts w:hint="eastAsia" w:ascii="宋体" w:hAnsi="宋体"/>
          <w:b w:val="0"/>
          <w:bCs w:val="0"/>
          <w:color w:val="auto"/>
          <w:highlight w:val="none"/>
        </w:rPr>
      </w:pPr>
      <w:r>
        <w:rPr>
          <w:rFonts w:hint="eastAsia" w:ascii="宋体" w:hAnsi="宋体"/>
          <w:b w:val="0"/>
          <w:bCs/>
          <w:color w:val="auto"/>
          <w:highlight w:val="none"/>
          <w:lang w:eastAsia="zh-CN"/>
        </w:rPr>
        <w:t>（</w:t>
      </w:r>
      <w:r>
        <w:rPr>
          <w:rFonts w:hint="eastAsia" w:ascii="宋体" w:hAnsi="宋体"/>
          <w:b w:val="0"/>
          <w:bCs/>
          <w:color w:val="auto"/>
          <w:highlight w:val="none"/>
          <w:lang w:val="en-US" w:eastAsia="zh-CN"/>
        </w:rPr>
        <w:t>四</w:t>
      </w:r>
      <w:r>
        <w:rPr>
          <w:rFonts w:hint="eastAsia" w:ascii="宋体" w:hAnsi="宋体"/>
          <w:b w:val="0"/>
          <w:bCs/>
          <w:color w:val="auto"/>
          <w:highlight w:val="none"/>
          <w:lang w:eastAsia="zh-CN"/>
        </w:rPr>
        <w:t>）</w:t>
      </w:r>
      <w:r>
        <w:rPr>
          <w:rFonts w:ascii="宋体" w:hAnsi="宋体"/>
          <w:b w:val="0"/>
          <w:bCs/>
          <w:color w:val="auto"/>
          <w:highlight w:val="none"/>
        </w:rPr>
        <w:t>本项目采购标的对应的中小企业划分标准所属行业为</w:t>
      </w:r>
      <w:r>
        <w:rPr>
          <w:rFonts w:hint="eastAsia" w:ascii="宋体" w:hAnsi="宋体"/>
          <w:b w:val="0"/>
          <w:bCs/>
          <w:color w:val="auto"/>
          <w:highlight w:val="none"/>
        </w:rPr>
        <w:t>：</w:t>
      </w:r>
      <w:r>
        <w:rPr>
          <w:rFonts w:hint="eastAsia" w:ascii="宋体" w:hAnsi="宋体" w:cs="宋体"/>
          <w:b w:val="0"/>
          <w:bCs w:val="0"/>
          <w:color w:val="auto"/>
          <w:sz w:val="21"/>
          <w:szCs w:val="21"/>
          <w:highlight w:val="none"/>
          <w:u w:val="single"/>
          <w:lang w:eastAsia="zh-CN"/>
        </w:rPr>
        <w:t>通信</w:t>
      </w:r>
      <w:r>
        <w:rPr>
          <w:rFonts w:hint="eastAsia" w:ascii="宋体" w:hAnsi="宋体" w:eastAsia="宋体" w:cs="宋体"/>
          <w:b w:val="0"/>
          <w:bCs w:val="0"/>
          <w:color w:val="auto"/>
          <w:sz w:val="21"/>
          <w:szCs w:val="21"/>
          <w:highlight w:val="none"/>
          <w:u w:val="single"/>
        </w:rPr>
        <w:t>和信息技术服务业</w:t>
      </w:r>
      <w:r>
        <w:rPr>
          <w:rFonts w:hint="eastAsia" w:ascii="宋体" w:hAnsi="宋体"/>
          <w:b w:val="0"/>
          <w:bCs w:val="0"/>
          <w:color w:val="auto"/>
          <w:highlight w:val="none"/>
          <w:u w:val="single"/>
        </w:rPr>
        <w:t>。</w:t>
      </w:r>
    </w:p>
    <w:p w14:paraId="12B3255B">
      <w:pPr>
        <w:tabs>
          <w:tab w:val="left" w:pos="180"/>
          <w:tab w:val="left" w:pos="1620"/>
        </w:tabs>
        <w:spacing w:line="360" w:lineRule="auto"/>
        <w:ind w:firstLine="420" w:firstLineChars="200"/>
        <w:rPr>
          <w:rFonts w:ascii="宋体" w:hAnsi="宋体"/>
          <w:b w:val="0"/>
          <w:bCs/>
          <w:color w:val="auto"/>
          <w:highlight w:val="none"/>
          <w:u w:val="single"/>
        </w:rPr>
      </w:pPr>
      <w:r>
        <w:rPr>
          <w:rFonts w:hint="eastAsia" w:ascii="宋体" w:hAnsi="宋体"/>
          <w:b w:val="0"/>
          <w:bCs/>
          <w:color w:val="auto"/>
          <w:highlight w:val="none"/>
          <w:lang w:eastAsia="zh-CN"/>
        </w:rPr>
        <w:t>（</w:t>
      </w:r>
      <w:r>
        <w:rPr>
          <w:rFonts w:hint="eastAsia" w:ascii="宋体" w:hAnsi="宋体"/>
          <w:b w:val="0"/>
          <w:bCs/>
          <w:color w:val="auto"/>
          <w:highlight w:val="none"/>
          <w:lang w:val="en-US" w:eastAsia="zh-CN"/>
        </w:rPr>
        <w:t>五</w:t>
      </w:r>
      <w:r>
        <w:rPr>
          <w:rFonts w:hint="eastAsia" w:ascii="宋体" w:hAnsi="宋体"/>
          <w:b w:val="0"/>
          <w:bCs/>
          <w:color w:val="auto"/>
          <w:highlight w:val="none"/>
          <w:lang w:eastAsia="zh-CN"/>
        </w:rPr>
        <w:t>）</w:t>
      </w:r>
      <w:r>
        <w:rPr>
          <w:rFonts w:hint="eastAsia" w:ascii="宋体" w:hAnsi="宋体"/>
          <w:b w:val="0"/>
          <w:bCs/>
          <w:color w:val="auto"/>
          <w:highlight w:val="none"/>
        </w:rPr>
        <w:t>竞争性磋商文件中可能实质性变动的内容：</w:t>
      </w:r>
      <w:r>
        <w:rPr>
          <w:rFonts w:hint="eastAsia" w:ascii="宋体" w:hAnsi="宋体"/>
          <w:b w:val="0"/>
          <w:bCs/>
          <w:color w:val="auto"/>
          <w:highlight w:val="none"/>
          <w:u w:val="single"/>
        </w:rPr>
        <w:t>项目需求中的技术、服务要求及合同草案条款。</w:t>
      </w:r>
    </w:p>
    <w:p w14:paraId="7877AF4A">
      <w:pPr>
        <w:tabs>
          <w:tab w:val="left" w:pos="180"/>
          <w:tab w:val="left" w:pos="1620"/>
        </w:tabs>
        <w:spacing w:line="360" w:lineRule="auto"/>
        <w:ind w:firstLine="420" w:firstLineChars="200"/>
        <w:rPr>
          <w:rFonts w:hint="eastAsia" w:ascii="宋体" w:hAnsi="宋体"/>
          <w:b/>
          <w:bCs w:val="0"/>
          <w:color w:val="auto"/>
          <w:szCs w:val="21"/>
          <w:highlight w:val="none"/>
          <w:lang w:val="en-US" w:eastAsia="zh-CN"/>
        </w:rPr>
      </w:pPr>
      <w:r>
        <w:rPr>
          <w:rFonts w:hint="eastAsia"/>
          <w:b w:val="0"/>
          <w:bCs/>
          <w:color w:val="auto"/>
          <w:highlight w:val="none"/>
          <w:lang w:eastAsia="zh-CN"/>
        </w:rPr>
        <w:t>（</w:t>
      </w:r>
      <w:r>
        <w:rPr>
          <w:rFonts w:hint="eastAsia"/>
          <w:b w:val="0"/>
          <w:bCs/>
          <w:color w:val="auto"/>
          <w:highlight w:val="none"/>
          <w:lang w:val="en-US" w:eastAsia="zh-CN"/>
        </w:rPr>
        <w:t>六</w:t>
      </w:r>
      <w:r>
        <w:rPr>
          <w:rFonts w:hint="eastAsia"/>
          <w:b w:val="0"/>
          <w:bCs/>
          <w:color w:val="auto"/>
          <w:highlight w:val="none"/>
          <w:lang w:eastAsia="zh-CN"/>
        </w:rPr>
        <w:t>）</w:t>
      </w:r>
      <w:r>
        <w:rPr>
          <w:rFonts w:hint="eastAsia" w:ascii="宋体" w:hAnsi="宋体" w:cs="Arial"/>
          <w:b w:val="0"/>
          <w:bCs/>
          <w:color w:val="auto"/>
          <w:szCs w:val="21"/>
          <w:highlight w:val="none"/>
        </w:rPr>
        <w:t>采购需求中如</w:t>
      </w:r>
      <w:r>
        <w:rPr>
          <w:rFonts w:hint="eastAsia"/>
          <w:b w:val="0"/>
          <w:bCs/>
          <w:color w:val="auto"/>
          <w:highlight w:val="none"/>
        </w:rPr>
        <w:t>标注“★”号或“必须”的条款为实质性条款，竞标人必须满足或优于，否则竞标无效。</w:t>
      </w:r>
      <w:bookmarkEnd w:id="44"/>
    </w:p>
    <w:p w14:paraId="2C562B0E">
      <w:pPr>
        <w:spacing w:line="500" w:lineRule="exact"/>
        <w:rPr>
          <w:rFonts w:hint="eastAsia" w:ascii="黑体" w:hAnsi="黑体" w:eastAsia="黑体" w:cs="黑体"/>
          <w:bCs/>
          <w:color w:val="auto"/>
          <w:sz w:val="28"/>
          <w:szCs w:val="28"/>
          <w:highlight w:val="none"/>
          <w:lang w:val="en-US" w:eastAsia="zh-CN"/>
        </w:rPr>
      </w:pPr>
    </w:p>
    <w:p w14:paraId="3740B28C">
      <w:pPr>
        <w:spacing w:line="500" w:lineRule="exact"/>
        <w:rPr>
          <w:rFonts w:hint="eastAsia" w:ascii="宋体" w:hAnsi="宋体" w:eastAsia="宋体" w:cs="宋体"/>
          <w:color w:val="auto"/>
          <w:sz w:val="21"/>
          <w:szCs w:val="21"/>
          <w:highlight w:val="none"/>
          <w:lang w:eastAsia="zh-CN"/>
        </w:rPr>
      </w:pPr>
      <w:r>
        <w:rPr>
          <w:rFonts w:hint="eastAsia" w:ascii="黑体" w:hAnsi="黑体" w:eastAsia="黑体" w:cs="黑体"/>
          <w:bCs/>
          <w:color w:val="auto"/>
          <w:sz w:val="28"/>
          <w:szCs w:val="28"/>
          <w:highlight w:val="none"/>
          <w:lang w:val="en-US" w:eastAsia="zh-CN"/>
        </w:rPr>
        <w:t>一、技术服务要求：</w:t>
      </w:r>
    </w:p>
    <w:p w14:paraId="446A3957">
      <w:pPr>
        <w:spacing w:line="440" w:lineRule="exact"/>
        <w:ind w:firstLine="422" w:firstLineChars="200"/>
        <w:rPr>
          <w:rFonts w:ascii="宋体" w:hAnsi="宋体"/>
          <w:b/>
          <w:szCs w:val="21"/>
        </w:rPr>
      </w:pPr>
      <w:r>
        <w:rPr>
          <w:rFonts w:hint="eastAsia" w:ascii="宋体" w:hAnsi="宋体"/>
          <w:b/>
          <w:szCs w:val="21"/>
          <w:lang w:eastAsia="zh-CN"/>
        </w:rPr>
        <w:t>（</w:t>
      </w:r>
      <w:r>
        <w:rPr>
          <w:rFonts w:hint="eastAsia" w:ascii="宋体" w:hAnsi="宋体"/>
          <w:b/>
          <w:szCs w:val="21"/>
          <w:lang w:val="en-US" w:eastAsia="zh-CN"/>
        </w:rPr>
        <w:t>一</w:t>
      </w:r>
      <w:r>
        <w:rPr>
          <w:rFonts w:hint="eastAsia" w:ascii="宋体" w:hAnsi="宋体"/>
          <w:b/>
          <w:szCs w:val="21"/>
          <w:lang w:eastAsia="zh-CN"/>
        </w:rPr>
        <w:t>）</w:t>
      </w:r>
      <w:r>
        <w:rPr>
          <w:rFonts w:hint="eastAsia" w:ascii="宋体" w:hAnsi="宋体"/>
          <w:b/>
          <w:szCs w:val="21"/>
        </w:rPr>
        <w:t>接入链路要求：</w:t>
      </w:r>
    </w:p>
    <w:p w14:paraId="6BA544A1">
      <w:pPr>
        <w:spacing w:line="440" w:lineRule="exact"/>
        <w:ind w:firstLine="420" w:firstLineChars="200"/>
        <w:rPr>
          <w:rFonts w:ascii="宋体"/>
          <w:szCs w:val="21"/>
        </w:rPr>
      </w:pPr>
      <w:r>
        <w:rPr>
          <w:rFonts w:hint="eastAsia" w:ascii="宋体" w:hAnsi="宋体"/>
          <w:szCs w:val="21"/>
        </w:rPr>
        <w:t>1.提供1条或以上≥100Mbps的独立安全接入光纤链路，从运营商机房连接自治区人民检察院机房，接入检察业务外网，接入方式为光纤接入，并提供相关接入设备，链路数据流量应满足≥200台业务应用设备移动应用需求。</w:t>
      </w:r>
    </w:p>
    <w:p w14:paraId="0773A9D8">
      <w:pPr>
        <w:spacing w:line="440" w:lineRule="exact"/>
        <w:ind w:firstLine="420" w:firstLineChars="200"/>
        <w:rPr>
          <w:rFonts w:ascii="宋体"/>
          <w:szCs w:val="21"/>
        </w:rPr>
      </w:pPr>
      <w:r>
        <w:rPr>
          <w:rFonts w:hint="eastAsia" w:ascii="宋体" w:hAnsi="宋体"/>
          <w:szCs w:val="21"/>
        </w:rPr>
        <w:t>2.链路采用MSTP/SDH等类似技术或更优技术方式组网</w:t>
      </w:r>
      <w:r>
        <w:rPr>
          <w:rFonts w:hint="eastAsia" w:ascii="宋体"/>
          <w:szCs w:val="21"/>
        </w:rPr>
        <w:t>,</w:t>
      </w:r>
      <w:r>
        <w:rPr>
          <w:rFonts w:hint="eastAsia" w:ascii="宋体" w:hAnsi="宋体"/>
          <w:szCs w:val="21"/>
        </w:rPr>
        <w:t>提供端到端透明传输电路每条电路实时具有对应承诺带宽的独立传输通道。</w:t>
      </w:r>
    </w:p>
    <w:p w14:paraId="7BBBD9E8">
      <w:pPr>
        <w:spacing w:line="440" w:lineRule="exact"/>
        <w:ind w:firstLine="420" w:firstLineChars="200"/>
        <w:rPr>
          <w:rFonts w:ascii="宋体"/>
          <w:szCs w:val="21"/>
        </w:rPr>
      </w:pPr>
      <w:r>
        <w:rPr>
          <w:rFonts w:hint="eastAsia" w:ascii="宋体" w:hAnsi="宋体"/>
          <w:szCs w:val="21"/>
        </w:rPr>
        <w:t>3</w:t>
      </w:r>
      <w:r>
        <w:rPr>
          <w:rFonts w:hint="eastAsia" w:ascii="宋体"/>
          <w:szCs w:val="21"/>
        </w:rPr>
        <w:t>.</w:t>
      </w:r>
      <w:r>
        <w:rPr>
          <w:rFonts w:hint="eastAsia" w:ascii="宋体" w:hAnsi="宋体"/>
          <w:szCs w:val="21"/>
        </w:rPr>
        <w:t>全网采用的传输设备具有远程网管和告警能力，供应商负责提供组网所需的相关设备及安装调试，为了确保采购方的网络安全、易维护性，所提供的数字光纤线路与互联网应物理隔离；</w:t>
      </w:r>
    </w:p>
    <w:p w14:paraId="1E2B7E68">
      <w:pPr>
        <w:spacing w:line="440" w:lineRule="exact"/>
        <w:ind w:firstLine="420" w:firstLineChars="200"/>
        <w:rPr>
          <w:rFonts w:ascii="宋体" w:hAnsi="宋体"/>
          <w:szCs w:val="21"/>
        </w:rPr>
      </w:pPr>
      <w:r>
        <w:rPr>
          <w:rFonts w:hint="eastAsia" w:ascii="宋体" w:hAnsi="宋体"/>
          <w:szCs w:val="21"/>
        </w:rPr>
        <w:t>4</w:t>
      </w:r>
      <w:r>
        <w:rPr>
          <w:rFonts w:hint="eastAsia" w:ascii="宋体"/>
          <w:szCs w:val="21"/>
        </w:rPr>
        <w:t>.</w:t>
      </w:r>
      <w:r>
        <w:rPr>
          <w:rFonts w:hint="eastAsia" w:ascii="宋体" w:hAnsi="宋体"/>
          <w:szCs w:val="21"/>
        </w:rPr>
        <w:t>光纤链路所提供的带宽要通过裸机测试，上行下行速率必须与提供的带宽性能一致，信号稳定。</w:t>
      </w:r>
    </w:p>
    <w:p w14:paraId="2688006F">
      <w:pPr>
        <w:spacing w:line="440" w:lineRule="exact"/>
        <w:ind w:firstLine="422" w:firstLineChars="200"/>
        <w:rPr>
          <w:rFonts w:hint="default" w:ascii="宋体" w:hAnsi="宋体" w:eastAsia="宋体"/>
          <w:b/>
          <w:bCs/>
          <w:szCs w:val="21"/>
          <w:lang w:val="en-US" w:eastAsia="zh-CN"/>
        </w:rPr>
      </w:pPr>
      <w:r>
        <w:rPr>
          <w:rFonts w:hint="eastAsia" w:ascii="仿宋" w:hAnsi="仿宋" w:eastAsia="仿宋" w:cs="仿宋"/>
          <w:b/>
          <w:bCs/>
          <w:szCs w:val="21"/>
        </w:rPr>
        <w:t>★</w:t>
      </w:r>
      <w:r>
        <w:rPr>
          <w:rFonts w:hint="eastAsia" w:ascii="宋体" w:hAnsi="宋体"/>
          <w:b/>
          <w:bCs/>
          <w:szCs w:val="21"/>
        </w:rPr>
        <w:t>5.</w:t>
      </w:r>
      <w:r>
        <w:rPr>
          <w:rFonts w:hint="eastAsia"/>
          <w:b/>
          <w:bCs/>
        </w:rPr>
        <w:t>必须通过</w:t>
      </w:r>
      <w:r>
        <w:rPr>
          <w:rFonts w:hint="eastAsia" w:ascii="宋体" w:hAnsi="宋体"/>
          <w:b/>
          <w:bCs/>
          <w:szCs w:val="21"/>
        </w:rPr>
        <w:t>此链路</w:t>
      </w:r>
      <w:r>
        <w:rPr>
          <w:rFonts w:hint="eastAsia"/>
          <w:b/>
          <w:bCs/>
        </w:rPr>
        <w:t>建立</w:t>
      </w:r>
      <w:r>
        <w:rPr>
          <w:rFonts w:hint="eastAsia" w:ascii="宋体" w:hAnsi="宋体"/>
          <w:b/>
          <w:bCs/>
          <w:szCs w:val="21"/>
        </w:rPr>
        <w:t>5G（并兼容4G、3G、2G以及未来制式）的无线</w:t>
      </w:r>
      <w:r>
        <w:rPr>
          <w:rFonts w:hint="eastAsia"/>
          <w:b/>
          <w:bCs/>
        </w:rPr>
        <w:t>虚拟通道和加密技术接入用户内部网络。</w:t>
      </w:r>
      <w:r>
        <w:rPr>
          <w:rFonts w:hint="eastAsia"/>
          <w:b/>
          <w:bCs/>
          <w:highlight w:val="none"/>
          <w:lang w:val="en-US" w:eastAsia="zh-CN"/>
        </w:rPr>
        <w:t>响应文件中供应商必须提交承诺书（格式自拟），加盖供应商公章。</w:t>
      </w:r>
    </w:p>
    <w:p w14:paraId="5CE071AD">
      <w:pPr>
        <w:spacing w:line="440" w:lineRule="exact"/>
        <w:ind w:firstLine="420" w:firstLineChars="200"/>
        <w:rPr>
          <w:rFonts w:ascii="宋体"/>
          <w:szCs w:val="21"/>
        </w:rPr>
      </w:pPr>
      <w:r>
        <w:rPr>
          <w:rFonts w:hint="eastAsia" w:ascii="宋体" w:hAnsi="宋体"/>
          <w:szCs w:val="21"/>
        </w:rPr>
        <w:t>6.配合用户移动终端无线网络CA接入安全认证服务</w:t>
      </w:r>
      <w:r>
        <w:rPr>
          <w:rFonts w:hint="eastAsia" w:ascii="宋体"/>
          <w:szCs w:val="21"/>
        </w:rPr>
        <w:t>，非用户认证终端不可通过此链路接入用户移动办公平台。</w:t>
      </w:r>
    </w:p>
    <w:p w14:paraId="4E781530">
      <w:pPr>
        <w:spacing w:line="440" w:lineRule="exact"/>
        <w:ind w:firstLine="422" w:firstLineChars="200"/>
        <w:rPr>
          <w:rFonts w:ascii="宋体"/>
          <w:b/>
          <w:szCs w:val="21"/>
        </w:rPr>
      </w:pPr>
      <w:r>
        <w:rPr>
          <w:rFonts w:hint="eastAsia" w:ascii="宋体"/>
          <w:b/>
          <w:szCs w:val="21"/>
          <w:lang w:eastAsia="zh-CN"/>
        </w:rPr>
        <w:t>（</w:t>
      </w:r>
      <w:r>
        <w:rPr>
          <w:rFonts w:hint="eastAsia" w:ascii="宋体"/>
          <w:b/>
          <w:szCs w:val="21"/>
          <w:lang w:val="en-US" w:eastAsia="zh-CN"/>
        </w:rPr>
        <w:t>二</w:t>
      </w:r>
      <w:r>
        <w:rPr>
          <w:rFonts w:hint="eastAsia" w:ascii="宋体"/>
          <w:b/>
          <w:szCs w:val="21"/>
          <w:lang w:eastAsia="zh-CN"/>
        </w:rPr>
        <w:t>）</w:t>
      </w:r>
      <w:r>
        <w:rPr>
          <w:rFonts w:hint="eastAsia" w:ascii="宋体"/>
          <w:b/>
          <w:szCs w:val="21"/>
        </w:rPr>
        <w:t>流量要求：</w:t>
      </w:r>
    </w:p>
    <w:p w14:paraId="7D2CFADD">
      <w:pPr>
        <w:spacing w:line="440" w:lineRule="exact"/>
        <w:ind w:firstLine="420" w:firstLineChars="200"/>
        <w:rPr>
          <w:rFonts w:ascii="宋体"/>
          <w:szCs w:val="21"/>
        </w:rPr>
      </w:pPr>
      <w:r>
        <w:rPr>
          <w:rFonts w:hint="eastAsia" w:ascii="宋体" w:hAnsi="宋体"/>
          <w:szCs w:val="21"/>
        </w:rPr>
        <w:t>1.提供用户的移动业务应用的基于此链路上实现的无线安全专用网络定向流量。</w:t>
      </w:r>
    </w:p>
    <w:p w14:paraId="5402F898">
      <w:pPr>
        <w:spacing w:line="440" w:lineRule="exact"/>
        <w:ind w:firstLine="420" w:firstLineChars="200"/>
        <w:rPr>
          <w:rFonts w:hint="default" w:ascii="宋体" w:hAnsi="宋体" w:eastAsiaTheme="minorEastAsia"/>
          <w:szCs w:val="21"/>
          <w:lang w:val="en-US" w:eastAsia="zh-CN"/>
        </w:rPr>
      </w:pPr>
      <w:r>
        <w:rPr>
          <w:rFonts w:hint="eastAsia" w:ascii="宋体" w:hAnsi="宋体"/>
          <w:szCs w:val="21"/>
          <w:lang w:val="en-US" w:eastAsia="zh-CN"/>
        </w:rPr>
        <w:t>2.每台终端每月国内通话</w:t>
      </w:r>
      <w:r>
        <w:rPr>
          <w:rFonts w:hint="eastAsia" w:ascii="宋体" w:hAnsi="宋体"/>
          <w:szCs w:val="21"/>
        </w:rPr>
        <w:t>≥</w:t>
      </w:r>
      <w:r>
        <w:rPr>
          <w:rFonts w:hint="eastAsia" w:ascii="宋体" w:hAnsi="宋体"/>
          <w:szCs w:val="21"/>
          <w:lang w:val="en-US" w:eastAsia="zh-CN"/>
        </w:rPr>
        <w:t>1000分钟。</w:t>
      </w:r>
    </w:p>
    <w:p w14:paraId="6FC65B3C">
      <w:pPr>
        <w:spacing w:line="440" w:lineRule="exact"/>
        <w:ind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.每台移动终端每月国内5G通用流量≥</w:t>
      </w:r>
      <w:r>
        <w:rPr>
          <w:rFonts w:hint="eastAsia" w:ascii="宋体" w:hAnsi="宋体"/>
          <w:szCs w:val="21"/>
          <w:lang w:val="en-US" w:eastAsia="zh-CN"/>
        </w:rPr>
        <w:t>100</w:t>
      </w:r>
      <w:r>
        <w:rPr>
          <w:rFonts w:hint="eastAsia" w:ascii="宋体" w:hAnsi="宋体"/>
          <w:szCs w:val="21"/>
        </w:rPr>
        <w:t>GB，流量次月不清零</w:t>
      </w:r>
      <w:r>
        <w:rPr>
          <w:rFonts w:hint="eastAsia"/>
          <w:szCs w:val="21"/>
        </w:rPr>
        <w:t>、</w:t>
      </w:r>
      <w:r>
        <w:rPr>
          <w:rFonts w:hint="eastAsia" w:ascii="宋体" w:hAnsi="宋体"/>
          <w:szCs w:val="21"/>
        </w:rPr>
        <w:t>可累加上月流量。</w:t>
      </w:r>
    </w:p>
    <w:p w14:paraId="583D4E59">
      <w:pPr>
        <w:spacing w:line="440" w:lineRule="exact"/>
        <w:ind w:firstLine="420" w:firstLineChars="200"/>
        <w:rPr>
          <w:rFonts w:ascii="宋体" w:hAnsi="宋体"/>
          <w:szCs w:val="21"/>
        </w:rPr>
      </w:pPr>
      <w:r>
        <w:rPr>
          <w:rFonts w:hint="eastAsia" w:ascii="宋体" w:hAnsi="宋体"/>
          <w:szCs w:val="21"/>
          <w:lang w:val="en-US" w:eastAsia="zh-CN"/>
        </w:rPr>
        <w:t>4</w:t>
      </w:r>
      <w:r>
        <w:rPr>
          <w:rFonts w:hint="eastAsia" w:ascii="宋体" w:hAnsi="宋体"/>
          <w:szCs w:val="21"/>
        </w:rPr>
        <w:t>. 每台移动终端工作短信服务每月不少于200条。</w:t>
      </w:r>
    </w:p>
    <w:p w14:paraId="373D4EFC">
      <w:pPr>
        <w:spacing w:line="440" w:lineRule="exact"/>
        <w:ind w:firstLine="422" w:firstLineChars="200"/>
        <w:rPr>
          <w:rFonts w:ascii="宋体" w:hAnsi="宋体"/>
          <w:b/>
          <w:szCs w:val="21"/>
        </w:rPr>
      </w:pPr>
      <w:r>
        <w:rPr>
          <w:rFonts w:hint="eastAsia" w:ascii="宋体" w:hAnsi="宋体"/>
          <w:b/>
          <w:szCs w:val="21"/>
          <w:lang w:eastAsia="zh-CN"/>
        </w:rPr>
        <w:t>（</w:t>
      </w:r>
      <w:r>
        <w:rPr>
          <w:rFonts w:hint="eastAsia" w:ascii="宋体" w:hAnsi="宋体"/>
          <w:b/>
          <w:szCs w:val="21"/>
          <w:lang w:val="en-US" w:eastAsia="zh-CN"/>
        </w:rPr>
        <w:t>三</w:t>
      </w:r>
      <w:r>
        <w:rPr>
          <w:rFonts w:hint="eastAsia" w:ascii="宋体" w:hAnsi="宋体"/>
          <w:b/>
          <w:szCs w:val="21"/>
          <w:lang w:eastAsia="zh-CN"/>
        </w:rPr>
        <w:t>）</w:t>
      </w:r>
      <w:r>
        <w:rPr>
          <w:rFonts w:hint="eastAsia" w:ascii="宋体" w:hAnsi="宋体"/>
          <w:b/>
          <w:szCs w:val="21"/>
        </w:rPr>
        <w:t>内置服务要求</w:t>
      </w:r>
    </w:p>
    <w:p w14:paraId="3F3DEB0C">
      <w:pPr>
        <w:spacing w:line="440" w:lineRule="exact"/>
        <w:ind w:firstLine="420" w:firstLineChars="200"/>
        <w:rPr>
          <w:rFonts w:ascii="宋体" w:hAnsi="宋体"/>
          <w:szCs w:val="21"/>
        </w:rPr>
      </w:pPr>
      <w:r>
        <w:rPr>
          <w:rFonts w:hint="eastAsia" w:ascii="宋体" w:hAnsi="宋体"/>
          <w:szCs w:val="21"/>
          <w:highlight w:val="none"/>
        </w:rPr>
        <w:t>1.移动终端预装检察机关移动办公应用软件</w:t>
      </w:r>
      <w:r>
        <w:rPr>
          <w:rFonts w:hint="eastAsia" w:ascii="宋体" w:hAnsi="宋体"/>
          <w:szCs w:val="21"/>
        </w:rPr>
        <w:t>，包括360移动终端管理软件、移动CA客户端等。</w:t>
      </w:r>
    </w:p>
    <w:p w14:paraId="6113FAD3">
      <w:pPr>
        <w:spacing w:line="440" w:lineRule="exact"/>
        <w:ind w:firstLine="420" w:firstLineChars="200"/>
        <w:rPr>
          <w:rFonts w:ascii="宋体" w:hAnsi="宋体"/>
          <w:szCs w:val="21"/>
        </w:rPr>
      </w:pPr>
      <w:r>
        <w:rPr>
          <w:rFonts w:hint="eastAsia" w:ascii="宋体" w:hAnsi="宋体"/>
          <w:szCs w:val="21"/>
        </w:rPr>
        <w:t>2.移动终端预装软件相关设置（含功耗白名单）交付前即已完成，能够正常使用，用户不用另行操作干预，用户不可禁用阻止。</w:t>
      </w:r>
    </w:p>
    <w:p w14:paraId="0C64A6B0">
      <w:pPr>
        <w:spacing w:line="440" w:lineRule="exact"/>
        <w:ind w:firstLine="420" w:firstLineChars="200"/>
        <w:rPr>
          <w:rFonts w:ascii="宋体" w:hAnsi="宋体"/>
          <w:szCs w:val="21"/>
        </w:rPr>
      </w:pPr>
      <w:r>
        <w:rPr>
          <w:rFonts w:hint="eastAsia" w:ascii="宋体" w:hAnsi="宋体"/>
          <w:szCs w:val="21"/>
        </w:rPr>
        <w:t>3.移动终端在服务期内能够持续的在线自动升级预装软件的操作系统版本。</w:t>
      </w:r>
    </w:p>
    <w:p w14:paraId="6BBA7927">
      <w:pPr>
        <w:spacing w:line="440" w:lineRule="exact"/>
        <w:ind w:left="4" w:leftChars="2" w:firstLine="422" w:firstLineChars="200"/>
        <w:rPr>
          <w:rFonts w:ascii="宋体" w:hAnsi="宋体"/>
          <w:b/>
          <w:szCs w:val="21"/>
        </w:rPr>
      </w:pPr>
      <w:r>
        <w:rPr>
          <w:rFonts w:hint="eastAsia" w:ascii="宋体" w:hAnsi="宋体"/>
          <w:b/>
          <w:szCs w:val="21"/>
          <w:lang w:eastAsia="zh-CN"/>
        </w:rPr>
        <w:t>（</w:t>
      </w:r>
      <w:r>
        <w:rPr>
          <w:rFonts w:hint="eastAsia" w:ascii="宋体" w:hAnsi="宋体"/>
          <w:b/>
          <w:szCs w:val="21"/>
          <w:lang w:val="en-US" w:eastAsia="zh-CN"/>
        </w:rPr>
        <w:t>四</w:t>
      </w:r>
      <w:r>
        <w:rPr>
          <w:rFonts w:hint="eastAsia" w:ascii="宋体" w:hAnsi="宋体"/>
          <w:b/>
          <w:szCs w:val="21"/>
          <w:lang w:eastAsia="zh-CN"/>
        </w:rPr>
        <w:t>）</w:t>
      </w:r>
      <w:r>
        <w:rPr>
          <w:rFonts w:hint="eastAsia" w:ascii="宋体" w:hAnsi="宋体"/>
          <w:b/>
          <w:szCs w:val="21"/>
        </w:rPr>
        <w:t>终端服务要求：</w:t>
      </w:r>
    </w:p>
    <w:p w14:paraId="0E5D6EDD">
      <w:pPr>
        <w:spacing w:line="440" w:lineRule="exact"/>
        <w:ind w:firstLine="420" w:firstLineChars="200"/>
        <w:rPr>
          <w:rFonts w:ascii="宋体"/>
          <w:szCs w:val="21"/>
        </w:rPr>
      </w:pPr>
      <w:r>
        <w:rPr>
          <w:rFonts w:hint="eastAsia" w:ascii="宋体" w:hAnsi="宋体"/>
          <w:szCs w:val="21"/>
        </w:rPr>
        <w:t>服务期间提供</w:t>
      </w:r>
      <w:r>
        <w:rPr>
          <w:rFonts w:hint="eastAsia" w:ascii="宋体" w:hAnsi="宋体"/>
          <w:szCs w:val="21"/>
          <w:lang w:val="en-US" w:eastAsia="zh-CN"/>
        </w:rPr>
        <w:t>60</w:t>
      </w:r>
      <w:r>
        <w:rPr>
          <w:rFonts w:hint="eastAsia" w:ascii="宋体" w:hAnsi="宋体"/>
          <w:szCs w:val="21"/>
        </w:rPr>
        <w:t>套移动终端给用户使用，保证用户移动终端号码可以携号转网使用，并组建成企业集团网，移动终端</w:t>
      </w:r>
      <w:r>
        <w:rPr>
          <w:rFonts w:hint="eastAsia" w:ascii="宋体" w:hAnsi="宋体"/>
          <w:szCs w:val="21"/>
          <w:lang w:val="en-US" w:eastAsia="zh-CN"/>
        </w:rPr>
        <w:t>需要</w:t>
      </w:r>
      <w:r>
        <w:rPr>
          <w:rFonts w:hint="eastAsia" w:ascii="宋体" w:hAnsi="宋体"/>
          <w:szCs w:val="21"/>
        </w:rPr>
        <w:t>不低于以下性能参数：</w:t>
      </w:r>
    </w:p>
    <w:p w14:paraId="01B88C38">
      <w:pPr>
        <w:spacing w:line="440" w:lineRule="exact"/>
        <w:ind w:firstLine="420" w:firstLineChars="200"/>
        <w:rPr>
          <w:rFonts w:ascii="宋体"/>
          <w:szCs w:val="21"/>
        </w:rPr>
      </w:pPr>
      <w:r>
        <w:rPr>
          <w:rFonts w:hint="eastAsia" w:ascii="宋体" w:hAnsi="宋体"/>
          <w:szCs w:val="21"/>
        </w:rPr>
        <w:t>1）操作系统：国产自研操作系统。</w:t>
      </w:r>
    </w:p>
    <w:p w14:paraId="7C20E2C7">
      <w:pPr>
        <w:spacing w:line="440" w:lineRule="exact"/>
        <w:ind w:firstLine="420" w:firstLineChars="200"/>
        <w:rPr>
          <w:rFonts w:ascii="宋体"/>
          <w:color w:val="auto"/>
          <w:szCs w:val="21"/>
          <w:highlight w:val="none"/>
        </w:rPr>
      </w:pPr>
      <w:r>
        <w:rPr>
          <w:rFonts w:hint="eastAsia" w:ascii="宋体" w:hAnsi="宋体"/>
          <w:color w:val="auto"/>
          <w:szCs w:val="21"/>
        </w:rPr>
        <w:t>2）</w:t>
      </w:r>
      <w:r>
        <w:rPr>
          <w:rFonts w:hint="eastAsia" w:ascii="宋体" w:hAnsi="宋体"/>
          <w:color w:val="auto"/>
          <w:szCs w:val="21"/>
          <w:highlight w:val="none"/>
        </w:rPr>
        <w:t>处理器：</w:t>
      </w:r>
      <w:r>
        <w:rPr>
          <w:rFonts w:hint="eastAsia" w:ascii="宋体" w:hAnsi="宋体"/>
          <w:color w:val="auto"/>
          <w:szCs w:val="21"/>
          <w:highlight w:val="none"/>
          <w:lang w:eastAsia="zh-CN"/>
        </w:rPr>
        <w:t>国产自研处理器，</w:t>
      </w:r>
      <w:r>
        <w:rPr>
          <w:rFonts w:hint="eastAsia" w:ascii="宋体" w:hAnsi="宋体"/>
          <w:color w:val="auto"/>
          <w:szCs w:val="21"/>
          <w:highlight w:val="none"/>
        </w:rPr>
        <w:t>性能</w:t>
      </w:r>
      <w:r>
        <w:rPr>
          <w:rFonts w:hint="eastAsia" w:ascii="宋体" w:hAnsi="宋体"/>
          <w:color w:val="auto"/>
          <w:szCs w:val="21"/>
        </w:rPr>
        <w:t>≥</w:t>
      </w:r>
      <w:r>
        <w:rPr>
          <w:rFonts w:hint="eastAsia" w:ascii="宋体" w:hAnsi="宋体"/>
          <w:color w:val="auto"/>
          <w:szCs w:val="21"/>
          <w:highlight w:val="none"/>
        </w:rPr>
        <w:t>麒麟90</w:t>
      </w:r>
      <w:r>
        <w:rPr>
          <w:rFonts w:hint="eastAsia" w:ascii="宋体" w:hAnsi="宋体"/>
          <w:color w:val="auto"/>
          <w:szCs w:val="21"/>
          <w:highlight w:val="none"/>
          <w:lang w:val="en-US" w:eastAsia="zh-CN"/>
        </w:rPr>
        <w:t>20（12线程CPU：2*2.5GHz+6*2.15GHz+4*1.6GHz、GPU</w:t>
      </w:r>
      <w:r>
        <w:rPr>
          <w:rFonts w:hint="eastAsia" w:ascii="宋体" w:hAnsi="宋体"/>
          <w:color w:val="FF0000"/>
          <w:szCs w:val="21"/>
          <w:highlight w:val="none"/>
          <w:lang w:val="en-US" w:eastAsia="zh-CN"/>
        </w:rPr>
        <w:t>：</w:t>
      </w:r>
      <w:r>
        <w:rPr>
          <w:rFonts w:hint="eastAsia" w:ascii="宋体" w:hAnsi="宋体"/>
          <w:color w:val="auto"/>
          <w:szCs w:val="21"/>
          <w:highlight w:val="none"/>
          <w:lang w:val="en-US" w:eastAsia="zh-CN"/>
        </w:rPr>
        <w:t xml:space="preserve">Maleoon 920） </w:t>
      </w:r>
      <w:r>
        <w:rPr>
          <w:rFonts w:hint="eastAsia" w:ascii="宋体" w:hAnsi="宋体"/>
          <w:color w:val="auto"/>
          <w:szCs w:val="21"/>
          <w:highlight w:val="none"/>
        </w:rPr>
        <w:t>。</w:t>
      </w:r>
    </w:p>
    <w:p w14:paraId="1C0FE7B2">
      <w:pPr>
        <w:spacing w:line="440" w:lineRule="exact"/>
        <w:ind w:firstLine="420" w:firstLineChars="200"/>
        <w:rPr>
          <w:rFonts w:ascii="宋体"/>
          <w:color w:val="auto"/>
          <w:szCs w:val="21"/>
        </w:rPr>
      </w:pPr>
      <w:r>
        <w:rPr>
          <w:rFonts w:hint="eastAsia" w:ascii="宋体" w:hAnsi="宋体"/>
          <w:color w:val="auto"/>
          <w:szCs w:val="21"/>
          <w:lang w:val="en-US" w:eastAsia="zh-CN"/>
        </w:rPr>
        <w:t>3</w:t>
      </w:r>
      <w:r>
        <w:rPr>
          <w:rFonts w:hint="eastAsia" w:ascii="宋体" w:hAnsi="宋体"/>
          <w:color w:val="auto"/>
          <w:szCs w:val="21"/>
        </w:rPr>
        <w:t>）运行内存≥</w:t>
      </w:r>
      <w:r>
        <w:rPr>
          <w:rFonts w:hint="eastAsia" w:ascii="宋体" w:hAnsi="宋体"/>
          <w:color w:val="auto"/>
          <w:szCs w:val="21"/>
          <w:lang w:val="en-US" w:eastAsia="zh-CN"/>
        </w:rPr>
        <w:t>12</w:t>
      </w:r>
      <w:r>
        <w:rPr>
          <w:rFonts w:hint="eastAsia" w:ascii="宋体" w:hAnsi="宋体"/>
          <w:color w:val="auto"/>
          <w:szCs w:val="21"/>
        </w:rPr>
        <w:t>G，内置存储容量≥</w:t>
      </w:r>
      <w:r>
        <w:rPr>
          <w:rFonts w:hint="eastAsia" w:ascii="宋体" w:hAnsi="宋体"/>
          <w:color w:val="auto"/>
          <w:szCs w:val="21"/>
          <w:lang w:val="en-US" w:eastAsia="zh-CN"/>
        </w:rPr>
        <w:t>512</w:t>
      </w:r>
      <w:r>
        <w:rPr>
          <w:rFonts w:hint="eastAsia" w:ascii="宋体" w:hAnsi="宋体"/>
          <w:color w:val="auto"/>
          <w:szCs w:val="21"/>
        </w:rPr>
        <w:t>G。</w:t>
      </w:r>
    </w:p>
    <w:p w14:paraId="187BAE08">
      <w:pPr>
        <w:spacing w:line="440" w:lineRule="exact"/>
        <w:ind w:firstLine="420" w:firstLineChars="200"/>
        <w:rPr>
          <w:rFonts w:hint="eastAsia" w:ascii="宋体" w:hAnsi="宋体" w:eastAsiaTheme="minorEastAsia"/>
          <w:color w:val="auto"/>
          <w:szCs w:val="21"/>
          <w:lang w:val="en-US" w:eastAsia="zh-CN"/>
        </w:rPr>
      </w:pPr>
      <w:r>
        <w:rPr>
          <w:rFonts w:hint="eastAsia" w:ascii="宋体" w:hAnsi="宋体"/>
          <w:color w:val="auto"/>
          <w:szCs w:val="21"/>
          <w:lang w:val="en-US" w:eastAsia="zh-CN"/>
        </w:rPr>
        <w:t>4</w:t>
      </w:r>
      <w:r>
        <w:rPr>
          <w:rFonts w:hint="eastAsia" w:ascii="宋体" w:hAnsi="宋体"/>
          <w:color w:val="auto"/>
          <w:szCs w:val="21"/>
        </w:rPr>
        <w:t>）屏幕</w:t>
      </w:r>
      <w:r>
        <w:rPr>
          <w:rFonts w:hint="eastAsia" w:ascii="宋体" w:hAnsi="宋体"/>
          <w:color w:val="auto"/>
          <w:szCs w:val="21"/>
          <w:lang w:eastAsia="zh-CN"/>
        </w:rPr>
        <w:t>性能：屏幕</w:t>
      </w:r>
      <w:r>
        <w:rPr>
          <w:rFonts w:hint="eastAsia" w:ascii="宋体" w:hAnsi="宋体"/>
          <w:color w:val="auto"/>
          <w:szCs w:val="21"/>
        </w:rPr>
        <w:t>尺寸≥6.</w:t>
      </w:r>
      <w:r>
        <w:rPr>
          <w:rFonts w:hint="eastAsia" w:ascii="宋体" w:hAnsi="宋体"/>
          <w:color w:val="auto"/>
          <w:szCs w:val="21"/>
          <w:lang w:val="en-US" w:eastAsia="zh-CN"/>
        </w:rPr>
        <w:t>9</w:t>
      </w:r>
      <w:r>
        <w:rPr>
          <w:rFonts w:hint="eastAsia" w:ascii="宋体" w:hAnsi="宋体"/>
          <w:color w:val="auto"/>
          <w:szCs w:val="21"/>
        </w:rPr>
        <w:t>英寸</w:t>
      </w:r>
      <w:r>
        <w:rPr>
          <w:rFonts w:hint="eastAsia" w:ascii="宋体" w:hAnsi="宋体"/>
          <w:color w:val="auto"/>
          <w:szCs w:val="21"/>
          <w:lang w:eastAsia="zh-CN"/>
        </w:rPr>
        <w:t>，</w:t>
      </w:r>
      <w:r>
        <w:rPr>
          <w:rFonts w:hint="eastAsia" w:ascii="宋体" w:hAnsi="宋体"/>
          <w:color w:val="auto"/>
          <w:szCs w:val="21"/>
          <w:lang w:val="en-US" w:eastAsia="zh-CN"/>
        </w:rPr>
        <w:t>OLED</w:t>
      </w:r>
      <w:r>
        <w:rPr>
          <w:rFonts w:hint="eastAsia" w:ascii="宋体" w:hAnsi="宋体"/>
          <w:color w:val="auto"/>
          <w:szCs w:val="21"/>
          <w:lang w:eastAsia="zh-CN"/>
        </w:rPr>
        <w:t>曲面屏</w:t>
      </w:r>
      <w:r>
        <w:rPr>
          <w:rFonts w:hint="eastAsia" w:ascii="宋体" w:hAnsi="宋体"/>
          <w:color w:val="auto"/>
          <w:szCs w:val="21"/>
        </w:rPr>
        <w:t>。</w:t>
      </w:r>
      <w:r>
        <w:rPr>
          <w:rFonts w:hint="eastAsia" w:ascii="宋体" w:hAnsi="宋体"/>
          <w:color w:val="auto"/>
          <w:szCs w:val="21"/>
          <w:lang w:val="en-US" w:eastAsia="zh-CN"/>
        </w:rPr>
        <w:t>屏幕分辨率</w:t>
      </w:r>
      <w:r>
        <w:rPr>
          <w:rFonts w:hint="eastAsia" w:ascii="宋体" w:hAnsi="宋体"/>
          <w:color w:val="auto"/>
          <w:szCs w:val="21"/>
        </w:rPr>
        <w:t>≥</w:t>
      </w:r>
      <w:r>
        <w:rPr>
          <w:rFonts w:hint="eastAsia" w:ascii="宋体" w:hAnsi="宋体"/>
          <w:color w:val="auto"/>
          <w:szCs w:val="21"/>
          <w:lang w:val="en-US" w:eastAsia="zh-CN"/>
        </w:rPr>
        <w:t>FHD+ 2832 × 1316像素。</w:t>
      </w:r>
    </w:p>
    <w:p w14:paraId="4B2885EB">
      <w:pPr>
        <w:spacing w:line="440" w:lineRule="exact"/>
        <w:ind w:firstLine="420" w:firstLineChars="200"/>
        <w:rPr>
          <w:rStyle w:val="164"/>
          <w:rFonts w:ascii="宋体" w:hAnsi="宋体"/>
          <w:color w:val="auto"/>
          <w:szCs w:val="21"/>
          <w:shd w:val="clear" w:color="auto" w:fill="FFFFFF"/>
        </w:rPr>
      </w:pP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color w:val="auto"/>
          <w:szCs w:val="21"/>
          <w:highlight w:val="none"/>
        </w:rPr>
        <w:t>SIM卡：</w:t>
      </w:r>
      <w:r>
        <w:rPr>
          <w:rFonts w:hint="eastAsia" w:ascii="宋体" w:hAnsi="宋体"/>
          <w:color w:val="auto"/>
          <w:szCs w:val="21"/>
          <w:highlight w:val="none"/>
          <w:shd w:val="clear" w:color="auto" w:fill="FFFFFF"/>
        </w:rPr>
        <w:t>双卡，Nano SIM卡或超微型存储卡（NM存储卡）</w:t>
      </w:r>
      <w:r>
        <w:rPr>
          <w:rFonts w:hint="eastAsia" w:ascii="宋体" w:hAnsi="宋体"/>
          <w:color w:val="auto"/>
          <w:szCs w:val="21"/>
          <w:highlight w:val="none"/>
        </w:rPr>
        <w:t>。</w:t>
      </w:r>
    </w:p>
    <w:p w14:paraId="41E5B71F">
      <w:pPr>
        <w:spacing w:line="440" w:lineRule="exact"/>
        <w:ind w:firstLine="420" w:firstLineChars="200"/>
        <w:rPr>
          <w:rFonts w:hint="eastAsia"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）电池容量≥</w:t>
      </w:r>
      <w:r>
        <w:rPr>
          <w:rFonts w:hint="eastAsia" w:ascii="宋体" w:hAnsi="宋体"/>
          <w:color w:val="auto"/>
          <w:szCs w:val="21"/>
          <w:lang w:val="en-US" w:eastAsia="zh-CN"/>
        </w:rPr>
        <w:t>55</w:t>
      </w:r>
      <w:r>
        <w:rPr>
          <w:rFonts w:hint="eastAsia" w:ascii="宋体" w:hAnsi="宋体"/>
          <w:color w:val="auto"/>
          <w:szCs w:val="21"/>
        </w:rPr>
        <w:t>00mAh。</w:t>
      </w:r>
    </w:p>
    <w:p w14:paraId="4120DE32">
      <w:pPr>
        <w:spacing w:line="440" w:lineRule="exact"/>
        <w:ind w:firstLine="420" w:firstLineChars="200"/>
        <w:rPr>
          <w:rFonts w:hint="eastAsia" w:ascii="宋体" w:hAnsi="宋体" w:eastAsiaTheme="minorEastAsia"/>
          <w:szCs w:val="21"/>
          <w:lang w:val="en-US" w:eastAsia="zh-CN"/>
        </w:rPr>
      </w:pPr>
      <w:r>
        <w:rPr>
          <w:rFonts w:hint="eastAsia" w:ascii="宋体" w:hAnsi="宋体"/>
          <w:szCs w:val="21"/>
          <w:lang w:val="en-US" w:eastAsia="zh-CN"/>
        </w:rPr>
        <w:t>7）配备3D ToF人脸识别和侧边指纹。</w:t>
      </w:r>
    </w:p>
    <w:p w14:paraId="26CF1D4C">
      <w:pPr>
        <w:spacing w:line="440" w:lineRule="exact"/>
        <w:ind w:firstLine="420" w:firstLineChars="200"/>
        <w:rPr>
          <w:rFonts w:ascii="宋体"/>
          <w:szCs w:val="21"/>
        </w:rPr>
      </w:pPr>
      <w:r>
        <w:rPr>
          <w:rFonts w:hint="eastAsia" w:ascii="宋体" w:hAnsi="宋体"/>
          <w:szCs w:val="21"/>
          <w:lang w:val="en-US" w:eastAsia="zh-CN"/>
        </w:rPr>
        <w:t>8</w:t>
      </w:r>
      <w:r>
        <w:rPr>
          <w:rFonts w:hint="eastAsia" w:ascii="宋体" w:hAnsi="宋体"/>
          <w:szCs w:val="21"/>
        </w:rPr>
        <w:t>）网络制式：支持电信/移动/联通 5G/4G/</w:t>
      </w:r>
      <w:r>
        <w:rPr>
          <w:rFonts w:hint="eastAsia" w:ascii="宋体" w:hAnsi="宋体"/>
          <w:szCs w:val="21"/>
          <w:lang w:eastAsia="zh-CN"/>
        </w:rPr>
        <w:t>，</w:t>
      </w:r>
      <w:r>
        <w:rPr>
          <w:rFonts w:hint="eastAsia" w:ascii="宋体" w:hAnsi="宋体"/>
          <w:szCs w:val="21"/>
        </w:rPr>
        <w:t>无5G信号时自动切换到4G、3G、2G信号。</w:t>
      </w:r>
    </w:p>
    <w:p w14:paraId="62902330">
      <w:pPr>
        <w:spacing w:line="440" w:lineRule="exact"/>
        <w:ind w:firstLine="420" w:firstLineChars="200"/>
        <w:rPr>
          <w:rFonts w:ascii="宋体" w:hAnsi="宋体"/>
          <w:szCs w:val="21"/>
        </w:rPr>
      </w:pPr>
      <w:r>
        <w:rPr>
          <w:rFonts w:hint="eastAsia" w:ascii="宋体" w:hAnsi="宋体"/>
          <w:szCs w:val="21"/>
          <w:lang w:val="en-US" w:eastAsia="zh-CN"/>
        </w:rPr>
        <w:t>9</w:t>
      </w:r>
      <w:r>
        <w:rPr>
          <w:rFonts w:hint="eastAsia" w:ascii="宋体" w:hAnsi="宋体"/>
          <w:szCs w:val="21"/>
        </w:rPr>
        <w:t>）提供的移动终端通过用户的移动办公应用的检测认可。</w:t>
      </w:r>
    </w:p>
    <w:p w14:paraId="730ADDB7">
      <w:pPr>
        <w:spacing w:line="440" w:lineRule="exact"/>
        <w:ind w:firstLine="420" w:firstLineChars="200"/>
        <w:rPr>
          <w:rFonts w:ascii="宋体" w:hAnsi="宋体"/>
          <w:szCs w:val="21"/>
        </w:rPr>
      </w:pPr>
      <w:r>
        <w:rPr>
          <w:rFonts w:hint="eastAsia" w:ascii="宋体" w:hAnsi="宋体"/>
          <w:szCs w:val="21"/>
          <w:lang w:val="en-US" w:eastAsia="zh-CN"/>
        </w:rPr>
        <w:t>10</w:t>
      </w:r>
      <w:r>
        <w:rPr>
          <w:rFonts w:hint="eastAsia" w:ascii="宋体" w:hAnsi="宋体"/>
          <w:szCs w:val="21"/>
        </w:rPr>
        <w:t>）提供的移动终端应满足用户安全接入平台适配和移动办公需求。</w:t>
      </w:r>
    </w:p>
    <w:p w14:paraId="234A1678">
      <w:pPr>
        <w:spacing w:line="440" w:lineRule="exact"/>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1</w:t>
      </w:r>
      <w:r>
        <w:rPr>
          <w:rFonts w:hint="eastAsia" w:ascii="宋体" w:hAnsi="宋体"/>
          <w:szCs w:val="21"/>
        </w:rPr>
        <w:t>）所提供的移动终端能够通过5G（并兼容4G/4G+、3G、2G以及未来制式）的无线网络及本项目的安全专用链路接入用户专用网络。</w:t>
      </w:r>
    </w:p>
    <w:p w14:paraId="2BE403E8">
      <w:pPr>
        <w:spacing w:line="440" w:lineRule="exact"/>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）含24个月设备厂商质保服务。</w:t>
      </w:r>
    </w:p>
    <w:p w14:paraId="2C820B0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textAlignment w:val="auto"/>
        <w:rPr>
          <w:rFonts w:hint="eastAsia"/>
          <w:strike/>
          <w:dstrike w:val="0"/>
          <w:color w:val="FF0000"/>
          <w:sz w:val="21"/>
        </w:rPr>
      </w:pPr>
      <w:r>
        <w:rPr>
          <w:rFonts w:hint="eastAsia" w:ascii="宋体" w:hAnsi="宋体" w:cs="宋体"/>
          <w:color w:val="auto"/>
          <w:sz w:val="21"/>
          <w:szCs w:val="21"/>
          <w:highlight w:val="none"/>
          <w:lang w:val="en-US" w:eastAsia="zh-CN"/>
        </w:rPr>
        <w:t>13）供应商提供增值服务。</w:t>
      </w:r>
    </w:p>
    <w:p w14:paraId="1C04811D">
      <w:pPr>
        <w:spacing w:line="440" w:lineRule="exact"/>
        <w:ind w:firstLine="422" w:firstLineChars="200"/>
        <w:rPr>
          <w:rFonts w:ascii="宋体"/>
          <w:b/>
          <w:szCs w:val="21"/>
        </w:rPr>
      </w:pPr>
      <w:r>
        <w:rPr>
          <w:rFonts w:hint="eastAsia" w:ascii="宋体"/>
          <w:b/>
          <w:szCs w:val="21"/>
          <w:lang w:eastAsia="zh-CN"/>
        </w:rPr>
        <w:t>（</w:t>
      </w:r>
      <w:r>
        <w:rPr>
          <w:rFonts w:hint="eastAsia" w:ascii="宋体"/>
          <w:b/>
          <w:szCs w:val="21"/>
          <w:lang w:val="en-US" w:eastAsia="zh-CN"/>
        </w:rPr>
        <w:t>五</w:t>
      </w:r>
      <w:r>
        <w:rPr>
          <w:rFonts w:hint="eastAsia" w:ascii="宋体"/>
          <w:b/>
          <w:szCs w:val="21"/>
          <w:lang w:eastAsia="zh-CN"/>
        </w:rPr>
        <w:t>）</w:t>
      </w:r>
      <w:r>
        <w:rPr>
          <w:rFonts w:hint="eastAsia" w:ascii="宋体"/>
          <w:b/>
          <w:szCs w:val="21"/>
        </w:rPr>
        <w:t>驻场服务要求：</w:t>
      </w:r>
    </w:p>
    <w:p w14:paraId="22340BA6">
      <w:pPr>
        <w:spacing w:line="440" w:lineRule="exact"/>
        <w:ind w:firstLine="420" w:firstLineChars="200"/>
        <w:rPr>
          <w:rFonts w:hint="eastAsia" w:ascii="宋体" w:hAnsi="宋体"/>
          <w:szCs w:val="21"/>
        </w:rPr>
      </w:pPr>
      <w:r>
        <w:rPr>
          <w:rFonts w:hint="eastAsia" w:ascii="宋体" w:hAnsi="宋体"/>
          <w:szCs w:val="21"/>
        </w:rPr>
        <w:t>1.服务期内，对用户故障排除、系统运行提供全年7*24小时业务配合。</w:t>
      </w:r>
    </w:p>
    <w:p w14:paraId="2324EB38">
      <w:pPr>
        <w:spacing w:line="440" w:lineRule="exact"/>
        <w:ind w:firstLine="420" w:firstLineChars="200"/>
      </w:pPr>
      <w:r>
        <w:rPr>
          <w:rFonts w:hint="eastAsia"/>
          <w:lang w:val="en-US" w:eastAsia="zh-CN"/>
        </w:rPr>
        <w:t>2.</w:t>
      </w:r>
      <w:r>
        <w:rPr>
          <w:rFonts w:hint="eastAsia"/>
        </w:rPr>
        <w:t>交付使用时间及地点：自签订合同之日起30个日历日内，钦州市内（采购人指定地点）交付。</w:t>
      </w:r>
    </w:p>
    <w:p w14:paraId="7CDE4ED1">
      <w:pPr>
        <w:spacing w:line="440" w:lineRule="exact"/>
        <w:ind w:firstLine="420" w:firstLineChars="200"/>
        <w:rPr>
          <w:rFonts w:hint="eastAsia"/>
        </w:rPr>
      </w:pPr>
      <w:r>
        <w:rPr>
          <w:rFonts w:hint="eastAsia"/>
          <w:lang w:val="en-US" w:eastAsia="zh-CN"/>
        </w:rPr>
        <w:t>3.</w:t>
      </w:r>
      <w:r>
        <w:rPr>
          <w:rFonts w:hint="eastAsia"/>
        </w:rPr>
        <w:t>售后服务要求：</w:t>
      </w:r>
    </w:p>
    <w:p w14:paraId="270C474B">
      <w:pPr>
        <w:spacing w:line="440" w:lineRule="exact"/>
        <w:ind w:firstLine="420" w:firstLineChars="200"/>
        <w:rPr>
          <w:color w:val="auto"/>
          <w:highlight w:val="none"/>
          <w:shd w:val="clear" w:color="auto" w:fill="auto"/>
        </w:rPr>
      </w:pPr>
      <w:r>
        <w:rPr>
          <w:rFonts w:hint="eastAsia"/>
        </w:rPr>
        <w:t>（1）要求至少包含产品部分及定制开发部分原厂2年维保服务， 在租用期限内，成交人应严格遵守《中华人民共和国电信条例》，维护双方权益，应按信息产业部颁布的&lt;电信服务标准&gt;的电路质量要求，保证</w:t>
      </w:r>
      <w:r>
        <w:rPr>
          <w:rFonts w:hint="eastAsia"/>
          <w:color w:val="auto"/>
          <w:highlight w:val="none"/>
          <w:shd w:val="clear" w:color="auto" w:fill="auto"/>
        </w:rPr>
        <w:t>采购人租用线路畅通及安全使用；</w:t>
      </w:r>
    </w:p>
    <w:p w14:paraId="6130733C">
      <w:pPr>
        <w:spacing w:line="440" w:lineRule="exact"/>
        <w:ind w:firstLine="420" w:firstLineChars="200"/>
        <w:rPr>
          <w:rFonts w:hint="eastAsia"/>
          <w:color w:val="auto"/>
          <w:highlight w:val="none"/>
          <w:shd w:val="clear" w:color="auto" w:fill="auto"/>
        </w:rPr>
      </w:pPr>
      <w:r>
        <w:rPr>
          <w:rFonts w:hint="eastAsia"/>
          <w:color w:val="auto"/>
          <w:highlight w:val="none"/>
          <w:shd w:val="clear" w:color="auto" w:fill="auto"/>
        </w:rPr>
        <w:t>（2）服务期间，提供7×24小时热线电话服务，并提供多个故障申告途径及绿色通道，做到全方位响应，并</w:t>
      </w:r>
      <w:r>
        <w:rPr>
          <w:rFonts w:hint="eastAsia"/>
          <w:color w:val="auto"/>
          <w:highlight w:val="none"/>
          <w:shd w:val="clear" w:color="auto" w:fill="auto"/>
          <w:lang w:eastAsia="zh-CN"/>
        </w:rPr>
        <w:t>至少指定</w:t>
      </w:r>
      <w:r>
        <w:rPr>
          <w:rFonts w:hint="eastAsia"/>
          <w:color w:val="auto"/>
          <w:highlight w:val="none"/>
          <w:shd w:val="clear" w:color="auto" w:fill="auto"/>
          <w:lang w:val="en-US" w:eastAsia="zh-CN"/>
        </w:rPr>
        <w:t>1名网络工程师</w:t>
      </w:r>
      <w:r>
        <w:rPr>
          <w:rFonts w:hint="eastAsia"/>
          <w:color w:val="auto"/>
          <w:highlight w:val="none"/>
          <w:shd w:val="clear" w:color="auto" w:fill="auto"/>
        </w:rPr>
        <w:t>负责上门受理调试日常维护及平时协助甲方维护检测等工作；提供365×24小时的售后服务响应；运营商对用户故障排除、系统运行提供全年7×24小时业务配合，响应文件中供应商必须提交7×24小时技术支持电话服务及售后服务承诺书。</w:t>
      </w:r>
    </w:p>
    <w:p w14:paraId="5427ECA1">
      <w:pPr>
        <w:spacing w:line="440" w:lineRule="exact"/>
        <w:ind w:firstLine="420" w:firstLineChars="200"/>
        <w:rPr>
          <w:rFonts w:hint="eastAsia" w:eastAsia="宋体"/>
          <w:color w:val="auto"/>
          <w:highlight w:val="none"/>
          <w:shd w:val="clear" w:color="auto" w:fill="auto"/>
          <w:lang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3</w:t>
      </w:r>
      <w:r>
        <w:rPr>
          <w:rFonts w:hint="eastAsia"/>
          <w:color w:val="auto"/>
          <w:highlight w:val="none"/>
          <w:shd w:val="clear" w:color="auto" w:fill="auto"/>
          <w:lang w:eastAsia="zh-CN"/>
        </w:rPr>
        <w:t>）根据用户要求，提供驻场集中个人业务（开通通话、短信等）办理服务，并换机技术支持服务等，具体服务次数根据业务需求确定。</w:t>
      </w:r>
    </w:p>
    <w:p w14:paraId="5DE6D14F">
      <w:pPr>
        <w:spacing w:line="440" w:lineRule="exact"/>
        <w:ind w:firstLine="420" w:firstLineChars="200"/>
      </w:pPr>
      <w:r>
        <w:rPr>
          <w:rFonts w:hint="eastAsia"/>
        </w:rPr>
        <w:t>（</w:t>
      </w:r>
      <w:r>
        <w:rPr>
          <w:rFonts w:hint="eastAsia"/>
          <w:lang w:val="en-US" w:eastAsia="zh-CN"/>
        </w:rPr>
        <w:t>4</w:t>
      </w:r>
      <w:r>
        <w:rPr>
          <w:rFonts w:hint="eastAsia"/>
        </w:rPr>
        <w:t>）保证网络的畅通，</w:t>
      </w:r>
      <w:r>
        <w:rPr>
          <w:rFonts w:hint="eastAsia"/>
          <w:lang w:val="en-US" w:eastAsia="zh-CN"/>
        </w:rPr>
        <w:t>成交</w:t>
      </w:r>
      <w:r>
        <w:rPr>
          <w:rFonts w:hint="eastAsia"/>
        </w:rPr>
        <w:t>人到用户</w:t>
      </w:r>
      <w:r>
        <w:rPr>
          <w:rFonts w:hint="eastAsia"/>
          <w:lang w:eastAsia="zh-CN"/>
        </w:rPr>
        <w:t>上级</w:t>
      </w:r>
      <w:r>
        <w:rPr>
          <w:rFonts w:hint="eastAsia"/>
        </w:rPr>
        <w:t>单位（自治区人民检察院）主干光缆所有设备的运行维护，如光端机、转换器等设备，如果主干网络出现问题，必须在接到报告后1个小时内到达现场，负责排除故障，直到网络恢复正常，如设备故障在4小时内无法解决的，应提供备机，确保网络正常运行；</w:t>
      </w:r>
    </w:p>
    <w:p w14:paraId="547751BB">
      <w:pPr>
        <w:spacing w:line="440" w:lineRule="exact"/>
        <w:ind w:firstLine="420" w:firstLineChars="200"/>
      </w:pPr>
      <w:r>
        <w:rPr>
          <w:rFonts w:hint="eastAsia"/>
        </w:rPr>
        <w:t>（</w:t>
      </w:r>
      <w:r>
        <w:rPr>
          <w:rFonts w:hint="eastAsia"/>
          <w:lang w:val="en-US" w:eastAsia="zh-CN"/>
        </w:rPr>
        <w:t>5</w:t>
      </w:r>
      <w:r>
        <w:rPr>
          <w:rFonts w:hint="eastAsia"/>
        </w:rPr>
        <w:t>）</w:t>
      </w:r>
      <w:r>
        <w:rPr>
          <w:rFonts w:hint="eastAsia"/>
          <w:lang w:val="en-US" w:eastAsia="zh-CN"/>
        </w:rPr>
        <w:t>成交</w:t>
      </w:r>
      <w:r>
        <w:rPr>
          <w:rFonts w:hint="eastAsia"/>
        </w:rPr>
        <w:t>人必须提供保密承诺、廉洁承诺和售后服务承诺；</w:t>
      </w:r>
    </w:p>
    <w:p w14:paraId="7DA9798A">
      <w:pPr>
        <w:spacing w:line="440" w:lineRule="exact"/>
        <w:ind w:firstLine="420" w:firstLineChars="200"/>
      </w:pPr>
      <w:r>
        <w:rPr>
          <w:rFonts w:hint="eastAsia"/>
        </w:rPr>
        <w:t>（</w:t>
      </w:r>
      <w:r>
        <w:rPr>
          <w:rFonts w:hint="eastAsia"/>
          <w:lang w:val="en-US" w:eastAsia="zh-CN"/>
        </w:rPr>
        <w:t>6</w:t>
      </w:r>
      <w:r>
        <w:rPr>
          <w:rFonts w:hint="eastAsia"/>
        </w:rPr>
        <w:t>）</w:t>
      </w:r>
      <w:r>
        <w:rPr>
          <w:rFonts w:hint="eastAsia"/>
          <w:lang w:val="en-US" w:eastAsia="zh-CN"/>
        </w:rPr>
        <w:t>成交</w:t>
      </w:r>
      <w:r>
        <w:rPr>
          <w:rFonts w:hint="eastAsia"/>
        </w:rPr>
        <w:t>人在电路租用期间应提供传输知识培训和培训方案，指导采购方技术人员做好日常维护；</w:t>
      </w:r>
    </w:p>
    <w:p w14:paraId="37EEBD5E">
      <w:pPr>
        <w:spacing w:line="440" w:lineRule="exact"/>
        <w:ind w:firstLine="420" w:firstLineChars="200"/>
        <w:rPr>
          <w:rFonts w:hint="eastAsia"/>
        </w:rPr>
      </w:pPr>
      <w:r>
        <w:rPr>
          <w:rFonts w:hint="eastAsia"/>
        </w:rPr>
        <w:t>（</w:t>
      </w:r>
      <w:r>
        <w:rPr>
          <w:rFonts w:hint="eastAsia"/>
          <w:lang w:val="en-US" w:eastAsia="zh-CN"/>
        </w:rPr>
        <w:t>7</w:t>
      </w:r>
      <w:r>
        <w:rPr>
          <w:rFonts w:hint="eastAsia"/>
        </w:rPr>
        <w:t>）当用户网络需要扩展或升级时，负责提供相应解决方案等技术支持；因成交人施工、网络割接等原因影响宽带网络运行的，应当提前一天通知用户，并且尽快消除故障、恢复通信线路。</w:t>
      </w:r>
    </w:p>
    <w:p w14:paraId="0215E02E">
      <w:pPr>
        <w:pStyle w:val="18"/>
        <w:ind w:firstLine="480"/>
        <w:rPr>
          <w:rFonts w:hint="default"/>
          <w:lang w:val="en-US" w:eastAsia="zh-CN"/>
        </w:rPr>
      </w:pPr>
    </w:p>
    <w:p w14:paraId="2CCF4AFB">
      <w:pPr>
        <w:spacing w:line="500" w:lineRule="exact"/>
        <w:rPr>
          <w:rFonts w:hint="eastAsia" w:ascii="黑体" w:hAnsi="黑体" w:eastAsia="黑体" w:cs="黑体"/>
          <w:bCs/>
          <w:color w:val="auto"/>
          <w:sz w:val="28"/>
          <w:szCs w:val="28"/>
          <w:highlight w:val="none"/>
          <w:lang w:val="en-US" w:eastAsia="zh-CN"/>
        </w:rPr>
      </w:pPr>
      <w:r>
        <w:rPr>
          <w:rFonts w:hint="eastAsia" w:ascii="黑体" w:hAnsi="黑体" w:eastAsia="黑体" w:cs="黑体"/>
          <w:bCs/>
          <w:color w:val="auto"/>
          <w:sz w:val="28"/>
          <w:szCs w:val="28"/>
          <w:highlight w:val="none"/>
          <w:lang w:val="en-US" w:eastAsia="zh-CN"/>
        </w:rPr>
        <w:t>二、商务要求</w:t>
      </w:r>
    </w:p>
    <w:tbl>
      <w:tblPr>
        <w:tblStyle w:val="39"/>
        <w:tblW w:w="97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95"/>
        <w:gridCol w:w="7582"/>
      </w:tblGrid>
      <w:tr w14:paraId="57D4C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9777" w:type="dxa"/>
            <w:gridSpan w:val="2"/>
            <w:vAlign w:val="center"/>
          </w:tcPr>
          <w:p w14:paraId="2BC5C608">
            <w:pPr>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基本要求</w:t>
            </w:r>
          </w:p>
        </w:tc>
      </w:tr>
      <w:tr w14:paraId="3357D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2195" w:type="dxa"/>
            <w:vAlign w:val="center"/>
          </w:tcPr>
          <w:p w14:paraId="37FE08A3">
            <w:pPr>
              <w:tabs>
                <w:tab w:val="left" w:pos="180"/>
                <w:tab w:val="left" w:pos="1620"/>
              </w:tabs>
              <w:spacing w:line="32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磋商报价要求</w:t>
            </w:r>
          </w:p>
        </w:tc>
        <w:tc>
          <w:tcPr>
            <w:tcW w:w="7582" w:type="dxa"/>
            <w:vAlign w:val="center"/>
          </w:tcPr>
          <w:p w14:paraId="6D25E17A">
            <w:pPr>
              <w:spacing w:line="4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本项目报价为采购人提供的所有服务的报价，报价应包含项目整体服务的价格，必要的保险费用和各项税金，安装、调试、培训、技术支持、售后服务、更新升级等费用，项目验收产生的费用，货物运输、安装、上门的费用的总和。除另有约定外，合同价不因任何因素而调整。甲方不再另行向乙方支付其他任何费用。</w:t>
            </w:r>
          </w:p>
        </w:tc>
      </w:tr>
      <w:tr w14:paraId="754B2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2195" w:type="dxa"/>
            <w:vAlign w:val="center"/>
          </w:tcPr>
          <w:p w14:paraId="3D410D69">
            <w:pPr>
              <w:tabs>
                <w:tab w:val="left" w:pos="180"/>
                <w:tab w:val="left" w:pos="1620"/>
              </w:tabs>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合同签订时间</w:t>
            </w:r>
          </w:p>
        </w:tc>
        <w:tc>
          <w:tcPr>
            <w:tcW w:w="7582" w:type="dxa"/>
            <w:vAlign w:val="center"/>
          </w:tcPr>
          <w:p w14:paraId="2FD8E51E">
            <w:pPr>
              <w:tabs>
                <w:tab w:val="left" w:pos="1185"/>
              </w:tabs>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自成交通知书发出之日起</w:t>
            </w:r>
            <w:r>
              <w:rPr>
                <w:rFonts w:hint="eastAsia"/>
                <w:lang w:val="en-US" w:eastAsia="zh-CN"/>
              </w:rPr>
              <w:t>15</w:t>
            </w:r>
            <w:r>
              <w:rPr>
                <w:rFonts w:hint="eastAsia" w:ascii="宋体" w:hAnsi="宋体" w:eastAsia="宋体" w:cs="宋体"/>
                <w:bCs/>
                <w:color w:val="auto"/>
                <w:sz w:val="21"/>
                <w:szCs w:val="21"/>
                <w:highlight w:val="none"/>
              </w:rPr>
              <w:t>个工作日内。</w:t>
            </w:r>
          </w:p>
        </w:tc>
      </w:tr>
      <w:tr w14:paraId="5F4BD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2195" w:type="dxa"/>
            <w:vAlign w:val="center"/>
          </w:tcPr>
          <w:p w14:paraId="5DFFB6A9">
            <w:pPr>
              <w:tabs>
                <w:tab w:val="left" w:pos="180"/>
                <w:tab w:val="left" w:pos="1620"/>
              </w:tabs>
              <w:spacing w:line="320" w:lineRule="exact"/>
              <w:jc w:val="center"/>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付款</w:t>
            </w:r>
            <w:r>
              <w:rPr>
                <w:rFonts w:hint="eastAsia" w:ascii="宋体" w:hAnsi="宋体" w:eastAsia="宋体" w:cs="宋体"/>
                <w:color w:val="auto"/>
                <w:sz w:val="21"/>
                <w:szCs w:val="21"/>
                <w:highlight w:val="none"/>
                <w:lang w:eastAsia="zh-CN"/>
              </w:rPr>
              <w:t>形式</w:t>
            </w:r>
          </w:p>
        </w:tc>
        <w:tc>
          <w:tcPr>
            <w:tcW w:w="7582" w:type="dxa"/>
            <w:vAlign w:val="center"/>
          </w:tcPr>
          <w:p w14:paraId="78236D3D">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签订合同后10个工作日内支付30%预付款给乙方；正式提供服务后10个工作日内支付50%进度款给乙方；项目最终验收合格后10个工作日内支付20%尾款给乙方。甲方付款前，乙方应向甲方开具等额有效的增值税发票，甲方未收到发票的，有权不予支付相应款项直至乙方提供合格发票，并不承担延迟付款责任。</w:t>
            </w:r>
          </w:p>
        </w:tc>
      </w:tr>
      <w:tr w14:paraId="39C1F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2195" w:type="dxa"/>
            <w:vAlign w:val="center"/>
          </w:tcPr>
          <w:p w14:paraId="17001913">
            <w:pPr>
              <w:tabs>
                <w:tab w:val="left" w:pos="180"/>
                <w:tab w:val="left" w:pos="1620"/>
              </w:tabs>
              <w:spacing w:line="320" w:lineRule="exact"/>
              <w:jc w:val="center"/>
              <w:rPr>
                <w:rFonts w:hint="eastAsia" w:ascii="宋体" w:hAnsi="宋体" w:eastAsia="宋体" w:cs="宋体"/>
                <w:color w:val="auto"/>
                <w:sz w:val="21"/>
                <w:szCs w:val="21"/>
                <w:highlight w:val="none"/>
              </w:rPr>
            </w:pPr>
            <w:r>
              <w:rPr>
                <w:rFonts w:hint="eastAsia" w:ascii="宋体" w:hAnsi="宋体" w:cs="宋体"/>
                <w:bCs/>
                <w:color w:val="auto"/>
                <w:sz w:val="21"/>
                <w:szCs w:val="21"/>
                <w:highlight w:val="none"/>
                <w:lang w:val="en-US" w:eastAsia="zh-CN"/>
              </w:rPr>
              <w:t>服务</w:t>
            </w:r>
            <w:r>
              <w:rPr>
                <w:rFonts w:hint="eastAsia" w:ascii="宋体" w:hAnsi="宋体" w:eastAsia="宋体" w:cs="宋体"/>
                <w:bCs/>
                <w:color w:val="auto"/>
                <w:sz w:val="21"/>
                <w:szCs w:val="21"/>
                <w:highlight w:val="none"/>
              </w:rPr>
              <w:t>期限</w:t>
            </w:r>
          </w:p>
        </w:tc>
        <w:tc>
          <w:tcPr>
            <w:tcW w:w="7582" w:type="dxa"/>
            <w:vAlign w:val="center"/>
          </w:tcPr>
          <w:p w14:paraId="75836D21">
            <w:pPr>
              <w:pStyle w:val="17"/>
              <w:keepNext w:val="0"/>
              <w:keepLines w:val="0"/>
              <w:pageBreakBefore w:val="0"/>
              <w:widowControl/>
              <w:kinsoku w:val="0"/>
              <w:wordWrap/>
              <w:overflowPunct/>
              <w:topLinePunct w:val="0"/>
              <w:autoSpaceDE w:val="0"/>
              <w:autoSpaceDN w:val="0"/>
              <w:bidi w:val="0"/>
              <w:adjustRightInd w:val="0"/>
              <w:snapToGrid w:val="0"/>
              <w:spacing w:before="63" w:line="360" w:lineRule="exact"/>
              <w:ind w:firstLine="420" w:firstLineChars="200"/>
              <w:textAlignment w:val="baseline"/>
              <w:rPr>
                <w:rFonts w:hint="default" w:ascii="宋体" w:hAnsi="宋体" w:eastAsia="宋体" w:cs="宋体"/>
                <w:color w:val="auto"/>
                <w:sz w:val="21"/>
                <w:szCs w:val="21"/>
                <w:highlight w:val="none"/>
                <w:lang w:val="en-US" w:eastAsia="zh-CN"/>
              </w:rPr>
            </w:pPr>
            <w:r>
              <w:rPr>
                <w:rFonts w:hint="eastAsia" w:ascii="宋体" w:hAnsi="宋体" w:cs="宋体"/>
                <w:snapToGrid w:val="0"/>
                <w:color w:val="auto"/>
                <w:kern w:val="0"/>
                <w:sz w:val="21"/>
                <w:szCs w:val="21"/>
                <w:highlight w:val="none"/>
                <w:lang w:val="en-US" w:eastAsia="zh-CN" w:bidi="ar-SA"/>
              </w:rPr>
              <w:t>整体项目服务期24</w:t>
            </w:r>
            <w:r>
              <w:rPr>
                <w:rFonts w:hint="eastAsia" w:ascii="宋体" w:hAnsi="宋体" w:eastAsia="宋体" w:cs="宋体"/>
                <w:snapToGrid w:val="0"/>
                <w:color w:val="auto"/>
                <w:kern w:val="0"/>
                <w:sz w:val="21"/>
                <w:szCs w:val="21"/>
                <w:highlight w:val="none"/>
                <w:lang w:val="en-US" w:eastAsia="en-US" w:bidi="ar-SA"/>
              </w:rPr>
              <w:t>个月（自</w:t>
            </w:r>
            <w:r>
              <w:rPr>
                <w:rFonts w:hint="eastAsia" w:ascii="宋体" w:hAnsi="宋体" w:cs="宋体"/>
                <w:snapToGrid w:val="0"/>
                <w:color w:val="auto"/>
                <w:kern w:val="0"/>
                <w:sz w:val="21"/>
                <w:szCs w:val="21"/>
                <w:highlight w:val="none"/>
                <w:lang w:val="en-US" w:eastAsia="zh-CN" w:bidi="ar-SA"/>
              </w:rPr>
              <w:t>项目交付签收日起算</w:t>
            </w:r>
            <w:r>
              <w:rPr>
                <w:rFonts w:hint="eastAsia" w:ascii="宋体" w:hAnsi="宋体" w:eastAsia="宋体" w:cs="宋体"/>
                <w:snapToGrid w:val="0"/>
                <w:color w:val="auto"/>
                <w:kern w:val="0"/>
                <w:sz w:val="21"/>
                <w:szCs w:val="21"/>
                <w:highlight w:val="none"/>
                <w:lang w:val="en-US" w:eastAsia="en-US" w:bidi="ar-SA"/>
              </w:rPr>
              <w:t>）</w:t>
            </w:r>
            <w:r>
              <w:rPr>
                <w:rFonts w:hint="eastAsia" w:ascii="宋体" w:hAnsi="宋体" w:cs="宋体"/>
                <w:snapToGrid w:val="0"/>
                <w:color w:val="auto"/>
                <w:kern w:val="0"/>
                <w:sz w:val="21"/>
                <w:szCs w:val="21"/>
                <w:highlight w:val="none"/>
                <w:lang w:val="en-US" w:eastAsia="zh-CN" w:bidi="ar-SA"/>
              </w:rPr>
              <w:t>，其中最后1个月属于项目过渡服务期，成交人需要积极配合采购人做好项目衔接过渡工作。</w:t>
            </w:r>
          </w:p>
        </w:tc>
      </w:tr>
      <w:tr w14:paraId="1E85D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2195" w:type="dxa"/>
            <w:vAlign w:val="center"/>
          </w:tcPr>
          <w:p w14:paraId="69CD4971">
            <w:pPr>
              <w:tabs>
                <w:tab w:val="left" w:pos="180"/>
                <w:tab w:val="left" w:pos="1620"/>
              </w:tabs>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7582" w:type="dxa"/>
            <w:vAlign w:val="center"/>
          </w:tcPr>
          <w:p w14:paraId="214FC34F">
            <w:pPr>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供应商一旦成交应做出下列承诺：</w:t>
            </w:r>
          </w:p>
          <w:p w14:paraId="2481C97C">
            <w:pPr>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1.成交人不得以任何理由转包本项目。</w:t>
            </w:r>
          </w:p>
          <w:p w14:paraId="5F550F61">
            <w:pPr>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2.供应商一旦成交，除不可抗力因素外，未经采购人书面同意，不得改变拟任的项目人员;否则，其成交无效。</w:t>
            </w:r>
          </w:p>
        </w:tc>
      </w:tr>
      <w:tr w14:paraId="0B754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2195" w:type="dxa"/>
            <w:vAlign w:val="center"/>
          </w:tcPr>
          <w:p w14:paraId="2E4777D2">
            <w:pPr>
              <w:spacing w:line="360" w:lineRule="atLeas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验收标准</w:t>
            </w:r>
          </w:p>
        </w:tc>
        <w:tc>
          <w:tcPr>
            <w:tcW w:w="7582" w:type="dxa"/>
            <w:vAlign w:val="center"/>
          </w:tcPr>
          <w:p w14:paraId="50D84A83">
            <w:pPr>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1.采购人将同时按照采购文件</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成交人响应文件承诺的条款</w:t>
            </w:r>
            <w:r>
              <w:rPr>
                <w:rFonts w:hint="eastAsia" w:ascii="宋体" w:hAnsi="宋体" w:cs="宋体"/>
                <w:color w:val="auto"/>
                <w:sz w:val="21"/>
                <w:szCs w:val="21"/>
                <w:highlight w:val="none"/>
                <w:lang w:eastAsia="zh-CN"/>
              </w:rPr>
              <w:t>以及采购合同条款</w:t>
            </w:r>
            <w:r>
              <w:rPr>
                <w:rFonts w:hint="eastAsia" w:ascii="宋体" w:hAnsi="宋体" w:eastAsia="宋体" w:cs="宋体"/>
                <w:color w:val="auto"/>
                <w:sz w:val="21"/>
                <w:szCs w:val="21"/>
                <w:highlight w:val="none"/>
              </w:rPr>
              <w:t>进行验收，如所提供相关服务不符合要求或项目验收不合格，由成交人在规定时间内进行整改，或返工直至合格。有关返工、再行验收给采购单位造成的损失等费用均由成交人承担。</w:t>
            </w:r>
          </w:p>
          <w:p w14:paraId="10A73421">
            <w:pPr>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未尽事宜应严格按照《关于印发广西壮族自治区政府采购项目履约验收管理办法的通知》[桂财采〔2015〕22号]以及《财政部关于进一步加强政府采购需求和履约验收管理的指导意见》[财库〔2016〕205号]规定执行。</w:t>
            </w:r>
          </w:p>
        </w:tc>
      </w:tr>
      <w:tr w14:paraId="569CC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2195" w:type="dxa"/>
            <w:vAlign w:val="center"/>
          </w:tcPr>
          <w:p w14:paraId="7564714C">
            <w:pPr>
              <w:spacing w:line="36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磋商说明</w:t>
            </w:r>
          </w:p>
        </w:tc>
        <w:tc>
          <w:tcPr>
            <w:tcW w:w="7582" w:type="dxa"/>
            <w:vAlign w:val="center"/>
          </w:tcPr>
          <w:p w14:paraId="61FABAF5">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在磋商过程中，磋商小组可能会根据磋商文件和磋商情况实质性变动采购需求中的技术、服务要求以及合同草案条款，对磋商文件作出的实质性变动是磋商文件的有效组成部分，磋商小组以书面形式同时通知所有参加磋商的供应商。请各供应商做好磋商应答准备。</w:t>
            </w:r>
          </w:p>
        </w:tc>
      </w:tr>
    </w:tbl>
    <w:p w14:paraId="1C729D52">
      <w:pPr>
        <w:pStyle w:val="27"/>
        <w:rPr>
          <w:rFonts w:hint="eastAsia" w:ascii="宋体" w:hAnsi="宋体" w:eastAsia="宋体" w:cs="宋体"/>
          <w:b/>
          <w:bCs/>
          <w:color w:val="auto"/>
          <w:kern w:val="0"/>
          <w:sz w:val="21"/>
          <w:szCs w:val="21"/>
          <w:highlight w:val="none"/>
          <w:lang w:val="en-US"/>
        </w:rPr>
      </w:pPr>
    </w:p>
    <w:p w14:paraId="4C30C9C0">
      <w:pPr>
        <w:pStyle w:val="27"/>
        <w:rPr>
          <w:rFonts w:hint="eastAsia" w:ascii="宋体" w:hAnsi="宋体" w:eastAsia="宋体" w:cs="宋体"/>
          <w:b/>
          <w:bCs/>
          <w:color w:val="auto"/>
          <w:kern w:val="0"/>
          <w:sz w:val="21"/>
          <w:szCs w:val="21"/>
          <w:highlight w:val="none"/>
          <w:lang w:val="en-US"/>
        </w:rPr>
      </w:pPr>
    </w:p>
    <w:p w14:paraId="41ECB69E">
      <w:pPr>
        <w:spacing w:line="440" w:lineRule="exact"/>
        <w:jc w:val="center"/>
        <w:rPr>
          <w:rFonts w:hint="eastAsia" w:ascii="宋体" w:hAnsi="宋体" w:eastAsia="宋体" w:cs="宋体"/>
          <w:bCs/>
          <w:color w:val="auto"/>
          <w:sz w:val="21"/>
          <w:szCs w:val="21"/>
          <w:highlight w:val="none"/>
        </w:rPr>
      </w:pPr>
    </w:p>
    <w:p w14:paraId="241CEB29">
      <w:pPr>
        <w:rPr>
          <w:rFonts w:ascii="宋体" w:hAnsi="宋体"/>
          <w:color w:val="auto"/>
          <w:szCs w:val="21"/>
        </w:rPr>
      </w:pPr>
    </w:p>
    <w:p w14:paraId="3C2EF917">
      <w:pPr>
        <w:rPr>
          <w:rFonts w:ascii="宋体" w:hAnsi="宋体"/>
          <w:color w:val="auto"/>
          <w:szCs w:val="21"/>
        </w:rPr>
      </w:pPr>
    </w:p>
    <w:p w14:paraId="0A101BA5">
      <w:pPr>
        <w:pStyle w:val="17"/>
        <w:rPr>
          <w:rFonts w:ascii="宋体" w:hAnsi="宋体"/>
          <w:color w:val="auto"/>
          <w:szCs w:val="21"/>
        </w:rPr>
      </w:pPr>
    </w:p>
    <w:p w14:paraId="116F14BA">
      <w:pPr>
        <w:pStyle w:val="18"/>
        <w:rPr>
          <w:rFonts w:ascii="宋体" w:hAnsi="宋体"/>
          <w:color w:val="auto"/>
          <w:szCs w:val="21"/>
        </w:rPr>
      </w:pPr>
    </w:p>
    <w:p w14:paraId="7B6CE819">
      <w:pPr>
        <w:rPr>
          <w:rFonts w:ascii="宋体" w:hAnsi="宋体"/>
          <w:color w:val="auto"/>
          <w:szCs w:val="21"/>
          <w:highlight w:val="none"/>
        </w:rPr>
      </w:pPr>
    </w:p>
    <w:p w14:paraId="7BA3FDFD">
      <w:pPr>
        <w:rPr>
          <w:rFonts w:hint="eastAsia"/>
          <w:b w:val="0"/>
          <w:bCs w:val="0"/>
          <w:color w:val="auto"/>
          <w:highlight w:val="none"/>
          <w:lang w:eastAsia="zh-CN"/>
        </w:rPr>
      </w:pPr>
      <w:bookmarkStart w:id="45" w:name="_Toc5346"/>
      <w:bookmarkStart w:id="46" w:name="_Toc18925"/>
      <w:bookmarkStart w:id="47" w:name="_Toc30555"/>
      <w:bookmarkStart w:id="48" w:name="_Toc21236"/>
    </w:p>
    <w:p w14:paraId="4A65D4A4">
      <w:pPr>
        <w:pStyle w:val="160"/>
        <w:rPr>
          <w:rFonts w:hint="eastAsia"/>
          <w:color w:val="auto"/>
          <w:highlight w:val="none"/>
          <w:lang w:eastAsia="zh-CN"/>
        </w:rPr>
      </w:pPr>
    </w:p>
    <w:p w14:paraId="3D5968B7">
      <w:pPr>
        <w:pStyle w:val="160"/>
        <w:rPr>
          <w:rFonts w:hint="eastAsia"/>
          <w:color w:val="auto"/>
          <w:highlight w:val="none"/>
          <w:lang w:eastAsia="zh-CN"/>
        </w:rPr>
      </w:pPr>
    </w:p>
    <w:p w14:paraId="36CC073B">
      <w:pPr>
        <w:pStyle w:val="160"/>
        <w:rPr>
          <w:rFonts w:hint="eastAsia"/>
          <w:color w:val="auto"/>
          <w:highlight w:val="none"/>
          <w:lang w:eastAsia="zh-CN"/>
        </w:rPr>
      </w:pPr>
    </w:p>
    <w:p w14:paraId="4939C604">
      <w:pPr>
        <w:pStyle w:val="160"/>
        <w:rPr>
          <w:rFonts w:hint="eastAsia"/>
          <w:color w:val="auto"/>
          <w:highlight w:val="none"/>
          <w:lang w:eastAsia="zh-CN"/>
        </w:rPr>
      </w:pPr>
    </w:p>
    <w:p w14:paraId="45C35682">
      <w:pPr>
        <w:pStyle w:val="160"/>
        <w:rPr>
          <w:rFonts w:hint="eastAsia"/>
          <w:color w:val="auto"/>
          <w:highlight w:val="none"/>
          <w:lang w:eastAsia="zh-CN"/>
        </w:rPr>
      </w:pPr>
    </w:p>
    <w:p w14:paraId="24CAEFE8">
      <w:pPr>
        <w:pStyle w:val="160"/>
        <w:rPr>
          <w:rFonts w:hint="eastAsia"/>
          <w:color w:val="auto"/>
          <w:highlight w:val="none"/>
          <w:lang w:eastAsia="zh-CN"/>
        </w:rPr>
      </w:pPr>
    </w:p>
    <w:p w14:paraId="3EA7A0A5">
      <w:pPr>
        <w:pStyle w:val="160"/>
        <w:rPr>
          <w:rFonts w:hint="eastAsia"/>
          <w:color w:val="auto"/>
          <w:highlight w:val="none"/>
          <w:lang w:eastAsia="zh-CN"/>
        </w:rPr>
      </w:pPr>
    </w:p>
    <w:p w14:paraId="42ACE934">
      <w:pPr>
        <w:pStyle w:val="160"/>
        <w:rPr>
          <w:rFonts w:hint="eastAsia"/>
          <w:color w:val="auto"/>
          <w:highlight w:val="none"/>
          <w:lang w:eastAsia="zh-CN"/>
        </w:rPr>
      </w:pPr>
    </w:p>
    <w:p w14:paraId="17238D8E">
      <w:pPr>
        <w:pStyle w:val="160"/>
        <w:rPr>
          <w:rFonts w:hint="eastAsia"/>
          <w:color w:val="auto"/>
          <w:highlight w:val="none"/>
          <w:lang w:eastAsia="zh-CN"/>
        </w:rPr>
      </w:pPr>
    </w:p>
    <w:p w14:paraId="0E878E07">
      <w:pPr>
        <w:pStyle w:val="160"/>
        <w:rPr>
          <w:rFonts w:hint="eastAsia"/>
          <w:color w:val="auto"/>
          <w:highlight w:val="none"/>
          <w:lang w:eastAsia="zh-CN"/>
        </w:rPr>
      </w:pPr>
    </w:p>
    <w:p w14:paraId="3D4E41B3">
      <w:pPr>
        <w:pStyle w:val="160"/>
        <w:rPr>
          <w:rFonts w:hint="eastAsia"/>
          <w:color w:val="auto"/>
          <w:highlight w:val="none"/>
          <w:lang w:eastAsia="zh-CN"/>
        </w:rPr>
      </w:pPr>
    </w:p>
    <w:p w14:paraId="55B6195A">
      <w:pPr>
        <w:pStyle w:val="160"/>
        <w:rPr>
          <w:rFonts w:hint="eastAsia"/>
          <w:color w:val="auto"/>
          <w:highlight w:val="none"/>
          <w:lang w:eastAsia="zh-CN"/>
        </w:rPr>
      </w:pPr>
    </w:p>
    <w:p w14:paraId="7E715BD1">
      <w:pPr>
        <w:pStyle w:val="160"/>
        <w:rPr>
          <w:rFonts w:hint="eastAsia"/>
          <w:color w:val="auto"/>
          <w:highlight w:val="none"/>
          <w:lang w:eastAsia="zh-CN"/>
        </w:rPr>
      </w:pPr>
    </w:p>
    <w:p w14:paraId="3CC5F9E2">
      <w:pPr>
        <w:pStyle w:val="160"/>
        <w:rPr>
          <w:rFonts w:hint="eastAsia"/>
          <w:color w:val="auto"/>
          <w:highlight w:val="none"/>
          <w:lang w:eastAsia="zh-CN"/>
        </w:rPr>
      </w:pPr>
    </w:p>
    <w:p w14:paraId="421803B4">
      <w:pPr>
        <w:pStyle w:val="160"/>
        <w:rPr>
          <w:rFonts w:hint="eastAsia"/>
          <w:color w:val="auto"/>
          <w:highlight w:val="none"/>
          <w:lang w:eastAsia="zh-CN"/>
        </w:rPr>
      </w:pPr>
    </w:p>
    <w:bookmarkEnd w:id="45"/>
    <w:bookmarkEnd w:id="46"/>
    <w:bookmarkEnd w:id="47"/>
    <w:bookmarkEnd w:id="48"/>
    <w:p w14:paraId="30296FD2">
      <w:pPr>
        <w:rPr>
          <w:rFonts w:hint="eastAsia" w:eastAsia="宋体"/>
          <w:b/>
          <w:bCs/>
          <w:color w:val="auto"/>
          <w:sz w:val="28"/>
          <w:szCs w:val="28"/>
          <w:highlight w:val="none"/>
          <w:lang w:eastAsia="zh-CN"/>
        </w:rPr>
      </w:pPr>
    </w:p>
    <w:p w14:paraId="2168868B">
      <w:pPr>
        <w:rPr>
          <w:rFonts w:ascii="宋体" w:hAnsi="宋体"/>
          <w:color w:val="auto"/>
          <w:szCs w:val="21"/>
          <w:highlight w:val="none"/>
        </w:rPr>
      </w:pPr>
    </w:p>
    <w:p w14:paraId="3D9C839E">
      <w:pPr>
        <w:rPr>
          <w:rFonts w:ascii="宋体" w:hAnsi="宋体"/>
          <w:color w:val="auto"/>
          <w:szCs w:val="21"/>
          <w:highlight w:val="none"/>
        </w:rPr>
      </w:pPr>
    </w:p>
    <w:p w14:paraId="4C26224E">
      <w:pPr>
        <w:rPr>
          <w:rFonts w:ascii="宋体" w:hAnsi="宋体"/>
          <w:color w:val="auto"/>
          <w:szCs w:val="21"/>
          <w:highlight w:val="none"/>
        </w:rPr>
      </w:pPr>
    </w:p>
    <w:p w14:paraId="26BBB371">
      <w:pPr>
        <w:rPr>
          <w:rFonts w:ascii="宋体" w:hAnsi="宋体"/>
          <w:color w:val="auto"/>
          <w:szCs w:val="21"/>
          <w:highlight w:val="none"/>
        </w:rPr>
      </w:pPr>
    </w:p>
    <w:p w14:paraId="5F324185">
      <w:pPr>
        <w:rPr>
          <w:rFonts w:ascii="宋体" w:hAnsi="宋体"/>
          <w:color w:val="auto"/>
          <w:szCs w:val="21"/>
          <w:highlight w:val="none"/>
        </w:rPr>
      </w:pPr>
    </w:p>
    <w:p w14:paraId="5B2417A4">
      <w:pPr>
        <w:rPr>
          <w:rFonts w:ascii="宋体" w:hAnsi="宋体"/>
          <w:color w:val="auto"/>
          <w:szCs w:val="21"/>
          <w:highlight w:val="none"/>
        </w:rPr>
      </w:pPr>
    </w:p>
    <w:p w14:paraId="3FBE6B6A">
      <w:pPr>
        <w:rPr>
          <w:rFonts w:ascii="宋体" w:hAnsi="宋体"/>
          <w:color w:val="auto"/>
          <w:szCs w:val="21"/>
          <w:highlight w:val="none"/>
        </w:rPr>
      </w:pPr>
    </w:p>
    <w:p w14:paraId="0C810971">
      <w:pPr>
        <w:rPr>
          <w:rFonts w:ascii="宋体" w:hAnsi="宋体"/>
          <w:color w:val="auto"/>
          <w:szCs w:val="21"/>
          <w:highlight w:val="none"/>
        </w:rPr>
      </w:pPr>
    </w:p>
    <w:p w14:paraId="08242050">
      <w:pPr>
        <w:rPr>
          <w:rFonts w:ascii="宋体" w:hAnsi="宋体"/>
          <w:color w:val="auto"/>
          <w:szCs w:val="21"/>
          <w:highlight w:val="none"/>
        </w:rPr>
      </w:pPr>
    </w:p>
    <w:p w14:paraId="48C142D4">
      <w:pPr>
        <w:rPr>
          <w:color w:val="auto"/>
          <w:highlight w:val="none"/>
        </w:rPr>
      </w:pPr>
    </w:p>
    <w:p w14:paraId="5DFE5F11">
      <w:pPr>
        <w:pStyle w:val="2"/>
        <w:spacing w:line="400" w:lineRule="exact"/>
        <w:rPr>
          <w:rFonts w:ascii="Arial Unicode MS" w:eastAsia="Arial Unicode MS"/>
          <w:color w:val="auto"/>
          <w:highlight w:val="none"/>
        </w:rPr>
      </w:pPr>
      <w:bookmarkStart w:id="49" w:name="_Toc92355025"/>
      <w:r>
        <w:rPr>
          <w:rFonts w:hint="eastAsia" w:ascii="Arial Unicode MS" w:eastAsia="Arial Unicode MS"/>
          <w:color w:val="auto"/>
          <w:highlight w:val="none"/>
        </w:rPr>
        <w:t>第三章  供应商须知</w:t>
      </w:r>
      <w:bookmarkEnd w:id="42"/>
      <w:bookmarkEnd w:id="43"/>
      <w:bookmarkEnd w:id="49"/>
    </w:p>
    <w:p w14:paraId="1B2B9A21">
      <w:pPr>
        <w:jc w:val="center"/>
        <w:rPr>
          <w:rFonts w:ascii="仿宋_GB2312" w:hAnsi="宋体" w:eastAsia="仿宋_GB2312"/>
          <w:b/>
          <w:color w:val="auto"/>
          <w:sz w:val="32"/>
          <w:szCs w:val="32"/>
          <w:highlight w:val="none"/>
        </w:rPr>
      </w:pPr>
      <w:bookmarkStart w:id="50" w:name="_Toc350325671"/>
      <w:bookmarkStart w:id="51" w:name="_Toc358477281"/>
      <w:bookmarkStart w:id="52" w:name="_Toc357157408"/>
      <w:bookmarkStart w:id="53" w:name="_Toc354479499"/>
      <w:r>
        <w:rPr>
          <w:rFonts w:ascii="仿宋_GB2312" w:hAnsi="宋体" w:eastAsia="仿宋_GB2312"/>
          <w:b/>
          <w:color w:val="auto"/>
          <w:sz w:val="32"/>
          <w:szCs w:val="32"/>
          <w:highlight w:val="none"/>
        </w:rPr>
        <w:br w:type="page"/>
      </w:r>
    </w:p>
    <w:p w14:paraId="6C481318">
      <w:pPr>
        <w:rPr>
          <w:color w:val="auto"/>
          <w:highlight w:val="none"/>
        </w:rPr>
      </w:pPr>
    </w:p>
    <w:p w14:paraId="4929A5EA">
      <w:pPr>
        <w:jc w:val="center"/>
        <w:rPr>
          <w:rFonts w:ascii="黑体" w:hAnsi="黑体" w:eastAsia="黑体"/>
          <w:b/>
          <w:color w:val="auto"/>
          <w:sz w:val="32"/>
          <w:szCs w:val="32"/>
          <w:highlight w:val="none"/>
        </w:rPr>
      </w:pPr>
      <w:r>
        <w:rPr>
          <w:rFonts w:hint="eastAsia" w:ascii="黑体" w:hAnsi="黑体" w:eastAsia="黑体"/>
          <w:b/>
          <w:color w:val="auto"/>
          <w:sz w:val="32"/>
          <w:szCs w:val="32"/>
          <w:highlight w:val="none"/>
        </w:rPr>
        <w:t>一、供应商须知前附表</w:t>
      </w:r>
    </w:p>
    <w:tbl>
      <w:tblPr>
        <w:tblStyle w:val="39"/>
        <w:tblW w:w="9351" w:type="dxa"/>
        <w:jc w:val="center"/>
        <w:tblLayout w:type="fixed"/>
        <w:tblCellMar>
          <w:top w:w="0" w:type="dxa"/>
          <w:left w:w="108" w:type="dxa"/>
          <w:bottom w:w="0" w:type="dxa"/>
          <w:right w:w="108" w:type="dxa"/>
        </w:tblCellMar>
      </w:tblPr>
      <w:tblGrid>
        <w:gridCol w:w="704"/>
        <w:gridCol w:w="8647"/>
      </w:tblGrid>
      <w:tr w14:paraId="00F04AB8">
        <w:tblPrEx>
          <w:tblCellMar>
            <w:top w:w="0" w:type="dxa"/>
            <w:left w:w="108" w:type="dxa"/>
            <w:bottom w:w="0" w:type="dxa"/>
            <w:right w:w="108"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F5576C5">
            <w:pPr>
              <w:widowControl/>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页码</w:t>
            </w:r>
          </w:p>
        </w:tc>
        <w:tc>
          <w:tcPr>
            <w:tcW w:w="8647" w:type="dxa"/>
            <w:tcBorders>
              <w:top w:val="single" w:color="000000" w:sz="4" w:space="0"/>
              <w:left w:val="nil"/>
              <w:bottom w:val="single" w:color="000000" w:sz="4" w:space="0"/>
              <w:right w:val="single" w:color="000000" w:sz="4" w:space="0"/>
            </w:tcBorders>
            <w:vAlign w:val="center"/>
          </w:tcPr>
          <w:p w14:paraId="561A86C2">
            <w:pPr>
              <w:widowControl/>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内    容</w:t>
            </w:r>
          </w:p>
        </w:tc>
      </w:tr>
      <w:tr w14:paraId="7FD25E03">
        <w:tblPrEx>
          <w:tblCellMar>
            <w:top w:w="0" w:type="dxa"/>
            <w:left w:w="108" w:type="dxa"/>
            <w:bottom w:w="0" w:type="dxa"/>
            <w:right w:w="108" w:type="dxa"/>
          </w:tblCellMar>
        </w:tblPrEx>
        <w:trPr>
          <w:trHeight w:val="11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2B9D09A">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647" w:type="dxa"/>
            <w:tcBorders>
              <w:top w:val="single" w:color="000000" w:sz="4" w:space="0"/>
              <w:left w:val="nil"/>
              <w:bottom w:val="single" w:color="000000" w:sz="4" w:space="0"/>
              <w:right w:val="single" w:color="000000" w:sz="4" w:space="0"/>
            </w:tcBorders>
            <w:vAlign w:val="center"/>
          </w:tcPr>
          <w:p w14:paraId="79CF1D90">
            <w:pPr>
              <w:spacing w:line="440" w:lineRule="exact"/>
              <w:ind w:right="-334" w:rightChars="-159"/>
              <w:rPr>
                <w:rStyle w:val="46"/>
                <w:color w:val="auto"/>
                <w:szCs w:val="21"/>
                <w:highlight w:val="none"/>
                <w:u w:val="none"/>
              </w:rPr>
            </w:pPr>
            <w:r>
              <w:rPr>
                <w:rFonts w:ascii="宋体" w:hAnsi="宋体" w:cs="宋体"/>
                <w:color w:val="auto"/>
                <w:kern w:val="0"/>
                <w:szCs w:val="21"/>
                <w:highlight w:val="none"/>
              </w:rPr>
              <w:fldChar w:fldCharType="begin"/>
            </w:r>
            <w:r>
              <w:rPr>
                <w:rFonts w:ascii="宋体" w:hAnsi="宋体" w:cs="宋体"/>
                <w:color w:val="auto"/>
                <w:kern w:val="0"/>
                <w:szCs w:val="21"/>
                <w:highlight w:val="none"/>
              </w:rPr>
              <w:instrText xml:space="preserve"> </w:instrText>
            </w:r>
            <w:r>
              <w:rPr>
                <w:rFonts w:hint="eastAsia" w:ascii="宋体" w:hAnsi="宋体" w:cs="宋体"/>
                <w:color w:val="auto"/>
                <w:kern w:val="0"/>
                <w:szCs w:val="21"/>
                <w:highlight w:val="none"/>
              </w:rPr>
              <w:instrText xml:space="preserve">HYPERLINK </w:instrText>
            </w:r>
            <w:r>
              <w:rPr>
                <w:rFonts w:ascii="宋体" w:hAnsi="宋体" w:cs="宋体"/>
                <w:color w:val="auto"/>
                <w:kern w:val="0"/>
                <w:szCs w:val="21"/>
                <w:highlight w:val="none"/>
              </w:rPr>
              <w:instrText xml:space="preserve"> \l "_一、总_则" </w:instrText>
            </w:r>
            <w:r>
              <w:rPr>
                <w:rFonts w:ascii="宋体" w:hAnsi="宋体" w:cs="宋体"/>
                <w:color w:val="auto"/>
                <w:kern w:val="0"/>
                <w:szCs w:val="21"/>
                <w:highlight w:val="none"/>
              </w:rPr>
              <w:fldChar w:fldCharType="separate"/>
            </w:r>
            <w:r>
              <w:rPr>
                <w:rStyle w:val="46"/>
                <w:rFonts w:hint="eastAsia" w:ascii="宋体" w:hAnsi="宋体" w:cs="宋体"/>
                <w:color w:val="auto"/>
                <w:kern w:val="0"/>
                <w:szCs w:val="21"/>
                <w:highlight w:val="none"/>
                <w:u w:val="none"/>
              </w:rPr>
              <w:t>项目名称：</w:t>
            </w:r>
            <w:r>
              <w:rPr>
                <w:rFonts w:hint="eastAsia" w:ascii="宋体" w:hAnsi="宋体"/>
                <w:color w:val="auto"/>
                <w:szCs w:val="21"/>
                <w:highlight w:val="none"/>
                <w:lang w:val="en-US" w:eastAsia="zh-CN"/>
              </w:rPr>
              <w:t>灵山县人民检察院采购通信运营商服务项目</w:t>
            </w:r>
          </w:p>
          <w:p w14:paraId="02289E0E">
            <w:pPr>
              <w:widowControl/>
              <w:spacing w:line="440" w:lineRule="exact"/>
              <w:rPr>
                <w:rFonts w:ascii="宋体" w:hAnsi="宋体"/>
                <w:color w:val="auto"/>
                <w:szCs w:val="21"/>
                <w:highlight w:val="none"/>
              </w:rPr>
            </w:pPr>
            <w:r>
              <w:rPr>
                <w:rStyle w:val="46"/>
                <w:rFonts w:hint="eastAsia" w:ascii="宋体" w:hAnsi="宋体"/>
                <w:color w:val="auto"/>
                <w:szCs w:val="21"/>
                <w:highlight w:val="none"/>
                <w:u w:val="none"/>
              </w:rPr>
              <w:t>项目编号：</w:t>
            </w:r>
            <w:r>
              <w:rPr>
                <w:rFonts w:ascii="宋体" w:hAnsi="宋体" w:cs="宋体"/>
                <w:color w:val="auto"/>
                <w:kern w:val="0"/>
                <w:szCs w:val="21"/>
                <w:highlight w:val="none"/>
              </w:rPr>
              <w:fldChar w:fldCharType="end"/>
            </w:r>
            <w:r>
              <w:rPr>
                <w:rFonts w:hint="eastAsia" w:ascii="宋体" w:hAnsi="宋体"/>
                <w:bCs/>
                <w:color w:val="auto"/>
                <w:highlight w:val="none"/>
                <w:lang w:eastAsia="zh-CN"/>
              </w:rPr>
              <w:t>QZZC2025-C3-990027-QZSZ</w:t>
            </w:r>
          </w:p>
        </w:tc>
      </w:tr>
      <w:tr w14:paraId="09689877">
        <w:tblPrEx>
          <w:tblCellMar>
            <w:top w:w="0" w:type="dxa"/>
            <w:left w:w="108" w:type="dxa"/>
            <w:bottom w:w="0" w:type="dxa"/>
            <w:right w:w="108" w:type="dxa"/>
          </w:tblCellMar>
        </w:tblPrEx>
        <w:trPr>
          <w:trHeight w:val="113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9935606">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647" w:type="dxa"/>
            <w:tcBorders>
              <w:top w:val="single" w:color="000000" w:sz="4" w:space="0"/>
              <w:left w:val="nil"/>
              <w:bottom w:val="single" w:color="000000" w:sz="4" w:space="0"/>
              <w:right w:val="single" w:color="000000" w:sz="4" w:space="0"/>
            </w:tcBorders>
            <w:vAlign w:val="center"/>
          </w:tcPr>
          <w:p w14:paraId="1DF070BC">
            <w:pPr>
              <w:spacing w:line="440" w:lineRule="exact"/>
              <w:rPr>
                <w:rStyle w:val="46"/>
                <w:rFonts w:ascii="宋体" w:hAnsi="宋体"/>
                <w:color w:val="auto"/>
                <w:szCs w:val="21"/>
                <w:highlight w:val="none"/>
                <w:u w:val="none"/>
              </w:rPr>
            </w:pPr>
            <w:r>
              <w:rPr>
                <w:rStyle w:val="46"/>
                <w:rFonts w:ascii="宋体" w:hAnsi="宋体"/>
                <w:color w:val="auto"/>
                <w:szCs w:val="21"/>
                <w:highlight w:val="none"/>
                <w:u w:val="none"/>
              </w:rPr>
              <w:fldChar w:fldCharType="begin"/>
            </w:r>
            <w:r>
              <w:rPr>
                <w:rStyle w:val="46"/>
                <w:rFonts w:ascii="宋体" w:hAnsi="宋体"/>
                <w:color w:val="auto"/>
                <w:szCs w:val="21"/>
                <w:highlight w:val="none"/>
                <w:u w:val="none"/>
              </w:rPr>
              <w:instrText xml:space="preserve"> </w:instrText>
            </w:r>
            <w:r>
              <w:rPr>
                <w:rStyle w:val="46"/>
                <w:rFonts w:hint="eastAsia" w:ascii="宋体" w:hAnsi="宋体"/>
                <w:color w:val="auto"/>
                <w:szCs w:val="21"/>
                <w:highlight w:val="none"/>
                <w:u w:val="none"/>
              </w:rPr>
              <w:instrText xml:space="preserve">HYPERLINK </w:instrText>
            </w:r>
            <w:r>
              <w:rPr>
                <w:rStyle w:val="46"/>
                <w:rFonts w:ascii="宋体" w:hAnsi="宋体"/>
                <w:color w:val="auto"/>
                <w:szCs w:val="21"/>
                <w:highlight w:val="none"/>
                <w:u w:val="none"/>
              </w:rPr>
              <w:instrText xml:space="preserve"> \l "_一、总_则" </w:instrText>
            </w:r>
            <w:r>
              <w:rPr>
                <w:rStyle w:val="46"/>
                <w:rFonts w:ascii="宋体" w:hAnsi="宋体"/>
                <w:color w:val="auto"/>
                <w:szCs w:val="21"/>
                <w:highlight w:val="none"/>
                <w:u w:val="none"/>
              </w:rPr>
              <w:fldChar w:fldCharType="separate"/>
            </w:r>
            <w:r>
              <w:rPr>
                <w:rStyle w:val="46"/>
                <w:rFonts w:hint="eastAsia" w:ascii="宋体" w:hAnsi="宋体"/>
                <w:color w:val="auto"/>
                <w:szCs w:val="21"/>
                <w:highlight w:val="none"/>
                <w:u w:val="none"/>
              </w:rPr>
              <w:t>供应商资格：</w:t>
            </w:r>
          </w:p>
          <w:p w14:paraId="772DF451">
            <w:pPr>
              <w:spacing w:line="440" w:lineRule="exact"/>
              <w:rPr>
                <w:rStyle w:val="46"/>
                <w:rFonts w:ascii="宋体" w:hAnsi="宋体"/>
                <w:color w:val="auto"/>
                <w:szCs w:val="21"/>
                <w:highlight w:val="none"/>
                <w:u w:val="none"/>
              </w:rPr>
            </w:pPr>
            <w:r>
              <w:rPr>
                <w:rStyle w:val="46"/>
                <w:rFonts w:hint="eastAsia" w:ascii="宋体" w:hAnsi="宋体"/>
                <w:color w:val="auto"/>
                <w:szCs w:val="21"/>
                <w:highlight w:val="none"/>
                <w:u w:val="none"/>
              </w:rPr>
              <w:t>1.满足《中华人民共和国政府采购法》第二十二条规定</w:t>
            </w:r>
          </w:p>
          <w:p w14:paraId="156804A3">
            <w:pPr>
              <w:spacing w:line="400" w:lineRule="exact"/>
              <w:rPr>
                <w:rStyle w:val="46"/>
                <w:rFonts w:hint="eastAsia" w:ascii="宋体" w:hAnsi="宋体" w:eastAsia="宋体"/>
                <w:color w:val="auto"/>
                <w:szCs w:val="21"/>
                <w:highlight w:val="none"/>
                <w:u w:val="none"/>
                <w:lang w:eastAsia="zh-CN"/>
              </w:rPr>
            </w:pPr>
            <w:r>
              <w:rPr>
                <w:rStyle w:val="46"/>
                <w:rFonts w:hint="eastAsia" w:ascii="宋体" w:hAnsi="宋体"/>
                <w:color w:val="auto"/>
                <w:szCs w:val="21"/>
                <w:highlight w:val="none"/>
                <w:u w:val="none"/>
              </w:rPr>
              <w:t>2.落实政府采购政策需满足的资格要求：</w:t>
            </w:r>
            <w:r>
              <w:rPr>
                <w:rFonts w:hint="eastAsia"/>
                <w:color w:val="auto"/>
                <w:lang w:val="en-US" w:eastAsia="zh-CN"/>
              </w:rPr>
              <w:t>无</w:t>
            </w:r>
          </w:p>
          <w:p w14:paraId="65A5D690">
            <w:pPr>
              <w:spacing w:line="440" w:lineRule="exact"/>
              <w:rPr>
                <w:rFonts w:ascii="宋体" w:hAnsi="宋体"/>
                <w:color w:val="auto"/>
                <w:szCs w:val="21"/>
                <w:highlight w:val="none"/>
              </w:rPr>
            </w:pPr>
            <w:r>
              <w:rPr>
                <w:rStyle w:val="46"/>
                <w:rFonts w:hint="eastAsia" w:ascii="宋体" w:hAnsi="宋体"/>
                <w:color w:val="auto"/>
                <w:szCs w:val="21"/>
                <w:highlight w:val="none"/>
                <w:u w:val="none"/>
              </w:rPr>
              <w:t>3.本项目的特定资格要求：无</w:t>
            </w:r>
            <w:r>
              <w:rPr>
                <w:rStyle w:val="46"/>
                <w:rFonts w:ascii="宋体" w:hAnsi="宋体"/>
                <w:color w:val="auto"/>
                <w:szCs w:val="21"/>
                <w:highlight w:val="none"/>
                <w:u w:val="none"/>
              </w:rPr>
              <w:fldChar w:fldCharType="end"/>
            </w:r>
          </w:p>
        </w:tc>
      </w:tr>
      <w:tr w14:paraId="358DC668">
        <w:tblPrEx>
          <w:tblCellMar>
            <w:top w:w="0" w:type="dxa"/>
            <w:left w:w="108" w:type="dxa"/>
            <w:bottom w:w="0" w:type="dxa"/>
            <w:right w:w="108" w:type="dxa"/>
          </w:tblCellMar>
        </w:tblPrEx>
        <w:trPr>
          <w:trHeight w:val="111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9D44DF3">
            <w:pPr>
              <w:widowControl/>
              <w:spacing w:line="440" w:lineRule="exact"/>
              <w:jc w:val="center"/>
              <w:rPr>
                <w:rFonts w:ascii="宋体" w:hAnsi="宋体" w:cs="宋体"/>
                <w:color w:val="auto"/>
                <w:kern w:val="0"/>
                <w:szCs w:val="21"/>
                <w:highlight w:val="none"/>
              </w:rPr>
            </w:pPr>
            <w:r>
              <w:rPr>
                <w:rFonts w:ascii="宋体" w:hAnsi="宋体" w:cs="宋体"/>
                <w:color w:val="auto"/>
                <w:kern w:val="0"/>
                <w:szCs w:val="21"/>
                <w:highlight w:val="none"/>
              </w:rPr>
              <w:t>3</w:t>
            </w:r>
          </w:p>
        </w:tc>
        <w:tc>
          <w:tcPr>
            <w:tcW w:w="8647" w:type="dxa"/>
            <w:tcBorders>
              <w:top w:val="single" w:color="000000" w:sz="4" w:space="0"/>
              <w:left w:val="nil"/>
              <w:bottom w:val="single" w:color="000000" w:sz="4" w:space="0"/>
              <w:right w:val="single" w:color="000000" w:sz="4" w:space="0"/>
            </w:tcBorders>
            <w:vAlign w:val="center"/>
          </w:tcPr>
          <w:p w14:paraId="36C56B4C">
            <w:pPr>
              <w:spacing w:line="440" w:lineRule="exact"/>
              <w:rPr>
                <w:rFonts w:ascii="宋体" w:hAnsi="宋体"/>
                <w:color w:val="auto"/>
                <w:highlight w:val="none"/>
              </w:rPr>
            </w:pPr>
            <w:r>
              <w:rPr>
                <w:color w:val="auto"/>
                <w:highlight w:val="none"/>
              </w:rPr>
              <w:fldChar w:fldCharType="begin"/>
            </w:r>
            <w:r>
              <w:rPr>
                <w:color w:val="auto"/>
                <w:highlight w:val="none"/>
              </w:rPr>
              <w:instrText xml:space="preserve"> HYPERLINK \l "_（五）报价" </w:instrText>
            </w:r>
            <w:r>
              <w:rPr>
                <w:color w:val="auto"/>
                <w:highlight w:val="none"/>
              </w:rPr>
              <w:fldChar w:fldCharType="separate"/>
            </w:r>
            <w:r>
              <w:rPr>
                <w:rStyle w:val="46"/>
                <w:rFonts w:hint="eastAsia" w:ascii="宋体" w:hAnsi="宋体" w:cs="宋体"/>
                <w:color w:val="auto"/>
                <w:kern w:val="0"/>
                <w:szCs w:val="21"/>
                <w:highlight w:val="none"/>
                <w:u w:val="none"/>
              </w:rPr>
              <w:t>报价：供应商的报价必须按采购文件或政府采购云平台规定的格式填写，并在规定时间内提交最后报价。</w:t>
            </w:r>
            <w:r>
              <w:rPr>
                <w:rStyle w:val="46"/>
                <w:rFonts w:hint="eastAsia" w:ascii="宋体" w:hAnsi="宋体" w:cs="宋体"/>
                <w:color w:val="auto"/>
                <w:kern w:val="0"/>
                <w:szCs w:val="21"/>
                <w:highlight w:val="none"/>
                <w:u w:val="none"/>
              </w:rPr>
              <w:fldChar w:fldCharType="end"/>
            </w:r>
          </w:p>
        </w:tc>
      </w:tr>
      <w:tr w14:paraId="726450B7">
        <w:tblPrEx>
          <w:tblCellMar>
            <w:top w:w="0" w:type="dxa"/>
            <w:left w:w="108" w:type="dxa"/>
            <w:bottom w:w="0" w:type="dxa"/>
            <w:right w:w="108" w:type="dxa"/>
          </w:tblCellMar>
        </w:tblPrEx>
        <w:trPr>
          <w:trHeight w:val="54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29224CE">
            <w:pPr>
              <w:widowControl/>
              <w:spacing w:line="440" w:lineRule="exact"/>
              <w:jc w:val="center"/>
              <w:rPr>
                <w:rFonts w:ascii="宋体" w:hAnsi="宋体" w:cs="宋体"/>
                <w:color w:val="auto"/>
                <w:kern w:val="0"/>
                <w:szCs w:val="21"/>
                <w:highlight w:val="none"/>
              </w:rPr>
            </w:pPr>
            <w:r>
              <w:rPr>
                <w:rFonts w:ascii="宋体" w:hAnsi="宋体" w:cs="宋体"/>
                <w:color w:val="auto"/>
                <w:kern w:val="0"/>
                <w:szCs w:val="21"/>
                <w:highlight w:val="none"/>
              </w:rPr>
              <w:t>4</w:t>
            </w:r>
          </w:p>
        </w:tc>
        <w:tc>
          <w:tcPr>
            <w:tcW w:w="8647" w:type="dxa"/>
            <w:tcBorders>
              <w:top w:val="single" w:color="000000" w:sz="4" w:space="0"/>
              <w:left w:val="nil"/>
              <w:bottom w:val="single" w:color="000000" w:sz="4" w:space="0"/>
              <w:right w:val="single" w:color="000000" w:sz="4" w:space="0"/>
            </w:tcBorders>
            <w:vAlign w:val="center"/>
          </w:tcPr>
          <w:p w14:paraId="5B58C675">
            <w:pPr>
              <w:widowControl/>
              <w:spacing w:line="440" w:lineRule="exact"/>
              <w:rPr>
                <w:rFonts w:ascii="宋体" w:hAnsi="宋体" w:cs="宋体"/>
                <w:color w:val="auto"/>
                <w:kern w:val="0"/>
                <w:szCs w:val="21"/>
                <w:highlight w:val="none"/>
              </w:rPr>
            </w:pPr>
            <w:r>
              <w:rPr>
                <w:rFonts w:ascii="宋体" w:hAnsi="宋体" w:cs="宋体"/>
                <w:color w:val="auto"/>
                <w:kern w:val="0"/>
                <w:szCs w:val="21"/>
                <w:highlight w:val="none"/>
              </w:rPr>
              <w:fldChar w:fldCharType="begin"/>
            </w:r>
            <w:r>
              <w:rPr>
                <w:rFonts w:ascii="宋体" w:hAnsi="宋体" w:cs="宋体"/>
                <w:color w:val="auto"/>
                <w:kern w:val="0"/>
                <w:szCs w:val="21"/>
                <w:highlight w:val="none"/>
              </w:rPr>
              <w:instrText xml:space="preserve"> </w:instrText>
            </w:r>
            <w:r>
              <w:rPr>
                <w:rFonts w:hint="eastAsia" w:ascii="宋体" w:hAnsi="宋体" w:cs="宋体"/>
                <w:color w:val="auto"/>
                <w:kern w:val="0"/>
                <w:szCs w:val="21"/>
                <w:highlight w:val="none"/>
              </w:rPr>
              <w:instrText xml:space="preserve">HYPERLINK </w:instrText>
            </w:r>
            <w:r>
              <w:rPr>
                <w:rFonts w:ascii="宋体" w:hAnsi="宋体" w:cs="宋体"/>
                <w:color w:val="auto"/>
                <w:kern w:val="0"/>
                <w:szCs w:val="21"/>
                <w:highlight w:val="none"/>
              </w:rPr>
              <w:instrText xml:space="preserve"> \l "_（六）磋商保证金" </w:instrText>
            </w:r>
            <w:r>
              <w:rPr>
                <w:rFonts w:ascii="宋体" w:hAnsi="宋体" w:cs="宋体"/>
                <w:color w:val="auto"/>
                <w:kern w:val="0"/>
                <w:szCs w:val="21"/>
                <w:highlight w:val="none"/>
              </w:rPr>
              <w:fldChar w:fldCharType="separate"/>
            </w:r>
            <w:r>
              <w:rPr>
                <w:rStyle w:val="46"/>
                <w:rFonts w:hint="eastAsia" w:ascii="宋体" w:hAnsi="宋体" w:cs="宋体"/>
                <w:color w:val="auto"/>
                <w:kern w:val="0"/>
                <w:szCs w:val="21"/>
                <w:highlight w:val="none"/>
                <w:u w:val="none"/>
              </w:rPr>
              <w:t>磋商保证金：</w:t>
            </w:r>
            <w:r>
              <w:rPr>
                <w:rFonts w:hint="eastAsia"/>
                <w:color w:val="auto"/>
                <w:highlight w:val="none"/>
                <w:lang w:val="en-US" w:eastAsia="zh-CN"/>
              </w:rPr>
              <w:t>免收</w:t>
            </w:r>
            <w:r>
              <w:rPr>
                <w:rStyle w:val="46"/>
                <w:rFonts w:hint="eastAsia"/>
                <w:color w:val="auto"/>
                <w:szCs w:val="21"/>
                <w:highlight w:val="none"/>
                <w:u w:val="none"/>
              </w:rPr>
              <w:t>。</w:t>
            </w:r>
            <w:r>
              <w:rPr>
                <w:rFonts w:ascii="宋体" w:hAnsi="宋体" w:cs="宋体"/>
                <w:color w:val="auto"/>
                <w:kern w:val="0"/>
                <w:szCs w:val="21"/>
                <w:highlight w:val="none"/>
              </w:rPr>
              <w:fldChar w:fldCharType="end"/>
            </w:r>
          </w:p>
        </w:tc>
      </w:tr>
      <w:tr w14:paraId="04B67A9A">
        <w:tblPrEx>
          <w:tblCellMar>
            <w:top w:w="0" w:type="dxa"/>
            <w:left w:w="108" w:type="dxa"/>
            <w:bottom w:w="0" w:type="dxa"/>
            <w:right w:w="108" w:type="dxa"/>
          </w:tblCellMar>
        </w:tblPrEx>
        <w:trPr>
          <w:trHeight w:val="217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BEF1E4C">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647" w:type="dxa"/>
            <w:tcBorders>
              <w:top w:val="single" w:color="000000" w:sz="4" w:space="0"/>
              <w:left w:val="nil"/>
              <w:bottom w:val="single" w:color="000000" w:sz="4" w:space="0"/>
              <w:right w:val="single" w:color="000000" w:sz="4" w:space="0"/>
            </w:tcBorders>
            <w:vAlign w:val="center"/>
          </w:tcPr>
          <w:p w14:paraId="276DE3B3">
            <w:pPr>
              <w:widowControl/>
              <w:spacing w:line="440" w:lineRule="exact"/>
              <w:rPr>
                <w:rStyle w:val="46"/>
                <w:rFonts w:ascii="宋体" w:hAnsi="宋体"/>
                <w:color w:val="auto"/>
                <w:szCs w:val="21"/>
                <w:highlight w:val="none"/>
                <w:u w:val="none"/>
              </w:rPr>
            </w:pPr>
            <w:r>
              <w:rPr>
                <w:rFonts w:ascii="宋体" w:hAnsi="宋体" w:cs="宋体"/>
                <w:color w:val="auto"/>
                <w:kern w:val="0"/>
                <w:szCs w:val="21"/>
                <w:highlight w:val="none"/>
              </w:rPr>
              <w:fldChar w:fldCharType="begin"/>
            </w:r>
            <w:r>
              <w:rPr>
                <w:rFonts w:ascii="宋体" w:hAnsi="宋体" w:cs="宋体"/>
                <w:color w:val="auto"/>
                <w:kern w:val="0"/>
                <w:szCs w:val="21"/>
                <w:highlight w:val="none"/>
              </w:rPr>
              <w:instrText xml:space="preserve"> </w:instrText>
            </w:r>
            <w:r>
              <w:rPr>
                <w:rFonts w:hint="eastAsia" w:ascii="宋体" w:hAnsi="宋体" w:cs="宋体"/>
                <w:color w:val="auto"/>
                <w:kern w:val="0"/>
                <w:szCs w:val="21"/>
                <w:highlight w:val="none"/>
              </w:rPr>
              <w:instrText xml:space="preserve">HYPERLINK </w:instrText>
            </w:r>
            <w:r>
              <w:rPr>
                <w:rFonts w:ascii="宋体" w:hAnsi="宋体" w:cs="宋体"/>
                <w:color w:val="auto"/>
                <w:kern w:val="0"/>
                <w:szCs w:val="21"/>
                <w:highlight w:val="none"/>
              </w:rPr>
              <w:instrText xml:space="preserve"> \l "_四、响应文件开启" </w:instrText>
            </w:r>
            <w:r>
              <w:rPr>
                <w:rFonts w:ascii="宋体" w:hAnsi="宋体" w:cs="宋体"/>
                <w:color w:val="auto"/>
                <w:kern w:val="0"/>
                <w:szCs w:val="21"/>
                <w:highlight w:val="none"/>
              </w:rPr>
              <w:fldChar w:fldCharType="separate"/>
            </w:r>
            <w:r>
              <w:rPr>
                <w:rStyle w:val="46"/>
                <w:rFonts w:hint="eastAsia" w:ascii="宋体" w:hAnsi="宋体" w:cs="宋体"/>
                <w:color w:val="auto"/>
                <w:kern w:val="0"/>
                <w:szCs w:val="21"/>
                <w:highlight w:val="none"/>
                <w:u w:val="none"/>
              </w:rPr>
              <w:t>响应文件提交截止时间及开启时间：</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bCs/>
                <w:color w:val="auto"/>
                <w:szCs w:val="21"/>
                <w:highlight w:val="none"/>
              </w:rPr>
              <w:t>年</w:t>
            </w:r>
            <w:r>
              <w:rPr>
                <w:rFonts w:hint="eastAsia" w:ascii="宋体" w:hAnsi="宋体"/>
                <w:bCs/>
                <w:color w:val="auto"/>
                <w:szCs w:val="21"/>
                <w:highlight w:val="none"/>
                <w:lang w:val="en-US" w:eastAsia="zh-CN"/>
              </w:rPr>
              <w:t>2</w:t>
            </w:r>
            <w:r>
              <w:rPr>
                <w:rFonts w:hint="eastAsia" w:ascii="宋体" w:hAnsi="宋体"/>
                <w:bCs/>
                <w:color w:val="auto"/>
                <w:szCs w:val="21"/>
                <w:highlight w:val="none"/>
              </w:rPr>
              <w:t>月</w:t>
            </w:r>
            <w:r>
              <w:rPr>
                <w:rFonts w:hint="eastAsia" w:ascii="宋体" w:hAnsi="宋体"/>
                <w:bCs/>
                <w:color w:val="auto"/>
                <w:szCs w:val="21"/>
                <w:highlight w:val="none"/>
                <w:lang w:val="en-US" w:eastAsia="zh-CN"/>
              </w:rPr>
              <w:t>17</w:t>
            </w:r>
            <w:r>
              <w:rPr>
                <w:rFonts w:hint="eastAsia" w:ascii="宋体" w:hAnsi="宋体"/>
                <w:bCs/>
                <w:color w:val="auto"/>
                <w:szCs w:val="21"/>
                <w:highlight w:val="none"/>
              </w:rPr>
              <w:t>日</w:t>
            </w:r>
            <w:r>
              <w:rPr>
                <w:rFonts w:hint="eastAsia"/>
                <w:color w:val="auto"/>
                <w:highlight w:val="none"/>
                <w:lang w:val="en-US" w:eastAsia="zh-CN"/>
              </w:rPr>
              <w:t>10</w:t>
            </w:r>
            <w:r>
              <w:rPr>
                <w:color w:val="auto"/>
                <w:highlight w:val="none"/>
              </w:rPr>
              <w:t>:</w:t>
            </w:r>
            <w:r>
              <w:rPr>
                <w:rFonts w:hint="eastAsia"/>
                <w:color w:val="auto"/>
                <w:highlight w:val="none"/>
                <w:lang w:val="en-US" w:eastAsia="zh-CN"/>
              </w:rPr>
              <w:t>00</w:t>
            </w:r>
            <w:r>
              <w:rPr>
                <w:rStyle w:val="46"/>
                <w:rFonts w:hint="eastAsia" w:ascii="宋体" w:hAnsi="宋体"/>
                <w:color w:val="auto"/>
                <w:szCs w:val="21"/>
                <w:highlight w:val="none"/>
                <w:u w:val="none"/>
              </w:rPr>
              <w:t>。</w:t>
            </w:r>
          </w:p>
          <w:p w14:paraId="1BE06D1D">
            <w:pPr>
              <w:widowControl/>
              <w:spacing w:line="440" w:lineRule="exact"/>
              <w:rPr>
                <w:color w:val="auto"/>
                <w:highlight w:val="none"/>
              </w:rPr>
            </w:pPr>
            <w:r>
              <w:rPr>
                <w:rStyle w:val="46"/>
                <w:rFonts w:hint="eastAsia"/>
                <w:b/>
                <w:color w:val="auto"/>
                <w:szCs w:val="21"/>
                <w:highlight w:val="none"/>
                <w:u w:val="none"/>
              </w:rPr>
              <w:t>注意事项：</w:t>
            </w:r>
            <w:r>
              <w:rPr>
                <w:rStyle w:val="46"/>
                <w:rFonts w:hint="eastAsia"/>
                <w:bCs/>
                <w:color w:val="auto"/>
                <w:highlight w:val="none"/>
                <w:u w:val="none"/>
              </w:rPr>
              <w:t>供应商</w:t>
            </w:r>
            <w:r>
              <w:rPr>
                <w:rStyle w:val="46"/>
                <w:rFonts w:hint="eastAsia"/>
                <w:bCs/>
                <w:color w:val="auto"/>
                <w:highlight w:val="none"/>
                <w:u w:val="none"/>
                <w:lang w:eastAsia="zh-CN"/>
              </w:rPr>
              <w:t>法定代表人（负责人）</w:t>
            </w:r>
            <w:r>
              <w:rPr>
                <w:rStyle w:val="46"/>
                <w:rFonts w:hint="eastAsia"/>
                <w:bCs/>
                <w:color w:val="auto"/>
                <w:highlight w:val="none"/>
                <w:u w:val="none"/>
              </w:rPr>
              <w:t>或委托代理人须按时登录政采云远程开标大厅，保持全程在线并关注评审磋商进度，评审期间磋商小组提出澄清等要求时，供应商须在规定时间内进行在线应答，否则按采购文件或政采云平台的相关规定执行。</w:t>
            </w:r>
            <w:r>
              <w:rPr>
                <w:rFonts w:ascii="宋体" w:hAnsi="宋体" w:cs="宋体"/>
                <w:color w:val="auto"/>
                <w:kern w:val="0"/>
                <w:szCs w:val="21"/>
                <w:highlight w:val="none"/>
              </w:rPr>
              <w:fldChar w:fldCharType="end"/>
            </w:r>
          </w:p>
        </w:tc>
      </w:tr>
      <w:tr w14:paraId="2B9586BF">
        <w:tblPrEx>
          <w:tblCellMar>
            <w:top w:w="0" w:type="dxa"/>
            <w:left w:w="108" w:type="dxa"/>
            <w:bottom w:w="0" w:type="dxa"/>
            <w:right w:w="108" w:type="dxa"/>
          </w:tblCellMar>
        </w:tblPrEx>
        <w:trPr>
          <w:trHeight w:val="92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6A99E9D">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647" w:type="dxa"/>
            <w:tcBorders>
              <w:top w:val="single" w:color="000000" w:sz="4" w:space="0"/>
              <w:left w:val="nil"/>
              <w:bottom w:val="single" w:color="000000" w:sz="4" w:space="0"/>
              <w:right w:val="single" w:color="000000" w:sz="4" w:space="0"/>
            </w:tcBorders>
            <w:vAlign w:val="center"/>
          </w:tcPr>
          <w:p w14:paraId="00DBAA81">
            <w:pPr>
              <w:widowControl/>
              <w:spacing w:line="440" w:lineRule="exact"/>
              <w:rPr>
                <w:rStyle w:val="46"/>
                <w:rFonts w:ascii="宋体" w:hAnsi="宋体" w:cs="宋体"/>
                <w:color w:val="auto"/>
                <w:kern w:val="0"/>
                <w:szCs w:val="21"/>
                <w:highlight w:val="none"/>
                <w:u w:val="none"/>
              </w:rPr>
            </w:pPr>
            <w:r>
              <w:rPr>
                <w:rFonts w:ascii="宋体" w:hAnsi="宋体" w:cs="宋体"/>
                <w:color w:val="auto"/>
                <w:kern w:val="0"/>
                <w:szCs w:val="21"/>
                <w:highlight w:val="none"/>
              </w:rPr>
              <w:fldChar w:fldCharType="begin"/>
            </w:r>
            <w:r>
              <w:rPr>
                <w:rFonts w:ascii="宋体" w:hAnsi="宋体" w:cs="宋体"/>
                <w:color w:val="auto"/>
                <w:kern w:val="0"/>
                <w:szCs w:val="21"/>
                <w:highlight w:val="none"/>
              </w:rPr>
              <w:instrText xml:space="preserve"> HYPERLINK  \l "_五、评审与磋商" </w:instrText>
            </w:r>
            <w:r>
              <w:rPr>
                <w:rFonts w:ascii="宋体" w:hAnsi="宋体" w:cs="宋体"/>
                <w:color w:val="auto"/>
                <w:kern w:val="0"/>
                <w:szCs w:val="21"/>
                <w:highlight w:val="none"/>
              </w:rPr>
              <w:fldChar w:fldCharType="separate"/>
            </w:r>
            <w:r>
              <w:rPr>
                <w:rStyle w:val="46"/>
                <w:rFonts w:ascii="宋体" w:hAnsi="宋体" w:cs="宋体"/>
                <w:color w:val="auto"/>
                <w:kern w:val="0"/>
                <w:szCs w:val="21"/>
                <w:highlight w:val="none"/>
                <w:u w:val="none"/>
              </w:rPr>
              <w:t>评审及磋商：</w:t>
            </w:r>
          </w:p>
          <w:p w14:paraId="033C7A9C">
            <w:pPr>
              <w:widowControl/>
              <w:spacing w:line="440" w:lineRule="exact"/>
              <w:rPr>
                <w:rFonts w:ascii="宋体" w:hAnsi="宋体" w:cs="宋体"/>
                <w:color w:val="auto"/>
                <w:kern w:val="0"/>
                <w:szCs w:val="21"/>
                <w:highlight w:val="none"/>
              </w:rPr>
            </w:pPr>
            <w:r>
              <w:rPr>
                <w:rStyle w:val="46"/>
                <w:rFonts w:hint="eastAsia" w:ascii="宋体" w:hAnsi="宋体" w:cs="宋体"/>
                <w:color w:val="auto"/>
                <w:kern w:val="0"/>
                <w:szCs w:val="21"/>
                <w:highlight w:val="none"/>
                <w:u w:val="none"/>
              </w:rPr>
              <w:t>磋商小组成员根据磋商文件规定的评审程序、评审方法和评审标准进行独立评审，与符合条件的供应商就采购货物和服务事宜进行磋商，供应商按照磋商文件的要求提交报价。</w:t>
            </w:r>
            <w:r>
              <w:rPr>
                <w:rFonts w:ascii="宋体" w:hAnsi="宋体" w:cs="宋体"/>
                <w:color w:val="auto"/>
                <w:kern w:val="0"/>
                <w:szCs w:val="21"/>
                <w:highlight w:val="none"/>
              </w:rPr>
              <w:fldChar w:fldCharType="end"/>
            </w:r>
          </w:p>
        </w:tc>
      </w:tr>
      <w:tr w14:paraId="3726A8CC">
        <w:tblPrEx>
          <w:tblCellMar>
            <w:top w:w="0" w:type="dxa"/>
            <w:left w:w="108" w:type="dxa"/>
            <w:bottom w:w="0" w:type="dxa"/>
            <w:right w:w="108" w:type="dxa"/>
          </w:tblCellMar>
        </w:tblPrEx>
        <w:trPr>
          <w:trHeight w:val="80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E3E43A7">
            <w:pPr>
              <w:widowControl/>
              <w:spacing w:line="440" w:lineRule="exact"/>
              <w:jc w:val="center"/>
              <w:rPr>
                <w:rFonts w:ascii="宋体" w:hAnsi="宋体" w:cs="宋体"/>
                <w:color w:val="auto"/>
                <w:kern w:val="0"/>
                <w:szCs w:val="21"/>
                <w:highlight w:val="none"/>
              </w:rPr>
            </w:pPr>
            <w:r>
              <w:rPr>
                <w:rFonts w:ascii="宋体" w:hAnsi="宋体" w:cs="宋体"/>
                <w:color w:val="auto"/>
                <w:kern w:val="0"/>
                <w:szCs w:val="21"/>
                <w:highlight w:val="none"/>
              </w:rPr>
              <w:t>7</w:t>
            </w:r>
          </w:p>
        </w:tc>
        <w:tc>
          <w:tcPr>
            <w:tcW w:w="8647" w:type="dxa"/>
            <w:tcBorders>
              <w:top w:val="single" w:color="000000" w:sz="4" w:space="0"/>
              <w:left w:val="nil"/>
              <w:bottom w:val="single" w:color="000000" w:sz="4" w:space="0"/>
              <w:right w:val="single" w:color="000000" w:sz="4" w:space="0"/>
            </w:tcBorders>
            <w:vAlign w:val="center"/>
          </w:tcPr>
          <w:p w14:paraId="379ABFD4">
            <w:pPr>
              <w:widowControl/>
              <w:spacing w:line="440" w:lineRule="exact"/>
              <w:rPr>
                <w:rFonts w:ascii="宋体" w:hAnsi="宋体" w:cs="宋体"/>
                <w:color w:val="auto"/>
                <w:kern w:val="0"/>
                <w:szCs w:val="21"/>
                <w:highlight w:val="none"/>
              </w:rPr>
            </w:pPr>
            <w:r>
              <w:rPr>
                <w:color w:val="auto"/>
                <w:highlight w:val="none"/>
              </w:rPr>
              <w:fldChar w:fldCharType="begin"/>
            </w:r>
            <w:r>
              <w:rPr>
                <w:color w:val="auto"/>
                <w:highlight w:val="none"/>
              </w:rPr>
              <w:instrText xml:space="preserve"> HYPERLINK \l "_第四章__评定标准及推荐原则" </w:instrText>
            </w:r>
            <w:r>
              <w:rPr>
                <w:color w:val="auto"/>
                <w:highlight w:val="none"/>
              </w:rPr>
              <w:fldChar w:fldCharType="separate"/>
            </w:r>
            <w:r>
              <w:rPr>
                <w:rStyle w:val="46"/>
                <w:rFonts w:hint="eastAsia" w:ascii="宋体" w:hAnsi="宋体" w:cs="宋体"/>
                <w:color w:val="auto"/>
                <w:kern w:val="0"/>
                <w:szCs w:val="21"/>
                <w:highlight w:val="none"/>
                <w:u w:val="none"/>
              </w:rPr>
              <w:t>评定方法：</w:t>
            </w:r>
            <w:r>
              <w:rPr>
                <w:rStyle w:val="46"/>
                <w:rFonts w:hint="eastAsia"/>
                <w:color w:val="auto"/>
                <w:highlight w:val="none"/>
                <w:u w:val="none"/>
              </w:rPr>
              <w:t>详见第四章《评定标准及推荐原则》。</w:t>
            </w:r>
            <w:r>
              <w:rPr>
                <w:rStyle w:val="46"/>
                <w:rFonts w:hint="eastAsia"/>
                <w:color w:val="auto"/>
                <w:highlight w:val="none"/>
                <w:u w:val="none"/>
              </w:rPr>
              <w:fldChar w:fldCharType="end"/>
            </w:r>
          </w:p>
        </w:tc>
      </w:tr>
      <w:tr w14:paraId="656E2024">
        <w:tblPrEx>
          <w:tblCellMar>
            <w:top w:w="0" w:type="dxa"/>
            <w:left w:w="108" w:type="dxa"/>
            <w:bottom w:w="0" w:type="dxa"/>
            <w:right w:w="108" w:type="dxa"/>
          </w:tblCellMar>
        </w:tblPrEx>
        <w:trPr>
          <w:trHeight w:val="113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DBD56DC">
            <w:pPr>
              <w:widowControl/>
              <w:spacing w:line="440" w:lineRule="exact"/>
              <w:jc w:val="center"/>
              <w:rPr>
                <w:rFonts w:ascii="宋体" w:hAnsi="宋体" w:cs="宋体"/>
                <w:color w:val="auto"/>
                <w:kern w:val="0"/>
                <w:szCs w:val="21"/>
                <w:highlight w:val="none"/>
              </w:rPr>
            </w:pPr>
            <w:r>
              <w:rPr>
                <w:rFonts w:ascii="宋体" w:hAnsi="宋体" w:cs="宋体"/>
                <w:color w:val="auto"/>
                <w:kern w:val="0"/>
                <w:szCs w:val="21"/>
                <w:highlight w:val="none"/>
              </w:rPr>
              <w:t>8</w:t>
            </w:r>
          </w:p>
        </w:tc>
        <w:tc>
          <w:tcPr>
            <w:tcW w:w="8647" w:type="dxa"/>
            <w:tcBorders>
              <w:top w:val="single" w:color="000000" w:sz="4" w:space="0"/>
              <w:left w:val="nil"/>
              <w:bottom w:val="single" w:color="000000" w:sz="4" w:space="0"/>
              <w:right w:val="single" w:color="000000" w:sz="4" w:space="0"/>
            </w:tcBorders>
            <w:vAlign w:val="center"/>
          </w:tcPr>
          <w:p w14:paraId="4B8ECD5F">
            <w:pPr>
              <w:widowControl/>
              <w:spacing w:line="440" w:lineRule="exact"/>
              <w:rPr>
                <w:rFonts w:ascii="宋体" w:hAnsi="宋体" w:cs="宋体"/>
                <w:color w:val="auto"/>
                <w:kern w:val="0"/>
                <w:szCs w:val="21"/>
                <w:highlight w:val="none"/>
              </w:rPr>
            </w:pPr>
            <w:r>
              <w:rPr>
                <w:color w:val="auto"/>
                <w:highlight w:val="none"/>
              </w:rPr>
              <w:fldChar w:fldCharType="begin"/>
            </w:r>
            <w:r>
              <w:rPr>
                <w:color w:val="auto"/>
                <w:highlight w:val="none"/>
              </w:rPr>
              <w:instrText xml:space="preserve"> HYPERLINK \l "_十、其他事项" </w:instrText>
            </w:r>
            <w:r>
              <w:rPr>
                <w:color w:val="auto"/>
                <w:highlight w:val="none"/>
              </w:rPr>
              <w:fldChar w:fldCharType="separate"/>
            </w:r>
            <w:r>
              <w:rPr>
                <w:rStyle w:val="46"/>
                <w:rFonts w:hint="eastAsia" w:ascii="宋体" w:hAnsi="宋体" w:cs="宋体"/>
                <w:color w:val="auto"/>
                <w:kern w:val="0"/>
                <w:szCs w:val="21"/>
                <w:highlight w:val="none"/>
                <w:u w:val="none"/>
              </w:rPr>
              <w:t>代理服务费：按钦州市物价局“钦市价费〔2013﹞4号”文件，以差额定率累进法计算。成交供应商须按成交金额缴纳相应的代理服务费。</w:t>
            </w:r>
            <w:r>
              <w:rPr>
                <w:rStyle w:val="46"/>
                <w:rFonts w:hint="eastAsia" w:ascii="宋体" w:hAnsi="宋体" w:cs="宋体"/>
                <w:color w:val="auto"/>
                <w:kern w:val="0"/>
                <w:szCs w:val="21"/>
                <w:highlight w:val="none"/>
                <w:u w:val="none"/>
              </w:rPr>
              <w:fldChar w:fldCharType="end"/>
            </w:r>
          </w:p>
        </w:tc>
      </w:tr>
    </w:tbl>
    <w:p w14:paraId="08D147DB">
      <w:pPr>
        <w:rPr>
          <w:color w:val="auto"/>
          <w:highlight w:val="none"/>
        </w:rPr>
      </w:pPr>
      <w:bookmarkStart w:id="54" w:name="_Toc420505403"/>
    </w:p>
    <w:p w14:paraId="5434BF06">
      <w:pPr>
        <w:jc w:val="center"/>
        <w:rPr>
          <w:rFonts w:hint="eastAsia" w:ascii="黑体" w:hAnsi="黑体" w:eastAsia="黑体"/>
          <w:b/>
          <w:bCs/>
          <w:color w:val="auto"/>
          <w:sz w:val="32"/>
          <w:szCs w:val="32"/>
          <w:highlight w:val="none"/>
        </w:rPr>
      </w:pPr>
    </w:p>
    <w:p w14:paraId="2CF6401D">
      <w:pPr>
        <w:jc w:val="center"/>
        <w:rPr>
          <w:rFonts w:hint="eastAsia" w:ascii="黑体" w:hAnsi="黑体" w:eastAsia="黑体"/>
          <w:b/>
          <w:bCs/>
          <w:color w:val="auto"/>
          <w:sz w:val="32"/>
          <w:szCs w:val="32"/>
          <w:highlight w:val="none"/>
        </w:rPr>
      </w:pPr>
    </w:p>
    <w:p w14:paraId="63A652FA">
      <w:pPr>
        <w:jc w:val="both"/>
        <w:rPr>
          <w:rFonts w:hint="eastAsia" w:ascii="黑体" w:hAnsi="黑体" w:eastAsia="黑体"/>
          <w:b/>
          <w:bCs/>
          <w:color w:val="auto"/>
          <w:sz w:val="32"/>
          <w:szCs w:val="32"/>
          <w:highlight w:val="none"/>
        </w:rPr>
      </w:pPr>
    </w:p>
    <w:p w14:paraId="661D3CA6">
      <w:pPr>
        <w:pStyle w:val="4"/>
        <w:rPr>
          <w:rFonts w:hint="eastAsia"/>
        </w:rPr>
      </w:pPr>
    </w:p>
    <w:p w14:paraId="5B2AF5D5">
      <w:pPr>
        <w:jc w:val="center"/>
        <w:rPr>
          <w:rFonts w:ascii="黑体" w:hAnsi="黑体" w:eastAsia="黑体"/>
          <w:b/>
          <w:bCs/>
          <w:color w:val="auto"/>
          <w:sz w:val="32"/>
          <w:szCs w:val="32"/>
          <w:highlight w:val="none"/>
        </w:rPr>
      </w:pPr>
      <w:r>
        <w:rPr>
          <w:rFonts w:hint="eastAsia" w:ascii="黑体" w:hAnsi="黑体" w:eastAsia="黑体"/>
          <w:b/>
          <w:bCs/>
          <w:color w:val="auto"/>
          <w:sz w:val="32"/>
          <w:szCs w:val="32"/>
          <w:highlight w:val="none"/>
        </w:rPr>
        <w:t>二、供应商须知</w:t>
      </w:r>
      <w:bookmarkEnd w:id="54"/>
    </w:p>
    <w:p w14:paraId="4E86E480">
      <w:pPr>
        <w:pStyle w:val="3"/>
        <w:spacing w:line="420" w:lineRule="exact"/>
        <w:rPr>
          <w:color w:val="auto"/>
          <w:highlight w:val="none"/>
        </w:rPr>
      </w:pPr>
      <w:bookmarkStart w:id="55" w:name="_一、总_则"/>
      <w:bookmarkEnd w:id="55"/>
      <w:r>
        <w:rPr>
          <w:rFonts w:hint="eastAsia"/>
          <w:color w:val="auto"/>
          <w:highlight w:val="none"/>
        </w:rPr>
        <w:t>一、总　则</w:t>
      </w:r>
    </w:p>
    <w:p w14:paraId="65659703">
      <w:pPr>
        <w:spacing w:line="406" w:lineRule="exact"/>
        <w:ind w:firstLine="210" w:firstLineChars="100"/>
        <w:rPr>
          <w:rFonts w:ascii="宋体" w:hAnsi="宋体"/>
          <w:color w:val="auto"/>
          <w:szCs w:val="21"/>
          <w:highlight w:val="none"/>
        </w:rPr>
      </w:pPr>
      <w:r>
        <w:rPr>
          <w:rFonts w:hint="eastAsia" w:ascii="宋体" w:hAnsi="宋体"/>
          <w:color w:val="auto"/>
          <w:szCs w:val="21"/>
          <w:highlight w:val="none"/>
        </w:rPr>
        <w:t>（一）适用范围</w:t>
      </w:r>
    </w:p>
    <w:p w14:paraId="343C3DD0">
      <w:pPr>
        <w:spacing w:line="406" w:lineRule="exact"/>
        <w:ind w:right="-334" w:rightChars="-159" w:firstLine="420"/>
        <w:rPr>
          <w:color w:val="auto"/>
          <w:szCs w:val="21"/>
          <w:highlight w:val="none"/>
        </w:rPr>
      </w:pPr>
      <w:r>
        <w:rPr>
          <w:rFonts w:ascii="宋体"/>
          <w:color w:val="auto"/>
          <w:highlight w:val="none"/>
        </w:rPr>
        <w:t>1.</w:t>
      </w:r>
      <w:r>
        <w:rPr>
          <w:rFonts w:hint="eastAsia" w:ascii="宋体"/>
          <w:color w:val="auto"/>
          <w:highlight w:val="none"/>
        </w:rPr>
        <w:t>项目名称：</w:t>
      </w:r>
      <w:r>
        <w:rPr>
          <w:rFonts w:hint="eastAsia" w:ascii="宋体" w:hAnsi="宋体"/>
          <w:color w:val="auto"/>
          <w:szCs w:val="21"/>
          <w:highlight w:val="none"/>
          <w:lang w:val="en-US" w:eastAsia="zh-CN"/>
        </w:rPr>
        <w:t>灵山县人民检察院采购通信运营商服务项目</w:t>
      </w:r>
    </w:p>
    <w:p w14:paraId="3515CD43">
      <w:pPr>
        <w:spacing w:line="406" w:lineRule="exact"/>
        <w:ind w:right="-334" w:rightChars="-159" w:firstLine="420"/>
        <w:rPr>
          <w:rFonts w:hint="eastAsia" w:eastAsia="宋体"/>
          <w:color w:val="auto"/>
          <w:highlight w:val="none"/>
          <w:lang w:eastAsia="zh-CN"/>
        </w:rPr>
      </w:pPr>
      <w:r>
        <w:rPr>
          <w:color w:val="auto"/>
          <w:szCs w:val="21"/>
          <w:highlight w:val="none"/>
        </w:rPr>
        <w:t>2.</w:t>
      </w:r>
      <w:r>
        <w:rPr>
          <w:rFonts w:hint="eastAsia"/>
          <w:color w:val="auto"/>
          <w:highlight w:val="none"/>
        </w:rPr>
        <w:t>项目编号：</w:t>
      </w:r>
      <w:r>
        <w:rPr>
          <w:rFonts w:hint="eastAsia"/>
          <w:color w:val="auto"/>
          <w:highlight w:val="none"/>
          <w:lang w:eastAsia="zh-CN"/>
        </w:rPr>
        <w:t>QZZC2025-C3-990027-QZSZ</w:t>
      </w:r>
    </w:p>
    <w:p w14:paraId="0079E798">
      <w:pPr>
        <w:spacing w:line="406" w:lineRule="exact"/>
        <w:ind w:right="-334" w:rightChars="-159" w:firstLine="420"/>
        <w:rPr>
          <w:color w:val="auto"/>
          <w:szCs w:val="21"/>
          <w:highlight w:val="none"/>
        </w:rPr>
      </w:pPr>
      <w:r>
        <w:rPr>
          <w:rFonts w:hint="eastAsia" w:hAnsi="宋体"/>
          <w:color w:val="auto"/>
          <w:highlight w:val="none"/>
        </w:rPr>
        <w:t>本文件仅适用于本文件中所叙述的货物、服务类政府采购项目。</w:t>
      </w:r>
    </w:p>
    <w:p w14:paraId="69C888BB">
      <w:pPr>
        <w:spacing w:line="406" w:lineRule="exact"/>
        <w:ind w:firstLine="210" w:firstLineChars="100"/>
        <w:rPr>
          <w:rFonts w:ascii="宋体" w:hAnsi="宋体"/>
          <w:color w:val="auto"/>
          <w:szCs w:val="21"/>
          <w:highlight w:val="none"/>
        </w:rPr>
      </w:pPr>
      <w:r>
        <w:rPr>
          <w:rFonts w:hint="eastAsia" w:ascii="宋体" w:hAnsi="宋体"/>
          <w:color w:val="auto"/>
          <w:szCs w:val="21"/>
          <w:highlight w:val="none"/>
        </w:rPr>
        <w:t>（二）定义</w:t>
      </w:r>
    </w:p>
    <w:p w14:paraId="7552DBB4">
      <w:pPr>
        <w:spacing w:line="406"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采购人</w:t>
      </w:r>
      <w:r>
        <w:rPr>
          <w:rFonts w:hint="eastAsia" w:ascii="宋体" w:hAnsi="宋体"/>
          <w:color w:val="auto"/>
          <w:szCs w:val="21"/>
          <w:highlight w:val="none"/>
        </w:rPr>
        <w:t>”</w:t>
      </w:r>
      <w:r>
        <w:rPr>
          <w:rFonts w:ascii="宋体" w:hAnsi="宋体"/>
          <w:color w:val="auto"/>
          <w:szCs w:val="21"/>
          <w:highlight w:val="none"/>
        </w:rPr>
        <w:t>是指依法进行政府采购的国家机关、事业单位、团体组织。</w:t>
      </w:r>
    </w:p>
    <w:p w14:paraId="6F78A185">
      <w:pPr>
        <w:spacing w:line="406" w:lineRule="exact"/>
        <w:ind w:firstLine="420" w:firstLineChars="200"/>
        <w:rPr>
          <w:rFonts w:ascii="宋体" w:hAnsi="宋体"/>
          <w:color w:val="auto"/>
          <w:szCs w:val="21"/>
          <w:highlight w:val="none"/>
        </w:rPr>
      </w:pPr>
      <w:r>
        <w:rPr>
          <w:rFonts w:hint="eastAsia" w:ascii="宋体" w:hAnsi="宋体"/>
          <w:color w:val="auto"/>
          <w:szCs w:val="21"/>
          <w:highlight w:val="none"/>
        </w:rPr>
        <w:t>2.“供应商”是指响应本文件要求，参加磋商的法人或其他组织。如果该供应商在本次采购项目中成交,即成为“成交供应商”。</w:t>
      </w:r>
    </w:p>
    <w:p w14:paraId="3C279503">
      <w:pPr>
        <w:spacing w:line="406"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“采购代理机构”是指</w:t>
      </w:r>
      <w:r>
        <w:rPr>
          <w:rFonts w:hint="eastAsia" w:ascii="宋体" w:hAnsi="宋体"/>
          <w:color w:val="auto"/>
          <w:highlight w:val="none"/>
        </w:rPr>
        <w:t>钦州市政府采购中心。</w:t>
      </w:r>
    </w:p>
    <w:p w14:paraId="1FB705EF">
      <w:pPr>
        <w:spacing w:line="406" w:lineRule="exact"/>
        <w:ind w:firstLine="420" w:firstLineChars="20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“货物和服务”是指本次采购文件中所采购的各种形态和种类的产品以及其提供的服务。</w:t>
      </w:r>
    </w:p>
    <w:p w14:paraId="6F03A063">
      <w:pPr>
        <w:spacing w:line="406" w:lineRule="exact"/>
        <w:ind w:firstLine="420" w:firstLineChars="20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“竞争性磋商采购文件”是指采用竞争性磋商方式进行政府采购的指导文件，简称“磋商文件”或“采购文件”。</w:t>
      </w:r>
    </w:p>
    <w:p w14:paraId="779477FF">
      <w:pPr>
        <w:spacing w:line="406" w:lineRule="exact"/>
        <w:ind w:firstLine="420" w:firstLineChars="200"/>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“响应文件”是指供应商根据采购文件要求，编制包含技术、服务和报价等所有内容的响应文件。</w:t>
      </w:r>
    </w:p>
    <w:p w14:paraId="3DF3D49F">
      <w:pPr>
        <w:spacing w:line="406" w:lineRule="exact"/>
        <w:ind w:firstLine="420" w:firstLineChars="200"/>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“书面形式”</w:t>
      </w:r>
      <w:r>
        <w:rPr>
          <w:rFonts w:ascii="Helvetica" w:hAnsi="Helvetica"/>
          <w:color w:val="auto"/>
          <w:szCs w:val="21"/>
          <w:highlight w:val="none"/>
        </w:rPr>
        <w:t>是</w:t>
      </w:r>
      <w:r>
        <w:rPr>
          <w:rFonts w:hint="eastAsia" w:ascii="Helvetica" w:hAnsi="Helvetica"/>
          <w:color w:val="auto"/>
          <w:szCs w:val="21"/>
          <w:highlight w:val="none"/>
        </w:rPr>
        <w:t>指</w:t>
      </w:r>
      <w:r>
        <w:rPr>
          <w:rFonts w:ascii="Helvetica" w:hAnsi="Helvetica"/>
          <w:color w:val="auto"/>
          <w:szCs w:val="21"/>
          <w:highlight w:val="none"/>
        </w:rPr>
        <w:t>合同书、信件、电报、电传、传真等可以有形地表现所载内容的形式。</w:t>
      </w:r>
    </w:p>
    <w:p w14:paraId="1ADF3A36">
      <w:pPr>
        <w:spacing w:line="406" w:lineRule="exact"/>
        <w:ind w:firstLine="211" w:firstLineChars="100"/>
        <w:rPr>
          <w:rFonts w:ascii="宋体" w:hAnsi="宋体"/>
          <w:b/>
          <w:color w:val="auto"/>
          <w:szCs w:val="21"/>
          <w:highlight w:val="none"/>
        </w:rPr>
      </w:pPr>
      <w:r>
        <w:rPr>
          <w:rFonts w:hint="eastAsia" w:ascii="宋体" w:hAnsi="宋体"/>
          <w:b/>
          <w:color w:val="auto"/>
          <w:szCs w:val="21"/>
          <w:highlight w:val="none"/>
        </w:rPr>
        <w:t>（三）供应商资格</w:t>
      </w:r>
    </w:p>
    <w:p w14:paraId="6ADAE668">
      <w:pPr>
        <w:spacing w:line="406" w:lineRule="exact"/>
        <w:ind w:firstLine="420" w:firstLineChars="200"/>
        <w:rPr>
          <w:rFonts w:hint="eastAsia"/>
          <w:color w:val="auto"/>
          <w:highlight w:val="none"/>
          <w:lang w:val="en-US" w:eastAsia="zh-CN"/>
        </w:rPr>
      </w:pPr>
      <w:r>
        <w:rPr>
          <w:rFonts w:hint="eastAsia"/>
          <w:color w:val="auto"/>
          <w:highlight w:val="none"/>
          <w:lang w:val="en-US" w:eastAsia="zh-CN"/>
        </w:rPr>
        <w:t>供应商的资格要求详见“供应商须知前附表”。</w:t>
      </w:r>
    </w:p>
    <w:p w14:paraId="40DEDE82">
      <w:pPr>
        <w:spacing w:line="406" w:lineRule="exact"/>
        <w:ind w:firstLine="211" w:firstLineChars="100"/>
        <w:rPr>
          <w:b/>
          <w:bCs/>
          <w:color w:val="auto"/>
          <w:highlight w:val="none"/>
        </w:rPr>
      </w:pPr>
      <w:r>
        <w:rPr>
          <w:rFonts w:hint="eastAsia"/>
          <w:b/>
          <w:bCs/>
          <w:color w:val="auto"/>
          <w:highlight w:val="none"/>
        </w:rPr>
        <w:t>（四）采购方式</w:t>
      </w:r>
    </w:p>
    <w:p w14:paraId="4C48FC3F">
      <w:pPr>
        <w:snapToGrid w:val="0"/>
        <w:spacing w:line="406" w:lineRule="exact"/>
        <w:ind w:firstLine="420" w:firstLineChars="200"/>
        <w:rPr>
          <w:rFonts w:ascii="宋体" w:hAnsi="宋体"/>
          <w:color w:val="auto"/>
          <w:szCs w:val="21"/>
          <w:highlight w:val="none"/>
        </w:rPr>
      </w:pPr>
      <w:r>
        <w:rPr>
          <w:rFonts w:hint="eastAsia" w:ascii="宋体" w:hAnsi="宋体"/>
          <w:color w:val="auto"/>
          <w:szCs w:val="21"/>
          <w:highlight w:val="none"/>
        </w:rPr>
        <w:t>竞争性磋商</w:t>
      </w:r>
    </w:p>
    <w:p w14:paraId="7A3324B6">
      <w:pPr>
        <w:spacing w:line="406" w:lineRule="exact"/>
        <w:ind w:firstLine="211" w:firstLineChars="100"/>
        <w:rPr>
          <w:b/>
          <w:bCs/>
          <w:color w:val="auto"/>
          <w:highlight w:val="none"/>
        </w:rPr>
      </w:pPr>
      <w:bookmarkStart w:id="56" w:name="_Toc352700410"/>
      <w:bookmarkStart w:id="57" w:name="_Toc254970530"/>
      <w:bookmarkStart w:id="58" w:name="_Toc254970671"/>
      <w:bookmarkStart w:id="59" w:name="_Toc353785281"/>
      <w:r>
        <w:rPr>
          <w:rFonts w:hint="eastAsia"/>
          <w:b/>
          <w:bCs/>
          <w:color w:val="auto"/>
          <w:highlight w:val="none"/>
        </w:rPr>
        <w:t>（五）代理委托</w:t>
      </w:r>
      <w:bookmarkEnd w:id="56"/>
      <w:bookmarkEnd w:id="57"/>
      <w:bookmarkEnd w:id="58"/>
      <w:bookmarkEnd w:id="59"/>
    </w:p>
    <w:p w14:paraId="7344D220">
      <w:pPr>
        <w:snapToGrid w:val="0"/>
        <w:spacing w:line="406" w:lineRule="exact"/>
        <w:ind w:firstLine="420" w:firstLineChars="200"/>
        <w:rPr>
          <w:rFonts w:ascii="宋体" w:hAnsi="宋体" w:cs="Courier New"/>
          <w:bCs/>
          <w:color w:val="auto"/>
          <w:szCs w:val="21"/>
          <w:highlight w:val="none"/>
        </w:rPr>
      </w:pPr>
      <w:r>
        <w:rPr>
          <w:rFonts w:hint="eastAsia" w:ascii="宋体" w:hAnsi="宋体" w:cs="Courier New"/>
          <w:bCs/>
          <w:color w:val="auto"/>
          <w:szCs w:val="21"/>
          <w:highlight w:val="none"/>
        </w:rPr>
        <w:t>委托磋商的供应商须提供授权委托书（格式见第六章）。</w:t>
      </w:r>
    </w:p>
    <w:p w14:paraId="1D24BE2C">
      <w:pPr>
        <w:spacing w:line="406" w:lineRule="exact"/>
        <w:ind w:firstLine="211" w:firstLineChars="100"/>
        <w:rPr>
          <w:b/>
          <w:bCs/>
          <w:color w:val="auto"/>
          <w:highlight w:val="none"/>
        </w:rPr>
      </w:pPr>
      <w:bookmarkStart w:id="60" w:name="_Toc254970672"/>
      <w:bookmarkStart w:id="61" w:name="_Toc352700411"/>
      <w:bookmarkStart w:id="62" w:name="_Toc353785282"/>
      <w:bookmarkStart w:id="63" w:name="_Toc254970531"/>
      <w:r>
        <w:rPr>
          <w:rFonts w:hint="eastAsia"/>
          <w:b/>
          <w:bCs/>
          <w:color w:val="auto"/>
          <w:highlight w:val="none"/>
        </w:rPr>
        <w:t>（六）磋商费用</w:t>
      </w:r>
      <w:bookmarkEnd w:id="60"/>
      <w:bookmarkEnd w:id="61"/>
      <w:bookmarkEnd w:id="62"/>
      <w:bookmarkEnd w:id="63"/>
    </w:p>
    <w:p w14:paraId="27DC4D11">
      <w:pPr>
        <w:snapToGrid w:val="0"/>
        <w:spacing w:line="406" w:lineRule="exact"/>
        <w:ind w:firstLine="420" w:firstLineChars="200"/>
        <w:rPr>
          <w:rFonts w:ascii="宋体" w:hAnsi="宋体"/>
          <w:color w:val="auto"/>
          <w:szCs w:val="21"/>
          <w:highlight w:val="none"/>
        </w:rPr>
      </w:pPr>
      <w:r>
        <w:rPr>
          <w:rFonts w:hint="eastAsia" w:ascii="宋体" w:hAnsi="宋体"/>
          <w:color w:val="auto"/>
          <w:szCs w:val="21"/>
          <w:highlight w:val="none"/>
        </w:rPr>
        <w:t>供应商自行承担所有与磋商有关的全部费用。</w:t>
      </w:r>
    </w:p>
    <w:p w14:paraId="76F15BC5">
      <w:pPr>
        <w:spacing w:line="406" w:lineRule="exact"/>
        <w:ind w:firstLine="211" w:firstLineChars="100"/>
        <w:rPr>
          <w:b/>
          <w:bCs/>
          <w:color w:val="auto"/>
          <w:highlight w:val="none"/>
        </w:rPr>
      </w:pPr>
      <w:bookmarkStart w:id="64" w:name="_Toc353785283"/>
      <w:bookmarkStart w:id="65" w:name="_Toc352700413"/>
      <w:r>
        <w:rPr>
          <w:rFonts w:hint="eastAsia"/>
          <w:b/>
          <w:bCs/>
          <w:color w:val="auto"/>
          <w:highlight w:val="none"/>
        </w:rPr>
        <w:t>（七）转包与分包</w:t>
      </w:r>
      <w:bookmarkEnd w:id="64"/>
      <w:bookmarkEnd w:id="65"/>
    </w:p>
    <w:p w14:paraId="7B14673D">
      <w:pPr>
        <w:snapToGrid w:val="0"/>
        <w:spacing w:line="406" w:lineRule="exact"/>
        <w:ind w:firstLine="420" w:firstLineChars="200"/>
        <w:rPr>
          <w:rFonts w:ascii="宋体" w:hAns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本项目不允许转包。</w:t>
      </w:r>
    </w:p>
    <w:p w14:paraId="69DFC78A">
      <w:pPr>
        <w:snapToGrid w:val="0"/>
        <w:spacing w:line="406" w:lineRule="exact"/>
        <w:ind w:firstLine="420" w:firstLineChars="200"/>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采购人允许采用分包方式履行合同的，应当在采购文件中明确可以分包履行的具体内容、金额或者比例。</w:t>
      </w:r>
    </w:p>
    <w:p w14:paraId="65F6FF74">
      <w:pPr>
        <w:snapToGrid w:val="0"/>
        <w:spacing w:line="406" w:lineRule="exact"/>
        <w:ind w:firstLine="420" w:firstLineChars="200"/>
        <w:rPr>
          <w:rFonts w:ascii="宋体" w:hAns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依据《政府采购促进中小企业发展管理办法》规定享受扶持政策获得政府采购合同的，小微企业不得将合同分包给大中型企业，中型企业不得将合同分包给大型企业。</w:t>
      </w:r>
    </w:p>
    <w:p w14:paraId="4056283C">
      <w:pPr>
        <w:spacing w:line="406" w:lineRule="exact"/>
        <w:ind w:firstLine="211" w:firstLineChars="100"/>
        <w:rPr>
          <w:b/>
          <w:bCs/>
          <w:color w:val="auto"/>
          <w:highlight w:val="none"/>
        </w:rPr>
      </w:pPr>
      <w:bookmarkStart w:id="66" w:name="_Toc254970532"/>
      <w:bookmarkStart w:id="67" w:name="_Toc353785284"/>
      <w:bookmarkStart w:id="68" w:name="_Toc352700414"/>
      <w:bookmarkStart w:id="69" w:name="_Toc254970673"/>
      <w:r>
        <w:rPr>
          <w:rFonts w:hint="eastAsia"/>
          <w:b/>
          <w:bCs/>
          <w:color w:val="auto"/>
          <w:highlight w:val="none"/>
        </w:rPr>
        <w:t>（八）特别说明</w:t>
      </w:r>
      <w:bookmarkEnd w:id="66"/>
      <w:bookmarkEnd w:id="67"/>
      <w:bookmarkEnd w:id="68"/>
      <w:bookmarkEnd w:id="69"/>
    </w:p>
    <w:p w14:paraId="308952E9">
      <w:pPr>
        <w:pStyle w:val="22"/>
        <w:snapToGrid w:val="0"/>
        <w:spacing w:line="406" w:lineRule="exact"/>
        <w:ind w:firstLine="420"/>
        <w:rPr>
          <w:rFonts w:hAnsi="宋体"/>
          <w:color w:val="auto"/>
          <w:highlight w:val="none"/>
        </w:rPr>
      </w:pPr>
      <w:r>
        <w:rPr>
          <w:rFonts w:hAnsi="宋体"/>
          <w:color w:val="auto"/>
          <w:highlight w:val="none"/>
        </w:rPr>
        <w:t>1.</w:t>
      </w:r>
      <w:r>
        <w:rPr>
          <w:rFonts w:hint="eastAsia" w:hAnsi="宋体"/>
          <w:color w:val="auto"/>
          <w:highlight w:val="none"/>
        </w:rPr>
        <w:t>单位负责人为同一人或者存在直接控股、管理关系的不同的供应商，不得参加同一合同项下的政府采购活动，否则其响应文件将被视为无效。为采购项目提供整体设计、规范编制或者项目管理、监理、检测等服务的供应商，不得再参加该采购项目的其他采购活动。</w:t>
      </w:r>
    </w:p>
    <w:p w14:paraId="62EF1873">
      <w:pPr>
        <w:pStyle w:val="22"/>
        <w:snapToGrid w:val="0"/>
        <w:spacing w:line="406" w:lineRule="exact"/>
        <w:ind w:firstLine="420"/>
        <w:rPr>
          <w:rFonts w:hAnsi="宋体"/>
          <w:color w:val="auto"/>
          <w:highlight w:val="none"/>
        </w:rPr>
      </w:pPr>
      <w:r>
        <w:rPr>
          <w:rFonts w:hAnsi="宋体"/>
          <w:color w:val="auto"/>
          <w:highlight w:val="none"/>
        </w:rPr>
        <w:t>2.</w:t>
      </w:r>
      <w:r>
        <w:rPr>
          <w:rFonts w:hint="eastAsia" w:hAnsi="宋体"/>
          <w:color w:val="auto"/>
          <w:highlight w:val="none"/>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本中心将终止竞争性磋商采购活动，发布项目终止公告并说明原因，重新开展采购活动。</w:t>
      </w:r>
    </w:p>
    <w:p w14:paraId="66E0C573">
      <w:pPr>
        <w:spacing w:line="406" w:lineRule="exact"/>
        <w:ind w:firstLine="211" w:firstLineChars="100"/>
        <w:rPr>
          <w:b/>
          <w:bCs/>
          <w:color w:val="auto"/>
          <w:highlight w:val="none"/>
        </w:rPr>
      </w:pPr>
      <w:bookmarkStart w:id="70" w:name="_Toc254970674"/>
      <w:bookmarkStart w:id="71" w:name="_Toc353785285"/>
      <w:bookmarkStart w:id="72" w:name="_Toc352700415"/>
      <w:bookmarkStart w:id="73" w:name="_Toc254970533"/>
      <w:r>
        <w:rPr>
          <w:rFonts w:hint="eastAsia"/>
          <w:b/>
          <w:bCs/>
          <w:color w:val="auto"/>
          <w:highlight w:val="none"/>
        </w:rPr>
        <w:t>（九）询问、质疑和投诉</w:t>
      </w:r>
      <w:bookmarkEnd w:id="70"/>
      <w:bookmarkEnd w:id="71"/>
      <w:bookmarkEnd w:id="72"/>
      <w:bookmarkEnd w:id="73"/>
    </w:p>
    <w:p w14:paraId="23FCBE51">
      <w:pPr>
        <w:pStyle w:val="22"/>
        <w:snapToGrid w:val="0"/>
        <w:spacing w:line="406" w:lineRule="exact"/>
        <w:ind w:firstLine="420"/>
        <w:rPr>
          <w:rFonts w:hAnsi="宋体"/>
          <w:bCs/>
          <w:color w:val="auto"/>
          <w:highlight w:val="none"/>
        </w:rPr>
      </w:pPr>
      <w:r>
        <w:rPr>
          <w:rFonts w:hAnsi="宋体"/>
          <w:bCs/>
          <w:color w:val="auto"/>
          <w:highlight w:val="none"/>
        </w:rPr>
        <w:t>1.</w:t>
      </w:r>
      <w:r>
        <w:rPr>
          <w:rFonts w:hint="eastAsia" w:ascii="Arial" w:hAnsi="Arial" w:cs="Arial"/>
          <w:color w:val="auto"/>
          <w:kern w:val="0"/>
          <w:highlight w:val="none"/>
        </w:rPr>
        <w:t>供应商</w:t>
      </w:r>
      <w:r>
        <w:rPr>
          <w:rFonts w:ascii="Arial" w:hAnsi="Arial" w:cs="Arial"/>
          <w:color w:val="auto"/>
          <w:kern w:val="0"/>
          <w:highlight w:val="none"/>
        </w:rPr>
        <w:t>对政府采购活动事项有疑问的，可以向采购人</w:t>
      </w:r>
      <w:r>
        <w:rPr>
          <w:rFonts w:hint="eastAsia" w:ascii="Arial" w:hAnsi="Arial" w:cs="Arial"/>
          <w:color w:val="auto"/>
          <w:kern w:val="0"/>
          <w:highlight w:val="none"/>
        </w:rPr>
        <w:t>或本中心</w:t>
      </w:r>
      <w:r>
        <w:rPr>
          <w:rFonts w:ascii="Arial" w:hAnsi="Arial" w:cs="Arial"/>
          <w:color w:val="auto"/>
          <w:kern w:val="0"/>
          <w:highlight w:val="none"/>
        </w:rPr>
        <w:t>提出询问，采购人</w:t>
      </w:r>
      <w:r>
        <w:rPr>
          <w:rFonts w:hint="eastAsia" w:ascii="Arial" w:hAnsi="Arial" w:cs="Arial"/>
          <w:color w:val="auto"/>
          <w:kern w:val="0"/>
          <w:highlight w:val="none"/>
        </w:rPr>
        <w:t>或本中心当在3个工作日内对供应商依法提出的询问作出答复</w:t>
      </w:r>
      <w:r>
        <w:rPr>
          <w:rFonts w:ascii="Arial" w:hAnsi="Arial" w:cs="Arial"/>
          <w:color w:val="auto"/>
          <w:kern w:val="0"/>
          <w:highlight w:val="none"/>
        </w:rPr>
        <w:t>，但答复的内容不得涉及商业秘密。</w:t>
      </w:r>
    </w:p>
    <w:p w14:paraId="37538D39">
      <w:pPr>
        <w:pStyle w:val="22"/>
        <w:snapToGrid w:val="0"/>
        <w:spacing w:line="406" w:lineRule="exact"/>
        <w:ind w:firstLine="420"/>
        <w:rPr>
          <w:rFonts w:hAnsi="宋体"/>
          <w:bCs/>
          <w:color w:val="auto"/>
          <w:highlight w:val="none"/>
        </w:rPr>
      </w:pPr>
      <w:r>
        <w:rPr>
          <w:rFonts w:hAnsi="宋体"/>
          <w:bCs/>
          <w:color w:val="auto"/>
          <w:highlight w:val="none"/>
        </w:rPr>
        <w:t>2.</w:t>
      </w:r>
      <w:r>
        <w:rPr>
          <w:rFonts w:hint="eastAsia" w:hAnsi="宋体"/>
          <w:bCs/>
          <w:color w:val="auto"/>
          <w:highlight w:val="none"/>
        </w:rPr>
        <w:t>供应商认为采购文件、采购过程或成交结果使自己的合法权益受到损害的，</w:t>
      </w:r>
      <w:r>
        <w:rPr>
          <w:rFonts w:hAnsi="宋体"/>
          <w:bCs/>
          <w:color w:val="auto"/>
          <w:highlight w:val="none"/>
        </w:rPr>
        <w:t>可以在知道或者应知其权益受到损害之日起7个工作日内</w:t>
      </w:r>
      <w:r>
        <w:rPr>
          <w:rFonts w:hint="eastAsia" w:hAnsi="宋体"/>
          <w:bCs/>
          <w:color w:val="auto"/>
          <w:highlight w:val="none"/>
        </w:rPr>
        <w:t>，</w:t>
      </w:r>
      <w:r>
        <w:rPr>
          <w:rFonts w:cs="Arial"/>
          <w:color w:val="auto"/>
          <w:highlight w:val="none"/>
        </w:rPr>
        <w:t>以书面形式(</w:t>
      </w:r>
      <w:r>
        <w:rPr>
          <w:rFonts w:hint="eastAsia" w:cs="Arial"/>
          <w:color w:val="auto"/>
          <w:highlight w:val="none"/>
        </w:rPr>
        <w:t>政采云平台</w:t>
      </w:r>
      <w:r>
        <w:rPr>
          <w:rFonts w:cs="Arial"/>
          <w:color w:val="auto"/>
          <w:highlight w:val="none"/>
        </w:rPr>
        <w:t>)</w:t>
      </w:r>
      <w:r>
        <w:rPr>
          <w:rFonts w:hint="eastAsia" w:cs="Arial"/>
          <w:color w:val="auto"/>
          <w:highlight w:val="none"/>
        </w:rPr>
        <w:t>向</w:t>
      </w:r>
      <w:r>
        <w:rPr>
          <w:rFonts w:cs="Arial"/>
          <w:color w:val="auto"/>
          <w:highlight w:val="none"/>
        </w:rPr>
        <w:t>采购人、</w:t>
      </w:r>
      <w:r>
        <w:rPr>
          <w:rFonts w:hint="eastAsia" w:cs="Arial"/>
          <w:color w:val="auto"/>
          <w:highlight w:val="none"/>
        </w:rPr>
        <w:t>本中心</w:t>
      </w:r>
      <w:r>
        <w:rPr>
          <w:rFonts w:cs="Arial"/>
          <w:color w:val="auto"/>
          <w:highlight w:val="none"/>
        </w:rPr>
        <w:t>提出质疑。</w:t>
      </w:r>
      <w:r>
        <w:rPr>
          <w:rFonts w:hint="eastAsia" w:hAnsi="宋体"/>
          <w:bCs/>
          <w:color w:val="auto"/>
          <w:highlight w:val="none"/>
        </w:rPr>
        <w:t>供应商必须在法定质疑期内一次性提出针对同一采购程序环节的质疑。</w:t>
      </w:r>
      <w:r>
        <w:rPr>
          <w:rFonts w:hint="eastAsia" w:hAnsi="宋体" w:cs="宋体"/>
          <w:color w:val="auto"/>
          <w:highlight w:val="none"/>
        </w:rPr>
        <w:t>供应商应知其权益受到损害之日，是指：</w:t>
      </w:r>
    </w:p>
    <w:p w14:paraId="5FB841B5">
      <w:pPr>
        <w:pStyle w:val="22"/>
        <w:adjustRightInd w:val="0"/>
        <w:snapToGrid w:val="0"/>
        <w:spacing w:line="406" w:lineRule="exact"/>
        <w:ind w:firstLine="308" w:firstLineChars="147"/>
        <w:rPr>
          <w:rFonts w:hAnsi="宋体"/>
          <w:bCs/>
          <w:color w:val="auto"/>
          <w:highlight w:val="none"/>
        </w:rPr>
      </w:pPr>
      <w:r>
        <w:rPr>
          <w:rFonts w:hint="eastAsia" w:hAnsi="宋体"/>
          <w:bCs/>
          <w:color w:val="auto"/>
          <w:highlight w:val="none"/>
        </w:rPr>
        <w:t>(</w:t>
      </w:r>
      <w:r>
        <w:rPr>
          <w:rFonts w:hAnsi="宋体"/>
          <w:bCs/>
          <w:color w:val="auto"/>
          <w:highlight w:val="none"/>
        </w:rPr>
        <w:t>1)</w:t>
      </w:r>
      <w:r>
        <w:rPr>
          <w:rFonts w:hint="eastAsia" w:hAnsi="宋体"/>
          <w:bCs/>
          <w:color w:val="auto"/>
          <w:highlight w:val="none"/>
        </w:rPr>
        <w:t>对采购文件提出质疑的，为获取采购文件之日；</w:t>
      </w:r>
    </w:p>
    <w:p w14:paraId="36AA7728">
      <w:pPr>
        <w:pStyle w:val="22"/>
        <w:adjustRightInd w:val="0"/>
        <w:snapToGrid w:val="0"/>
        <w:spacing w:line="406" w:lineRule="exact"/>
        <w:ind w:firstLine="308" w:firstLineChars="147"/>
        <w:rPr>
          <w:rFonts w:hAnsi="宋体"/>
          <w:bCs/>
          <w:color w:val="auto"/>
          <w:highlight w:val="none"/>
        </w:rPr>
      </w:pPr>
      <w:r>
        <w:rPr>
          <w:rFonts w:hint="eastAsia" w:hAnsi="宋体"/>
          <w:bCs/>
          <w:color w:val="auto"/>
          <w:highlight w:val="none"/>
        </w:rPr>
        <w:t>(</w:t>
      </w:r>
      <w:r>
        <w:rPr>
          <w:rFonts w:hAnsi="宋体"/>
          <w:bCs/>
          <w:color w:val="auto"/>
          <w:highlight w:val="none"/>
        </w:rPr>
        <w:t>2)</w:t>
      </w:r>
      <w:r>
        <w:rPr>
          <w:rFonts w:hint="eastAsia" w:hAnsi="宋体"/>
          <w:bCs/>
          <w:color w:val="auto"/>
          <w:highlight w:val="none"/>
        </w:rPr>
        <w:t>对采购过程提出质疑的，为各采购程序环节结束之日；</w:t>
      </w:r>
    </w:p>
    <w:p w14:paraId="1A243EAC">
      <w:pPr>
        <w:widowControl/>
        <w:adjustRightInd w:val="0"/>
        <w:snapToGrid w:val="0"/>
        <w:spacing w:line="406" w:lineRule="exact"/>
        <w:ind w:firstLine="102" w:firstLineChars="49"/>
        <w:jc w:val="left"/>
        <w:rPr>
          <w:rFonts w:ascii="宋体" w:hAnsi="宋体" w:cs="Courier New"/>
          <w:bCs/>
          <w:color w:val="auto"/>
          <w:szCs w:val="21"/>
          <w:highlight w:val="none"/>
        </w:rPr>
      </w:pPr>
      <w:r>
        <w:rPr>
          <w:rFonts w:hint="eastAsia" w:ascii="宋体" w:hAnsi="宋体" w:cs="Courier New"/>
          <w:bCs/>
          <w:color w:val="auto"/>
          <w:szCs w:val="21"/>
          <w:highlight w:val="none"/>
        </w:rPr>
        <w:t xml:space="preserve">  (</w:t>
      </w:r>
      <w:r>
        <w:rPr>
          <w:rFonts w:ascii="宋体" w:hAnsi="宋体" w:cs="Courier New"/>
          <w:bCs/>
          <w:color w:val="auto"/>
          <w:szCs w:val="21"/>
          <w:highlight w:val="none"/>
        </w:rPr>
        <w:t>3)</w:t>
      </w:r>
      <w:r>
        <w:rPr>
          <w:rFonts w:hint="eastAsia" w:ascii="宋体" w:hAnsi="宋体" w:cs="Courier New"/>
          <w:bCs/>
          <w:color w:val="auto"/>
          <w:szCs w:val="21"/>
          <w:highlight w:val="none"/>
        </w:rPr>
        <w:t>对成交结果提出质疑的，为成交结果公告期限届满之日。</w:t>
      </w:r>
    </w:p>
    <w:p w14:paraId="4916A945">
      <w:pPr>
        <w:widowControl/>
        <w:adjustRightInd w:val="0"/>
        <w:snapToGrid w:val="0"/>
        <w:spacing w:line="406" w:lineRule="exact"/>
        <w:ind w:firstLine="420"/>
        <w:jc w:val="left"/>
        <w:rPr>
          <w:rFonts w:ascii="宋体" w:hAnsi="宋体" w:cs="Courier New"/>
          <w:bCs/>
          <w:color w:val="auto"/>
          <w:szCs w:val="21"/>
          <w:highlight w:val="none"/>
        </w:rPr>
      </w:pPr>
      <w:r>
        <w:rPr>
          <w:rFonts w:ascii="宋体" w:hAnsi="宋体" w:cs="Courier New"/>
          <w:bCs/>
          <w:color w:val="auto"/>
          <w:szCs w:val="21"/>
          <w:highlight w:val="none"/>
        </w:rPr>
        <w:t>3.</w:t>
      </w:r>
      <w:r>
        <w:rPr>
          <w:rFonts w:hint="eastAsia" w:hAnsi="宋体"/>
          <w:color w:val="auto"/>
          <w:highlight w:val="none"/>
        </w:rPr>
        <w:t>供应商对采购人、本中心质疑答复不满意或者采购人、本中心未在规定时间内作出答复的，可以在答复期满后十五个工作日内向同级采购监管部门投诉。</w:t>
      </w:r>
    </w:p>
    <w:p w14:paraId="3F928174">
      <w:pPr>
        <w:pStyle w:val="22"/>
        <w:snapToGrid w:val="0"/>
        <w:spacing w:line="406" w:lineRule="exact"/>
        <w:ind w:firstLine="420"/>
        <w:rPr>
          <w:rFonts w:hAnsi="宋体"/>
          <w:bCs/>
          <w:color w:val="auto"/>
          <w:highlight w:val="none"/>
        </w:rPr>
      </w:pPr>
      <w:r>
        <w:rPr>
          <w:rFonts w:hAnsi="宋体"/>
          <w:bCs/>
          <w:color w:val="auto"/>
          <w:highlight w:val="none"/>
        </w:rPr>
        <w:t>4.</w:t>
      </w:r>
      <w:r>
        <w:rPr>
          <w:rFonts w:hint="eastAsia" w:hAnsi="宋体"/>
          <w:bCs/>
          <w:color w:val="auto"/>
          <w:highlight w:val="none"/>
        </w:rPr>
        <w:t>质疑、投诉应当采用书面形式，质疑书、投诉书均应明确阐述采购文件、采购过程或成交结果中使自己合法权益受到损害的实质性内容，提供相关事实、依据和证据及其来源或线索，便于有关单位调查、答复和处理。（质疑、投诉不接受传真形式）</w:t>
      </w:r>
    </w:p>
    <w:p w14:paraId="0CA13E59">
      <w:pPr>
        <w:spacing w:line="406" w:lineRule="exact"/>
        <w:ind w:firstLine="420"/>
        <w:rPr>
          <w:color w:val="auto"/>
          <w:highlight w:val="none"/>
        </w:rPr>
      </w:pPr>
      <w:r>
        <w:rPr>
          <w:rFonts w:hint="eastAsia"/>
          <w:color w:val="auto"/>
          <w:highlight w:val="none"/>
        </w:rPr>
        <w:t>质疑部门联系方式：钦州市政府采购中心    0777-288600</w:t>
      </w:r>
      <w:r>
        <w:rPr>
          <w:color w:val="auto"/>
          <w:highlight w:val="none"/>
        </w:rPr>
        <w:t>2</w:t>
      </w:r>
    </w:p>
    <w:p w14:paraId="6751F89B">
      <w:pPr>
        <w:spacing w:line="406" w:lineRule="exact"/>
        <w:ind w:firstLine="420"/>
        <w:rPr>
          <w:rFonts w:hint="default" w:eastAsia="宋体"/>
          <w:color w:val="auto"/>
          <w:highlight w:val="none"/>
          <w:lang w:val="en-US" w:eastAsia="zh-CN"/>
        </w:rPr>
      </w:pPr>
      <w:r>
        <w:rPr>
          <w:rFonts w:hint="eastAsia"/>
          <w:color w:val="auto"/>
          <w:highlight w:val="none"/>
        </w:rPr>
        <w:t>采购监管部门联系方式：</w:t>
      </w:r>
      <w:r>
        <w:rPr>
          <w:rFonts w:hint="eastAsia"/>
          <w:color w:val="auto"/>
          <w:highlight w:val="none"/>
          <w:lang w:val="en-US" w:eastAsia="zh-CN"/>
        </w:rPr>
        <w:t>钦州市财政局</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077</w:t>
      </w:r>
      <w:r>
        <w:rPr>
          <w:rFonts w:hint="eastAsia"/>
          <w:color w:val="auto"/>
          <w:highlight w:val="none"/>
          <w:lang w:val="en-US" w:eastAsia="zh-CN"/>
        </w:rPr>
        <w:t>7</w:t>
      </w:r>
      <w:r>
        <w:rPr>
          <w:rFonts w:hint="eastAsia"/>
          <w:color w:val="auto"/>
          <w:highlight w:val="none"/>
        </w:rPr>
        <w:t>-</w:t>
      </w:r>
      <w:r>
        <w:rPr>
          <w:rFonts w:hint="eastAsia"/>
          <w:color w:val="auto"/>
          <w:highlight w:val="none"/>
          <w:lang w:val="en-US" w:eastAsia="zh-CN"/>
        </w:rPr>
        <w:t>2895258</w:t>
      </w:r>
    </w:p>
    <w:p w14:paraId="313024D2">
      <w:pPr>
        <w:spacing w:line="406" w:lineRule="exact"/>
        <w:ind w:firstLine="211" w:firstLineChars="100"/>
        <w:rPr>
          <w:b/>
          <w:bCs/>
          <w:color w:val="auto"/>
          <w:highlight w:val="none"/>
        </w:rPr>
      </w:pPr>
      <w:r>
        <w:rPr>
          <w:rFonts w:hint="eastAsia"/>
          <w:b/>
          <w:bCs/>
          <w:color w:val="auto"/>
          <w:highlight w:val="none"/>
        </w:rPr>
        <w:t xml:space="preserve">（十）查询媒体 </w:t>
      </w:r>
      <w:r>
        <w:rPr>
          <w:rFonts w:hint="eastAsia"/>
          <w:color w:val="auto"/>
          <w:highlight w:val="none"/>
        </w:rPr>
        <w:t>中国政府采购网、</w:t>
      </w:r>
      <w:r>
        <w:rPr>
          <w:color w:val="auto"/>
          <w:highlight w:val="none"/>
        </w:rPr>
        <w:fldChar w:fldCharType="begin"/>
      </w:r>
      <w:r>
        <w:rPr>
          <w:color w:val="auto"/>
          <w:highlight w:val="none"/>
        </w:rPr>
        <w:instrText xml:space="preserve"> HYPERLINK "http://zfcg.gxzf.gov.cn/" </w:instrText>
      </w:r>
      <w:r>
        <w:rPr>
          <w:color w:val="auto"/>
          <w:highlight w:val="none"/>
        </w:rPr>
        <w:fldChar w:fldCharType="separate"/>
      </w:r>
      <w:r>
        <w:rPr>
          <w:rStyle w:val="46"/>
          <w:rFonts w:hint="eastAsia" w:hAnsi="宋体"/>
          <w:color w:val="auto"/>
          <w:highlight w:val="none"/>
          <w:u w:val="none"/>
        </w:rPr>
        <w:t>广西政府采购网</w:t>
      </w:r>
      <w:r>
        <w:rPr>
          <w:rStyle w:val="46"/>
          <w:rFonts w:hint="eastAsia" w:hAnsi="宋体"/>
          <w:color w:val="auto"/>
          <w:highlight w:val="none"/>
          <w:u w:val="none"/>
        </w:rPr>
        <w:fldChar w:fldCharType="end"/>
      </w:r>
      <w:r>
        <w:rPr>
          <w:rFonts w:hint="eastAsia" w:hAnsi="宋体"/>
          <w:color w:val="auto"/>
          <w:highlight w:val="none"/>
        </w:rPr>
        <w:t>。</w:t>
      </w:r>
    </w:p>
    <w:p w14:paraId="399A9CBD">
      <w:pPr>
        <w:pStyle w:val="3"/>
        <w:spacing w:line="406" w:lineRule="exact"/>
        <w:rPr>
          <w:color w:val="auto"/>
          <w:highlight w:val="none"/>
        </w:rPr>
      </w:pPr>
      <w:bookmarkStart w:id="74" w:name="_Toc352700416"/>
      <w:bookmarkStart w:id="75" w:name="_Toc353785286"/>
      <w:r>
        <w:rPr>
          <w:rFonts w:hint="eastAsia"/>
          <w:color w:val="auto"/>
          <w:highlight w:val="none"/>
        </w:rPr>
        <w:t>二、竞争性磋商采购文件</w:t>
      </w:r>
      <w:bookmarkEnd w:id="74"/>
      <w:bookmarkEnd w:id="75"/>
    </w:p>
    <w:p w14:paraId="135E71C6">
      <w:pPr>
        <w:spacing w:line="406" w:lineRule="exact"/>
        <w:ind w:firstLine="211" w:firstLineChars="100"/>
        <w:rPr>
          <w:b/>
          <w:bCs/>
          <w:color w:val="auto"/>
          <w:highlight w:val="none"/>
        </w:rPr>
      </w:pPr>
      <w:bookmarkStart w:id="76" w:name="_Toc353785287"/>
      <w:bookmarkStart w:id="77" w:name="_Toc352700417"/>
      <w:r>
        <w:rPr>
          <w:rFonts w:hint="eastAsia"/>
          <w:b/>
          <w:bCs/>
          <w:color w:val="auto"/>
          <w:highlight w:val="none"/>
        </w:rPr>
        <w:t>（一）竞争性磋商采购文件的组成</w:t>
      </w:r>
      <w:bookmarkEnd w:id="76"/>
      <w:bookmarkEnd w:id="77"/>
    </w:p>
    <w:p w14:paraId="484384F9">
      <w:pPr>
        <w:pStyle w:val="22"/>
        <w:snapToGrid w:val="0"/>
        <w:spacing w:line="406" w:lineRule="exact"/>
        <w:ind w:firstLine="420" w:firstLineChars="200"/>
        <w:rPr>
          <w:rFonts w:hAnsi="宋体"/>
          <w:color w:val="auto"/>
          <w:highlight w:val="none"/>
        </w:rPr>
      </w:pPr>
      <w:r>
        <w:rPr>
          <w:rFonts w:hint="eastAsia" w:hAnsi="宋体"/>
          <w:color w:val="auto"/>
          <w:highlight w:val="none"/>
        </w:rPr>
        <w:t>第一章 竞争性磋商公告</w:t>
      </w:r>
    </w:p>
    <w:p w14:paraId="6EEB37C8">
      <w:pPr>
        <w:pStyle w:val="22"/>
        <w:snapToGrid w:val="0"/>
        <w:spacing w:line="406" w:lineRule="exact"/>
        <w:ind w:firstLine="420" w:firstLineChars="200"/>
        <w:rPr>
          <w:rFonts w:hAnsi="宋体"/>
          <w:color w:val="auto"/>
          <w:highlight w:val="none"/>
        </w:rPr>
      </w:pPr>
      <w:r>
        <w:rPr>
          <w:rFonts w:hint="eastAsia" w:hAnsi="宋体"/>
          <w:color w:val="auto"/>
          <w:highlight w:val="none"/>
        </w:rPr>
        <w:t>第二章 项目需求</w:t>
      </w:r>
    </w:p>
    <w:p w14:paraId="345A8F82">
      <w:pPr>
        <w:pStyle w:val="22"/>
        <w:snapToGrid w:val="0"/>
        <w:spacing w:line="406" w:lineRule="exact"/>
        <w:ind w:firstLine="420" w:firstLineChars="200"/>
        <w:rPr>
          <w:rFonts w:hAnsi="宋体"/>
          <w:color w:val="auto"/>
          <w:highlight w:val="none"/>
        </w:rPr>
      </w:pPr>
      <w:r>
        <w:rPr>
          <w:rFonts w:hint="eastAsia" w:hAnsi="宋体"/>
          <w:color w:val="auto"/>
          <w:highlight w:val="none"/>
        </w:rPr>
        <w:t>第三章 供应商须知</w:t>
      </w:r>
    </w:p>
    <w:p w14:paraId="4C3E1F20">
      <w:pPr>
        <w:pStyle w:val="22"/>
        <w:snapToGrid w:val="0"/>
        <w:spacing w:line="406" w:lineRule="exact"/>
        <w:ind w:firstLine="420" w:firstLineChars="200"/>
        <w:rPr>
          <w:rFonts w:hAnsi="宋体"/>
          <w:color w:val="auto"/>
          <w:highlight w:val="none"/>
        </w:rPr>
      </w:pPr>
      <w:r>
        <w:rPr>
          <w:rFonts w:hint="eastAsia" w:hAnsi="宋体"/>
          <w:color w:val="auto"/>
          <w:highlight w:val="none"/>
        </w:rPr>
        <w:t>第四章 评定标准及推荐原则</w:t>
      </w:r>
    </w:p>
    <w:p w14:paraId="5BD31852">
      <w:pPr>
        <w:pStyle w:val="22"/>
        <w:snapToGrid w:val="0"/>
        <w:spacing w:line="406" w:lineRule="exact"/>
        <w:ind w:firstLine="420" w:firstLineChars="200"/>
        <w:rPr>
          <w:rFonts w:hAnsi="宋体"/>
          <w:color w:val="auto"/>
          <w:highlight w:val="none"/>
        </w:rPr>
      </w:pPr>
      <w:r>
        <w:rPr>
          <w:rFonts w:hint="eastAsia" w:hAnsi="宋体"/>
          <w:color w:val="auto"/>
          <w:highlight w:val="none"/>
        </w:rPr>
        <w:t>第五章 合同文本</w:t>
      </w:r>
    </w:p>
    <w:p w14:paraId="3CABA255">
      <w:pPr>
        <w:pStyle w:val="22"/>
        <w:snapToGrid w:val="0"/>
        <w:spacing w:line="406" w:lineRule="exact"/>
        <w:ind w:firstLine="420" w:firstLineChars="200"/>
        <w:rPr>
          <w:rFonts w:hAnsi="宋体"/>
          <w:color w:val="auto"/>
          <w:highlight w:val="none"/>
        </w:rPr>
      </w:pPr>
      <w:r>
        <w:rPr>
          <w:rFonts w:hint="eastAsia" w:hAnsi="宋体"/>
          <w:color w:val="auto"/>
          <w:highlight w:val="none"/>
        </w:rPr>
        <w:t>第六章 响应文件格式</w:t>
      </w:r>
    </w:p>
    <w:p w14:paraId="015103E2">
      <w:pPr>
        <w:spacing w:line="406" w:lineRule="exact"/>
        <w:ind w:firstLine="211" w:firstLineChars="100"/>
        <w:rPr>
          <w:b/>
          <w:bCs/>
          <w:color w:val="auto"/>
          <w:highlight w:val="none"/>
        </w:rPr>
      </w:pPr>
      <w:bookmarkStart w:id="78" w:name="_Toc352700419"/>
      <w:bookmarkStart w:id="79" w:name="_Toc353785289"/>
      <w:r>
        <w:rPr>
          <w:rFonts w:hint="eastAsia"/>
          <w:b/>
          <w:bCs/>
          <w:color w:val="auto"/>
          <w:highlight w:val="none"/>
        </w:rPr>
        <w:t>（二）竞争性磋商采购文件的澄清与修改</w:t>
      </w:r>
      <w:bookmarkEnd w:id="78"/>
      <w:bookmarkEnd w:id="79"/>
    </w:p>
    <w:p w14:paraId="01126294">
      <w:pPr>
        <w:pStyle w:val="22"/>
        <w:snapToGrid w:val="0"/>
        <w:spacing w:line="406" w:lineRule="exact"/>
        <w:ind w:firstLine="420"/>
        <w:jc w:val="left"/>
        <w:rPr>
          <w:rFonts w:hAnsi="宋体"/>
          <w:color w:val="auto"/>
          <w:highlight w:val="none"/>
        </w:rPr>
      </w:pPr>
      <w:r>
        <w:rPr>
          <w:rFonts w:hint="eastAsia" w:hAnsi="宋体"/>
          <w:color w:val="auto"/>
          <w:highlight w:val="none"/>
        </w:rPr>
        <w:t>1</w:t>
      </w:r>
      <w:r>
        <w:rPr>
          <w:rFonts w:hAnsi="宋体"/>
          <w:color w:val="auto"/>
          <w:highlight w:val="none"/>
        </w:rPr>
        <w:t>.</w:t>
      </w:r>
      <w:r>
        <w:rPr>
          <w:rFonts w:hint="eastAsia" w:hAnsi="宋体"/>
          <w:color w:val="auto"/>
          <w:highlight w:val="none"/>
        </w:rPr>
        <w:t>提交首次响应文件截止之日前，采购人、本中心或者磋商小组可以对已发出的磋商文件进行必要的澄清或者修改，澄清或者修改的内容作为磋商文件的组成部分。澄清或者修改应当在原公告发布媒体上发布澄清公告。澄清或者修改的内容可能影响响应文件编制的，采购人、本中心应当在提交首次响应文件截止至少</w:t>
      </w:r>
      <w:r>
        <w:rPr>
          <w:rFonts w:hAnsi="宋体"/>
          <w:color w:val="auto"/>
          <w:highlight w:val="none"/>
        </w:rPr>
        <w:t>5</w:t>
      </w:r>
      <w:r>
        <w:rPr>
          <w:rFonts w:hint="eastAsia" w:hAnsi="宋体"/>
          <w:color w:val="auto"/>
          <w:highlight w:val="none"/>
        </w:rPr>
        <w:t>日前，以书面形式通知所有依法获取磋商文件的供应商，不足</w:t>
      </w:r>
      <w:r>
        <w:rPr>
          <w:rFonts w:hAnsi="宋体"/>
          <w:color w:val="auto"/>
          <w:highlight w:val="none"/>
        </w:rPr>
        <w:t>5</w:t>
      </w:r>
      <w:r>
        <w:rPr>
          <w:rFonts w:hint="eastAsia" w:hAnsi="宋体"/>
          <w:color w:val="auto"/>
          <w:highlight w:val="none"/>
        </w:rPr>
        <w:t>日的，采购人、本中心应当顺延提交首次响应文件截止之日。</w:t>
      </w:r>
    </w:p>
    <w:p w14:paraId="2155CC16">
      <w:pPr>
        <w:pStyle w:val="22"/>
        <w:snapToGrid w:val="0"/>
        <w:spacing w:line="406" w:lineRule="exact"/>
        <w:ind w:firstLine="420"/>
        <w:jc w:val="left"/>
        <w:rPr>
          <w:rFonts w:hAnsi="宋体"/>
          <w:color w:val="auto"/>
          <w:highlight w:val="none"/>
        </w:rPr>
      </w:pPr>
      <w:r>
        <w:rPr>
          <w:rFonts w:hint="eastAsia" w:hAnsi="宋体"/>
          <w:color w:val="auto"/>
          <w:highlight w:val="none"/>
        </w:rPr>
        <w:t>2</w:t>
      </w:r>
      <w:r>
        <w:rPr>
          <w:rFonts w:hAnsi="宋体"/>
          <w:color w:val="auto"/>
          <w:highlight w:val="none"/>
        </w:rPr>
        <w:t>.</w:t>
      </w:r>
      <w:r>
        <w:rPr>
          <w:rFonts w:hint="eastAsia" w:hAnsi="宋体"/>
          <w:color w:val="auto"/>
          <w:highlight w:val="none"/>
        </w:rPr>
        <w:t>提供期限届满后，获取磋商文件的供应商不足3家的，本中心可以顺延提供期限，并予公告。</w:t>
      </w:r>
    </w:p>
    <w:p w14:paraId="15B441F8">
      <w:pPr>
        <w:pStyle w:val="3"/>
        <w:spacing w:line="406" w:lineRule="exact"/>
        <w:rPr>
          <w:color w:val="auto"/>
          <w:highlight w:val="none"/>
        </w:rPr>
      </w:pPr>
      <w:bookmarkStart w:id="80" w:name="_三、响应文件"/>
      <w:bookmarkEnd w:id="80"/>
      <w:r>
        <w:rPr>
          <w:rFonts w:hint="eastAsia"/>
          <w:color w:val="auto"/>
          <w:highlight w:val="none"/>
        </w:rPr>
        <w:t>三、响应文件</w:t>
      </w:r>
    </w:p>
    <w:p w14:paraId="5C9EDF23">
      <w:pPr>
        <w:spacing w:line="406" w:lineRule="exact"/>
        <w:ind w:firstLine="211" w:firstLineChars="100"/>
        <w:rPr>
          <w:rFonts w:hAnsi="宋体"/>
          <w:b/>
          <w:bCs/>
          <w:color w:val="auto"/>
          <w:highlight w:val="none"/>
        </w:rPr>
      </w:pPr>
      <w:r>
        <w:rPr>
          <w:rFonts w:hint="eastAsia" w:hAnsi="宋体"/>
          <w:b/>
          <w:bCs/>
          <w:color w:val="auto"/>
          <w:highlight w:val="none"/>
        </w:rPr>
        <w:t>（一）供应商的风险</w:t>
      </w:r>
    </w:p>
    <w:p w14:paraId="62D19AD9">
      <w:pPr>
        <w:spacing w:line="406" w:lineRule="exact"/>
        <w:ind w:firstLine="420"/>
        <w:rPr>
          <w:rFonts w:hAnsi="宋体"/>
          <w:color w:val="auto"/>
          <w:highlight w:val="none"/>
        </w:rPr>
      </w:pPr>
      <w:r>
        <w:rPr>
          <w:rFonts w:hAnsi="宋体"/>
          <w:color w:val="auto"/>
          <w:highlight w:val="none"/>
        </w:rPr>
        <w:t>1.</w:t>
      </w:r>
      <w:r>
        <w:rPr>
          <w:rFonts w:hint="eastAsia" w:hAnsi="宋体"/>
          <w:color w:val="auto"/>
          <w:highlight w:val="none"/>
        </w:rPr>
        <w:t>供应商应当按照磋商文件的要求编制响应文件，并对其提交的响应文件的真实性、合法性承担法律责任。</w:t>
      </w:r>
    </w:p>
    <w:p w14:paraId="592F9682">
      <w:pPr>
        <w:spacing w:line="406" w:lineRule="exact"/>
        <w:ind w:firstLine="420"/>
        <w:rPr>
          <w:rFonts w:hAnsi="宋体"/>
          <w:color w:val="auto"/>
          <w:highlight w:val="none"/>
        </w:rPr>
      </w:pPr>
      <w:r>
        <w:rPr>
          <w:rFonts w:hAnsi="宋体"/>
          <w:color w:val="auto"/>
          <w:highlight w:val="none"/>
        </w:rPr>
        <w:t>2.</w:t>
      </w:r>
      <w:r>
        <w:rPr>
          <w:rFonts w:hint="eastAsia" w:hAnsi="宋体"/>
          <w:color w:val="auto"/>
          <w:highlight w:val="none"/>
        </w:rPr>
        <w:t>供应商在采购活动中提供任何虚假材料的，磋商小组将报财政部门查处。</w:t>
      </w:r>
    </w:p>
    <w:p w14:paraId="6C86DF42">
      <w:pPr>
        <w:snapToGrid w:val="0"/>
        <w:spacing w:line="406" w:lineRule="exact"/>
        <w:ind w:firstLine="211" w:firstLineChars="100"/>
        <w:rPr>
          <w:rFonts w:ascii="宋体" w:hAnsi="宋体"/>
          <w:b/>
          <w:color w:val="auto"/>
          <w:szCs w:val="21"/>
          <w:highlight w:val="none"/>
        </w:rPr>
      </w:pPr>
      <w:r>
        <w:rPr>
          <w:rFonts w:hint="eastAsia" w:hAnsi="宋体"/>
          <w:b/>
          <w:bCs/>
          <w:color w:val="auto"/>
          <w:highlight w:val="none"/>
        </w:rPr>
        <w:t>（二）</w:t>
      </w:r>
      <w:r>
        <w:rPr>
          <w:rFonts w:hint="eastAsia" w:ascii="宋体" w:hAnsi="宋体"/>
          <w:b/>
          <w:color w:val="auto"/>
          <w:szCs w:val="21"/>
          <w:highlight w:val="none"/>
        </w:rPr>
        <w:t>响应文件的组成</w:t>
      </w:r>
    </w:p>
    <w:p w14:paraId="6F5FDF4D">
      <w:pPr>
        <w:snapToGrid w:val="0"/>
        <w:spacing w:line="406" w:lineRule="exact"/>
        <w:ind w:firstLine="422"/>
        <w:rPr>
          <w:rFonts w:ascii="宋体" w:hAnsi="宋体"/>
          <w:b/>
          <w:color w:val="auto"/>
          <w:szCs w:val="21"/>
          <w:highlight w:val="none"/>
        </w:rPr>
      </w:pPr>
      <w:bookmarkStart w:id="81" w:name="_Hlk92285760"/>
      <w:r>
        <w:rPr>
          <w:rFonts w:ascii="宋体" w:hAnsi="宋体"/>
          <w:b/>
          <w:color w:val="auto"/>
          <w:szCs w:val="21"/>
          <w:highlight w:val="none"/>
        </w:rPr>
        <w:t>1.</w:t>
      </w:r>
      <w:r>
        <w:rPr>
          <w:rFonts w:hint="eastAsia" w:ascii="宋体" w:hAnsi="宋体"/>
          <w:b/>
          <w:color w:val="auto"/>
          <w:szCs w:val="21"/>
          <w:highlight w:val="none"/>
        </w:rPr>
        <w:t>资格文件：</w:t>
      </w:r>
    </w:p>
    <w:p w14:paraId="0C02780E">
      <w:pPr>
        <w:tabs>
          <w:tab w:val="left" w:pos="3870"/>
          <w:tab w:val="left" w:pos="4085"/>
        </w:tabs>
        <w:snapToGrid w:val="0"/>
        <w:spacing w:line="406" w:lineRule="exact"/>
        <w:ind w:firstLine="420"/>
        <w:rPr>
          <w:rFonts w:ascii="宋体" w:hAnsi="宋体"/>
          <w:color w:val="auto"/>
          <w:szCs w:val="21"/>
          <w:highlight w:val="none"/>
        </w:rPr>
      </w:pPr>
      <w:r>
        <w:rPr>
          <w:rFonts w:hint="eastAsia" w:ascii="宋体" w:hAnsi="宋体" w:cs="宋体"/>
          <w:bCs/>
          <w:color w:val="auto"/>
          <w:kern w:val="0"/>
          <w:szCs w:val="21"/>
          <w:highlight w:val="none"/>
        </w:rPr>
        <w:t>★</w:t>
      </w:r>
      <w:bookmarkStart w:id="82" w:name="_Hlk90369149"/>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法人或者其他组织的营业执照等证明文件</w:t>
      </w:r>
    </w:p>
    <w:bookmarkEnd w:id="82"/>
    <w:p w14:paraId="4CEA6EA8">
      <w:pPr>
        <w:tabs>
          <w:tab w:val="left" w:pos="3870"/>
          <w:tab w:val="left" w:pos="4085"/>
        </w:tabs>
        <w:snapToGrid w:val="0"/>
        <w:spacing w:line="406" w:lineRule="exact"/>
        <w:ind w:firstLine="420"/>
        <w:rPr>
          <w:rFonts w:ascii="宋体" w:hAnsi="宋体" w:cs="宋体"/>
          <w:color w:val="auto"/>
          <w:szCs w:val="21"/>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2)</w:t>
      </w:r>
      <w:r>
        <w:rPr>
          <w:rFonts w:hint="eastAsia" w:ascii="宋体" w:hAnsi="宋体"/>
          <w:color w:val="auto"/>
          <w:szCs w:val="21"/>
          <w:highlight w:val="none"/>
        </w:rPr>
        <w:t>供应商具备参加政府采购活动条件的承诺书</w:t>
      </w:r>
      <w:r>
        <w:rPr>
          <w:rFonts w:hint="eastAsia" w:ascii="宋体" w:hAnsi="宋体" w:cs="宋体"/>
          <w:color w:val="auto"/>
          <w:szCs w:val="21"/>
          <w:highlight w:val="none"/>
        </w:rPr>
        <w:t>(格式见第六章</w:t>
      </w:r>
      <w:r>
        <w:rPr>
          <w:rFonts w:ascii="宋体" w:hAnsi="宋体" w:cs="宋体"/>
          <w:color w:val="auto"/>
          <w:szCs w:val="21"/>
          <w:highlight w:val="none"/>
        </w:rPr>
        <w:t>）</w:t>
      </w:r>
    </w:p>
    <w:p w14:paraId="772FD204">
      <w:pPr>
        <w:tabs>
          <w:tab w:val="left" w:pos="3870"/>
          <w:tab w:val="left" w:pos="4085"/>
        </w:tabs>
        <w:snapToGrid w:val="0"/>
        <w:spacing w:line="406" w:lineRule="exact"/>
        <w:ind w:firstLine="420"/>
        <w:rPr>
          <w:rFonts w:hAnsi="宋体"/>
          <w:color w:val="auto"/>
          <w:spacing w:val="-4"/>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3)</w:t>
      </w:r>
      <w:r>
        <w:rPr>
          <w:rFonts w:hint="eastAsia" w:hAnsi="宋体"/>
          <w:color w:val="auto"/>
          <w:spacing w:val="-4"/>
          <w:highlight w:val="none"/>
        </w:rPr>
        <w:t>参加政府采购活动前3年内在经营活动中没有重大违法记录的书面声明</w:t>
      </w:r>
      <w:bookmarkStart w:id="83" w:name="_Hlk108683109"/>
      <w:r>
        <w:rPr>
          <w:rFonts w:hint="eastAsia" w:hAnsi="宋体"/>
          <w:color w:val="auto"/>
          <w:spacing w:val="-4"/>
          <w:highlight w:val="none"/>
        </w:rPr>
        <w:t>(格式见第六章)</w:t>
      </w:r>
      <w:bookmarkEnd w:id="83"/>
    </w:p>
    <w:p w14:paraId="0AE11D59">
      <w:pPr>
        <w:snapToGrid w:val="0"/>
        <w:spacing w:line="406" w:lineRule="exact"/>
        <w:ind w:firstLine="422"/>
        <w:rPr>
          <w:rFonts w:ascii="宋体" w:hAnsi="宋体"/>
          <w:color w:val="auto"/>
          <w:szCs w:val="21"/>
          <w:highlight w:val="none"/>
        </w:rPr>
      </w:pPr>
      <w:r>
        <w:rPr>
          <w:rFonts w:ascii="宋体" w:hAnsi="宋体"/>
          <w:b/>
          <w:color w:val="auto"/>
          <w:szCs w:val="21"/>
          <w:highlight w:val="none"/>
        </w:rPr>
        <w:t>2.</w:t>
      </w:r>
      <w:r>
        <w:rPr>
          <w:rFonts w:hint="eastAsia" w:ascii="宋体" w:hAnsi="宋体"/>
          <w:b/>
          <w:color w:val="auto"/>
          <w:szCs w:val="21"/>
          <w:highlight w:val="none"/>
        </w:rPr>
        <w:t>商务技术文件：</w:t>
      </w:r>
    </w:p>
    <w:p w14:paraId="4D9A2EC7">
      <w:pPr>
        <w:snapToGrid w:val="0"/>
        <w:spacing w:line="406" w:lineRule="exact"/>
        <w:ind w:firstLine="420" w:firstLineChars="200"/>
        <w:rPr>
          <w:rFonts w:ascii="宋体" w:hAnsi="宋体"/>
          <w:color w:val="auto"/>
          <w:szCs w:val="21"/>
          <w:highlight w:val="none"/>
        </w:rPr>
      </w:pPr>
      <w:r>
        <w:rPr>
          <w:rFonts w:hint="eastAsia" w:ascii="宋体" w:hAnsi="宋体" w:cs="宋体"/>
          <w:bCs/>
          <w:color w:val="auto"/>
          <w:kern w:val="0"/>
          <w:szCs w:val="21"/>
          <w:highlight w:val="none"/>
        </w:rPr>
        <w:t>★</w:t>
      </w: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ascii="宋体" w:hAnsi="宋体"/>
          <w:color w:val="auto"/>
          <w:szCs w:val="21"/>
          <w:highlight w:val="none"/>
        </w:rPr>
        <w:t>)</w:t>
      </w:r>
      <w:r>
        <w:rPr>
          <w:rFonts w:hint="eastAsia" w:ascii="宋体" w:hAnsi="宋体"/>
          <w:color w:val="auto"/>
          <w:szCs w:val="21"/>
          <w:highlight w:val="none"/>
        </w:rPr>
        <w:t>磋商函（格式见第六章）</w:t>
      </w:r>
    </w:p>
    <w:p w14:paraId="0043D2F3">
      <w:pPr>
        <w:tabs>
          <w:tab w:val="left" w:pos="3870"/>
          <w:tab w:val="left" w:pos="4085"/>
        </w:tabs>
        <w:snapToGrid w:val="0"/>
        <w:spacing w:line="406" w:lineRule="exact"/>
        <w:ind w:firstLine="420" w:firstLineChars="200"/>
        <w:rPr>
          <w:rFonts w:ascii="宋体" w:hAnsi="宋体"/>
          <w:color w:val="auto"/>
          <w:szCs w:val="21"/>
          <w:highlight w:val="none"/>
        </w:rPr>
      </w:pPr>
      <w:r>
        <w:rPr>
          <w:rFonts w:hint="eastAsia" w:ascii="宋体" w:hAnsi="宋体" w:cs="宋体"/>
          <w:bCs/>
          <w:color w:val="auto"/>
          <w:kern w:val="0"/>
          <w:szCs w:val="21"/>
          <w:highlight w:val="none"/>
        </w:rPr>
        <w:t>★</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szCs w:val="21"/>
          <w:highlight w:val="none"/>
          <w:lang w:eastAsia="zh-CN"/>
        </w:rPr>
        <w:t>法定代表人（负责人）</w:t>
      </w:r>
      <w:r>
        <w:rPr>
          <w:rFonts w:hint="eastAsia" w:ascii="宋体" w:hAnsi="宋体"/>
          <w:color w:val="auto"/>
          <w:szCs w:val="21"/>
          <w:highlight w:val="none"/>
        </w:rPr>
        <w:t>身份证</w:t>
      </w:r>
    </w:p>
    <w:p w14:paraId="25D2D32A">
      <w:pPr>
        <w:tabs>
          <w:tab w:val="left" w:pos="3870"/>
          <w:tab w:val="left" w:pos="4085"/>
        </w:tabs>
        <w:snapToGrid w:val="0"/>
        <w:spacing w:line="406"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lang w:eastAsia="zh-CN"/>
        </w:rPr>
        <w:t>法定代表人（负责人）</w:t>
      </w:r>
      <w:r>
        <w:rPr>
          <w:rFonts w:hint="eastAsia" w:ascii="宋体" w:hAnsi="宋体"/>
          <w:color w:val="auto"/>
          <w:szCs w:val="21"/>
          <w:highlight w:val="none"/>
        </w:rPr>
        <w:t>授权委托书和代理人身份证（委托代理时必须提供，格式见第六章）</w:t>
      </w:r>
    </w:p>
    <w:p w14:paraId="4C908337">
      <w:pPr>
        <w:snapToGrid w:val="0"/>
        <w:spacing w:line="406" w:lineRule="exact"/>
        <w:ind w:firstLine="422" w:firstLineChars="200"/>
        <w:rPr>
          <w:rFonts w:ascii="宋体" w:hAnsi="宋体"/>
          <w:color w:val="auto"/>
          <w:szCs w:val="21"/>
          <w:highlight w:val="none"/>
        </w:rPr>
      </w:pPr>
      <w:r>
        <w:rPr>
          <w:rFonts w:hint="eastAsia" w:ascii="宋体" w:hAnsi="宋体"/>
          <w:b/>
          <w:color w:val="auto"/>
          <w:szCs w:val="21"/>
          <w:highlight w:val="none"/>
        </w:rPr>
        <w:t>★</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ascii="宋体" w:hAnsi="宋体"/>
          <w:color w:val="auto"/>
          <w:szCs w:val="21"/>
          <w:highlight w:val="none"/>
        </w:rPr>
        <w:t>)</w:t>
      </w:r>
      <w:r>
        <w:rPr>
          <w:rFonts w:ascii="宋体" w:hAnsi="宋体"/>
          <w:color w:val="auto"/>
          <w:highlight w:val="none"/>
        </w:rPr>
        <w:t>商务响应表(格式见第六章)</w:t>
      </w:r>
    </w:p>
    <w:p w14:paraId="309F46E6">
      <w:pPr>
        <w:snapToGrid w:val="0"/>
        <w:spacing w:line="406" w:lineRule="exact"/>
        <w:ind w:firstLine="422" w:firstLineChars="200"/>
        <w:rPr>
          <w:rFonts w:ascii="宋体" w:hAnsi="宋体"/>
          <w:color w:val="auto"/>
          <w:highlight w:val="none"/>
        </w:rPr>
      </w:pPr>
      <w:r>
        <w:rPr>
          <w:rFonts w:hint="eastAsia" w:ascii="宋体" w:hAnsi="宋体"/>
          <w:b/>
          <w:color w:val="auto"/>
          <w:szCs w:val="21"/>
          <w:highlight w:val="none"/>
        </w:rPr>
        <w:t>★</w:t>
      </w:r>
      <w:r>
        <w:rPr>
          <w:rFonts w:hint="eastAsia" w:ascii="宋体" w:hAnsi="宋体"/>
          <w:color w:val="auto"/>
          <w:highlight w:val="none"/>
        </w:rPr>
        <w:t>(</w:t>
      </w:r>
      <w:r>
        <w:rPr>
          <w:rFonts w:hint="eastAsia" w:ascii="宋体" w:hAnsi="宋体"/>
          <w:color w:val="auto"/>
          <w:highlight w:val="none"/>
          <w:lang w:val="en-US" w:eastAsia="zh-CN"/>
        </w:rPr>
        <w:t>5</w:t>
      </w:r>
      <w:r>
        <w:rPr>
          <w:rFonts w:ascii="宋体" w:hAnsi="宋体"/>
          <w:color w:val="auto"/>
          <w:highlight w:val="none"/>
        </w:rPr>
        <w:t>)</w:t>
      </w:r>
      <w:r>
        <w:rPr>
          <w:rFonts w:hint="eastAsia" w:ascii="宋体" w:hAnsi="宋体"/>
          <w:color w:val="auto"/>
          <w:szCs w:val="21"/>
          <w:highlight w:val="none"/>
        </w:rPr>
        <w:t>技术响应表</w:t>
      </w:r>
      <w:bookmarkStart w:id="84" w:name="_Hlk92285954"/>
      <w:r>
        <w:rPr>
          <w:rFonts w:ascii="宋体" w:hAnsi="宋体"/>
          <w:color w:val="auto"/>
          <w:highlight w:val="none"/>
        </w:rPr>
        <w:t>(格式见第六章)</w:t>
      </w:r>
      <w:bookmarkEnd w:id="84"/>
    </w:p>
    <w:p w14:paraId="2F6EF82C">
      <w:pPr>
        <w:snapToGrid w:val="0"/>
        <w:spacing w:line="406" w:lineRule="exact"/>
        <w:ind w:firstLine="422" w:firstLineChars="200"/>
        <w:rPr>
          <w:rFonts w:hint="eastAsia" w:ascii="宋体" w:hAnsi="宋体"/>
          <w:color w:val="auto"/>
          <w:szCs w:val="21"/>
          <w:highlight w:val="none"/>
        </w:rPr>
      </w:pPr>
      <w:r>
        <w:rPr>
          <w:rFonts w:hint="eastAsia" w:ascii="宋体" w:hAnsi="宋体"/>
          <w:b/>
          <w:color w:val="auto"/>
          <w:szCs w:val="21"/>
          <w:highlight w:val="none"/>
        </w:rPr>
        <w:t>★</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技术</w:t>
      </w:r>
      <w:r>
        <w:rPr>
          <w:rFonts w:hint="eastAsia" w:ascii="宋体" w:hAnsi="宋体"/>
          <w:color w:val="auto"/>
          <w:szCs w:val="21"/>
          <w:highlight w:val="none"/>
        </w:rPr>
        <w:t>方案（格式自拟）</w:t>
      </w:r>
    </w:p>
    <w:p w14:paraId="2177C8C4">
      <w:pPr>
        <w:numPr>
          <w:ilvl w:val="0"/>
          <w:numId w:val="0"/>
        </w:numPr>
        <w:snapToGrid w:val="0"/>
        <w:spacing w:line="406" w:lineRule="exact"/>
        <w:ind w:firstLine="630" w:firstLineChars="300"/>
        <w:rPr>
          <w:rFonts w:ascii="宋体" w:hAnsi="宋体"/>
          <w:color w:val="auto"/>
          <w:highlight w:val="none"/>
        </w:rPr>
      </w:pPr>
      <w:r>
        <w:rPr>
          <w:rFonts w:hint="eastAsia" w:ascii="宋体" w:cs="宋体"/>
          <w:bCs/>
          <w:color w:val="auto"/>
          <w:kern w:val="0"/>
          <w:szCs w:val="21"/>
          <w:highlight w:val="none"/>
        </w:rPr>
        <w:t>(</w:t>
      </w:r>
      <w:r>
        <w:rPr>
          <w:rFonts w:hint="eastAsia" w:ascii="宋体" w:cs="宋体"/>
          <w:bCs/>
          <w:color w:val="auto"/>
          <w:kern w:val="0"/>
          <w:szCs w:val="21"/>
          <w:highlight w:val="none"/>
          <w:lang w:val="en-US" w:eastAsia="zh-CN"/>
        </w:rPr>
        <w:t>7</w:t>
      </w:r>
      <w:r>
        <w:rPr>
          <w:rFonts w:ascii="宋体" w:cs="宋体"/>
          <w:bCs/>
          <w:color w:val="auto"/>
          <w:kern w:val="0"/>
          <w:szCs w:val="21"/>
          <w:highlight w:val="none"/>
        </w:rPr>
        <w:t>)</w:t>
      </w:r>
      <w:r>
        <w:rPr>
          <w:rFonts w:hint="eastAsia" w:ascii="宋体" w:hAnsi="宋体"/>
          <w:color w:val="auto"/>
          <w:szCs w:val="21"/>
          <w:highlight w:val="none"/>
          <w:lang w:val="en-US" w:eastAsia="zh-CN"/>
        </w:rPr>
        <w:t>项目实施人员一览表</w:t>
      </w:r>
      <w:r>
        <w:rPr>
          <w:rFonts w:ascii="宋体" w:hAnsi="宋体"/>
          <w:color w:val="auto"/>
          <w:highlight w:val="none"/>
        </w:rPr>
        <w:t>(格式见第六章)</w:t>
      </w:r>
    </w:p>
    <w:p w14:paraId="51C0A898">
      <w:pPr>
        <w:snapToGrid w:val="0"/>
        <w:spacing w:line="420" w:lineRule="exact"/>
        <w:ind w:firstLine="422" w:firstLineChars="200"/>
        <w:rPr>
          <w:rFonts w:hint="eastAsia" w:ascii="宋体" w:hAnsi="宋体"/>
          <w:color w:val="auto"/>
          <w:highlight w:val="none"/>
          <w:lang w:val="en-US" w:eastAsia="zh-CN"/>
        </w:rPr>
      </w:pPr>
      <w:r>
        <w:rPr>
          <w:rFonts w:hint="eastAsia" w:ascii="宋体" w:hAnsi="宋体"/>
          <w:b/>
          <w:color w:val="auto"/>
          <w:szCs w:val="21"/>
          <w:highlight w:val="none"/>
        </w:rPr>
        <w:t>★</w:t>
      </w:r>
      <w:r>
        <w:rPr>
          <w:rFonts w:hint="eastAsia" w:ascii="宋体" w:cs="宋体"/>
          <w:bCs/>
          <w:color w:val="auto"/>
          <w:kern w:val="0"/>
          <w:szCs w:val="21"/>
          <w:highlight w:val="none"/>
        </w:rPr>
        <w:t>(</w:t>
      </w:r>
      <w:r>
        <w:rPr>
          <w:rFonts w:hint="eastAsia" w:ascii="宋体" w:cs="宋体"/>
          <w:bCs/>
          <w:color w:val="auto"/>
          <w:kern w:val="0"/>
          <w:szCs w:val="21"/>
          <w:highlight w:val="none"/>
          <w:lang w:val="en-US" w:eastAsia="zh-CN"/>
        </w:rPr>
        <w:t>8</w:t>
      </w:r>
      <w:r>
        <w:rPr>
          <w:rFonts w:ascii="宋体" w:cs="宋体"/>
          <w:bCs/>
          <w:color w:val="auto"/>
          <w:kern w:val="0"/>
          <w:szCs w:val="21"/>
          <w:highlight w:val="none"/>
        </w:rPr>
        <w:t>)</w:t>
      </w:r>
      <w:r>
        <w:rPr>
          <w:rFonts w:hint="eastAsia" w:ascii="宋体" w:hAnsi="宋体"/>
          <w:color w:val="auto"/>
          <w:szCs w:val="21"/>
          <w:highlight w:val="none"/>
        </w:rPr>
        <w:t>《项目需求》中要求必须提供的材料（如有，必须提供）</w:t>
      </w:r>
    </w:p>
    <w:p w14:paraId="529D7170">
      <w:pPr>
        <w:snapToGrid w:val="0"/>
        <w:spacing w:line="406" w:lineRule="exact"/>
        <w:ind w:firstLine="630" w:firstLineChars="300"/>
        <w:rPr>
          <w:color w:val="auto"/>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9</w:t>
      </w:r>
      <w:r>
        <w:rPr>
          <w:rFonts w:hint="eastAsia" w:ascii="宋体" w:hAnsi="宋体"/>
          <w:color w:val="auto"/>
          <w:szCs w:val="21"/>
          <w:highlight w:val="none"/>
        </w:rPr>
        <w:t>)供应商认为有必要提</w:t>
      </w:r>
      <w:r>
        <w:rPr>
          <w:rFonts w:hint="eastAsia" w:ascii="宋体" w:hAnsi="宋体"/>
          <w:bCs/>
          <w:color w:val="auto"/>
          <w:szCs w:val="21"/>
          <w:highlight w:val="none"/>
        </w:rPr>
        <w:t>供的声明或材料</w:t>
      </w:r>
    </w:p>
    <w:p w14:paraId="3047A0A5">
      <w:pPr>
        <w:snapToGrid w:val="0"/>
        <w:spacing w:line="406" w:lineRule="exact"/>
        <w:ind w:firstLine="422"/>
        <w:rPr>
          <w:rFonts w:ascii="宋体" w:hAnsi="宋体"/>
          <w:b/>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报价文件</w:t>
      </w:r>
    </w:p>
    <w:p w14:paraId="4062A5BF">
      <w:pPr>
        <w:snapToGrid w:val="0"/>
        <w:spacing w:line="406" w:lineRule="exact"/>
        <w:rPr>
          <w:rFonts w:ascii="宋体" w:hAnsi="宋体"/>
          <w:bCs/>
          <w:color w:val="auto"/>
          <w:szCs w:val="21"/>
          <w:highlight w:val="none"/>
        </w:rPr>
      </w:pPr>
      <w:bookmarkStart w:id="85" w:name="_Hlk92265738"/>
      <w:r>
        <w:rPr>
          <w:rFonts w:hint="eastAsia" w:ascii="宋体" w:hAnsi="宋体"/>
          <w:bCs/>
          <w:color w:val="auto"/>
          <w:szCs w:val="21"/>
          <w:highlight w:val="none"/>
        </w:rPr>
        <w:t xml:space="preserve"> </w:t>
      </w:r>
      <w:r>
        <w:rPr>
          <w:rFonts w:ascii="宋体" w:hAnsi="宋体"/>
          <w:bCs/>
          <w:color w:val="auto"/>
          <w:szCs w:val="21"/>
          <w:highlight w:val="none"/>
        </w:rPr>
        <w:t xml:space="preserve">   </w:t>
      </w:r>
      <w:r>
        <w:rPr>
          <w:rFonts w:hint="eastAsia" w:ascii="宋体" w:hAnsi="宋体"/>
          <w:bCs/>
          <w:color w:val="auto"/>
          <w:szCs w:val="21"/>
          <w:highlight w:val="none"/>
        </w:rPr>
        <w:t>★报价明细表</w:t>
      </w:r>
      <w:bookmarkEnd w:id="85"/>
      <w:r>
        <w:rPr>
          <w:rFonts w:hint="eastAsia" w:ascii="宋体" w:hAnsi="宋体"/>
          <w:bCs/>
          <w:color w:val="auto"/>
          <w:szCs w:val="21"/>
          <w:highlight w:val="none"/>
        </w:rPr>
        <w:t>(格式见第六章)。</w:t>
      </w:r>
    </w:p>
    <w:bookmarkEnd w:id="81"/>
    <w:p w14:paraId="0CF7A610">
      <w:pPr>
        <w:snapToGrid w:val="0"/>
        <w:spacing w:line="406" w:lineRule="exact"/>
        <w:ind w:firstLine="422"/>
        <w:rPr>
          <w:rFonts w:ascii="宋体" w:hAnsi="宋体"/>
          <w:color w:val="auto"/>
          <w:szCs w:val="21"/>
          <w:highlight w:val="none"/>
        </w:rPr>
      </w:pPr>
      <w:r>
        <w:rPr>
          <w:rFonts w:hint="eastAsia" w:ascii="宋体" w:hAnsi="宋体"/>
          <w:color w:val="auto"/>
          <w:szCs w:val="21"/>
          <w:highlight w:val="none"/>
        </w:rPr>
        <w:t>注：①标注★号的材料均为必须提供的材料须由供应商加盖公章，授权委托书必须由</w:t>
      </w:r>
      <w:r>
        <w:rPr>
          <w:rFonts w:hint="eastAsia" w:ascii="宋体" w:hAnsi="宋体"/>
          <w:color w:val="auto"/>
          <w:szCs w:val="21"/>
          <w:highlight w:val="none"/>
          <w:lang w:eastAsia="zh-CN"/>
        </w:rPr>
        <w:t>法定代表人（负责人）</w:t>
      </w:r>
      <w:r>
        <w:rPr>
          <w:rFonts w:hint="eastAsia" w:ascii="宋体" w:hAnsi="宋体"/>
          <w:color w:val="auto"/>
          <w:szCs w:val="21"/>
          <w:highlight w:val="none"/>
        </w:rPr>
        <w:t>签名，否则视为无效响应文件。</w:t>
      </w:r>
    </w:p>
    <w:p w14:paraId="6800FB0E">
      <w:pPr>
        <w:spacing w:line="406" w:lineRule="exact"/>
        <w:ind w:firstLine="210" w:firstLineChars="100"/>
        <w:rPr>
          <w:rFonts w:ascii="宋体" w:hAnsi="宋体" w:cs="Courier New"/>
          <w:color w:val="auto"/>
          <w:szCs w:val="21"/>
          <w:highlight w:val="none"/>
        </w:rPr>
      </w:pPr>
      <w:bookmarkStart w:id="86" w:name="_Hlk90906323"/>
      <w:r>
        <w:rPr>
          <w:rFonts w:hint="eastAsia" w:ascii="宋体" w:hAnsi="宋体"/>
          <w:color w:val="auto"/>
          <w:szCs w:val="21"/>
          <w:highlight w:val="none"/>
        </w:rPr>
        <w:t>②</w:t>
      </w:r>
      <w:bookmarkStart w:id="87" w:name="_Hlk111726335"/>
      <w:r>
        <w:rPr>
          <w:rFonts w:hint="eastAsia" w:ascii="宋体" w:hAnsi="宋体" w:cs="Courier New"/>
          <w:color w:val="auto"/>
          <w:szCs w:val="21"/>
          <w:highlight w:val="none"/>
        </w:rPr>
        <w:t>供应商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格式见第六章），并对声明的真实性负责。</w:t>
      </w:r>
      <w:bookmarkEnd w:id="87"/>
    </w:p>
    <w:p w14:paraId="6DE07CE5">
      <w:pPr>
        <w:spacing w:line="406" w:lineRule="exact"/>
        <w:ind w:firstLine="211" w:firstLineChars="100"/>
        <w:rPr>
          <w:rFonts w:ascii="宋体" w:hAnsi="宋体"/>
          <w:b/>
          <w:bCs/>
          <w:color w:val="auto"/>
          <w:szCs w:val="21"/>
          <w:highlight w:val="none"/>
        </w:rPr>
      </w:pPr>
      <w:r>
        <w:rPr>
          <w:rFonts w:hint="eastAsia" w:ascii="宋体" w:hAnsi="宋体"/>
          <w:b/>
          <w:color w:val="auto"/>
          <w:szCs w:val="21"/>
          <w:highlight w:val="none"/>
        </w:rPr>
        <w:t>（三）</w:t>
      </w:r>
      <w:bookmarkStart w:id="88" w:name="_Toc254970537"/>
      <w:bookmarkStart w:id="89" w:name="_Toc254970678"/>
      <w:bookmarkStart w:id="90" w:name="_Toc352700422"/>
      <w:bookmarkStart w:id="91" w:name="_Toc353785292"/>
      <w:r>
        <w:rPr>
          <w:rFonts w:hint="eastAsia" w:ascii="宋体" w:hAnsi="宋体"/>
          <w:b/>
          <w:bCs/>
          <w:color w:val="auto"/>
          <w:szCs w:val="21"/>
          <w:highlight w:val="none"/>
        </w:rPr>
        <w:t>响应文件的编制、签署及加密</w:t>
      </w:r>
    </w:p>
    <w:p w14:paraId="150792DD">
      <w:pPr>
        <w:spacing w:line="406" w:lineRule="exact"/>
        <w:ind w:firstLine="42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供应商应认真阅读、并充分理解采购文件的全部内容(包括所有的补充、修改内容)，承诺履行其各项条款的规定并按要求编制，响应文件应为电子文件或扫描件(样品除外)。</w:t>
      </w:r>
    </w:p>
    <w:p w14:paraId="0DF072F7">
      <w:pPr>
        <w:spacing w:line="406" w:lineRule="exact"/>
        <w:ind w:firstLine="42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供应商应通过政采云投标客户端编制加密响应文件。</w:t>
      </w:r>
    </w:p>
    <w:p w14:paraId="6EA4C614">
      <w:pPr>
        <w:spacing w:line="406" w:lineRule="exact"/>
        <w:ind w:firstLine="42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响应文件由资格文件、商务技术文件和报价文件组成，供应商应按规定的顺序编制并标注页码、准确设置评审关联点，未设置或未正确设置关联点而导致响应文件被误读、漏读或者查找不到相关响应内容的责任和后果由供应商承担。</w:t>
      </w:r>
    </w:p>
    <w:p w14:paraId="120A10A2">
      <w:pPr>
        <w:spacing w:line="406" w:lineRule="exact"/>
        <w:rPr>
          <w:rFonts w:ascii="宋体" w:hAnsi="宋体"/>
          <w:b/>
          <w:bCs/>
          <w:color w:val="auto"/>
          <w:szCs w:val="21"/>
          <w:highlight w:val="none"/>
        </w:rPr>
      </w:pPr>
      <w:r>
        <w:rPr>
          <w:rFonts w:ascii="宋体" w:hAnsi="宋体"/>
          <w:color w:val="auto"/>
          <w:szCs w:val="21"/>
          <w:highlight w:val="none"/>
        </w:rPr>
        <w:tab/>
      </w:r>
      <w:r>
        <w:rPr>
          <w:rFonts w:ascii="宋体" w:hAnsi="宋体"/>
          <w:b/>
          <w:bCs/>
          <w:color w:val="auto"/>
          <w:szCs w:val="21"/>
          <w:highlight w:val="none"/>
        </w:rPr>
        <w:t>4.</w:t>
      </w:r>
      <w:r>
        <w:rPr>
          <w:rFonts w:hint="eastAsia" w:ascii="宋体" w:hAnsi="宋体"/>
          <w:b/>
          <w:bCs/>
          <w:color w:val="auto"/>
          <w:szCs w:val="21"/>
          <w:highlight w:val="none"/>
        </w:rPr>
        <w:t>响应文件由供应商在规定位置由</w:t>
      </w:r>
      <w:r>
        <w:rPr>
          <w:rFonts w:hint="eastAsia" w:ascii="宋体" w:hAnsi="宋体"/>
          <w:b/>
          <w:bCs/>
          <w:color w:val="auto"/>
          <w:szCs w:val="21"/>
          <w:highlight w:val="none"/>
          <w:lang w:eastAsia="zh-CN"/>
        </w:rPr>
        <w:t>法定代表人（负责人）</w:t>
      </w:r>
      <w:r>
        <w:rPr>
          <w:rFonts w:hint="eastAsia" w:ascii="宋体" w:hAnsi="宋体"/>
          <w:b/>
          <w:bCs/>
          <w:color w:val="auto"/>
          <w:szCs w:val="21"/>
          <w:highlight w:val="none"/>
        </w:rPr>
        <w:t>或授权委托人签名（可为电子签名）、填写供应商名称并加盖公章(简称“盖章”，可为电子公章)，供应商名称应写全称。</w:t>
      </w:r>
    </w:p>
    <w:p w14:paraId="3555809B">
      <w:pPr>
        <w:snapToGrid w:val="0"/>
        <w:spacing w:line="406" w:lineRule="exact"/>
        <w:ind w:firstLine="210" w:firstLineChars="100"/>
        <w:rPr>
          <w:rFonts w:ascii="宋体" w:hAnsi="宋体"/>
          <w:b/>
          <w:bCs/>
          <w:color w:val="auto"/>
          <w:szCs w:val="21"/>
          <w:highlight w:val="none"/>
        </w:rPr>
      </w:pPr>
      <w:r>
        <w:rPr>
          <w:rFonts w:ascii="宋体" w:hAnsi="宋体"/>
          <w:color w:val="auto"/>
          <w:szCs w:val="21"/>
          <w:highlight w:val="none"/>
        </w:rPr>
        <w:tab/>
      </w:r>
      <w:r>
        <w:rPr>
          <w:rFonts w:ascii="宋体" w:hAnsi="宋体"/>
          <w:color w:val="auto"/>
          <w:szCs w:val="21"/>
          <w:highlight w:val="none"/>
        </w:rPr>
        <w:t>5.</w:t>
      </w:r>
      <w:r>
        <w:rPr>
          <w:rFonts w:hint="eastAsia" w:ascii="宋体" w:hAnsi="宋体"/>
          <w:color w:val="auto"/>
          <w:szCs w:val="21"/>
          <w:highlight w:val="none"/>
        </w:rPr>
        <w:t>响应文件内容不完整、编排混乱、不清晰等原因导致被误读或漏读的责任和后果由供应商承担。</w:t>
      </w:r>
    </w:p>
    <w:bookmarkEnd w:id="86"/>
    <w:p w14:paraId="319273E4">
      <w:pPr>
        <w:spacing w:line="406" w:lineRule="exact"/>
        <w:ind w:firstLine="211" w:firstLineChars="100"/>
        <w:rPr>
          <w:color w:val="auto"/>
          <w:highlight w:val="none"/>
        </w:rPr>
      </w:pPr>
      <w:r>
        <w:rPr>
          <w:rFonts w:hint="eastAsia"/>
          <w:b/>
          <w:bCs/>
          <w:color w:val="auto"/>
          <w:highlight w:val="none"/>
        </w:rPr>
        <w:t>（四）响应文件的语言及计量</w:t>
      </w:r>
      <w:bookmarkEnd w:id="88"/>
      <w:bookmarkEnd w:id="89"/>
      <w:bookmarkEnd w:id="90"/>
      <w:bookmarkEnd w:id="91"/>
    </w:p>
    <w:p w14:paraId="037999E3">
      <w:pPr>
        <w:snapToGrid w:val="0"/>
        <w:spacing w:line="406" w:lineRule="exact"/>
        <w:ind w:firstLine="42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响应文件以及供应商与采购人、本中心就有关事宜的所有来往函电，均应以中文汉语书写。除签名、盖章、专用名称等特殊情形外，以中文汉语以外的文字表述的视为无效文件。</w:t>
      </w:r>
    </w:p>
    <w:p w14:paraId="44FA2B73">
      <w:pPr>
        <w:snapToGrid w:val="0"/>
        <w:spacing w:line="406" w:lineRule="exact"/>
        <w:ind w:firstLine="420"/>
        <w:rPr>
          <w:rFonts w:ascii="宋体" w:hAnsi="宋体"/>
          <w:color w:val="auto"/>
          <w:szCs w:val="21"/>
          <w:highlight w:val="none"/>
        </w:rPr>
      </w:pPr>
      <w:r>
        <w:rPr>
          <w:rFonts w:ascii="宋体" w:hAnsi="宋体"/>
          <w:color w:val="auto"/>
          <w:szCs w:val="21"/>
          <w:highlight w:val="none"/>
        </w:rPr>
        <w:t>2.响应</w:t>
      </w:r>
      <w:r>
        <w:rPr>
          <w:rFonts w:hint="eastAsia" w:ascii="宋体" w:hAnsi="宋体"/>
          <w:color w:val="auto"/>
          <w:szCs w:val="21"/>
          <w:highlight w:val="none"/>
        </w:rPr>
        <w:t>文件的计量单位，采购文件已有明确规定的，使用采购文件规定的计量单位；采购文件没有规定的，应采用中华人民共和国法定计量单位（货币单位：人民币元），否则视为无效响应文件。</w:t>
      </w:r>
    </w:p>
    <w:p w14:paraId="417CBDB8">
      <w:pPr>
        <w:pStyle w:val="3"/>
        <w:spacing w:before="0" w:after="0" w:line="406" w:lineRule="exact"/>
        <w:ind w:firstLine="211" w:firstLineChars="100"/>
        <w:rPr>
          <w:rFonts w:ascii="宋体" w:hAnsi="宋体" w:eastAsia="宋体"/>
          <w:color w:val="auto"/>
          <w:sz w:val="21"/>
          <w:szCs w:val="21"/>
          <w:highlight w:val="none"/>
        </w:rPr>
      </w:pPr>
      <w:bookmarkStart w:id="92" w:name="_（五）报价"/>
      <w:bookmarkEnd w:id="92"/>
      <w:bookmarkStart w:id="93" w:name="_Toc254970538"/>
      <w:bookmarkStart w:id="94" w:name="_Toc254970679"/>
      <w:bookmarkStart w:id="95" w:name="_Toc353785293"/>
      <w:bookmarkStart w:id="96" w:name="_Toc352700423"/>
      <w:r>
        <w:rPr>
          <w:rFonts w:hint="eastAsia" w:ascii="宋体" w:hAnsi="宋体" w:eastAsia="宋体"/>
          <w:color w:val="auto"/>
          <w:sz w:val="21"/>
          <w:szCs w:val="21"/>
          <w:highlight w:val="none"/>
        </w:rPr>
        <w:t>（五）报价</w:t>
      </w:r>
      <w:bookmarkEnd w:id="93"/>
      <w:bookmarkEnd w:id="94"/>
      <w:bookmarkEnd w:id="95"/>
      <w:bookmarkEnd w:id="96"/>
    </w:p>
    <w:p w14:paraId="4109FEBD">
      <w:pPr>
        <w:pStyle w:val="22"/>
        <w:snapToGrid w:val="0"/>
        <w:spacing w:line="406" w:lineRule="exact"/>
        <w:ind w:firstLine="420"/>
        <w:rPr>
          <w:rFonts w:hAnsi="宋体"/>
          <w:color w:val="auto"/>
          <w:highlight w:val="none"/>
        </w:rPr>
      </w:pPr>
      <w:r>
        <w:rPr>
          <w:rFonts w:hAnsi="宋体"/>
          <w:color w:val="auto"/>
          <w:highlight w:val="none"/>
        </w:rPr>
        <w:t>1.</w:t>
      </w:r>
      <w:r>
        <w:rPr>
          <w:rFonts w:hint="eastAsia" w:hAnsi="宋体"/>
          <w:color w:val="auto"/>
          <w:highlight w:val="none"/>
        </w:rPr>
        <w:t>采购文件中未列明，而供应商认为必需的费用也须列入总报价。在合同实施时，采购人将不予支付成交供应商没有列入总报价的项目费用，并认为此项费用已包含在总报价中。</w:t>
      </w:r>
    </w:p>
    <w:p w14:paraId="6B9F2CA1">
      <w:pPr>
        <w:pStyle w:val="22"/>
        <w:snapToGrid w:val="0"/>
        <w:spacing w:line="406" w:lineRule="exact"/>
        <w:ind w:firstLine="420"/>
        <w:rPr>
          <w:color w:val="auto"/>
          <w:highlight w:val="none"/>
        </w:rPr>
      </w:pPr>
      <w:r>
        <w:rPr>
          <w:rFonts w:hAnsi="宋体"/>
          <w:color w:val="auto"/>
          <w:highlight w:val="none"/>
        </w:rPr>
        <w:t>2</w:t>
      </w:r>
      <w:r>
        <w:rPr>
          <w:rFonts w:hint="eastAsia" w:hAnsi="宋体"/>
          <w:color w:val="auto"/>
          <w:highlight w:val="none"/>
        </w:rPr>
        <w:t>供应商</w:t>
      </w:r>
      <w:r>
        <w:rPr>
          <w:rFonts w:hint="eastAsia"/>
          <w:color w:val="auto"/>
          <w:highlight w:val="none"/>
        </w:rPr>
        <w:t>必须就《项目需求》货物和服务的内容作完整唯一报价</w:t>
      </w:r>
      <w:r>
        <w:rPr>
          <w:rFonts w:hint="eastAsia" w:hAnsi="宋体"/>
          <w:color w:val="auto"/>
          <w:highlight w:val="none"/>
        </w:rPr>
        <w:t>，有选择的或有条件的报价视为无效响应文件。</w:t>
      </w:r>
    </w:p>
    <w:p w14:paraId="782924A9">
      <w:pPr>
        <w:tabs>
          <w:tab w:val="left" w:pos="525"/>
        </w:tabs>
        <w:snapToGrid w:val="0"/>
        <w:spacing w:line="406" w:lineRule="exact"/>
        <w:ind w:firstLine="42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供应商的报价必须按采购文件或政府采购云平台规定的格式填写，并在规定时间内提交最后报价。</w:t>
      </w:r>
    </w:p>
    <w:p w14:paraId="720D450D">
      <w:pPr>
        <w:tabs>
          <w:tab w:val="left" w:pos="525"/>
        </w:tabs>
        <w:snapToGrid w:val="0"/>
        <w:spacing w:line="406" w:lineRule="exact"/>
        <w:ind w:firstLine="42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最后报价是供应商响应文件的有效组成部分。</w:t>
      </w:r>
    </w:p>
    <w:p w14:paraId="2D7646AE">
      <w:pPr>
        <w:pStyle w:val="3"/>
        <w:spacing w:before="0" w:after="0" w:line="406" w:lineRule="exact"/>
        <w:ind w:firstLine="211" w:firstLineChars="100"/>
        <w:rPr>
          <w:rFonts w:ascii="宋体" w:hAnsi="宋体" w:eastAsia="宋体"/>
          <w:color w:val="auto"/>
          <w:sz w:val="21"/>
          <w:szCs w:val="21"/>
          <w:highlight w:val="none"/>
        </w:rPr>
      </w:pPr>
      <w:bookmarkStart w:id="97" w:name="_（六）磋商保证金"/>
      <w:bookmarkEnd w:id="97"/>
      <w:bookmarkStart w:id="98" w:name="_Toc352700425"/>
      <w:bookmarkStart w:id="99" w:name="_Toc254970541"/>
      <w:bookmarkStart w:id="100" w:name="_Toc254970682"/>
      <w:bookmarkStart w:id="101" w:name="_Toc353785295"/>
      <w:r>
        <w:rPr>
          <w:rFonts w:hint="eastAsia" w:ascii="宋体" w:hAnsi="宋体" w:eastAsia="宋体"/>
          <w:color w:val="auto"/>
          <w:sz w:val="21"/>
          <w:szCs w:val="21"/>
          <w:highlight w:val="none"/>
        </w:rPr>
        <w:t>（六）磋商保证金</w:t>
      </w:r>
      <w:bookmarkEnd w:id="98"/>
      <w:bookmarkEnd w:id="99"/>
      <w:bookmarkEnd w:id="100"/>
      <w:bookmarkEnd w:id="101"/>
    </w:p>
    <w:p w14:paraId="3ACCE5D7">
      <w:pPr>
        <w:snapToGrid w:val="0"/>
        <w:spacing w:line="406" w:lineRule="exact"/>
        <w:ind w:firstLine="420" w:firstLineChars="200"/>
        <w:rPr>
          <w:rFonts w:hint="default" w:ascii="宋体" w:hAnsi="宋体" w:eastAsia="宋体"/>
          <w:color w:val="auto"/>
          <w:szCs w:val="21"/>
          <w:highlight w:val="none"/>
          <w:lang w:val="en-US" w:eastAsia="zh-CN"/>
        </w:rPr>
      </w:pPr>
      <w:bookmarkStart w:id="102" w:name="_Toc353785296"/>
      <w:bookmarkStart w:id="103" w:name="_Toc352700426"/>
      <w:bookmarkStart w:id="104" w:name="_Toc254970542"/>
      <w:bookmarkStart w:id="105" w:name="_Toc254970683"/>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磋商保证金金额：</w:t>
      </w:r>
      <w:r>
        <w:rPr>
          <w:rFonts w:hint="eastAsia" w:ascii="宋体" w:hAnsi="宋体"/>
          <w:color w:val="auto"/>
          <w:szCs w:val="21"/>
          <w:highlight w:val="none"/>
          <w:lang w:val="en-US" w:eastAsia="zh-CN"/>
        </w:rPr>
        <w:t>免收。</w:t>
      </w:r>
    </w:p>
    <w:bookmarkEnd w:id="102"/>
    <w:bookmarkEnd w:id="103"/>
    <w:bookmarkEnd w:id="104"/>
    <w:bookmarkEnd w:id="105"/>
    <w:p w14:paraId="737AA580">
      <w:pPr>
        <w:spacing w:line="406" w:lineRule="exact"/>
        <w:ind w:firstLine="211" w:firstLineChars="100"/>
        <w:rPr>
          <w:b/>
          <w:bCs/>
          <w:color w:val="auto"/>
          <w:highlight w:val="none"/>
        </w:rPr>
      </w:pPr>
      <w:r>
        <w:rPr>
          <w:rFonts w:hint="eastAsia"/>
          <w:b/>
          <w:bCs/>
          <w:color w:val="auto"/>
          <w:highlight w:val="none"/>
        </w:rPr>
        <w:t>（七）响应文件的上传、提交、修改、撤回</w:t>
      </w:r>
    </w:p>
    <w:p w14:paraId="7AF0CFD7">
      <w:pPr>
        <w:snapToGrid w:val="0"/>
        <w:spacing w:line="406"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响应文件的上传和提交:供应商须将编制好的加密响应文件上传至政府采购云平台，并在响应文件提交截止时间前提交，否则</w:t>
      </w:r>
      <w:bookmarkStart w:id="106" w:name="_Hlk91772691"/>
      <w:r>
        <w:rPr>
          <w:rFonts w:hint="eastAsia" w:ascii="宋体" w:hAnsi="宋体"/>
          <w:color w:val="auto"/>
          <w:szCs w:val="21"/>
          <w:highlight w:val="none"/>
        </w:rPr>
        <w:t>政府采购云平台</w:t>
      </w:r>
      <w:bookmarkEnd w:id="106"/>
      <w:r>
        <w:rPr>
          <w:rFonts w:hint="eastAsia" w:ascii="宋体" w:hAnsi="宋体"/>
          <w:color w:val="auto"/>
          <w:szCs w:val="21"/>
          <w:highlight w:val="none"/>
        </w:rPr>
        <w:t>将予以拒收。</w:t>
      </w:r>
    </w:p>
    <w:p w14:paraId="0B299E49">
      <w:pPr>
        <w:snapToGrid w:val="0"/>
        <w:spacing w:line="406"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响应文件的修改和撤回：</w:t>
      </w:r>
      <w:r>
        <w:rPr>
          <w:rFonts w:hint="eastAsia"/>
          <w:color w:val="auto"/>
          <w:szCs w:val="21"/>
          <w:highlight w:val="none"/>
        </w:rPr>
        <w:t>供应商在提交响应文件截止时间前，可以对所提交的响应文件进行补充、修改或者撤回</w:t>
      </w:r>
      <w:r>
        <w:rPr>
          <w:rFonts w:hint="eastAsia" w:ascii="宋体" w:hAnsi="宋体"/>
          <w:color w:val="auto"/>
          <w:szCs w:val="21"/>
          <w:highlight w:val="none"/>
        </w:rPr>
        <w:t>。补充或者修改响应文件的，应当先行撤回原响应文件，补充、修改后重新上传、提交。响应文件提交截止时间前未完成重新提交的，视为撤回响应文件，响应文件提交截止时间后提交响应文件的，政府采购云平台将予以拒收。响应文件提交截止时间后，供应商不得撤回响应文件。</w:t>
      </w:r>
      <w:r>
        <w:rPr>
          <w:rFonts w:hint="eastAsia"/>
          <w:color w:val="auto"/>
          <w:szCs w:val="21"/>
          <w:highlight w:val="none"/>
        </w:rPr>
        <w:t>补充、修改的内容作为响应文件的组成部分。补充、修改的内容与响应文件不一致的，以补充、修改的内容为准。</w:t>
      </w:r>
    </w:p>
    <w:p w14:paraId="4F1AFB74">
      <w:pPr>
        <w:pStyle w:val="3"/>
        <w:spacing w:line="406" w:lineRule="exact"/>
        <w:rPr>
          <w:color w:val="auto"/>
          <w:highlight w:val="none"/>
        </w:rPr>
      </w:pPr>
      <w:bookmarkStart w:id="107" w:name="_四、响应文件开启"/>
      <w:bookmarkEnd w:id="107"/>
      <w:r>
        <w:rPr>
          <w:rFonts w:hint="eastAsia"/>
          <w:color w:val="auto"/>
          <w:highlight w:val="none"/>
        </w:rPr>
        <w:t>四、</w:t>
      </w:r>
      <w:bookmarkStart w:id="108" w:name="_Toc353785300"/>
      <w:bookmarkStart w:id="109" w:name="_Toc352700430"/>
      <w:r>
        <w:rPr>
          <w:rFonts w:hint="eastAsia"/>
          <w:color w:val="auto"/>
          <w:highlight w:val="none"/>
        </w:rPr>
        <w:t>响应文件开启</w:t>
      </w:r>
    </w:p>
    <w:bookmarkEnd w:id="108"/>
    <w:bookmarkEnd w:id="109"/>
    <w:p w14:paraId="7F63525E">
      <w:pPr>
        <w:spacing w:line="406" w:lineRule="exact"/>
        <w:ind w:firstLine="210" w:firstLineChars="100"/>
        <w:rPr>
          <w:rFonts w:ascii="方正小标宋_GBK" w:hAnsi="Arial" w:eastAsia="方正小标宋_GBK"/>
          <w:bCs/>
          <w:color w:val="auto"/>
          <w:sz w:val="24"/>
          <w:highlight w:val="none"/>
        </w:rPr>
      </w:pPr>
      <w:r>
        <w:rPr>
          <w:rFonts w:hint="eastAsia"/>
          <w:color w:val="auto"/>
          <w:highlight w:val="none"/>
        </w:rPr>
        <w:t>（一）本中心将在响应文件提交截止时间后在</w:t>
      </w:r>
      <w:bookmarkStart w:id="110" w:name="_Hlk90300735"/>
      <w:r>
        <w:rPr>
          <w:rFonts w:hint="eastAsia"/>
          <w:color w:val="auto"/>
          <w:highlight w:val="none"/>
        </w:rPr>
        <w:t>政采云远程开标大厅</w:t>
      </w:r>
      <w:bookmarkEnd w:id="110"/>
      <w:r>
        <w:rPr>
          <w:rFonts w:hint="eastAsia"/>
          <w:color w:val="auto"/>
          <w:highlight w:val="none"/>
        </w:rPr>
        <w:t>进行响应文件开启，供应商</w:t>
      </w:r>
      <w:r>
        <w:rPr>
          <w:rFonts w:hint="eastAsia"/>
          <w:color w:val="auto"/>
          <w:highlight w:val="none"/>
          <w:lang w:eastAsia="zh-CN"/>
        </w:rPr>
        <w:t>法定代表人（负责人）</w:t>
      </w:r>
      <w:r>
        <w:rPr>
          <w:rFonts w:hint="eastAsia"/>
          <w:color w:val="auto"/>
          <w:highlight w:val="none"/>
        </w:rPr>
        <w:t>或委托代理人须按时登录</w:t>
      </w:r>
      <w:bookmarkStart w:id="111" w:name="_Hlk90300780"/>
      <w:r>
        <w:rPr>
          <w:rFonts w:hint="eastAsia"/>
          <w:color w:val="auto"/>
          <w:highlight w:val="none"/>
        </w:rPr>
        <w:t>政采云远程开标大厅</w:t>
      </w:r>
      <w:bookmarkEnd w:id="111"/>
      <w:r>
        <w:rPr>
          <w:rFonts w:hint="eastAsia"/>
          <w:color w:val="auto"/>
          <w:highlight w:val="none"/>
        </w:rPr>
        <w:t>（政府采购云平台-应用中心-项目采购-开标评标），保持全程在线并关注评审、磋商进度，评审期间磋商小组提出澄清等要求时，供应商须在规定时间内进行应答，否则按采购文件或政采云平台的相关规定执行。</w:t>
      </w:r>
      <w:bookmarkStart w:id="112" w:name="_Toc353785301"/>
      <w:bookmarkStart w:id="113" w:name="_Toc352700431"/>
    </w:p>
    <w:p w14:paraId="40D6096A">
      <w:pPr>
        <w:spacing w:line="406" w:lineRule="exact"/>
        <w:ind w:firstLine="210" w:firstLineChars="100"/>
        <w:rPr>
          <w:rFonts w:ascii="方正小标宋_GBK" w:hAnsi="Arial" w:eastAsia="方正小标宋_GBK"/>
          <w:bCs/>
          <w:color w:val="auto"/>
          <w:sz w:val="24"/>
          <w:highlight w:val="none"/>
        </w:rPr>
      </w:pPr>
      <w:r>
        <w:rPr>
          <w:rFonts w:hint="eastAsia"/>
          <w:color w:val="auto"/>
          <w:highlight w:val="none"/>
        </w:rPr>
        <w:t>（二）</w:t>
      </w:r>
      <w:bookmarkEnd w:id="112"/>
      <w:bookmarkEnd w:id="113"/>
      <w:r>
        <w:rPr>
          <w:rFonts w:hint="eastAsia"/>
          <w:color w:val="auto"/>
          <w:highlight w:val="none"/>
        </w:rPr>
        <w:t>解密</w:t>
      </w:r>
    </w:p>
    <w:p w14:paraId="09F77D81">
      <w:pPr>
        <w:spacing w:line="406" w:lineRule="exact"/>
        <w:ind w:firstLine="420" w:firstLineChars="200"/>
        <w:rPr>
          <w:color w:val="auto"/>
          <w:highlight w:val="none"/>
        </w:rPr>
      </w:pPr>
      <w:r>
        <w:rPr>
          <w:rFonts w:hint="eastAsia"/>
          <w:color w:val="auto"/>
          <w:highlight w:val="none"/>
        </w:rPr>
        <w:t>响应文件提交时间截止后，我中心将向各提交响应文件的供应商发出电子加密响应文件解密通知，供应商代表应当在接到解密通知后30分钟内对已加密的电子响应文件进行在线解密。供应商未在规定时间内完成解密的，政府采购云平台视为供应商自主放弃磋商。</w:t>
      </w:r>
    </w:p>
    <w:p w14:paraId="06FC9A45">
      <w:pPr>
        <w:spacing w:line="406" w:lineRule="exact"/>
        <w:ind w:firstLine="211" w:firstLineChars="100"/>
        <w:rPr>
          <w:b/>
          <w:bCs/>
          <w:color w:val="auto"/>
          <w:highlight w:val="none"/>
        </w:rPr>
      </w:pPr>
      <w:r>
        <w:rPr>
          <w:rFonts w:hint="eastAsia"/>
          <w:b/>
          <w:bCs/>
          <w:color w:val="auto"/>
          <w:highlight w:val="none"/>
        </w:rPr>
        <w:t>（三）资格审查</w:t>
      </w:r>
    </w:p>
    <w:p w14:paraId="18F9F366">
      <w:pPr>
        <w:spacing w:line="406"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采购人依法对供应商的资格进行审查，资格性审查时，如发现下列情形之一的，响应文件将被视为无效：</w:t>
      </w:r>
    </w:p>
    <w:p w14:paraId="5C0C170D">
      <w:pPr>
        <w:spacing w:line="406" w:lineRule="exact"/>
        <w:ind w:firstLine="420" w:firstLineChars="200"/>
        <w:rPr>
          <w:rFonts w:ascii="宋体" w:hAnsi="宋体"/>
          <w:color w:val="auto"/>
          <w:szCs w:val="21"/>
          <w:highlight w:val="none"/>
        </w:rPr>
      </w:pPr>
      <w:r>
        <w:rPr>
          <w:rFonts w:hint="eastAsia" w:ascii="宋体" w:hAnsi="宋体"/>
          <w:color w:val="auto"/>
          <w:szCs w:val="21"/>
          <w:highlight w:val="none"/>
        </w:rPr>
        <w:t>(1)超越了按照法律法规规定必须获得行政许可或者行政审批的经营范围的；</w:t>
      </w:r>
    </w:p>
    <w:p w14:paraId="5A97549F">
      <w:pPr>
        <w:spacing w:line="406" w:lineRule="exact"/>
        <w:ind w:firstLine="420" w:firstLineChars="200"/>
        <w:rPr>
          <w:rFonts w:ascii="宋体" w:hAnsi="宋体"/>
          <w:color w:val="auto"/>
          <w:szCs w:val="21"/>
          <w:highlight w:val="none"/>
        </w:rPr>
      </w:pPr>
      <w:r>
        <w:rPr>
          <w:rFonts w:hint="eastAsia" w:ascii="宋体" w:hAnsi="宋体"/>
          <w:color w:val="auto"/>
          <w:szCs w:val="21"/>
          <w:highlight w:val="none"/>
        </w:rPr>
        <w:t>(2)资格证明文件不全的，或者不符合采购文件标明的资格要求的。</w:t>
      </w:r>
    </w:p>
    <w:p w14:paraId="259726A6">
      <w:pPr>
        <w:snapToGrid w:val="0"/>
        <w:spacing w:line="406"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响应文件递交截止时间的，将被拒绝参与本项目政府采购活动。</w:t>
      </w:r>
    </w:p>
    <w:p w14:paraId="4214CCE0">
      <w:pPr>
        <w:pStyle w:val="3"/>
        <w:spacing w:line="406" w:lineRule="exact"/>
        <w:rPr>
          <w:rFonts w:ascii="宋体" w:hAnsi="宋体"/>
          <w:color w:val="auto"/>
          <w:szCs w:val="21"/>
          <w:highlight w:val="none"/>
        </w:rPr>
      </w:pPr>
      <w:bookmarkStart w:id="114" w:name="_五、评审与磋商"/>
      <w:bookmarkEnd w:id="114"/>
      <w:bookmarkStart w:id="115" w:name="_Toc254970686"/>
      <w:bookmarkStart w:id="116" w:name="_Toc254970545"/>
      <w:bookmarkStart w:id="117" w:name="_Toc352700432"/>
      <w:bookmarkStart w:id="118" w:name="_Toc353785302"/>
      <w:r>
        <w:rPr>
          <w:rFonts w:hint="eastAsia"/>
          <w:color w:val="auto"/>
          <w:highlight w:val="none"/>
        </w:rPr>
        <w:t>五、</w:t>
      </w:r>
      <w:bookmarkEnd w:id="115"/>
      <w:bookmarkEnd w:id="116"/>
      <w:bookmarkEnd w:id="117"/>
      <w:bookmarkEnd w:id="118"/>
      <w:r>
        <w:rPr>
          <w:rFonts w:hint="eastAsia" w:ascii="宋体" w:hAnsi="宋体"/>
          <w:color w:val="auto"/>
          <w:szCs w:val="21"/>
          <w:highlight w:val="none"/>
        </w:rPr>
        <w:t>评审与磋商</w:t>
      </w:r>
    </w:p>
    <w:p w14:paraId="718A3295">
      <w:pPr>
        <w:snapToGrid w:val="0"/>
        <w:spacing w:line="406" w:lineRule="exact"/>
        <w:ind w:firstLine="211" w:firstLineChars="100"/>
        <w:rPr>
          <w:rFonts w:ascii="宋体" w:hAnsi="宋体"/>
          <w:b/>
          <w:bCs/>
          <w:color w:val="auto"/>
          <w:szCs w:val="21"/>
          <w:highlight w:val="none"/>
        </w:rPr>
      </w:pPr>
      <w:bookmarkStart w:id="119" w:name="_Toc352700433"/>
      <w:bookmarkStart w:id="120" w:name="_Toc353785303"/>
      <w:r>
        <w:rPr>
          <w:rFonts w:hint="eastAsia" w:ascii="宋体" w:hAnsi="宋体"/>
          <w:b/>
          <w:bCs/>
          <w:color w:val="auto"/>
          <w:szCs w:val="21"/>
          <w:highlight w:val="none"/>
        </w:rPr>
        <w:t>（一）评审原则：</w:t>
      </w:r>
    </w:p>
    <w:p w14:paraId="0E70CB86">
      <w:pPr>
        <w:snapToGrid w:val="0"/>
        <w:spacing w:line="406"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磋商小组必须公平、公正、客观，不带任何倾向性和启发性；不得向外界透露任何与评审有关的内容；任何单位和个人不得干扰、影响评审的正常进行；磋商小组及有关工作人员不得私下接触供应商。</w:t>
      </w:r>
    </w:p>
    <w:p w14:paraId="125EDCDB">
      <w:pPr>
        <w:snapToGrid w:val="0"/>
        <w:spacing w:line="406" w:lineRule="exact"/>
        <w:ind w:firstLine="420" w:firstLineChars="200"/>
        <w:rPr>
          <w:rFonts w:ascii="宋体" w:hAnsi="宋体" w:cs="Courier New"/>
          <w:color w:val="auto"/>
          <w:szCs w:val="21"/>
          <w:highlight w:val="none"/>
        </w:rPr>
      </w:pPr>
      <w:r>
        <w:rPr>
          <w:rFonts w:ascii="宋体" w:hAnsi="宋体"/>
          <w:color w:val="auto"/>
          <w:szCs w:val="21"/>
          <w:highlight w:val="none"/>
        </w:rPr>
        <w:t>2.</w:t>
      </w:r>
      <w:r>
        <w:rPr>
          <w:rFonts w:hint="eastAsia" w:ascii="宋体" w:hAnsi="宋体" w:cs="Courier New"/>
          <w:color w:val="auto"/>
          <w:szCs w:val="21"/>
          <w:highlight w:val="none"/>
        </w:rPr>
        <w:t>本项目采用不公开方式评审，评审的依据为采购文件和响应文件。</w:t>
      </w:r>
    </w:p>
    <w:p w14:paraId="3B6AA18D">
      <w:pPr>
        <w:snapToGrid w:val="0"/>
        <w:spacing w:line="406" w:lineRule="exact"/>
        <w:ind w:firstLine="211" w:firstLineChars="100"/>
        <w:rPr>
          <w:rFonts w:ascii="宋体" w:hAnsi="宋体"/>
          <w:b/>
          <w:bCs/>
          <w:color w:val="auto"/>
          <w:szCs w:val="21"/>
          <w:highlight w:val="none"/>
        </w:rPr>
      </w:pPr>
      <w:r>
        <w:rPr>
          <w:rFonts w:hint="eastAsia"/>
          <w:b/>
          <w:bCs/>
          <w:color w:val="auto"/>
          <w:highlight w:val="none"/>
        </w:rPr>
        <w:t>（二）成立磋商小组</w:t>
      </w:r>
    </w:p>
    <w:p w14:paraId="582D8D8F">
      <w:pPr>
        <w:snapToGrid w:val="0"/>
        <w:spacing w:line="406" w:lineRule="exact"/>
        <w:ind w:firstLine="420" w:firstLineChars="200"/>
        <w:rPr>
          <w:rFonts w:ascii="宋体" w:hAnsi="宋体"/>
          <w:color w:val="auto"/>
          <w:szCs w:val="21"/>
          <w:highlight w:val="none"/>
        </w:rPr>
      </w:pPr>
      <w:r>
        <w:rPr>
          <w:rFonts w:hint="eastAsia" w:ascii="宋体" w:hAnsi="宋体" w:cs="Courier New"/>
          <w:bCs/>
          <w:color w:val="auto"/>
          <w:szCs w:val="21"/>
          <w:highlight w:val="none"/>
        </w:rPr>
        <w:t>磋商小组</w:t>
      </w:r>
      <w:bookmarkEnd w:id="119"/>
      <w:bookmarkEnd w:id="120"/>
      <w:r>
        <w:rPr>
          <w:rFonts w:hint="eastAsia" w:ascii="宋体" w:hAnsi="宋体" w:cs="Courier New"/>
          <w:bCs/>
          <w:color w:val="auto"/>
          <w:szCs w:val="21"/>
          <w:highlight w:val="none"/>
        </w:rPr>
        <w:t>由采购人代表和评审专家共3人以上单数组成，其中评审专家人数不得少于磋商小组成员总数的2/3。</w:t>
      </w:r>
    </w:p>
    <w:p w14:paraId="7D826E49">
      <w:pPr>
        <w:spacing w:line="406" w:lineRule="exact"/>
        <w:ind w:firstLine="211" w:firstLineChars="100"/>
        <w:rPr>
          <w:rFonts w:ascii="宋体" w:hAnsi="宋体" w:cs="Courier New"/>
          <w:color w:val="auto"/>
          <w:szCs w:val="21"/>
          <w:highlight w:val="none"/>
        </w:rPr>
      </w:pPr>
      <w:r>
        <w:rPr>
          <w:rFonts w:hint="eastAsia" w:ascii="宋体" w:hAnsi="宋体"/>
          <w:b/>
          <w:bCs/>
          <w:color w:val="auto"/>
          <w:szCs w:val="21"/>
          <w:highlight w:val="none"/>
        </w:rPr>
        <w:t>（三）实质性审查</w:t>
      </w:r>
    </w:p>
    <w:p w14:paraId="63FF0D2F">
      <w:pPr>
        <w:snapToGrid w:val="0"/>
        <w:spacing w:line="406"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磋商小组成员根据磋商文件规定的评审程序、评审方法和评审标准进行独立评审。未实质性响应磋商文件的响应文件按无效响应处理，磋商小组应当告知提交响应文件的供应商。</w:t>
      </w:r>
    </w:p>
    <w:p w14:paraId="3EB92061">
      <w:pPr>
        <w:snapToGrid w:val="0"/>
        <w:spacing w:line="406"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2</w:t>
      </w:r>
      <w:r>
        <w:rPr>
          <w:rFonts w:ascii="宋体" w:hAnsi="宋体"/>
          <w:b/>
          <w:bCs/>
          <w:color w:val="auto"/>
          <w:szCs w:val="21"/>
          <w:highlight w:val="none"/>
        </w:rPr>
        <w:t>.</w:t>
      </w:r>
      <w:r>
        <w:rPr>
          <w:rFonts w:hint="eastAsia" w:ascii="宋体" w:hAnsi="宋体"/>
          <w:b/>
          <w:bCs/>
          <w:color w:val="auto"/>
          <w:szCs w:val="21"/>
          <w:highlight w:val="none"/>
        </w:rPr>
        <w:t>实质性审查时，如发现下列情形之一的，响应文件将被视为无效：</w:t>
      </w:r>
    </w:p>
    <w:p w14:paraId="763B10AE">
      <w:pPr>
        <w:snapToGrid w:val="0"/>
        <w:spacing w:line="406" w:lineRule="exact"/>
        <w:ind w:firstLine="525" w:firstLineChars="250"/>
        <w:rPr>
          <w:rFonts w:ascii="宋体" w:hAnsi="宋体"/>
          <w:color w:val="auto"/>
          <w:szCs w:val="21"/>
          <w:highlight w:val="none"/>
        </w:rPr>
      </w:pPr>
      <w:r>
        <w:rPr>
          <w:rFonts w:hint="eastAsia" w:ascii="宋体" w:hAnsi="宋体"/>
          <w:color w:val="auto"/>
          <w:szCs w:val="21"/>
          <w:highlight w:val="none"/>
        </w:rPr>
        <w:t>①应交未交磋商保证金的；</w:t>
      </w:r>
    </w:p>
    <w:p w14:paraId="418A6D4C">
      <w:pPr>
        <w:snapToGrid w:val="0"/>
        <w:spacing w:line="406" w:lineRule="exact"/>
        <w:ind w:firstLine="525" w:firstLineChars="250"/>
        <w:rPr>
          <w:rFonts w:ascii="宋体" w:hAnsi="宋体"/>
          <w:color w:val="auto"/>
          <w:szCs w:val="21"/>
          <w:highlight w:val="none"/>
        </w:rPr>
      </w:pPr>
      <w:r>
        <w:rPr>
          <w:rFonts w:hint="eastAsia" w:ascii="宋体" w:hAnsi="宋体"/>
          <w:color w:val="auto"/>
          <w:szCs w:val="21"/>
          <w:highlight w:val="none"/>
        </w:rPr>
        <w:t>②响应文件未按响应文件编制要求提供或内容虚假的；</w:t>
      </w:r>
    </w:p>
    <w:p w14:paraId="2986EAA1">
      <w:pPr>
        <w:snapToGrid w:val="0"/>
        <w:spacing w:line="406" w:lineRule="exact"/>
        <w:ind w:firstLine="525" w:firstLineChars="250"/>
        <w:rPr>
          <w:rFonts w:ascii="宋体" w:hAnsi="宋体"/>
          <w:color w:val="auto"/>
          <w:szCs w:val="21"/>
          <w:highlight w:val="none"/>
        </w:rPr>
      </w:pPr>
      <w:r>
        <w:rPr>
          <w:rFonts w:hint="eastAsia" w:ascii="宋体" w:hAnsi="宋体"/>
          <w:color w:val="auto"/>
          <w:szCs w:val="21"/>
          <w:highlight w:val="none"/>
        </w:rPr>
        <w:t>③响应文件无</w:t>
      </w:r>
      <w:r>
        <w:rPr>
          <w:rFonts w:hint="eastAsia" w:ascii="宋体" w:hAnsi="宋体"/>
          <w:color w:val="auto"/>
          <w:szCs w:val="21"/>
          <w:highlight w:val="none"/>
          <w:lang w:eastAsia="zh-CN"/>
        </w:rPr>
        <w:t>法定代表人（负责人）</w:t>
      </w:r>
      <w:r>
        <w:rPr>
          <w:rFonts w:hint="eastAsia" w:ascii="宋体" w:hAnsi="宋体"/>
          <w:color w:val="auto"/>
          <w:szCs w:val="21"/>
          <w:highlight w:val="none"/>
        </w:rPr>
        <w:t>或其委托代理人签署、未提供授权委托书，或未按规定盖章的；</w:t>
      </w:r>
    </w:p>
    <w:p w14:paraId="57B5E12F">
      <w:pPr>
        <w:snapToGrid w:val="0"/>
        <w:spacing w:line="406" w:lineRule="exact"/>
        <w:ind w:firstLine="525" w:firstLineChars="250"/>
        <w:rPr>
          <w:rFonts w:ascii="宋体" w:hAnsi="宋体"/>
          <w:color w:val="auto"/>
          <w:szCs w:val="21"/>
          <w:highlight w:val="none"/>
        </w:rPr>
      </w:pPr>
      <w:r>
        <w:rPr>
          <w:rFonts w:hint="eastAsia" w:ascii="宋体" w:hAnsi="宋体"/>
          <w:color w:val="auto"/>
          <w:szCs w:val="21"/>
          <w:highlight w:val="none"/>
        </w:rPr>
        <w:t>④供应商代表未能出具身份证明或与</w:t>
      </w:r>
      <w:r>
        <w:rPr>
          <w:rFonts w:hint="eastAsia" w:ascii="宋体" w:hAnsi="宋体"/>
          <w:color w:val="auto"/>
          <w:szCs w:val="21"/>
          <w:highlight w:val="none"/>
          <w:lang w:eastAsia="zh-CN"/>
        </w:rPr>
        <w:t>法定代表人（负责人）</w:t>
      </w:r>
      <w:r>
        <w:rPr>
          <w:rFonts w:hint="eastAsia" w:ascii="宋体" w:hAnsi="宋体"/>
          <w:color w:val="auto"/>
          <w:szCs w:val="21"/>
          <w:highlight w:val="none"/>
        </w:rPr>
        <w:t>委托代理人身份不符的；</w:t>
      </w:r>
    </w:p>
    <w:p w14:paraId="746982EB">
      <w:pPr>
        <w:snapToGrid w:val="0"/>
        <w:spacing w:line="406" w:lineRule="exact"/>
        <w:ind w:firstLine="525" w:firstLineChars="250"/>
        <w:rPr>
          <w:rFonts w:ascii="宋体" w:hAnsi="宋体"/>
          <w:color w:val="auto"/>
          <w:szCs w:val="21"/>
          <w:highlight w:val="none"/>
        </w:rPr>
      </w:pPr>
      <w:r>
        <w:rPr>
          <w:rFonts w:hint="eastAsia" w:ascii="宋体" w:hAnsi="宋体"/>
          <w:color w:val="auto"/>
          <w:szCs w:val="21"/>
          <w:highlight w:val="none"/>
        </w:rPr>
        <w:t>⑤经磋商未实质性响应采购文件采购需求的技术、服务要求的；</w:t>
      </w:r>
    </w:p>
    <w:p w14:paraId="66865424">
      <w:pPr>
        <w:snapToGrid w:val="0"/>
        <w:spacing w:line="406" w:lineRule="exact"/>
        <w:ind w:firstLine="525" w:firstLineChars="250"/>
        <w:rPr>
          <w:rFonts w:ascii="宋体" w:hAnsi="宋体"/>
          <w:color w:val="auto"/>
          <w:szCs w:val="21"/>
          <w:highlight w:val="none"/>
        </w:rPr>
      </w:pPr>
      <w:r>
        <w:rPr>
          <w:rFonts w:hint="eastAsia" w:ascii="宋体" w:hAnsi="宋体"/>
          <w:color w:val="auto"/>
          <w:szCs w:val="21"/>
          <w:highlight w:val="none"/>
        </w:rPr>
        <w:t>⑥经磋商</w:t>
      </w:r>
      <w:r>
        <w:rPr>
          <w:rFonts w:hint="eastAsia" w:ascii="宋体" w:hAnsi="宋体"/>
          <w:color w:val="auto"/>
          <w:spacing w:val="-4"/>
          <w:szCs w:val="21"/>
          <w:highlight w:val="none"/>
        </w:rPr>
        <w:t>不符合采购文件要求的质量标准，或者与采购文件中的技术指标、功能、服务事项发生较大偏离，已不符合采购人需求的；</w:t>
      </w:r>
    </w:p>
    <w:p w14:paraId="5F90690C">
      <w:pPr>
        <w:snapToGrid w:val="0"/>
        <w:spacing w:line="406" w:lineRule="exact"/>
        <w:ind w:firstLine="505" w:firstLineChars="250"/>
        <w:rPr>
          <w:rFonts w:ascii="宋体" w:hAnsi="宋体"/>
          <w:color w:val="auto"/>
          <w:szCs w:val="21"/>
          <w:highlight w:val="none"/>
        </w:rPr>
      </w:pPr>
      <w:r>
        <w:rPr>
          <w:rFonts w:hint="eastAsia" w:ascii="宋体" w:hAnsi="宋体"/>
          <w:color w:val="auto"/>
          <w:spacing w:val="-4"/>
          <w:szCs w:val="21"/>
          <w:highlight w:val="none"/>
        </w:rPr>
        <w:t>⑦</w:t>
      </w:r>
      <w:r>
        <w:rPr>
          <w:rFonts w:hint="eastAsia" w:ascii="宋体" w:hAnsi="宋体"/>
          <w:color w:val="auto"/>
          <w:szCs w:val="21"/>
          <w:highlight w:val="none"/>
        </w:rPr>
        <w:t>响应文件有采购人不能接受的附加条件的；</w:t>
      </w:r>
    </w:p>
    <w:p w14:paraId="0A3D2C16">
      <w:pPr>
        <w:snapToGrid w:val="0"/>
        <w:spacing w:line="406" w:lineRule="exact"/>
        <w:ind w:firstLine="525" w:firstLineChars="250"/>
        <w:rPr>
          <w:rFonts w:ascii="宋体" w:hAnsi="宋体"/>
          <w:color w:val="auto"/>
          <w:spacing w:val="-4"/>
          <w:szCs w:val="21"/>
          <w:highlight w:val="none"/>
        </w:rPr>
      </w:pPr>
      <w:r>
        <w:rPr>
          <w:rFonts w:hint="eastAsia" w:ascii="宋体" w:hAnsi="宋体"/>
          <w:color w:val="auto"/>
          <w:szCs w:val="21"/>
          <w:highlight w:val="none"/>
        </w:rPr>
        <w:t>⑧</w:t>
      </w:r>
      <w:r>
        <w:rPr>
          <w:rFonts w:hint="eastAsia" w:ascii="宋体" w:hAnsi="宋体"/>
          <w:color w:val="auto"/>
          <w:spacing w:val="-4"/>
          <w:szCs w:val="21"/>
          <w:highlight w:val="none"/>
        </w:rPr>
        <w:t>响应文件技术方案不明确，存在一个或一个以上备选(替代)响应方案的；</w:t>
      </w:r>
    </w:p>
    <w:p w14:paraId="32B28DD1">
      <w:pPr>
        <w:snapToGrid w:val="0"/>
        <w:spacing w:line="406" w:lineRule="exact"/>
        <w:ind w:firstLine="505" w:firstLineChars="250"/>
        <w:rPr>
          <w:rFonts w:ascii="宋体" w:hAnsi="宋体"/>
          <w:color w:val="auto"/>
          <w:szCs w:val="21"/>
          <w:highlight w:val="none"/>
        </w:rPr>
      </w:pPr>
      <w:r>
        <w:rPr>
          <w:rFonts w:hint="eastAsia" w:ascii="宋体" w:hAnsi="宋体"/>
          <w:color w:val="auto"/>
          <w:spacing w:val="-4"/>
          <w:szCs w:val="21"/>
          <w:highlight w:val="none"/>
        </w:rPr>
        <w:t>⑨</w:t>
      </w:r>
      <w:r>
        <w:rPr>
          <w:rFonts w:hint="eastAsia" w:ascii="宋体" w:hAnsi="宋体"/>
          <w:color w:val="auto"/>
          <w:szCs w:val="21"/>
          <w:highlight w:val="none"/>
        </w:rPr>
        <w:t>响应文件的实质性内容未使用中文表述、意思表述不明确、前后矛盾或者使用计量单位不符合采购文件要求的。</w:t>
      </w:r>
    </w:p>
    <w:p w14:paraId="01E8DAB5">
      <w:pPr>
        <w:spacing w:line="406" w:lineRule="exact"/>
        <w:ind w:firstLine="211" w:firstLineChars="100"/>
        <w:rPr>
          <w:b/>
          <w:bCs/>
          <w:color w:val="auto"/>
          <w:highlight w:val="none"/>
        </w:rPr>
      </w:pPr>
      <w:r>
        <w:rPr>
          <w:rFonts w:hint="eastAsia"/>
          <w:b/>
          <w:bCs/>
          <w:color w:val="auto"/>
          <w:highlight w:val="none"/>
        </w:rPr>
        <w:t>（四）磋商</w:t>
      </w:r>
    </w:p>
    <w:p w14:paraId="03335A05">
      <w:pPr>
        <w:pStyle w:val="22"/>
        <w:spacing w:line="406" w:lineRule="exact"/>
        <w:ind w:firstLine="420" w:firstLineChars="200"/>
        <w:rPr>
          <w:rFonts w:hAnsi="宋体"/>
          <w:bCs/>
          <w:color w:val="auto"/>
          <w:highlight w:val="none"/>
        </w:rPr>
      </w:pPr>
      <w:r>
        <w:rPr>
          <w:rFonts w:hint="eastAsia" w:hAnsi="宋体"/>
          <w:bCs/>
          <w:color w:val="auto"/>
          <w:highlight w:val="none"/>
        </w:rPr>
        <w:t>1</w:t>
      </w:r>
      <w:r>
        <w:rPr>
          <w:rFonts w:hAnsi="宋体"/>
          <w:bCs/>
          <w:color w:val="auto"/>
          <w:highlight w:val="none"/>
        </w:rPr>
        <w:t>.</w:t>
      </w:r>
      <w:r>
        <w:rPr>
          <w:rFonts w:hint="eastAsia" w:hAnsi="宋体"/>
          <w:bCs/>
          <w:color w:val="auto"/>
          <w:highlight w:val="none"/>
        </w:rPr>
        <w:t>磋商小组所有成员应当集中与单一供应商分别进行磋商，并给予所有参加磋商的供应商平等的磋商机会。</w:t>
      </w:r>
    </w:p>
    <w:p w14:paraId="18442DB0">
      <w:pPr>
        <w:pStyle w:val="22"/>
        <w:spacing w:line="406" w:lineRule="exact"/>
        <w:ind w:firstLine="420" w:firstLineChars="200"/>
        <w:rPr>
          <w:rFonts w:hAnsi="宋体"/>
          <w:bCs/>
          <w:color w:val="auto"/>
          <w:highlight w:val="none"/>
        </w:rPr>
      </w:pPr>
      <w:r>
        <w:rPr>
          <w:rFonts w:hAnsi="宋体"/>
          <w:bCs/>
          <w:color w:val="auto"/>
          <w:highlight w:val="none"/>
        </w:rPr>
        <w:t>2.</w:t>
      </w:r>
      <w:r>
        <w:rPr>
          <w:rFonts w:hint="eastAsia" w:hAnsi="宋体"/>
          <w:bCs/>
          <w:color w:val="auto"/>
          <w:highlight w:val="none"/>
        </w:rPr>
        <w:t>磋商小组可以根据磋商文件和磋商情况实质性变动采购需求中的技术、服务要求以及合同草案条款，但不得变动磋商文件中的其他内容。实质性变动的内容，须经采购人代表确认。</w:t>
      </w:r>
    </w:p>
    <w:p w14:paraId="362373DA">
      <w:pPr>
        <w:pStyle w:val="22"/>
        <w:spacing w:line="406" w:lineRule="exact"/>
        <w:ind w:firstLine="420" w:firstLineChars="200"/>
        <w:rPr>
          <w:rFonts w:hAnsi="宋体"/>
          <w:bCs/>
          <w:color w:val="auto"/>
          <w:highlight w:val="none"/>
        </w:rPr>
      </w:pPr>
      <w:r>
        <w:rPr>
          <w:rFonts w:hAnsi="宋体"/>
          <w:bCs/>
          <w:color w:val="auto"/>
          <w:highlight w:val="none"/>
        </w:rPr>
        <w:t>3.</w:t>
      </w:r>
      <w:r>
        <w:rPr>
          <w:rFonts w:hint="eastAsia" w:hAnsi="宋体"/>
          <w:bCs/>
          <w:color w:val="auto"/>
          <w:highlight w:val="none"/>
        </w:rPr>
        <w:t>对磋商文件作出的实质性变动是磋商文件的有效组成部分，磋商小组应当及时以书面形式同时通知所有参加磋商的供应商。</w:t>
      </w:r>
    </w:p>
    <w:p w14:paraId="43EFA296">
      <w:pPr>
        <w:pStyle w:val="22"/>
        <w:spacing w:line="406" w:lineRule="exact"/>
        <w:ind w:firstLine="420" w:firstLineChars="200"/>
        <w:rPr>
          <w:rFonts w:hAnsi="宋体"/>
          <w:bCs/>
          <w:color w:val="auto"/>
          <w:highlight w:val="none"/>
        </w:rPr>
      </w:pPr>
      <w:r>
        <w:rPr>
          <w:rFonts w:hAnsi="宋体"/>
          <w:bCs/>
          <w:color w:val="auto"/>
          <w:highlight w:val="none"/>
        </w:rPr>
        <w:t>4.</w:t>
      </w:r>
      <w:r>
        <w:rPr>
          <w:rFonts w:hint="eastAsia" w:hAnsi="宋体"/>
          <w:bCs/>
          <w:color w:val="auto"/>
          <w:highlight w:val="none"/>
        </w:rPr>
        <w:t>供应商应当按照磋商文件的变动情况和磋商小组的要求重新提交响应文件，并由其</w:t>
      </w:r>
      <w:r>
        <w:rPr>
          <w:rFonts w:hint="eastAsia" w:hAnsi="宋体"/>
          <w:bCs/>
          <w:color w:val="auto"/>
          <w:highlight w:val="none"/>
          <w:lang w:eastAsia="zh-CN"/>
        </w:rPr>
        <w:t>法定代表人（负责人）</w:t>
      </w:r>
      <w:r>
        <w:rPr>
          <w:rFonts w:hint="eastAsia" w:hAnsi="宋体"/>
          <w:bCs/>
          <w:color w:val="auto"/>
          <w:highlight w:val="none"/>
        </w:rPr>
        <w:t>或授权代表签名或者加盖公章。由授权代表签名的，应当附</w:t>
      </w:r>
      <w:r>
        <w:rPr>
          <w:rFonts w:hint="eastAsia" w:hAnsi="宋体"/>
          <w:bCs/>
          <w:color w:val="auto"/>
          <w:highlight w:val="none"/>
          <w:lang w:eastAsia="zh-CN"/>
        </w:rPr>
        <w:t>法定代表人（负责人）</w:t>
      </w:r>
      <w:r>
        <w:rPr>
          <w:rFonts w:hint="eastAsia" w:hAnsi="宋体"/>
          <w:bCs/>
          <w:color w:val="auto"/>
          <w:highlight w:val="none"/>
        </w:rPr>
        <w:t>授权书。供应商为自然人的，应当由本人签名并附身份证明。逾时不提交的，视同退出磋商。</w:t>
      </w:r>
    </w:p>
    <w:p w14:paraId="412893C5">
      <w:pPr>
        <w:pStyle w:val="22"/>
        <w:spacing w:line="406" w:lineRule="exact"/>
        <w:ind w:firstLine="420" w:firstLineChars="200"/>
        <w:rPr>
          <w:rFonts w:hAnsi="宋体"/>
          <w:bCs/>
          <w:color w:val="auto"/>
          <w:highlight w:val="none"/>
        </w:rPr>
      </w:pPr>
      <w:r>
        <w:rPr>
          <w:rFonts w:hAnsi="宋体"/>
          <w:bCs/>
          <w:color w:val="auto"/>
          <w:highlight w:val="none"/>
        </w:rPr>
        <w:t>5.</w:t>
      </w:r>
      <w:r>
        <w:rPr>
          <w:rFonts w:hint="eastAsia" w:hAnsi="宋体"/>
          <w:bCs/>
          <w:color w:val="auto"/>
          <w:highlight w:val="none"/>
        </w:rPr>
        <w:t>已提交响应文件的供应商，在提交最后报价之前，可以根据磋商情况退出磋商。</w:t>
      </w:r>
    </w:p>
    <w:p w14:paraId="6EF3E3EB">
      <w:pPr>
        <w:spacing w:line="406" w:lineRule="exact"/>
        <w:ind w:firstLine="211" w:firstLineChars="100"/>
        <w:rPr>
          <w:b/>
          <w:bCs/>
          <w:color w:val="auto"/>
          <w:highlight w:val="none"/>
        </w:rPr>
      </w:pPr>
      <w:r>
        <w:rPr>
          <w:rFonts w:hint="eastAsia"/>
          <w:b/>
          <w:bCs/>
          <w:color w:val="auto"/>
          <w:highlight w:val="none"/>
        </w:rPr>
        <w:t>（五）最后报价</w:t>
      </w:r>
    </w:p>
    <w:p w14:paraId="01619118">
      <w:pPr>
        <w:spacing w:line="406" w:lineRule="exact"/>
        <w:ind w:firstLine="420" w:firstLineChars="200"/>
        <w:rPr>
          <w:color w:val="auto"/>
          <w:highlight w:val="none"/>
        </w:rPr>
      </w:pPr>
      <w:r>
        <w:rPr>
          <w:color w:val="auto"/>
          <w:highlight w:val="none"/>
        </w:rPr>
        <w:t>1.</w:t>
      </w:r>
      <w:r>
        <w:rPr>
          <w:rFonts w:hint="eastAsia"/>
          <w:color w:val="auto"/>
          <w:highlight w:val="none"/>
        </w:rPr>
        <w:t>磋商文件能够详细列明采购标的的技术、服务要求的，磋商结束后，磋商小组应当要求所有实质性响应的供应商在规定时间内提交最后报价，提交最后报价的供应商不得少于3家。</w:t>
      </w:r>
    </w:p>
    <w:p w14:paraId="7B16AA50">
      <w:pPr>
        <w:spacing w:line="406" w:lineRule="exact"/>
        <w:ind w:firstLine="420" w:firstLineChars="200"/>
        <w:rPr>
          <w:color w:val="auto"/>
          <w:highlight w:val="none"/>
        </w:rPr>
      </w:pPr>
      <w:r>
        <w:rPr>
          <w:rFonts w:hint="eastAsia"/>
          <w:color w:val="auto"/>
          <w:highlight w:val="none"/>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A227ADE">
      <w:pPr>
        <w:spacing w:line="406" w:lineRule="exact"/>
        <w:ind w:firstLine="420" w:firstLineChars="200"/>
        <w:rPr>
          <w:color w:val="auto"/>
          <w:highlight w:val="none"/>
        </w:rPr>
      </w:pPr>
      <w:bookmarkStart w:id="121" w:name="_Hlk101270484"/>
      <w:r>
        <w:rPr>
          <w:rFonts w:hint="eastAsia"/>
          <w:color w:val="auto"/>
          <w:highlight w:val="none"/>
        </w:rPr>
        <w:t>市场竞争不充分的科研项目，以及需要扶持的科技成果转化项目</w:t>
      </w:r>
      <w:bookmarkEnd w:id="121"/>
      <w:r>
        <w:rPr>
          <w:rFonts w:hint="eastAsia"/>
          <w:color w:val="auto"/>
          <w:highlight w:val="none"/>
        </w:rPr>
        <w:t>提交最后报价的供应商可以为2家。</w:t>
      </w:r>
    </w:p>
    <w:p w14:paraId="24CCF301">
      <w:pPr>
        <w:spacing w:line="406" w:lineRule="exact"/>
        <w:ind w:firstLine="420" w:firstLineChars="200"/>
        <w:rPr>
          <w:color w:val="auto"/>
          <w:highlight w:val="none"/>
        </w:rPr>
      </w:pPr>
      <w:r>
        <w:rPr>
          <w:color w:val="auto"/>
          <w:highlight w:val="none"/>
        </w:rPr>
        <w:t>2.</w:t>
      </w:r>
      <w:r>
        <w:rPr>
          <w:rFonts w:hint="eastAsia"/>
          <w:color w:val="auto"/>
          <w:highlight w:val="none"/>
        </w:rPr>
        <w:t>最后报价应由其</w:t>
      </w:r>
      <w:r>
        <w:rPr>
          <w:rFonts w:hint="eastAsia"/>
          <w:color w:val="auto"/>
          <w:highlight w:val="none"/>
          <w:lang w:eastAsia="zh-CN"/>
        </w:rPr>
        <w:t>法定代表人（负责人）</w:t>
      </w:r>
      <w:r>
        <w:rPr>
          <w:rFonts w:hint="eastAsia"/>
          <w:color w:val="auto"/>
          <w:highlight w:val="none"/>
        </w:rPr>
        <w:t>或授权代表签名或者加盖公章，最后报价即系供应商响应报价。</w:t>
      </w:r>
    </w:p>
    <w:p w14:paraId="3E5A72A4">
      <w:pPr>
        <w:snapToGrid w:val="0"/>
        <w:spacing w:line="406" w:lineRule="exact"/>
        <w:ind w:firstLine="422" w:firstLineChars="200"/>
        <w:rPr>
          <w:rFonts w:ascii="宋体" w:hAnsi="宋体"/>
          <w:color w:val="auto"/>
          <w:szCs w:val="21"/>
          <w:highlight w:val="none"/>
        </w:rPr>
      </w:pPr>
      <w:r>
        <w:rPr>
          <w:rFonts w:hint="eastAsia"/>
          <w:b/>
          <w:bCs/>
          <w:color w:val="auto"/>
          <w:highlight w:val="none"/>
        </w:rPr>
        <w:t>3</w:t>
      </w:r>
      <w:r>
        <w:rPr>
          <w:b/>
          <w:bCs/>
          <w:color w:val="auto"/>
          <w:highlight w:val="none"/>
        </w:rPr>
        <w:t>.</w:t>
      </w:r>
      <w:r>
        <w:rPr>
          <w:rFonts w:hint="eastAsia" w:ascii="宋体" w:hAnsi="宋体" w:cs="Courier New"/>
          <w:b/>
          <w:color w:val="auto"/>
          <w:szCs w:val="21"/>
          <w:highlight w:val="none"/>
        </w:rPr>
        <w:t>在报价评审时，如发现下列情形之一的，响应文件将被视为无效：</w:t>
      </w:r>
    </w:p>
    <w:p w14:paraId="58901A18">
      <w:pPr>
        <w:snapToGrid w:val="0"/>
        <w:spacing w:line="406"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报价未采用人民币或者未按照采购文件标明的币种报价的；</w:t>
      </w:r>
    </w:p>
    <w:p w14:paraId="1F84E09F">
      <w:pPr>
        <w:snapToGrid w:val="0"/>
        <w:spacing w:line="406"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报价明细表中货物品牌、规格、型号、服务事项未明确或与响应文件中相应内容不一致的；</w:t>
      </w:r>
    </w:p>
    <w:p w14:paraId="5801A263">
      <w:pPr>
        <w:snapToGrid w:val="0"/>
        <w:spacing w:line="406"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报价具有选择性的；</w:t>
      </w:r>
    </w:p>
    <w:p w14:paraId="59A57ADC">
      <w:pPr>
        <w:snapToGrid w:val="0"/>
        <w:spacing w:line="406"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报价未按采购文件或政府采购云平台规定的格式填写，或未在规定时间内提交最后报价的。</w:t>
      </w:r>
    </w:p>
    <w:p w14:paraId="78D124C1">
      <w:pPr>
        <w:spacing w:line="406" w:lineRule="exact"/>
        <w:ind w:firstLine="211" w:firstLineChars="100"/>
        <w:rPr>
          <w:b/>
          <w:bCs/>
          <w:color w:val="auto"/>
          <w:highlight w:val="none"/>
        </w:rPr>
      </w:pPr>
      <w:r>
        <w:rPr>
          <w:rFonts w:hint="eastAsia"/>
          <w:b/>
          <w:bCs/>
          <w:color w:val="auto"/>
          <w:highlight w:val="none"/>
        </w:rPr>
        <w:t>（六）澄清、说明或者更正的形式</w:t>
      </w:r>
    </w:p>
    <w:p w14:paraId="658D40C6">
      <w:pPr>
        <w:pStyle w:val="22"/>
        <w:spacing w:line="406" w:lineRule="exact"/>
        <w:ind w:firstLine="420"/>
        <w:rPr>
          <w:rFonts w:hAnsi="宋体"/>
          <w:bCs/>
          <w:color w:val="auto"/>
          <w:highlight w:val="none"/>
        </w:rPr>
      </w:pPr>
      <w:r>
        <w:rPr>
          <w:rFonts w:hint="eastAsia" w:hAnsi="宋体"/>
          <w:bCs/>
          <w:color w:val="auto"/>
          <w:highlight w:val="none"/>
        </w:rPr>
        <w:t>1</w:t>
      </w:r>
      <w:r>
        <w:rPr>
          <w:rFonts w:hAnsi="宋体"/>
          <w:bCs/>
          <w:color w:val="auto"/>
          <w:highlight w:val="none"/>
        </w:rPr>
        <w:t>.</w:t>
      </w:r>
      <w:r>
        <w:rPr>
          <w:rFonts w:hint="eastAsia" w:hAnsi="宋体"/>
          <w:bCs/>
          <w:color w:val="auto"/>
          <w:highlight w:val="none"/>
        </w:rPr>
        <w:t>磋商小组在对响应文件的有效性、完整性和响应程度进行审查时，可以要求供应商对响应文件中含义不明确、同类问题表述不一致或者有明显文字和计算错误的内容等作出必要的</w:t>
      </w:r>
      <w:bookmarkStart w:id="122" w:name="_Hlk92462362"/>
      <w:r>
        <w:rPr>
          <w:rFonts w:hint="eastAsia" w:hAnsi="宋体"/>
          <w:bCs/>
          <w:color w:val="auto"/>
          <w:highlight w:val="none"/>
        </w:rPr>
        <w:t>澄清、说明或者更正</w:t>
      </w:r>
      <w:bookmarkEnd w:id="122"/>
      <w:r>
        <w:rPr>
          <w:rFonts w:hint="eastAsia" w:hAnsi="宋体"/>
          <w:bCs/>
          <w:color w:val="auto"/>
          <w:highlight w:val="none"/>
        </w:rPr>
        <w:t>。供应商的澄清、说明或者更正不得超出响应文件的范围或者改变响应文件的实质性内容。</w:t>
      </w:r>
    </w:p>
    <w:p w14:paraId="6E2EAA3A">
      <w:pPr>
        <w:pStyle w:val="22"/>
        <w:spacing w:line="406" w:lineRule="exact"/>
        <w:ind w:firstLine="420"/>
        <w:rPr>
          <w:rFonts w:hAnsi="宋体"/>
          <w:bCs/>
          <w:color w:val="auto"/>
          <w:highlight w:val="none"/>
        </w:rPr>
      </w:pPr>
      <w:r>
        <w:rPr>
          <w:rFonts w:hint="eastAsia" w:hAnsi="宋体"/>
          <w:bCs/>
          <w:color w:val="auto"/>
          <w:highlight w:val="none"/>
        </w:rPr>
        <w:t>2</w:t>
      </w:r>
      <w:r>
        <w:rPr>
          <w:rFonts w:hAnsi="宋体"/>
          <w:bCs/>
          <w:color w:val="auto"/>
          <w:highlight w:val="none"/>
        </w:rPr>
        <w:t>.</w:t>
      </w:r>
      <w:r>
        <w:rPr>
          <w:rFonts w:hint="eastAsia" w:hAnsi="宋体"/>
          <w:bCs/>
          <w:color w:val="auto"/>
          <w:highlight w:val="none"/>
        </w:rPr>
        <w:t>磋商小组要求供应商澄清、说明或者更正响应文件应当以书面形式作出。供应商的澄清、说明或者更正应当由</w:t>
      </w:r>
      <w:r>
        <w:rPr>
          <w:rFonts w:hint="eastAsia" w:hAnsi="宋体"/>
          <w:bCs/>
          <w:color w:val="auto"/>
          <w:highlight w:val="none"/>
          <w:lang w:eastAsia="zh-CN"/>
        </w:rPr>
        <w:t>法定代表人（负责人）</w:t>
      </w:r>
      <w:r>
        <w:rPr>
          <w:rFonts w:hint="eastAsia" w:hAnsi="宋体"/>
          <w:bCs/>
          <w:color w:val="auto"/>
          <w:highlight w:val="none"/>
        </w:rPr>
        <w:t>或其授权代表签名或者加盖公章。由授权代表签名的，应当附</w:t>
      </w:r>
      <w:r>
        <w:rPr>
          <w:rFonts w:hint="eastAsia" w:hAnsi="宋体"/>
          <w:bCs/>
          <w:color w:val="auto"/>
          <w:highlight w:val="none"/>
          <w:lang w:eastAsia="zh-CN"/>
        </w:rPr>
        <w:t>法定代表人（负责人）</w:t>
      </w:r>
      <w:r>
        <w:rPr>
          <w:rFonts w:hint="eastAsia" w:hAnsi="宋体"/>
          <w:bCs/>
          <w:color w:val="auto"/>
          <w:highlight w:val="none"/>
        </w:rPr>
        <w:t>授权书。供应商为自然人的，应当由本人签名并附身份证明。</w:t>
      </w:r>
    </w:p>
    <w:p w14:paraId="5512B0FF">
      <w:pPr>
        <w:spacing w:line="406" w:lineRule="exact"/>
        <w:ind w:firstLine="211" w:firstLineChars="100"/>
        <w:rPr>
          <w:b/>
          <w:bCs/>
          <w:color w:val="auto"/>
          <w:highlight w:val="none"/>
        </w:rPr>
      </w:pPr>
      <w:r>
        <w:rPr>
          <w:rFonts w:hint="eastAsia"/>
          <w:b/>
          <w:bCs/>
          <w:color w:val="auto"/>
          <w:highlight w:val="none"/>
        </w:rPr>
        <w:t>（七）综合评分</w:t>
      </w:r>
    </w:p>
    <w:p w14:paraId="4D37FB01">
      <w:pPr>
        <w:spacing w:line="406" w:lineRule="exact"/>
        <w:ind w:firstLine="420" w:firstLineChars="200"/>
        <w:rPr>
          <w:rFonts w:ascii="宋体" w:hAnsi="Courier New" w:cs="Courier New"/>
          <w:color w:val="auto"/>
          <w:szCs w:val="21"/>
          <w:highlight w:val="none"/>
        </w:rPr>
      </w:pPr>
      <w:r>
        <w:rPr>
          <w:rFonts w:hint="eastAsia" w:ascii="宋体" w:hAnsi="Courier New" w:cs="Courier New"/>
          <w:color w:val="auto"/>
          <w:szCs w:val="21"/>
          <w:highlight w:val="none"/>
        </w:rPr>
        <w:t>1</w:t>
      </w:r>
      <w:r>
        <w:rPr>
          <w:rFonts w:ascii="宋体" w:hAnsi="Courier New" w:cs="Courier New"/>
          <w:color w:val="auto"/>
          <w:szCs w:val="21"/>
          <w:highlight w:val="none"/>
        </w:rPr>
        <w:t>.</w:t>
      </w:r>
      <w:r>
        <w:rPr>
          <w:rFonts w:hint="eastAsia" w:ascii="宋体" w:hAnsi="Courier New" w:cs="Courier New"/>
          <w:color w:val="auto"/>
          <w:szCs w:val="21"/>
          <w:highlight w:val="none"/>
        </w:rPr>
        <w:t>经磋商确定最终采购需求和提交最后报价的供应商后，由磋商小组采用综合评分法对提交最后报价的供应商的响应文件和最后报价进行综合评分。</w:t>
      </w:r>
    </w:p>
    <w:p w14:paraId="51CDD05C">
      <w:pPr>
        <w:spacing w:line="406" w:lineRule="exact"/>
        <w:ind w:firstLine="420" w:firstLineChars="200"/>
        <w:rPr>
          <w:color w:val="auto"/>
          <w:highlight w:val="none"/>
        </w:rPr>
      </w:pPr>
      <w:r>
        <w:rPr>
          <w:rFonts w:hint="eastAsia" w:ascii="宋体" w:hAnsi="Courier New" w:cs="Courier New"/>
          <w:color w:val="auto"/>
          <w:szCs w:val="21"/>
          <w:highlight w:val="none"/>
        </w:rPr>
        <w:t>2</w:t>
      </w:r>
      <w:r>
        <w:rPr>
          <w:rFonts w:ascii="宋体" w:hAnsi="Courier New" w:cs="Courier New"/>
          <w:color w:val="auto"/>
          <w:szCs w:val="21"/>
          <w:highlight w:val="none"/>
        </w:rPr>
        <w:t>.</w:t>
      </w:r>
      <w:r>
        <w:rPr>
          <w:rFonts w:hint="eastAsia" w:ascii="宋体" w:hAnsi="Courier New" w:cs="Courier New"/>
          <w:color w:val="auto"/>
          <w:szCs w:val="21"/>
          <w:highlight w:val="none"/>
        </w:rPr>
        <w:t>综合评分法：响应文件满足磋商文件全部实质性要求且按评审因素的量化指标评审得分最高的供应商为成交候选供应商，详见第四章《评定标准及推荐原则》。</w:t>
      </w:r>
    </w:p>
    <w:p w14:paraId="44C4EF17">
      <w:pPr>
        <w:pStyle w:val="22"/>
        <w:spacing w:line="406" w:lineRule="exact"/>
        <w:ind w:firstLine="211" w:firstLineChars="100"/>
        <w:rPr>
          <w:rFonts w:hAnsi="宋体"/>
          <w:b/>
          <w:color w:val="auto"/>
          <w:highlight w:val="none"/>
        </w:rPr>
      </w:pPr>
      <w:r>
        <w:rPr>
          <w:rFonts w:hint="eastAsia" w:hAnsi="宋体"/>
          <w:b/>
          <w:color w:val="auto"/>
          <w:highlight w:val="none"/>
        </w:rPr>
        <w:t>（八）供应商有下列情形之一的，属于恶意串通：</w:t>
      </w:r>
    </w:p>
    <w:p w14:paraId="3A966256">
      <w:pPr>
        <w:pStyle w:val="22"/>
        <w:spacing w:line="406" w:lineRule="exact"/>
        <w:ind w:firstLine="420" w:firstLineChars="200"/>
        <w:rPr>
          <w:rFonts w:hAnsi="宋体" w:cs="Times New Roman"/>
          <w:color w:val="auto"/>
          <w:highlight w:val="none"/>
        </w:rPr>
      </w:pPr>
      <w:r>
        <w:rPr>
          <w:rFonts w:hint="eastAsia" w:hAnsi="宋体" w:cs="Times New Roman"/>
          <w:color w:val="auto"/>
          <w:highlight w:val="none"/>
        </w:rPr>
        <w:t>1</w:t>
      </w:r>
      <w:r>
        <w:rPr>
          <w:rFonts w:hAnsi="宋体" w:cs="Times New Roman"/>
          <w:color w:val="auto"/>
          <w:highlight w:val="none"/>
        </w:rPr>
        <w:t>.</w:t>
      </w:r>
      <w:r>
        <w:rPr>
          <w:rFonts w:hint="eastAsia" w:hAnsi="宋体" w:cs="Times New Roman"/>
          <w:color w:val="auto"/>
          <w:highlight w:val="none"/>
        </w:rPr>
        <w:t>供应商直接或者间接从采购人或者采购代理机构处获得其他供应商的相关情况并修改其响应文件；</w:t>
      </w:r>
    </w:p>
    <w:p w14:paraId="6B6190E0">
      <w:pPr>
        <w:pStyle w:val="22"/>
        <w:spacing w:line="406" w:lineRule="exact"/>
        <w:ind w:firstLine="420" w:firstLineChars="200"/>
        <w:rPr>
          <w:rFonts w:hAnsi="宋体" w:cs="Times New Roman"/>
          <w:color w:val="auto"/>
          <w:highlight w:val="none"/>
        </w:rPr>
      </w:pPr>
      <w:r>
        <w:rPr>
          <w:rFonts w:hint="eastAsia" w:hAnsi="宋体" w:cs="Times New Roman"/>
          <w:color w:val="auto"/>
          <w:highlight w:val="none"/>
        </w:rPr>
        <w:t>2</w:t>
      </w:r>
      <w:r>
        <w:rPr>
          <w:rFonts w:hAnsi="宋体" w:cs="Times New Roman"/>
          <w:color w:val="auto"/>
          <w:highlight w:val="none"/>
        </w:rPr>
        <w:t>.</w:t>
      </w:r>
      <w:r>
        <w:rPr>
          <w:rFonts w:hint="eastAsia" w:hAnsi="宋体" w:cs="Times New Roman"/>
          <w:color w:val="auto"/>
          <w:highlight w:val="none"/>
        </w:rPr>
        <w:t>供应商按照采购人或者采购代理机构的授意撤换、修改响应文件；</w:t>
      </w:r>
    </w:p>
    <w:p w14:paraId="7D901503">
      <w:pPr>
        <w:pStyle w:val="22"/>
        <w:spacing w:line="406" w:lineRule="exact"/>
        <w:ind w:firstLine="420" w:firstLineChars="200"/>
        <w:rPr>
          <w:rFonts w:hAnsi="宋体" w:cs="Times New Roman"/>
          <w:color w:val="auto"/>
          <w:highlight w:val="none"/>
        </w:rPr>
      </w:pPr>
      <w:r>
        <w:rPr>
          <w:rFonts w:hint="eastAsia" w:hAnsi="宋体" w:cs="Times New Roman"/>
          <w:color w:val="auto"/>
          <w:highlight w:val="none"/>
        </w:rPr>
        <w:t>3</w:t>
      </w:r>
      <w:r>
        <w:rPr>
          <w:rFonts w:hAnsi="宋体" w:cs="Times New Roman"/>
          <w:color w:val="auto"/>
          <w:highlight w:val="none"/>
        </w:rPr>
        <w:t>.</w:t>
      </w:r>
      <w:r>
        <w:rPr>
          <w:rFonts w:hint="eastAsia" w:hAnsi="宋体" w:cs="Times New Roman"/>
          <w:color w:val="auto"/>
          <w:highlight w:val="none"/>
        </w:rPr>
        <w:t>供应商之间协商报价、技术方案等响应文件的实质性内容；</w:t>
      </w:r>
    </w:p>
    <w:p w14:paraId="320CA929">
      <w:pPr>
        <w:pStyle w:val="22"/>
        <w:spacing w:line="406" w:lineRule="exact"/>
        <w:ind w:firstLine="420" w:firstLineChars="200"/>
        <w:rPr>
          <w:rFonts w:hAnsi="宋体" w:cs="Times New Roman"/>
          <w:color w:val="auto"/>
          <w:highlight w:val="none"/>
        </w:rPr>
      </w:pPr>
      <w:r>
        <w:rPr>
          <w:rFonts w:hint="eastAsia" w:hAnsi="宋体" w:cs="Times New Roman"/>
          <w:color w:val="auto"/>
          <w:highlight w:val="none"/>
        </w:rPr>
        <w:t>4</w:t>
      </w:r>
      <w:r>
        <w:rPr>
          <w:rFonts w:hAnsi="宋体" w:cs="Times New Roman"/>
          <w:color w:val="auto"/>
          <w:highlight w:val="none"/>
        </w:rPr>
        <w:t>.</w:t>
      </w:r>
      <w:r>
        <w:rPr>
          <w:rFonts w:hint="eastAsia" w:hAnsi="宋体" w:cs="Times New Roman"/>
          <w:color w:val="auto"/>
          <w:highlight w:val="none"/>
        </w:rPr>
        <w:t>属于同一集团、协会、商会等组织成员的供应商按照该组织要求协同参加政府采购活动；</w:t>
      </w:r>
    </w:p>
    <w:p w14:paraId="6F2077DE">
      <w:pPr>
        <w:pStyle w:val="22"/>
        <w:spacing w:line="406" w:lineRule="exact"/>
        <w:ind w:firstLine="420" w:firstLineChars="200"/>
        <w:rPr>
          <w:rFonts w:hAnsi="宋体" w:cs="Times New Roman"/>
          <w:color w:val="auto"/>
          <w:highlight w:val="none"/>
        </w:rPr>
      </w:pPr>
      <w:r>
        <w:rPr>
          <w:rFonts w:hint="eastAsia" w:hAnsi="宋体" w:cs="Times New Roman"/>
          <w:color w:val="auto"/>
          <w:highlight w:val="none"/>
        </w:rPr>
        <w:t>5</w:t>
      </w:r>
      <w:r>
        <w:rPr>
          <w:rFonts w:hAnsi="宋体" w:cs="Times New Roman"/>
          <w:color w:val="auto"/>
          <w:highlight w:val="none"/>
        </w:rPr>
        <w:t>.</w:t>
      </w:r>
      <w:r>
        <w:rPr>
          <w:rFonts w:hint="eastAsia" w:hAnsi="宋体" w:cs="Times New Roman"/>
          <w:color w:val="auto"/>
          <w:highlight w:val="none"/>
        </w:rPr>
        <w:t>供应商之间事先约定由某一特定供应商成交；</w:t>
      </w:r>
    </w:p>
    <w:p w14:paraId="550D680C">
      <w:pPr>
        <w:pStyle w:val="22"/>
        <w:spacing w:line="406" w:lineRule="exact"/>
        <w:ind w:firstLine="420" w:firstLineChars="200"/>
        <w:rPr>
          <w:rFonts w:hAnsi="宋体" w:cs="Times New Roman"/>
          <w:color w:val="auto"/>
          <w:highlight w:val="none"/>
        </w:rPr>
      </w:pPr>
      <w:r>
        <w:rPr>
          <w:rFonts w:hint="eastAsia" w:hAnsi="宋体" w:cs="Times New Roman"/>
          <w:color w:val="auto"/>
          <w:highlight w:val="none"/>
        </w:rPr>
        <w:t>6</w:t>
      </w:r>
      <w:r>
        <w:rPr>
          <w:rFonts w:hAnsi="宋体" w:cs="Times New Roman"/>
          <w:color w:val="auto"/>
          <w:highlight w:val="none"/>
        </w:rPr>
        <w:t>.</w:t>
      </w:r>
      <w:r>
        <w:rPr>
          <w:rFonts w:hint="eastAsia" w:hAnsi="宋体" w:cs="Times New Roman"/>
          <w:color w:val="auto"/>
          <w:highlight w:val="none"/>
        </w:rPr>
        <w:t>供应商之间商定部分供应商放弃参加政府采购活动或者放弃成交；</w:t>
      </w:r>
    </w:p>
    <w:p w14:paraId="18A60DC9">
      <w:pPr>
        <w:pStyle w:val="22"/>
        <w:spacing w:line="406" w:lineRule="exact"/>
        <w:ind w:firstLine="420" w:firstLineChars="200"/>
        <w:rPr>
          <w:rFonts w:hAnsi="宋体" w:cs="Times New Roman"/>
          <w:color w:val="auto"/>
          <w:highlight w:val="none"/>
        </w:rPr>
      </w:pPr>
      <w:r>
        <w:rPr>
          <w:rFonts w:hint="eastAsia" w:hAnsi="宋体" w:cs="Times New Roman"/>
          <w:color w:val="auto"/>
          <w:highlight w:val="none"/>
        </w:rPr>
        <w:t>7</w:t>
      </w:r>
      <w:r>
        <w:rPr>
          <w:rFonts w:hAnsi="宋体" w:cs="Times New Roman"/>
          <w:color w:val="auto"/>
          <w:highlight w:val="none"/>
        </w:rPr>
        <w:t>.</w:t>
      </w:r>
      <w:r>
        <w:rPr>
          <w:rFonts w:hint="eastAsia" w:hAnsi="宋体" w:cs="Times New Roman"/>
          <w:color w:val="auto"/>
          <w:highlight w:val="none"/>
        </w:rPr>
        <w:t>供应商与采购人或者采购代理机构之间、供应商相互之间，为谋求特定供应商成交或者排斥其他供应商的其他串通行为。</w:t>
      </w:r>
    </w:p>
    <w:p w14:paraId="3E845F5D">
      <w:pPr>
        <w:pStyle w:val="22"/>
        <w:spacing w:line="406" w:lineRule="exact"/>
        <w:ind w:firstLine="211" w:firstLineChars="100"/>
        <w:rPr>
          <w:rFonts w:hAnsi="宋体"/>
          <w:b/>
          <w:color w:val="auto"/>
          <w:highlight w:val="none"/>
        </w:rPr>
      </w:pPr>
      <w:r>
        <w:rPr>
          <w:rFonts w:hint="eastAsia" w:hAnsi="宋体"/>
          <w:b/>
          <w:color w:val="auto"/>
          <w:highlight w:val="none"/>
        </w:rPr>
        <w:t>（九）评审报告</w:t>
      </w:r>
    </w:p>
    <w:p w14:paraId="0EA5045A">
      <w:pPr>
        <w:widowControl/>
        <w:tabs>
          <w:tab w:val="left" w:pos="540"/>
        </w:tabs>
        <w:spacing w:line="406" w:lineRule="exact"/>
        <w:ind w:firstLine="420" w:firstLineChars="200"/>
        <w:jc w:val="left"/>
        <w:rPr>
          <w:color w:val="auto"/>
          <w:szCs w:val="21"/>
          <w:highlight w:val="none"/>
        </w:rPr>
      </w:pPr>
      <w:r>
        <w:rPr>
          <w:rFonts w:hint="eastAsia"/>
          <w:color w:val="auto"/>
          <w:szCs w:val="21"/>
          <w:highlight w:val="none"/>
        </w:rPr>
        <w:t>1</w:t>
      </w:r>
      <w:r>
        <w:rPr>
          <w:color w:val="auto"/>
          <w:szCs w:val="21"/>
          <w:highlight w:val="none"/>
        </w:rPr>
        <w:t>.</w:t>
      </w:r>
      <w:r>
        <w:rPr>
          <w:rFonts w:hint="eastAsia"/>
          <w:color w:val="auto"/>
          <w:szCs w:val="21"/>
          <w:highlight w:val="none"/>
        </w:rPr>
        <w:t>磋商小组应当根据评审记录和评审结果编写评审报告，主要内容包括：</w:t>
      </w:r>
    </w:p>
    <w:p w14:paraId="43AA61A2">
      <w:pPr>
        <w:widowControl/>
        <w:tabs>
          <w:tab w:val="left" w:pos="540"/>
        </w:tabs>
        <w:spacing w:line="406" w:lineRule="exact"/>
        <w:ind w:firstLine="420" w:firstLineChars="200"/>
        <w:jc w:val="left"/>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邀请供应商参加采购活动的具体方式和相关情况；</w:t>
      </w:r>
    </w:p>
    <w:p w14:paraId="758B3055">
      <w:pPr>
        <w:widowControl/>
        <w:tabs>
          <w:tab w:val="left" w:pos="540"/>
        </w:tabs>
        <w:spacing w:line="406" w:lineRule="exact"/>
        <w:ind w:firstLine="420" w:firstLineChars="200"/>
        <w:jc w:val="left"/>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响应文件开启日期和地点；</w:t>
      </w:r>
    </w:p>
    <w:p w14:paraId="6B32CDAE">
      <w:pPr>
        <w:widowControl/>
        <w:tabs>
          <w:tab w:val="left" w:pos="540"/>
        </w:tabs>
        <w:spacing w:line="406" w:lineRule="exact"/>
        <w:ind w:firstLine="420" w:firstLineChars="200"/>
        <w:jc w:val="left"/>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获取磋商文件的供应商名单和磋商小组成员名单；</w:t>
      </w:r>
    </w:p>
    <w:p w14:paraId="35B670FC">
      <w:pPr>
        <w:widowControl/>
        <w:tabs>
          <w:tab w:val="left" w:pos="540"/>
        </w:tabs>
        <w:spacing w:line="406" w:lineRule="exact"/>
        <w:ind w:firstLine="420" w:firstLineChars="200"/>
        <w:jc w:val="left"/>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评审情况记录和说明，包括对供应商的资格审查情况、供应商响应文件评审情况、磋商情况、报价情况等；</w:t>
      </w:r>
    </w:p>
    <w:p w14:paraId="6E0461C2">
      <w:pPr>
        <w:widowControl/>
        <w:tabs>
          <w:tab w:val="left" w:pos="540"/>
        </w:tabs>
        <w:spacing w:line="406" w:lineRule="exact"/>
        <w:ind w:firstLine="420" w:firstLineChars="200"/>
        <w:jc w:val="left"/>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提出的成交候选供应商的排序名单及理由。</w:t>
      </w:r>
    </w:p>
    <w:p w14:paraId="345C0928">
      <w:pPr>
        <w:widowControl/>
        <w:tabs>
          <w:tab w:val="left" w:pos="540"/>
        </w:tabs>
        <w:spacing w:line="406" w:lineRule="exact"/>
        <w:ind w:firstLine="420" w:firstLineChars="200"/>
        <w:jc w:val="left"/>
        <w:rPr>
          <w:color w:val="auto"/>
          <w:szCs w:val="21"/>
          <w:highlight w:val="none"/>
        </w:rPr>
      </w:pPr>
      <w:r>
        <w:rPr>
          <w:rFonts w:hint="eastAsia"/>
          <w:color w:val="auto"/>
          <w:szCs w:val="21"/>
          <w:highlight w:val="none"/>
        </w:rPr>
        <w:t>2</w:t>
      </w:r>
      <w:r>
        <w:rPr>
          <w:color w:val="auto"/>
          <w:szCs w:val="21"/>
          <w:highlight w:val="none"/>
        </w:rPr>
        <w:t>.</w:t>
      </w:r>
      <w:r>
        <w:rPr>
          <w:rFonts w:hint="eastAsia"/>
          <w:color w:val="auto"/>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7EEDC1A0">
      <w:pPr>
        <w:pStyle w:val="22"/>
        <w:spacing w:line="406" w:lineRule="exact"/>
        <w:ind w:firstLine="211" w:firstLineChars="100"/>
        <w:rPr>
          <w:rFonts w:hAnsi="宋体"/>
          <w:color w:val="auto"/>
          <w:highlight w:val="none"/>
        </w:rPr>
      </w:pPr>
      <w:r>
        <w:rPr>
          <w:rFonts w:hint="eastAsia" w:hAnsi="宋体"/>
          <w:b/>
          <w:bCs/>
          <w:color w:val="auto"/>
          <w:highlight w:val="none"/>
        </w:rPr>
        <w:t>（十）</w:t>
      </w:r>
      <w:r>
        <w:rPr>
          <w:rFonts w:hint="eastAsia" w:hAnsi="宋体"/>
          <w:b/>
          <w:color w:val="auto"/>
          <w:highlight w:val="none"/>
        </w:rPr>
        <w:t>出现下列情形之一的，本中心将终止竞争性磋商采购活动：</w:t>
      </w:r>
    </w:p>
    <w:p w14:paraId="008332E0">
      <w:pPr>
        <w:pStyle w:val="22"/>
        <w:spacing w:line="406" w:lineRule="exact"/>
        <w:ind w:firstLine="420" w:firstLineChars="200"/>
        <w:rPr>
          <w:rFonts w:hAnsi="宋体"/>
          <w:color w:val="auto"/>
          <w:highlight w:val="none"/>
        </w:rPr>
      </w:pPr>
      <w:r>
        <w:rPr>
          <w:rFonts w:hint="eastAsia" w:hAnsi="宋体"/>
          <w:color w:val="auto"/>
          <w:highlight w:val="none"/>
        </w:rPr>
        <w:t>1</w:t>
      </w:r>
      <w:r>
        <w:rPr>
          <w:rFonts w:hAnsi="宋体"/>
          <w:color w:val="auto"/>
          <w:highlight w:val="none"/>
        </w:rPr>
        <w:t>.</w:t>
      </w:r>
      <w:r>
        <w:rPr>
          <w:rFonts w:hint="eastAsia" w:hAnsi="宋体"/>
          <w:color w:val="auto"/>
          <w:highlight w:val="none"/>
        </w:rPr>
        <w:t>因情况变化，不再符合规定的竞争性磋商采购方式适用情形的；</w:t>
      </w:r>
    </w:p>
    <w:p w14:paraId="77AAE37B">
      <w:pPr>
        <w:pStyle w:val="22"/>
        <w:spacing w:line="406" w:lineRule="exact"/>
        <w:ind w:firstLine="420" w:firstLineChars="200"/>
        <w:rPr>
          <w:rFonts w:hAnsi="宋体"/>
          <w:color w:val="auto"/>
          <w:highlight w:val="none"/>
        </w:rPr>
      </w:pPr>
      <w:r>
        <w:rPr>
          <w:rFonts w:hint="eastAsia" w:hAnsi="宋体"/>
          <w:color w:val="auto"/>
          <w:highlight w:val="none"/>
        </w:rPr>
        <w:t>2</w:t>
      </w:r>
      <w:r>
        <w:rPr>
          <w:rFonts w:hAnsi="宋体"/>
          <w:color w:val="auto"/>
          <w:highlight w:val="none"/>
        </w:rPr>
        <w:t>.</w:t>
      </w:r>
      <w:r>
        <w:rPr>
          <w:rFonts w:hint="eastAsia" w:hAnsi="宋体"/>
          <w:color w:val="auto"/>
          <w:highlight w:val="none"/>
        </w:rPr>
        <w:t>出现影响采购公正的违法、违规行为的；</w:t>
      </w:r>
    </w:p>
    <w:p w14:paraId="0C7234DF">
      <w:pPr>
        <w:pStyle w:val="22"/>
        <w:spacing w:line="406" w:lineRule="exact"/>
        <w:ind w:firstLine="420" w:firstLineChars="200"/>
        <w:rPr>
          <w:rFonts w:hAnsi="宋体"/>
          <w:color w:val="auto"/>
          <w:highlight w:val="none"/>
        </w:rPr>
      </w:pPr>
      <w:r>
        <w:rPr>
          <w:rFonts w:hint="eastAsia" w:hAnsi="宋体"/>
          <w:color w:val="auto"/>
          <w:highlight w:val="none"/>
        </w:rPr>
        <w:t>3</w:t>
      </w:r>
      <w:r>
        <w:rPr>
          <w:rFonts w:hAnsi="宋体"/>
          <w:color w:val="auto"/>
          <w:highlight w:val="none"/>
        </w:rPr>
        <w:t>.</w:t>
      </w:r>
      <w:r>
        <w:rPr>
          <w:rFonts w:hint="eastAsia" w:hAnsi="宋体"/>
          <w:color w:val="auto"/>
          <w:highlight w:val="none"/>
        </w:rPr>
        <w:t>除特殊情况外，在采购过程中符合要求的供应商或者报价未超过采购预算的供应商不足3家的。</w:t>
      </w:r>
    </w:p>
    <w:p w14:paraId="45C80A3E">
      <w:pPr>
        <w:pStyle w:val="3"/>
        <w:spacing w:line="406" w:lineRule="exact"/>
        <w:rPr>
          <w:color w:val="auto"/>
          <w:highlight w:val="none"/>
        </w:rPr>
      </w:pPr>
      <w:r>
        <w:rPr>
          <w:rFonts w:hint="eastAsia"/>
          <w:color w:val="auto"/>
          <w:highlight w:val="none"/>
        </w:rPr>
        <w:t>六、确定成交供应商</w:t>
      </w:r>
    </w:p>
    <w:p w14:paraId="78665865">
      <w:pPr>
        <w:pStyle w:val="22"/>
        <w:spacing w:line="406" w:lineRule="exact"/>
        <w:ind w:firstLine="420"/>
        <w:rPr>
          <w:rFonts w:hAnsi="宋体"/>
          <w:color w:val="auto"/>
          <w:highlight w:val="none"/>
        </w:rPr>
      </w:pPr>
      <w:r>
        <w:rPr>
          <w:rFonts w:hint="eastAsia" w:hAnsi="宋体"/>
          <w:color w:val="auto"/>
          <w:highlight w:val="none"/>
        </w:rPr>
        <w:t>1</w:t>
      </w:r>
      <w:r>
        <w:rPr>
          <w:rFonts w:hAnsi="宋体"/>
          <w:color w:val="auto"/>
          <w:highlight w:val="none"/>
        </w:rPr>
        <w:t>.</w:t>
      </w:r>
      <w:r>
        <w:rPr>
          <w:rFonts w:hint="eastAsia" w:hAnsi="宋体"/>
          <w:color w:val="auto"/>
          <w:highlight w:val="none"/>
        </w:rPr>
        <w:t>本中心应当在评审结束后2个工作日内将评审报告送采购人确认。</w:t>
      </w:r>
    </w:p>
    <w:p w14:paraId="32BA310C">
      <w:pPr>
        <w:pStyle w:val="22"/>
        <w:spacing w:line="406" w:lineRule="exact"/>
        <w:ind w:firstLine="420"/>
        <w:rPr>
          <w:rFonts w:hAnsi="宋体"/>
          <w:color w:val="auto"/>
          <w:highlight w:val="none"/>
        </w:rPr>
      </w:pPr>
      <w:r>
        <w:rPr>
          <w:rFonts w:hAnsi="宋体"/>
          <w:color w:val="auto"/>
          <w:highlight w:val="none"/>
        </w:rPr>
        <w:t>2.</w:t>
      </w:r>
      <w:r>
        <w:rPr>
          <w:rFonts w:hint="eastAsia" w:hAnsi="宋体"/>
          <w:color w:val="auto"/>
          <w:highlight w:val="none"/>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640F9CD">
      <w:pPr>
        <w:pStyle w:val="3"/>
        <w:spacing w:line="406" w:lineRule="exact"/>
        <w:rPr>
          <w:color w:val="auto"/>
          <w:highlight w:val="none"/>
        </w:rPr>
      </w:pPr>
      <w:r>
        <w:rPr>
          <w:rFonts w:hint="eastAsia"/>
          <w:color w:val="auto"/>
          <w:highlight w:val="none"/>
        </w:rPr>
        <w:t>七、结果公告</w:t>
      </w:r>
    </w:p>
    <w:p w14:paraId="121B0180">
      <w:pPr>
        <w:pStyle w:val="22"/>
        <w:spacing w:line="406" w:lineRule="exact"/>
        <w:ind w:firstLine="420" w:firstLineChars="200"/>
        <w:rPr>
          <w:rFonts w:hAnsi="宋体"/>
          <w:color w:val="auto"/>
          <w:highlight w:val="none"/>
        </w:rPr>
      </w:pPr>
      <w:r>
        <w:rPr>
          <w:rFonts w:hint="eastAsia" w:hAnsi="宋体"/>
          <w:color w:val="auto"/>
          <w:highlight w:val="none"/>
        </w:rPr>
        <w:t>本中心在成交供应商确定后2个工作日内，</w:t>
      </w:r>
      <w:r>
        <w:rPr>
          <w:rFonts w:hint="eastAsia"/>
          <w:color w:val="auto"/>
          <w:highlight w:val="none"/>
        </w:rPr>
        <w:t>在省级以上财政部门指定的媒体上公告</w:t>
      </w:r>
      <w:r>
        <w:rPr>
          <w:rFonts w:hint="eastAsia" w:hAnsi="宋体"/>
          <w:color w:val="auto"/>
          <w:highlight w:val="none"/>
        </w:rPr>
        <w:t>成交结果，同时向成交供应商发出成交通知书。</w:t>
      </w:r>
    </w:p>
    <w:p w14:paraId="000AA9AB">
      <w:pPr>
        <w:pStyle w:val="3"/>
        <w:spacing w:line="406" w:lineRule="exact"/>
        <w:rPr>
          <w:color w:val="auto"/>
          <w:highlight w:val="none"/>
        </w:rPr>
      </w:pPr>
      <w:r>
        <w:rPr>
          <w:rFonts w:hint="eastAsia"/>
          <w:color w:val="auto"/>
          <w:highlight w:val="none"/>
        </w:rPr>
        <w:t>八、签订合同</w:t>
      </w:r>
    </w:p>
    <w:p w14:paraId="22C48AE2">
      <w:pPr>
        <w:spacing w:line="406" w:lineRule="exact"/>
        <w:ind w:firstLine="210" w:firstLineChars="100"/>
        <w:rPr>
          <w:rFonts w:ascii="宋体" w:hAnsi="宋体" w:cs="Courier New"/>
          <w:color w:val="auto"/>
          <w:szCs w:val="21"/>
          <w:highlight w:val="none"/>
        </w:rPr>
      </w:pPr>
      <w:r>
        <w:rPr>
          <w:rFonts w:hint="eastAsia" w:ascii="宋体" w:hAnsi="宋体"/>
          <w:color w:val="auto"/>
          <w:szCs w:val="21"/>
          <w:highlight w:val="none"/>
        </w:rPr>
        <w:t>（一）</w:t>
      </w:r>
      <w:r>
        <w:rPr>
          <w:rFonts w:hint="eastAsia" w:ascii="宋体" w:hAnsi="宋体" w:cs="Courier New"/>
          <w:color w:val="auto"/>
          <w:szCs w:val="21"/>
          <w:highlight w:val="none"/>
        </w:rPr>
        <w:t>采购人与成交供应商应当在成交通知书发出之日起</w:t>
      </w:r>
      <w:r>
        <w:rPr>
          <w:rFonts w:ascii="宋体" w:hAnsi="宋体" w:cs="Courier New"/>
          <w:color w:val="auto"/>
          <w:szCs w:val="21"/>
          <w:highlight w:val="none"/>
        </w:rPr>
        <w:t>15</w:t>
      </w:r>
      <w:r>
        <w:rPr>
          <w:rFonts w:hint="eastAsia" w:ascii="宋体" w:hAnsi="宋体" w:cs="Courier New"/>
          <w:color w:val="auto"/>
          <w:szCs w:val="21"/>
          <w:highlight w:val="none"/>
        </w:rPr>
        <w:t>日内，按照磋商文件确定的合同文本以及采购标的、规格型号、采购金额、采购数量、技术和服务要求等事项签订政府采购合同。</w:t>
      </w:r>
    </w:p>
    <w:p w14:paraId="319BB34F">
      <w:pPr>
        <w:widowControl/>
        <w:spacing w:line="406" w:lineRule="exact"/>
        <w:ind w:firstLine="210" w:firstLineChars="100"/>
        <w:jc w:val="left"/>
        <w:rPr>
          <w:rFonts w:ascii="宋体" w:hAnsi="宋体" w:cs="宋体"/>
          <w:color w:val="auto"/>
          <w:kern w:val="0"/>
          <w:szCs w:val="21"/>
          <w:highlight w:val="none"/>
        </w:rPr>
      </w:pPr>
      <w:r>
        <w:rPr>
          <w:rFonts w:hint="eastAsia" w:ascii="宋体" w:hAnsi="宋体" w:cs="Courier New"/>
          <w:color w:val="auto"/>
          <w:szCs w:val="21"/>
          <w:highlight w:val="none"/>
        </w:rPr>
        <w:t>（二）</w:t>
      </w:r>
      <w:r>
        <w:rPr>
          <w:rFonts w:hint="eastAsia" w:ascii="宋体" w:hAnsi="宋体" w:cs="宋体"/>
          <w:color w:val="auto"/>
          <w:kern w:val="0"/>
          <w:szCs w:val="21"/>
          <w:highlight w:val="none"/>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58121BC6">
      <w:pPr>
        <w:widowControl/>
        <w:spacing w:line="406"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（三）供应商可凭成交通知书或政府采购合同等在内的相关材料、信息，通过中征应收账款融资服务平台向银行业金融机构在线申请“政采贷”融资。</w:t>
      </w:r>
    </w:p>
    <w:p w14:paraId="395F4193">
      <w:pPr>
        <w:widowControl/>
        <w:spacing w:line="406" w:lineRule="exac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（四）除不可抗力等因素外，成交后无正当理由拒不与采购人签订政府采购合同的，应当承担相应的法律责任。</w:t>
      </w:r>
    </w:p>
    <w:p w14:paraId="2B1CCFCC">
      <w:pPr>
        <w:widowControl/>
        <w:spacing w:line="406" w:lineRule="exac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（五）</w:t>
      </w:r>
      <w:r>
        <w:rPr>
          <w:rFonts w:ascii="Arial" w:hAnsi="Arial" w:cs="Arial"/>
          <w:color w:val="auto"/>
          <w:kern w:val="0"/>
          <w:szCs w:val="21"/>
          <w:highlight w:val="none"/>
        </w:rPr>
        <w:t>政府采购合同</w:t>
      </w:r>
      <w:r>
        <w:rPr>
          <w:rFonts w:hint="eastAsia" w:hAnsi="宋体"/>
          <w:color w:val="auto"/>
          <w:highlight w:val="none"/>
        </w:rPr>
        <w:t>适用《中华人民共和国民法典》</w:t>
      </w:r>
      <w:r>
        <w:rPr>
          <w:rFonts w:ascii="Arial" w:hAnsi="Arial" w:cs="Arial"/>
          <w:color w:val="auto"/>
          <w:kern w:val="0"/>
          <w:szCs w:val="21"/>
          <w:highlight w:val="none"/>
        </w:rPr>
        <w:t>。</w:t>
      </w:r>
    </w:p>
    <w:p w14:paraId="4EA46420">
      <w:pPr>
        <w:widowControl/>
        <w:spacing w:line="406" w:lineRule="exac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六）成交供应商拒绝签订政府采购合同的，采购人可以按照推荐原则确定其他供应商作为成交供应商并签订政府采购合同，也可以重新开展采购活动。拒绝签订政府采购合同的成交供应商不得参加对该项目重新开展的采购活动。</w:t>
      </w:r>
    </w:p>
    <w:p w14:paraId="5F55174A">
      <w:pPr>
        <w:pStyle w:val="3"/>
        <w:spacing w:line="406" w:lineRule="exact"/>
        <w:rPr>
          <w:color w:val="auto"/>
          <w:highlight w:val="none"/>
        </w:rPr>
      </w:pPr>
      <w:r>
        <w:rPr>
          <w:rFonts w:hint="eastAsia"/>
          <w:color w:val="auto"/>
          <w:highlight w:val="none"/>
        </w:rPr>
        <w:t>九、适用法律</w:t>
      </w:r>
    </w:p>
    <w:p w14:paraId="578CEEDF">
      <w:pPr>
        <w:spacing w:line="406" w:lineRule="exact"/>
        <w:ind w:firstLine="420" w:firstLineChars="200"/>
        <w:rPr>
          <w:rFonts w:ascii="宋体" w:hAnsi="宋体"/>
          <w:color w:val="auto"/>
          <w:szCs w:val="21"/>
          <w:highlight w:val="none"/>
        </w:rPr>
      </w:pPr>
      <w:bookmarkStart w:id="123" w:name="_Hlk92794186"/>
      <w:r>
        <w:rPr>
          <w:rFonts w:hint="eastAsia" w:ascii="宋体" w:hAnsi="宋体"/>
          <w:color w:val="auto"/>
          <w:szCs w:val="21"/>
          <w:highlight w:val="none"/>
        </w:rPr>
        <w:t>本项目采购活动适用于《中华人民共和国政府采购法》及其实施条例、《政府采购竞争性磋商采购方式管理暂行办法》等规定。</w:t>
      </w:r>
    </w:p>
    <w:bookmarkEnd w:id="123"/>
    <w:p w14:paraId="4C63A6DA">
      <w:pPr>
        <w:pStyle w:val="3"/>
        <w:spacing w:line="406" w:lineRule="exact"/>
        <w:rPr>
          <w:color w:val="auto"/>
          <w:highlight w:val="none"/>
        </w:rPr>
      </w:pPr>
      <w:bookmarkStart w:id="124" w:name="_十、其他事项"/>
      <w:bookmarkEnd w:id="124"/>
      <w:r>
        <w:rPr>
          <w:rFonts w:hint="eastAsia"/>
          <w:color w:val="auto"/>
          <w:highlight w:val="none"/>
        </w:rPr>
        <w:t>十、其他事项</w:t>
      </w:r>
    </w:p>
    <w:p w14:paraId="5C9F025C">
      <w:pPr>
        <w:spacing w:line="406" w:lineRule="exact"/>
        <w:ind w:firstLine="210" w:firstLineChars="100"/>
        <w:rPr>
          <w:rFonts w:hAnsi="宋体"/>
          <w:color w:val="auto"/>
          <w:highlight w:val="none"/>
        </w:rPr>
      </w:pPr>
      <w:bookmarkStart w:id="125" w:name="_Hlk94168058"/>
      <w:r>
        <w:rPr>
          <w:rFonts w:hint="eastAsia" w:hAnsi="宋体"/>
          <w:color w:val="auto"/>
          <w:highlight w:val="none"/>
        </w:rPr>
        <w:t>（一）</w:t>
      </w:r>
      <w:bookmarkEnd w:id="125"/>
      <w:r>
        <w:rPr>
          <w:rFonts w:hint="eastAsia" w:hAnsi="宋体"/>
          <w:color w:val="auto"/>
          <w:highlight w:val="none"/>
        </w:rPr>
        <w:t>代理服务费</w:t>
      </w:r>
    </w:p>
    <w:p w14:paraId="3EF4CF7B">
      <w:pPr>
        <w:spacing w:line="406" w:lineRule="exact"/>
        <w:ind w:firstLine="420" w:firstLineChars="200"/>
        <w:rPr>
          <w:rFonts w:hAnsi="宋体"/>
          <w:color w:val="auto"/>
          <w:highlight w:val="none"/>
        </w:rPr>
      </w:pPr>
      <w:r>
        <w:rPr>
          <w:rFonts w:hint="eastAsia" w:hAnsi="宋体"/>
          <w:color w:val="auto"/>
          <w:highlight w:val="none"/>
        </w:rPr>
        <w:t>1</w:t>
      </w:r>
      <w:r>
        <w:rPr>
          <w:rFonts w:hAnsi="宋体"/>
          <w:color w:val="auto"/>
          <w:highlight w:val="none"/>
        </w:rPr>
        <w:t>.</w:t>
      </w:r>
      <w:r>
        <w:rPr>
          <w:rFonts w:hint="eastAsia" w:hAnsi="宋体"/>
          <w:color w:val="auto"/>
          <w:highlight w:val="none"/>
        </w:rPr>
        <w:t>本中心按钦州市物价局“钦市价费〔2013﹞4号”文件规定向成交供应商收取代理服务费，成交供应商须向本中心一次付清代理服务费。</w:t>
      </w:r>
    </w:p>
    <w:p w14:paraId="32AA895F">
      <w:pPr>
        <w:spacing w:line="406" w:lineRule="exact"/>
        <w:ind w:firstLine="420" w:firstLineChars="200"/>
        <w:rPr>
          <w:rFonts w:hint="eastAsia" w:hAnsi="宋体"/>
          <w:bCs/>
          <w:color w:val="auto"/>
          <w:highlight w:val="none"/>
        </w:rPr>
      </w:pPr>
      <w:r>
        <w:rPr>
          <w:rFonts w:hint="eastAsia" w:hAnsi="宋体"/>
          <w:color w:val="auto"/>
          <w:highlight w:val="none"/>
        </w:rPr>
        <w:t>2</w:t>
      </w:r>
      <w:r>
        <w:rPr>
          <w:rFonts w:hAnsi="宋体"/>
          <w:color w:val="auto"/>
          <w:highlight w:val="none"/>
        </w:rPr>
        <w:t>.</w:t>
      </w:r>
      <w:r>
        <w:rPr>
          <w:rFonts w:hint="eastAsia" w:hAnsi="宋体"/>
          <w:bCs/>
          <w:color w:val="auto"/>
          <w:highlight w:val="none"/>
        </w:rPr>
        <w:t>代理服务收费标准：</w:t>
      </w:r>
    </w:p>
    <w:p w14:paraId="63BF4923">
      <w:pPr>
        <w:rPr>
          <w:color w:val="auto"/>
          <w:highlight w:val="none"/>
        </w:rPr>
      </w:pPr>
    </w:p>
    <w:tbl>
      <w:tblPr>
        <w:tblStyle w:val="39"/>
        <w:tblW w:w="91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1932"/>
        <w:gridCol w:w="1800"/>
        <w:gridCol w:w="1976"/>
      </w:tblGrid>
      <w:tr w14:paraId="3B25E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3438" w:type="dxa"/>
            <w:vMerge w:val="restart"/>
          </w:tcPr>
          <w:p w14:paraId="35F3002D">
            <w:pPr>
              <w:spacing w:line="330" w:lineRule="exact"/>
              <w:ind w:firstLine="2310" w:firstLineChars="1100"/>
              <w:rPr>
                <w:rFonts w:hAnsi="宋体"/>
                <w:color w:val="auto"/>
                <w:highlight w:val="none"/>
              </w:rPr>
            </w:pPr>
            <w:r>
              <w:rPr>
                <w:rFonts w:hAnsi="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-85090</wp:posOffset>
                      </wp:positionH>
                      <wp:positionV relativeFrom="paragraph">
                        <wp:posOffset>21590</wp:posOffset>
                      </wp:positionV>
                      <wp:extent cx="2172335" cy="1444625"/>
                      <wp:effectExtent l="6350" t="5080" r="12065" b="7620"/>
                      <wp:wrapNone/>
                      <wp:docPr id="4" name="直线 3"/>
                      <wp:cNvGraphicFramePr/>
                      <a:graphic xmlns:a="http://schemas.openxmlformats.org/drawingml/2006/main">
                        <a:graphicData uri="http://schemas.microsoft.com/office/word/2010/wordprocessingShape">
                          <wps:wsp>
                            <wps:cNvCnPr>
                              <a:cxnSpLocks noChangeShapeType="1"/>
                            </wps:cNvCnPr>
                            <wps:spPr bwMode="auto">
                              <a:xfrm flipH="1" flipV="1">
                                <a:off x="0" y="0"/>
                                <a:ext cx="2172335" cy="1444625"/>
                              </a:xfrm>
                              <a:prstGeom prst="line">
                                <a:avLst/>
                              </a:prstGeom>
                              <a:noFill/>
                              <a:ln w="9525">
                                <a:solidFill>
                                  <a:srgbClr val="000000"/>
                                </a:solidFill>
                                <a:round/>
                              </a:ln>
                            </wps:spPr>
                            <wps:bodyPr/>
                          </wps:wsp>
                        </a:graphicData>
                      </a:graphic>
                    </wp:anchor>
                  </w:drawing>
                </mc:Choice>
                <mc:Fallback>
                  <w:pict>
                    <v:line id="直线 3" o:spid="_x0000_s1026" o:spt="20" style="position:absolute;left:0pt;flip:x y;margin-left:-6.7pt;margin-top:1.7pt;height:113.75pt;width:171.05pt;z-index:251660288;mso-width-relative:page;mso-height-relative:page;" filled="f" stroked="t" coordsize="21600,21600" o:gfxdata="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bw0+dUAAAAJ&#10;AQAADwAAAAAAAAABACAAAAAiAAAAZHJzL2Rvd25yZXYueG1sUEsBAhQAFAAAAAgAh07iQHWmW7Lm&#10;AQAAuwMAAA4AAAAAAAAAAQAgAAAAJAEAAGRycy9lMm9Eb2MueG1sUEsFBgAAAAAGAAYAWQEAAHwF&#10;AAAAAA==&#10;">
                      <v:fill on="f" focussize="0,0"/>
                      <v:stroke color="#000000" joinstyle="round"/>
                      <v:imagedata o:title=""/>
                      <o:lock v:ext="edit" aspectratio="f"/>
                    </v:line>
                  </w:pict>
                </mc:Fallback>
              </mc:AlternateContent>
            </w:r>
            <w:r>
              <w:rPr>
                <w:rFonts w:hAnsi="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940435</wp:posOffset>
                      </wp:positionH>
                      <wp:positionV relativeFrom="paragraph">
                        <wp:posOffset>19685</wp:posOffset>
                      </wp:positionV>
                      <wp:extent cx="1143635" cy="1444625"/>
                      <wp:effectExtent l="12700" t="12700" r="5715" b="9525"/>
                      <wp:wrapNone/>
                      <wp:docPr id="3" name="直线 4"/>
                      <wp:cNvGraphicFramePr/>
                      <a:graphic xmlns:a="http://schemas.openxmlformats.org/drawingml/2006/main">
                        <a:graphicData uri="http://schemas.microsoft.com/office/word/2010/wordprocessingShape">
                          <wps:wsp>
                            <wps:cNvCnPr>
                              <a:cxnSpLocks noChangeShapeType="1"/>
                            </wps:cNvCnPr>
                            <wps:spPr bwMode="auto">
                              <a:xfrm flipH="1" flipV="1">
                                <a:off x="0" y="0"/>
                                <a:ext cx="1143635" cy="1444625"/>
                              </a:xfrm>
                              <a:prstGeom prst="line">
                                <a:avLst/>
                              </a:prstGeom>
                              <a:noFill/>
                              <a:ln w="9525">
                                <a:solidFill>
                                  <a:srgbClr val="000000"/>
                                </a:solidFill>
                                <a:round/>
                              </a:ln>
                            </wps:spPr>
                            <wps:bodyPr/>
                          </wps:wsp>
                        </a:graphicData>
                      </a:graphic>
                    </wp:anchor>
                  </w:drawing>
                </mc:Choice>
                <mc:Fallback>
                  <w:pict>
                    <v:line id="直线 4" o:spid="_x0000_s1026" o:spt="20" style="position:absolute;left:0pt;flip:x y;margin-left:74.05pt;margin-top:1.55pt;height:113.75pt;width:90.05pt;z-index:251659264;mso-width-relative:page;mso-height-relative:page;" filled="f" stroked="t" coordsize="21600,21600" o:gfxdata="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sssL1AAAAAkB&#10;AAAPAAAAAAAAAAEAIAAAACIAAABkcnMvZG93bnJldi54bWxQSwECFAAUAAAACACHTuJA8flnDOYB&#10;AAC7AwAADgAAAAAAAAABACAAAAAjAQAAZHJzL2Uyb0RvYy54bWxQSwUGAAAAAAYABgBZAQAAewUA&#10;AAAA&#10;">
                      <v:fill on="f" focussize="0,0"/>
                      <v:stroke color="#000000" joinstyle="round"/>
                      <v:imagedata o:title=""/>
                      <o:lock v:ext="edit" aspectratio="f"/>
                    </v:line>
                  </w:pict>
                </mc:Fallback>
              </mc:AlternateContent>
            </w:r>
            <w:r>
              <w:rPr>
                <w:rFonts w:hint="eastAsia" w:hAnsi="宋体"/>
                <w:color w:val="auto"/>
                <w:highlight w:val="none"/>
              </w:rPr>
              <w:t>采购类型</w:t>
            </w:r>
          </w:p>
          <w:p w14:paraId="1B7B248B">
            <w:pPr>
              <w:spacing w:line="330" w:lineRule="exact"/>
              <w:rPr>
                <w:rFonts w:hAnsi="宋体"/>
                <w:color w:val="auto"/>
                <w:highlight w:val="none"/>
              </w:rPr>
            </w:pPr>
          </w:p>
          <w:p w14:paraId="4CD4FBD0">
            <w:pPr>
              <w:spacing w:line="330" w:lineRule="exact"/>
              <w:ind w:firstLine="1575" w:firstLineChars="750"/>
              <w:jc w:val="left"/>
              <w:rPr>
                <w:rFonts w:hAnsi="宋体"/>
                <w:color w:val="auto"/>
                <w:highlight w:val="none"/>
              </w:rPr>
            </w:pPr>
            <w:r>
              <w:rPr>
                <w:rFonts w:hint="eastAsia" w:hAnsi="宋体"/>
                <w:color w:val="auto"/>
                <w:highlight w:val="none"/>
              </w:rPr>
              <w:t>费率</w:t>
            </w:r>
          </w:p>
          <w:p w14:paraId="65EE46CA">
            <w:pPr>
              <w:spacing w:line="330" w:lineRule="exact"/>
              <w:ind w:leftChars="-1" w:hanging="2" w:hangingChars="1"/>
              <w:jc w:val="left"/>
              <w:rPr>
                <w:rFonts w:hAnsi="宋体"/>
                <w:color w:val="auto"/>
                <w:highlight w:val="none"/>
              </w:rPr>
            </w:pPr>
          </w:p>
          <w:p w14:paraId="6DF4F758">
            <w:pPr>
              <w:spacing w:line="330" w:lineRule="exact"/>
              <w:ind w:leftChars="-1" w:hanging="2" w:hangingChars="1"/>
              <w:jc w:val="left"/>
              <w:rPr>
                <w:rFonts w:hAnsi="宋体"/>
                <w:color w:val="auto"/>
                <w:highlight w:val="none"/>
              </w:rPr>
            </w:pPr>
          </w:p>
          <w:p w14:paraId="76D964C3">
            <w:pPr>
              <w:spacing w:line="330" w:lineRule="exact"/>
              <w:jc w:val="left"/>
              <w:rPr>
                <w:rFonts w:hAnsi="宋体"/>
                <w:color w:val="auto"/>
                <w:highlight w:val="none"/>
              </w:rPr>
            </w:pPr>
            <w:r>
              <w:rPr>
                <w:rFonts w:hint="eastAsia" w:hAnsi="宋体"/>
                <w:color w:val="auto"/>
                <w:highlight w:val="none"/>
              </w:rPr>
              <w:t>成交金额（万元）</w:t>
            </w:r>
          </w:p>
        </w:tc>
        <w:tc>
          <w:tcPr>
            <w:tcW w:w="5708" w:type="dxa"/>
            <w:gridSpan w:val="3"/>
            <w:vAlign w:val="center"/>
          </w:tcPr>
          <w:p w14:paraId="34807F1C">
            <w:pPr>
              <w:spacing w:line="330" w:lineRule="exact"/>
              <w:jc w:val="center"/>
              <w:rPr>
                <w:rFonts w:hAnsi="宋体"/>
                <w:color w:val="auto"/>
                <w:highlight w:val="none"/>
              </w:rPr>
            </w:pPr>
            <w:r>
              <w:rPr>
                <w:rFonts w:hint="eastAsia" w:hAnsi="宋体"/>
                <w:color w:val="auto"/>
                <w:highlight w:val="none"/>
              </w:rPr>
              <w:t>公开招标、邀请招标、竞争性谈判方式采购代理</w:t>
            </w:r>
          </w:p>
        </w:tc>
      </w:tr>
      <w:tr w14:paraId="34E1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3438" w:type="dxa"/>
            <w:vMerge w:val="continue"/>
          </w:tcPr>
          <w:p w14:paraId="40956183">
            <w:pPr>
              <w:spacing w:line="330" w:lineRule="exact"/>
              <w:ind w:firstLine="2620" w:firstLineChars="1248"/>
              <w:rPr>
                <w:rFonts w:hAnsi="宋体"/>
                <w:color w:val="auto"/>
                <w:highlight w:val="none"/>
              </w:rPr>
            </w:pPr>
          </w:p>
        </w:tc>
        <w:tc>
          <w:tcPr>
            <w:tcW w:w="1932" w:type="dxa"/>
            <w:vAlign w:val="center"/>
          </w:tcPr>
          <w:p w14:paraId="1D27F5E8">
            <w:pPr>
              <w:spacing w:line="330" w:lineRule="exact"/>
              <w:jc w:val="center"/>
              <w:rPr>
                <w:rFonts w:hAnsi="宋体"/>
                <w:color w:val="auto"/>
                <w:highlight w:val="none"/>
              </w:rPr>
            </w:pPr>
            <w:r>
              <w:rPr>
                <w:rFonts w:hint="eastAsia" w:hAnsi="宋体"/>
                <w:color w:val="auto"/>
                <w:highlight w:val="none"/>
              </w:rPr>
              <w:t>货物类</w:t>
            </w:r>
          </w:p>
        </w:tc>
        <w:tc>
          <w:tcPr>
            <w:tcW w:w="1800" w:type="dxa"/>
            <w:vAlign w:val="center"/>
          </w:tcPr>
          <w:p w14:paraId="79B20EF5">
            <w:pPr>
              <w:spacing w:line="330" w:lineRule="exact"/>
              <w:jc w:val="center"/>
              <w:rPr>
                <w:rFonts w:hAnsi="宋体"/>
                <w:color w:val="auto"/>
                <w:highlight w:val="none"/>
              </w:rPr>
            </w:pPr>
            <w:r>
              <w:rPr>
                <w:rFonts w:hint="eastAsia" w:hAnsi="宋体"/>
                <w:color w:val="auto"/>
                <w:highlight w:val="none"/>
              </w:rPr>
              <w:t>服务类</w:t>
            </w:r>
          </w:p>
        </w:tc>
        <w:tc>
          <w:tcPr>
            <w:tcW w:w="1976" w:type="dxa"/>
            <w:vAlign w:val="center"/>
          </w:tcPr>
          <w:p w14:paraId="1EDCF69C">
            <w:pPr>
              <w:widowControl/>
              <w:spacing w:line="330" w:lineRule="exact"/>
              <w:jc w:val="center"/>
              <w:rPr>
                <w:rFonts w:hAnsi="宋体"/>
                <w:color w:val="auto"/>
                <w:highlight w:val="none"/>
              </w:rPr>
            </w:pPr>
            <w:r>
              <w:rPr>
                <w:rFonts w:hint="eastAsia" w:hAnsi="宋体"/>
                <w:color w:val="auto"/>
                <w:highlight w:val="none"/>
              </w:rPr>
              <w:t>工程类</w:t>
            </w:r>
          </w:p>
        </w:tc>
      </w:tr>
      <w:tr w14:paraId="011B5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438" w:type="dxa"/>
            <w:vAlign w:val="center"/>
          </w:tcPr>
          <w:p w14:paraId="446B52DB">
            <w:pPr>
              <w:spacing w:line="330" w:lineRule="exact"/>
              <w:jc w:val="center"/>
              <w:rPr>
                <w:rFonts w:hAnsi="宋体"/>
                <w:color w:val="auto"/>
                <w:highlight w:val="none"/>
              </w:rPr>
            </w:pPr>
            <w:r>
              <w:rPr>
                <w:rFonts w:hint="eastAsia" w:hAnsi="宋体"/>
                <w:color w:val="auto"/>
                <w:highlight w:val="none"/>
              </w:rPr>
              <w:t>100以下</w:t>
            </w:r>
          </w:p>
        </w:tc>
        <w:tc>
          <w:tcPr>
            <w:tcW w:w="1932" w:type="dxa"/>
            <w:vAlign w:val="center"/>
          </w:tcPr>
          <w:p w14:paraId="399CF000">
            <w:pPr>
              <w:spacing w:line="330" w:lineRule="exact"/>
              <w:jc w:val="center"/>
              <w:rPr>
                <w:rFonts w:hAnsi="宋体"/>
                <w:color w:val="auto"/>
                <w:highlight w:val="none"/>
              </w:rPr>
            </w:pPr>
            <w:r>
              <w:rPr>
                <w:rFonts w:hint="eastAsia" w:hAnsi="宋体"/>
                <w:color w:val="auto"/>
                <w:highlight w:val="none"/>
              </w:rPr>
              <w:t>1.2%</w:t>
            </w:r>
          </w:p>
        </w:tc>
        <w:tc>
          <w:tcPr>
            <w:tcW w:w="1800" w:type="dxa"/>
            <w:vAlign w:val="center"/>
          </w:tcPr>
          <w:p w14:paraId="2F7DA36B">
            <w:pPr>
              <w:spacing w:line="330" w:lineRule="exact"/>
              <w:jc w:val="center"/>
              <w:rPr>
                <w:rFonts w:hAnsi="宋体"/>
                <w:color w:val="auto"/>
                <w:highlight w:val="none"/>
              </w:rPr>
            </w:pPr>
            <w:r>
              <w:rPr>
                <w:rFonts w:hint="eastAsia" w:hAnsi="宋体"/>
                <w:color w:val="auto"/>
                <w:highlight w:val="none"/>
              </w:rPr>
              <w:t>1.2%</w:t>
            </w:r>
          </w:p>
        </w:tc>
        <w:tc>
          <w:tcPr>
            <w:tcW w:w="1976" w:type="dxa"/>
            <w:vAlign w:val="center"/>
          </w:tcPr>
          <w:p w14:paraId="355F94F5">
            <w:pPr>
              <w:spacing w:line="330" w:lineRule="exact"/>
              <w:jc w:val="center"/>
              <w:rPr>
                <w:rFonts w:hAnsi="宋体"/>
                <w:color w:val="auto"/>
                <w:highlight w:val="none"/>
              </w:rPr>
            </w:pPr>
            <w:r>
              <w:rPr>
                <w:rFonts w:hint="eastAsia" w:hAnsi="宋体"/>
                <w:color w:val="auto"/>
                <w:highlight w:val="none"/>
              </w:rPr>
              <w:t>0.8%</w:t>
            </w:r>
          </w:p>
        </w:tc>
      </w:tr>
      <w:tr w14:paraId="6ED71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38" w:type="dxa"/>
            <w:vAlign w:val="center"/>
          </w:tcPr>
          <w:p w14:paraId="33CA1C3F">
            <w:pPr>
              <w:spacing w:line="330" w:lineRule="exact"/>
              <w:jc w:val="center"/>
              <w:rPr>
                <w:rFonts w:hAnsi="宋体"/>
                <w:color w:val="auto"/>
                <w:highlight w:val="none"/>
              </w:rPr>
            </w:pPr>
            <w:r>
              <w:rPr>
                <w:rFonts w:hint="eastAsia" w:hAnsi="宋体"/>
                <w:color w:val="auto"/>
                <w:highlight w:val="none"/>
              </w:rPr>
              <w:t>100-500</w:t>
            </w:r>
          </w:p>
        </w:tc>
        <w:tc>
          <w:tcPr>
            <w:tcW w:w="1932" w:type="dxa"/>
            <w:vAlign w:val="center"/>
          </w:tcPr>
          <w:p w14:paraId="1A043F8F">
            <w:pPr>
              <w:spacing w:line="330" w:lineRule="exact"/>
              <w:jc w:val="center"/>
              <w:rPr>
                <w:rFonts w:hAnsi="宋体"/>
                <w:color w:val="auto"/>
                <w:highlight w:val="none"/>
              </w:rPr>
            </w:pPr>
            <w:r>
              <w:rPr>
                <w:rFonts w:hint="eastAsia" w:hAnsi="宋体"/>
                <w:color w:val="auto"/>
                <w:highlight w:val="none"/>
              </w:rPr>
              <w:t>0.88%</w:t>
            </w:r>
          </w:p>
        </w:tc>
        <w:tc>
          <w:tcPr>
            <w:tcW w:w="1800" w:type="dxa"/>
            <w:vAlign w:val="center"/>
          </w:tcPr>
          <w:p w14:paraId="2704B73A">
            <w:pPr>
              <w:spacing w:line="330" w:lineRule="exact"/>
              <w:jc w:val="center"/>
              <w:rPr>
                <w:rFonts w:hAnsi="宋体"/>
                <w:color w:val="auto"/>
                <w:highlight w:val="none"/>
              </w:rPr>
            </w:pPr>
            <w:r>
              <w:rPr>
                <w:rFonts w:hint="eastAsia" w:hAnsi="宋体"/>
                <w:color w:val="auto"/>
                <w:highlight w:val="none"/>
              </w:rPr>
              <w:t>0.64%</w:t>
            </w:r>
          </w:p>
        </w:tc>
        <w:tc>
          <w:tcPr>
            <w:tcW w:w="1976" w:type="dxa"/>
            <w:vAlign w:val="center"/>
          </w:tcPr>
          <w:p w14:paraId="4EBA0FD0">
            <w:pPr>
              <w:spacing w:line="330" w:lineRule="exact"/>
              <w:jc w:val="center"/>
              <w:rPr>
                <w:rFonts w:hAnsi="宋体"/>
                <w:color w:val="auto"/>
                <w:highlight w:val="none"/>
              </w:rPr>
            </w:pPr>
            <w:r>
              <w:rPr>
                <w:rFonts w:hint="eastAsia" w:hAnsi="宋体"/>
                <w:color w:val="auto"/>
                <w:highlight w:val="none"/>
              </w:rPr>
              <w:t>0.56%</w:t>
            </w:r>
          </w:p>
        </w:tc>
      </w:tr>
      <w:tr w14:paraId="1808B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438" w:type="dxa"/>
            <w:vAlign w:val="center"/>
          </w:tcPr>
          <w:p w14:paraId="75635332">
            <w:pPr>
              <w:spacing w:line="330" w:lineRule="exact"/>
              <w:jc w:val="center"/>
              <w:rPr>
                <w:rFonts w:hAnsi="宋体"/>
                <w:color w:val="auto"/>
                <w:highlight w:val="none"/>
              </w:rPr>
            </w:pPr>
            <w:r>
              <w:rPr>
                <w:rFonts w:hint="eastAsia" w:hAnsi="宋体"/>
                <w:color w:val="auto"/>
                <w:highlight w:val="none"/>
              </w:rPr>
              <w:t>500-1000</w:t>
            </w:r>
          </w:p>
        </w:tc>
        <w:tc>
          <w:tcPr>
            <w:tcW w:w="1932" w:type="dxa"/>
            <w:vAlign w:val="center"/>
          </w:tcPr>
          <w:p w14:paraId="706E4AB9">
            <w:pPr>
              <w:spacing w:line="330" w:lineRule="exact"/>
              <w:jc w:val="center"/>
              <w:rPr>
                <w:rFonts w:hAnsi="宋体"/>
                <w:color w:val="auto"/>
                <w:highlight w:val="none"/>
              </w:rPr>
            </w:pPr>
            <w:r>
              <w:rPr>
                <w:rFonts w:hint="eastAsia" w:hAnsi="宋体"/>
                <w:color w:val="auto"/>
                <w:highlight w:val="none"/>
              </w:rPr>
              <w:t>0.64%</w:t>
            </w:r>
          </w:p>
        </w:tc>
        <w:tc>
          <w:tcPr>
            <w:tcW w:w="1800" w:type="dxa"/>
            <w:vAlign w:val="center"/>
          </w:tcPr>
          <w:p w14:paraId="342A1993">
            <w:pPr>
              <w:spacing w:line="330" w:lineRule="exact"/>
              <w:jc w:val="center"/>
              <w:rPr>
                <w:rFonts w:hAnsi="宋体"/>
                <w:color w:val="auto"/>
                <w:highlight w:val="none"/>
              </w:rPr>
            </w:pPr>
            <w:r>
              <w:rPr>
                <w:rFonts w:hint="eastAsia" w:hAnsi="宋体"/>
                <w:color w:val="auto"/>
                <w:highlight w:val="none"/>
              </w:rPr>
              <w:t>0.36%</w:t>
            </w:r>
          </w:p>
        </w:tc>
        <w:tc>
          <w:tcPr>
            <w:tcW w:w="1976" w:type="dxa"/>
            <w:vAlign w:val="center"/>
          </w:tcPr>
          <w:p w14:paraId="5865A8BC">
            <w:pPr>
              <w:spacing w:line="330" w:lineRule="exact"/>
              <w:jc w:val="center"/>
              <w:rPr>
                <w:rFonts w:hAnsi="宋体"/>
                <w:color w:val="auto"/>
                <w:highlight w:val="none"/>
              </w:rPr>
            </w:pPr>
            <w:r>
              <w:rPr>
                <w:rFonts w:hint="eastAsia" w:hAnsi="宋体"/>
                <w:color w:val="auto"/>
                <w:highlight w:val="none"/>
              </w:rPr>
              <w:t>0.44%</w:t>
            </w:r>
          </w:p>
        </w:tc>
      </w:tr>
      <w:tr w14:paraId="29CE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438" w:type="dxa"/>
            <w:vAlign w:val="center"/>
          </w:tcPr>
          <w:p w14:paraId="1333B83F">
            <w:pPr>
              <w:spacing w:line="330" w:lineRule="exact"/>
              <w:jc w:val="center"/>
              <w:rPr>
                <w:rFonts w:hAnsi="宋体"/>
                <w:color w:val="auto"/>
                <w:highlight w:val="none"/>
              </w:rPr>
            </w:pPr>
            <w:r>
              <w:rPr>
                <w:rFonts w:hint="eastAsia" w:hAnsi="宋体"/>
                <w:color w:val="auto"/>
                <w:highlight w:val="none"/>
              </w:rPr>
              <w:t>1000-5000</w:t>
            </w:r>
          </w:p>
        </w:tc>
        <w:tc>
          <w:tcPr>
            <w:tcW w:w="1932" w:type="dxa"/>
            <w:vAlign w:val="center"/>
          </w:tcPr>
          <w:p w14:paraId="59B48BFF">
            <w:pPr>
              <w:spacing w:line="330" w:lineRule="exact"/>
              <w:jc w:val="center"/>
              <w:rPr>
                <w:rFonts w:hAnsi="宋体"/>
                <w:color w:val="auto"/>
                <w:highlight w:val="none"/>
              </w:rPr>
            </w:pPr>
            <w:r>
              <w:rPr>
                <w:rFonts w:hint="eastAsia" w:hAnsi="宋体"/>
                <w:color w:val="auto"/>
                <w:highlight w:val="none"/>
              </w:rPr>
              <w:t>0.4%</w:t>
            </w:r>
          </w:p>
        </w:tc>
        <w:tc>
          <w:tcPr>
            <w:tcW w:w="1800" w:type="dxa"/>
            <w:vAlign w:val="center"/>
          </w:tcPr>
          <w:p w14:paraId="57B984A5">
            <w:pPr>
              <w:spacing w:line="330" w:lineRule="exact"/>
              <w:jc w:val="center"/>
              <w:rPr>
                <w:rFonts w:hAnsi="宋体"/>
                <w:color w:val="auto"/>
                <w:highlight w:val="none"/>
              </w:rPr>
            </w:pPr>
            <w:r>
              <w:rPr>
                <w:rFonts w:hint="eastAsia" w:hAnsi="宋体"/>
                <w:color w:val="auto"/>
                <w:highlight w:val="none"/>
              </w:rPr>
              <w:t>0.2%</w:t>
            </w:r>
          </w:p>
        </w:tc>
        <w:tc>
          <w:tcPr>
            <w:tcW w:w="1976" w:type="dxa"/>
            <w:vAlign w:val="center"/>
          </w:tcPr>
          <w:p w14:paraId="00C0559F">
            <w:pPr>
              <w:spacing w:line="330" w:lineRule="exact"/>
              <w:jc w:val="center"/>
              <w:rPr>
                <w:rFonts w:hAnsi="宋体"/>
                <w:color w:val="auto"/>
                <w:highlight w:val="none"/>
              </w:rPr>
            </w:pPr>
            <w:r>
              <w:rPr>
                <w:rFonts w:hint="eastAsia" w:hAnsi="宋体"/>
                <w:color w:val="auto"/>
                <w:highlight w:val="none"/>
              </w:rPr>
              <w:t>0.28%</w:t>
            </w:r>
          </w:p>
        </w:tc>
      </w:tr>
      <w:tr w14:paraId="25ACF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438" w:type="dxa"/>
            <w:vAlign w:val="center"/>
          </w:tcPr>
          <w:p w14:paraId="686C2C25">
            <w:pPr>
              <w:spacing w:line="330" w:lineRule="exact"/>
              <w:jc w:val="center"/>
              <w:rPr>
                <w:rFonts w:hAnsi="宋体"/>
                <w:color w:val="auto"/>
                <w:highlight w:val="none"/>
              </w:rPr>
            </w:pPr>
            <w:r>
              <w:rPr>
                <w:rFonts w:hint="eastAsia" w:hAnsi="宋体"/>
                <w:color w:val="auto"/>
                <w:highlight w:val="none"/>
              </w:rPr>
              <w:t>5000-10000</w:t>
            </w:r>
          </w:p>
        </w:tc>
        <w:tc>
          <w:tcPr>
            <w:tcW w:w="1932" w:type="dxa"/>
            <w:vAlign w:val="center"/>
          </w:tcPr>
          <w:p w14:paraId="1CF7C154">
            <w:pPr>
              <w:spacing w:line="330" w:lineRule="exact"/>
              <w:jc w:val="center"/>
              <w:rPr>
                <w:rFonts w:hAnsi="宋体"/>
                <w:color w:val="auto"/>
                <w:highlight w:val="none"/>
              </w:rPr>
            </w:pPr>
            <w:r>
              <w:rPr>
                <w:rFonts w:hint="eastAsia" w:hAnsi="宋体"/>
                <w:color w:val="auto"/>
                <w:highlight w:val="none"/>
              </w:rPr>
              <w:t>0.2%</w:t>
            </w:r>
          </w:p>
        </w:tc>
        <w:tc>
          <w:tcPr>
            <w:tcW w:w="1800" w:type="dxa"/>
            <w:vAlign w:val="center"/>
          </w:tcPr>
          <w:p w14:paraId="70B47F72">
            <w:pPr>
              <w:spacing w:line="330" w:lineRule="exact"/>
              <w:jc w:val="center"/>
              <w:rPr>
                <w:rFonts w:hAnsi="宋体"/>
                <w:color w:val="auto"/>
                <w:highlight w:val="none"/>
              </w:rPr>
            </w:pPr>
            <w:r>
              <w:rPr>
                <w:rFonts w:hint="eastAsia" w:hAnsi="宋体"/>
                <w:color w:val="auto"/>
                <w:highlight w:val="none"/>
              </w:rPr>
              <w:t>0.08%</w:t>
            </w:r>
          </w:p>
        </w:tc>
        <w:tc>
          <w:tcPr>
            <w:tcW w:w="1976" w:type="dxa"/>
            <w:vAlign w:val="center"/>
          </w:tcPr>
          <w:p w14:paraId="51AE2578">
            <w:pPr>
              <w:spacing w:line="330" w:lineRule="exact"/>
              <w:jc w:val="center"/>
              <w:rPr>
                <w:rFonts w:hAnsi="宋体"/>
                <w:color w:val="auto"/>
                <w:highlight w:val="none"/>
              </w:rPr>
            </w:pPr>
            <w:r>
              <w:rPr>
                <w:rFonts w:hint="eastAsia" w:hAnsi="宋体"/>
                <w:color w:val="auto"/>
                <w:highlight w:val="none"/>
              </w:rPr>
              <w:t>0.16%</w:t>
            </w:r>
          </w:p>
        </w:tc>
      </w:tr>
      <w:tr w14:paraId="544AB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438" w:type="dxa"/>
            <w:vAlign w:val="center"/>
          </w:tcPr>
          <w:p w14:paraId="792A48E6">
            <w:pPr>
              <w:spacing w:line="330" w:lineRule="exact"/>
              <w:jc w:val="center"/>
              <w:rPr>
                <w:rFonts w:hAnsi="宋体"/>
                <w:color w:val="auto"/>
                <w:highlight w:val="none"/>
              </w:rPr>
            </w:pPr>
            <w:r>
              <w:rPr>
                <w:rFonts w:hint="eastAsia" w:hAnsi="宋体"/>
                <w:color w:val="auto"/>
                <w:highlight w:val="none"/>
              </w:rPr>
              <w:t>10000-100000</w:t>
            </w:r>
          </w:p>
        </w:tc>
        <w:tc>
          <w:tcPr>
            <w:tcW w:w="1932" w:type="dxa"/>
            <w:vAlign w:val="center"/>
          </w:tcPr>
          <w:p w14:paraId="7680C767">
            <w:pPr>
              <w:spacing w:line="330" w:lineRule="exact"/>
              <w:jc w:val="center"/>
              <w:rPr>
                <w:rFonts w:hAnsi="宋体"/>
                <w:color w:val="auto"/>
                <w:highlight w:val="none"/>
              </w:rPr>
            </w:pPr>
            <w:r>
              <w:rPr>
                <w:rFonts w:hint="eastAsia" w:hAnsi="宋体"/>
                <w:color w:val="auto"/>
                <w:highlight w:val="none"/>
              </w:rPr>
              <w:t>0.04%</w:t>
            </w:r>
          </w:p>
        </w:tc>
        <w:tc>
          <w:tcPr>
            <w:tcW w:w="1800" w:type="dxa"/>
            <w:vAlign w:val="center"/>
          </w:tcPr>
          <w:p w14:paraId="09D79D24">
            <w:pPr>
              <w:spacing w:line="330" w:lineRule="exact"/>
              <w:jc w:val="center"/>
              <w:rPr>
                <w:rFonts w:hAnsi="宋体"/>
                <w:color w:val="auto"/>
                <w:highlight w:val="none"/>
              </w:rPr>
            </w:pPr>
            <w:r>
              <w:rPr>
                <w:rFonts w:hint="eastAsia" w:hAnsi="宋体"/>
                <w:color w:val="auto"/>
                <w:highlight w:val="none"/>
              </w:rPr>
              <w:t>0.04%</w:t>
            </w:r>
          </w:p>
        </w:tc>
        <w:tc>
          <w:tcPr>
            <w:tcW w:w="1976" w:type="dxa"/>
            <w:vAlign w:val="center"/>
          </w:tcPr>
          <w:p w14:paraId="515E6AB0">
            <w:pPr>
              <w:spacing w:line="330" w:lineRule="exact"/>
              <w:jc w:val="center"/>
              <w:rPr>
                <w:rFonts w:hAnsi="宋体"/>
                <w:color w:val="auto"/>
                <w:highlight w:val="none"/>
              </w:rPr>
            </w:pPr>
            <w:r>
              <w:rPr>
                <w:rFonts w:hint="eastAsia" w:hAnsi="宋体"/>
                <w:color w:val="auto"/>
                <w:highlight w:val="none"/>
              </w:rPr>
              <w:t>0.04%</w:t>
            </w:r>
          </w:p>
        </w:tc>
      </w:tr>
      <w:tr w14:paraId="44C6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438" w:type="dxa"/>
            <w:vAlign w:val="center"/>
          </w:tcPr>
          <w:p w14:paraId="77C2FA6E">
            <w:pPr>
              <w:spacing w:line="330" w:lineRule="exact"/>
              <w:jc w:val="center"/>
              <w:rPr>
                <w:rFonts w:hAnsi="宋体"/>
                <w:color w:val="auto"/>
                <w:highlight w:val="none"/>
              </w:rPr>
            </w:pPr>
            <w:r>
              <w:rPr>
                <w:rFonts w:hint="eastAsia" w:hAnsi="宋体"/>
                <w:color w:val="auto"/>
                <w:highlight w:val="none"/>
              </w:rPr>
              <w:t>100000以上</w:t>
            </w:r>
          </w:p>
        </w:tc>
        <w:tc>
          <w:tcPr>
            <w:tcW w:w="1932" w:type="dxa"/>
            <w:vAlign w:val="center"/>
          </w:tcPr>
          <w:p w14:paraId="3E7F986E">
            <w:pPr>
              <w:spacing w:line="330" w:lineRule="exact"/>
              <w:jc w:val="center"/>
              <w:rPr>
                <w:rFonts w:hAnsi="宋体"/>
                <w:color w:val="auto"/>
                <w:highlight w:val="none"/>
              </w:rPr>
            </w:pPr>
            <w:r>
              <w:rPr>
                <w:rFonts w:hint="eastAsia" w:hAnsi="宋体"/>
                <w:color w:val="auto"/>
                <w:highlight w:val="none"/>
              </w:rPr>
              <w:t>0.008%</w:t>
            </w:r>
          </w:p>
        </w:tc>
        <w:tc>
          <w:tcPr>
            <w:tcW w:w="1800" w:type="dxa"/>
            <w:vAlign w:val="center"/>
          </w:tcPr>
          <w:p w14:paraId="7ABF2708">
            <w:pPr>
              <w:spacing w:line="330" w:lineRule="exact"/>
              <w:jc w:val="center"/>
              <w:rPr>
                <w:rFonts w:hAnsi="宋体"/>
                <w:color w:val="auto"/>
                <w:highlight w:val="none"/>
              </w:rPr>
            </w:pPr>
            <w:r>
              <w:rPr>
                <w:rFonts w:hint="eastAsia" w:hAnsi="宋体"/>
                <w:color w:val="auto"/>
                <w:highlight w:val="none"/>
              </w:rPr>
              <w:t>0.008%</w:t>
            </w:r>
          </w:p>
        </w:tc>
        <w:tc>
          <w:tcPr>
            <w:tcW w:w="1976" w:type="dxa"/>
            <w:vAlign w:val="center"/>
          </w:tcPr>
          <w:p w14:paraId="4A7D3BFF">
            <w:pPr>
              <w:spacing w:line="330" w:lineRule="exact"/>
              <w:jc w:val="center"/>
              <w:rPr>
                <w:rFonts w:hAnsi="宋体"/>
                <w:color w:val="auto"/>
                <w:highlight w:val="none"/>
              </w:rPr>
            </w:pPr>
            <w:r>
              <w:rPr>
                <w:rFonts w:hint="eastAsia" w:hAnsi="宋体"/>
                <w:color w:val="auto"/>
                <w:highlight w:val="none"/>
              </w:rPr>
              <w:t>0.008%</w:t>
            </w:r>
          </w:p>
        </w:tc>
      </w:tr>
    </w:tbl>
    <w:p w14:paraId="0D4ED2D3">
      <w:pPr>
        <w:pStyle w:val="22"/>
        <w:spacing w:line="430" w:lineRule="exact"/>
        <w:ind w:firstLine="420" w:firstLineChars="200"/>
        <w:rPr>
          <w:rFonts w:hAnsi="宋体"/>
          <w:b/>
          <w:color w:val="auto"/>
          <w:highlight w:val="none"/>
        </w:rPr>
      </w:pPr>
      <w:r>
        <w:rPr>
          <w:rFonts w:hint="eastAsia" w:hAnsi="宋体"/>
          <w:color w:val="auto"/>
          <w:highlight w:val="none"/>
        </w:rPr>
        <w:t>注：代理服务收费按差额定率累进法计算，本项目收费标准按以上标准的60%执行</w:t>
      </w:r>
    </w:p>
    <w:p w14:paraId="5E908E33">
      <w:pPr>
        <w:pStyle w:val="22"/>
        <w:spacing w:line="430" w:lineRule="exact"/>
        <w:ind w:firstLine="210" w:firstLineChars="100"/>
        <w:rPr>
          <w:rFonts w:hAnsi="宋体"/>
          <w:color w:val="auto"/>
          <w:spacing w:val="-4"/>
          <w:highlight w:val="none"/>
        </w:rPr>
      </w:pPr>
      <w:r>
        <w:rPr>
          <w:rFonts w:hint="eastAsia" w:hAnsi="宋体"/>
          <w:bCs/>
          <w:color w:val="auto"/>
          <w:highlight w:val="none"/>
        </w:rPr>
        <w:t>（二）解释权：</w:t>
      </w:r>
      <w:r>
        <w:rPr>
          <w:rFonts w:hint="eastAsia" w:hAnsi="宋体"/>
          <w:color w:val="auto"/>
          <w:spacing w:val="-4"/>
          <w:highlight w:val="none"/>
        </w:rPr>
        <w:t>本采购文件解释权属本中心。</w:t>
      </w:r>
    </w:p>
    <w:p w14:paraId="7069811B">
      <w:pPr>
        <w:pStyle w:val="22"/>
        <w:spacing w:line="430" w:lineRule="exact"/>
        <w:ind w:firstLine="210" w:firstLineChars="100"/>
        <w:rPr>
          <w:rFonts w:hAnsi="宋体"/>
          <w:color w:val="auto"/>
          <w:spacing w:val="-4"/>
          <w:highlight w:val="none"/>
        </w:rPr>
      </w:pPr>
      <w:r>
        <w:rPr>
          <w:rFonts w:hint="eastAsia" w:hAnsi="宋体"/>
          <w:bCs/>
          <w:color w:val="auto"/>
          <w:highlight w:val="none"/>
        </w:rPr>
        <w:t>（三）有关事宜</w:t>
      </w:r>
    </w:p>
    <w:p w14:paraId="1AF33AF3">
      <w:pPr>
        <w:spacing w:line="430" w:lineRule="exact"/>
        <w:ind w:firstLine="420" w:firstLineChars="200"/>
        <w:rPr>
          <w:color w:val="auto"/>
          <w:highlight w:val="none"/>
        </w:rPr>
      </w:pPr>
      <w:r>
        <w:rPr>
          <w:rFonts w:hint="eastAsia"/>
          <w:color w:val="auto"/>
          <w:highlight w:val="none"/>
        </w:rPr>
        <w:t>所有与采购文件有关的函件请按下列通讯地址联系：</w:t>
      </w:r>
    </w:p>
    <w:p w14:paraId="0859F8BF">
      <w:pPr>
        <w:widowControl/>
        <w:spacing w:line="430" w:lineRule="exact"/>
        <w:ind w:firstLine="420" w:firstLineChars="200"/>
        <w:jc w:val="left"/>
        <w:rPr>
          <w:color w:val="auto"/>
          <w:highlight w:val="none"/>
        </w:rPr>
      </w:pPr>
      <w:r>
        <w:rPr>
          <w:rFonts w:hint="eastAsia"/>
          <w:color w:val="auto"/>
          <w:highlight w:val="none"/>
        </w:rPr>
        <w:t>钦州市政府采购中心</w:t>
      </w:r>
    </w:p>
    <w:p w14:paraId="0AAA884D">
      <w:pPr>
        <w:widowControl/>
        <w:spacing w:line="430" w:lineRule="exact"/>
        <w:ind w:firstLine="420" w:firstLineChars="200"/>
        <w:jc w:val="left"/>
        <w:rPr>
          <w:color w:val="auto"/>
          <w:highlight w:val="none"/>
        </w:rPr>
      </w:pPr>
      <w:r>
        <w:rPr>
          <w:rFonts w:hint="eastAsia"/>
          <w:color w:val="auto"/>
          <w:highlight w:val="none"/>
        </w:rPr>
        <w:t>通讯地址：钦州市金海湾东大街8号</w:t>
      </w:r>
    </w:p>
    <w:p w14:paraId="47877D6B">
      <w:pPr>
        <w:widowControl/>
        <w:spacing w:line="430" w:lineRule="exact"/>
        <w:ind w:firstLine="420" w:firstLineChars="200"/>
        <w:jc w:val="left"/>
        <w:rPr>
          <w:color w:val="auto"/>
          <w:highlight w:val="none"/>
        </w:rPr>
      </w:pPr>
      <w:r>
        <w:rPr>
          <w:rFonts w:hint="eastAsia"/>
          <w:color w:val="auto"/>
          <w:highlight w:val="none"/>
        </w:rPr>
        <w:t>邮政编码：535000</w:t>
      </w:r>
    </w:p>
    <w:p w14:paraId="25C7A1B7">
      <w:pPr>
        <w:widowControl/>
        <w:spacing w:line="430" w:lineRule="exact"/>
        <w:ind w:firstLine="420" w:firstLineChars="200"/>
        <w:jc w:val="left"/>
        <w:rPr>
          <w:color w:val="auto"/>
          <w:highlight w:val="none"/>
        </w:rPr>
      </w:pPr>
      <w:bookmarkStart w:id="126" w:name="_Hlk108515537"/>
      <w:r>
        <w:rPr>
          <w:rFonts w:hint="eastAsia" w:hAnsi="宋体"/>
          <w:color w:val="auto"/>
          <w:highlight w:val="none"/>
        </w:rPr>
        <w:t>钦州市政府采购中心联系方式</w:t>
      </w:r>
      <w:r>
        <w:rPr>
          <w:rFonts w:hint="eastAsia"/>
          <w:color w:val="auto"/>
          <w:highlight w:val="none"/>
        </w:rPr>
        <w:t>：</w:t>
      </w:r>
    </w:p>
    <w:p w14:paraId="73F7425C">
      <w:pPr>
        <w:widowControl/>
        <w:spacing w:line="430" w:lineRule="exact"/>
        <w:ind w:firstLine="420" w:firstLineChars="200"/>
        <w:jc w:val="left"/>
        <w:rPr>
          <w:color w:val="auto"/>
          <w:highlight w:val="none"/>
        </w:rPr>
      </w:pPr>
      <w:r>
        <w:rPr>
          <w:rFonts w:hint="eastAsia"/>
          <w:color w:val="auto"/>
          <w:highlight w:val="none"/>
        </w:rPr>
        <w:t>(1)采购部(采购文件)</w:t>
      </w:r>
    </w:p>
    <w:p w14:paraId="4D8FD8ED">
      <w:pPr>
        <w:widowControl/>
        <w:spacing w:line="430" w:lineRule="exact"/>
        <w:ind w:firstLine="420" w:firstLineChars="200"/>
        <w:jc w:val="left"/>
        <w:rPr>
          <w:color w:val="auto"/>
          <w:highlight w:val="none"/>
        </w:rPr>
      </w:pPr>
      <w:r>
        <w:rPr>
          <w:rFonts w:hint="eastAsia"/>
          <w:color w:val="auto"/>
          <w:highlight w:val="none"/>
        </w:rPr>
        <w:t>联系人：</w:t>
      </w:r>
      <w:r>
        <w:rPr>
          <w:rFonts w:hint="eastAsia"/>
          <w:color w:val="auto"/>
          <w:highlight w:val="none"/>
          <w:lang w:val="en-US" w:eastAsia="zh-CN"/>
        </w:rPr>
        <w:t>苏晓婷</w:t>
      </w:r>
      <w:r>
        <w:rPr>
          <w:rFonts w:hint="eastAsia"/>
          <w:color w:val="auto"/>
          <w:highlight w:val="none"/>
        </w:rPr>
        <w:t xml:space="preserve"> </w:t>
      </w:r>
      <w:r>
        <w:rPr>
          <w:color w:val="auto"/>
          <w:highlight w:val="none"/>
        </w:rPr>
        <w:t xml:space="preserve"> </w:t>
      </w:r>
      <w:r>
        <w:rPr>
          <w:rFonts w:hint="eastAsia"/>
          <w:color w:val="auto"/>
          <w:highlight w:val="none"/>
        </w:rPr>
        <w:t xml:space="preserve"> 联系方式：0777-2886022</w:t>
      </w:r>
    </w:p>
    <w:p w14:paraId="5ACC6E5A">
      <w:pPr>
        <w:widowControl/>
        <w:spacing w:line="430" w:lineRule="exact"/>
        <w:ind w:firstLine="420" w:firstLineChars="200"/>
        <w:jc w:val="left"/>
        <w:rPr>
          <w:color w:val="auto"/>
          <w:highlight w:val="none"/>
        </w:rPr>
      </w:pPr>
      <w:r>
        <w:rPr>
          <w:rFonts w:hint="eastAsia"/>
          <w:color w:val="auto"/>
          <w:highlight w:val="none"/>
        </w:rPr>
        <w:t>(2)综合二部(评审、磋商、成交及合同管理)</w:t>
      </w:r>
    </w:p>
    <w:p w14:paraId="7B7A5C18">
      <w:pPr>
        <w:widowControl/>
        <w:spacing w:line="430" w:lineRule="exact"/>
        <w:ind w:firstLine="420" w:firstLineChars="200"/>
        <w:jc w:val="left"/>
        <w:rPr>
          <w:color w:val="auto"/>
          <w:highlight w:val="none"/>
        </w:rPr>
      </w:pPr>
      <w:r>
        <w:rPr>
          <w:rFonts w:hint="eastAsia"/>
          <w:color w:val="auto"/>
          <w:highlight w:val="none"/>
        </w:rPr>
        <w:t xml:space="preserve">联系人：陈启梅、陈侃 </w:t>
      </w:r>
      <w:r>
        <w:rPr>
          <w:color w:val="auto"/>
          <w:highlight w:val="none"/>
        </w:rPr>
        <w:t xml:space="preserve">  </w:t>
      </w:r>
      <w:r>
        <w:rPr>
          <w:rFonts w:hint="eastAsia"/>
          <w:color w:val="auto"/>
          <w:highlight w:val="none"/>
        </w:rPr>
        <w:t>联系方式：0777-2886006</w:t>
      </w:r>
    </w:p>
    <w:p w14:paraId="3718F82A">
      <w:pPr>
        <w:widowControl/>
        <w:spacing w:line="430" w:lineRule="exact"/>
        <w:ind w:firstLine="420" w:firstLineChars="200"/>
        <w:jc w:val="left"/>
        <w:rPr>
          <w:color w:val="auto"/>
          <w:highlight w:val="none"/>
        </w:rPr>
      </w:pPr>
      <w:r>
        <w:rPr>
          <w:rFonts w:hint="eastAsia"/>
          <w:color w:val="auto"/>
          <w:highlight w:val="none"/>
        </w:rPr>
        <w:t>(</w:t>
      </w:r>
      <w:r>
        <w:rPr>
          <w:color w:val="auto"/>
          <w:highlight w:val="none"/>
        </w:rPr>
        <w:t>3)</w:t>
      </w:r>
      <w:r>
        <w:rPr>
          <w:rFonts w:hint="eastAsia"/>
          <w:color w:val="auto"/>
          <w:highlight w:val="none"/>
        </w:rPr>
        <w:t>邮箱：qzzfcgzx@126.com</w:t>
      </w:r>
    </w:p>
    <w:p w14:paraId="299B2942">
      <w:pPr>
        <w:widowControl/>
        <w:spacing w:line="430" w:lineRule="exact"/>
        <w:ind w:firstLine="420" w:firstLineChars="200"/>
        <w:jc w:val="left"/>
        <w:rPr>
          <w:color w:val="auto"/>
          <w:highlight w:val="none"/>
        </w:rPr>
      </w:pPr>
      <w:r>
        <w:rPr>
          <w:color w:val="auto"/>
          <w:highlight w:val="none"/>
        </w:rPr>
        <w:t>(4)</w:t>
      </w:r>
      <w:r>
        <w:rPr>
          <w:rFonts w:hint="eastAsia"/>
          <w:color w:val="auto"/>
          <w:highlight w:val="none"/>
        </w:rPr>
        <w:t>政采云技术支持热线：</w:t>
      </w:r>
      <w:r>
        <w:rPr>
          <w:rFonts w:hAnsi="宋体"/>
          <w:color w:val="auto"/>
          <w:highlight w:val="none"/>
        </w:rPr>
        <w:t>95763</w:t>
      </w:r>
    </w:p>
    <w:bookmarkEnd w:id="126"/>
    <w:p w14:paraId="1C507ECC">
      <w:pPr>
        <w:widowControl/>
        <w:jc w:val="left"/>
        <w:rPr>
          <w:color w:val="auto"/>
          <w:highlight w:val="none"/>
        </w:rPr>
      </w:pPr>
      <w:r>
        <w:rPr>
          <w:color w:val="auto"/>
          <w:highlight w:val="none"/>
        </w:rPr>
        <w:br w:type="page"/>
      </w:r>
    </w:p>
    <w:p w14:paraId="729B3E06">
      <w:pPr>
        <w:widowControl/>
        <w:jc w:val="left"/>
        <w:rPr>
          <w:color w:val="auto"/>
          <w:highlight w:val="none"/>
        </w:rPr>
      </w:pPr>
    </w:p>
    <w:p w14:paraId="5617035A">
      <w:pPr>
        <w:spacing w:line="320" w:lineRule="exact"/>
        <w:rPr>
          <w:color w:val="auto"/>
          <w:highlight w:val="none"/>
        </w:rPr>
      </w:pPr>
    </w:p>
    <w:p w14:paraId="288B40E4">
      <w:pPr>
        <w:widowControl/>
        <w:spacing w:line="320" w:lineRule="exact"/>
        <w:jc w:val="left"/>
        <w:rPr>
          <w:color w:val="auto"/>
          <w:highlight w:val="none"/>
        </w:rPr>
      </w:pPr>
    </w:p>
    <w:p w14:paraId="6D449CB6">
      <w:pPr>
        <w:spacing w:line="320" w:lineRule="exact"/>
        <w:rPr>
          <w:color w:val="auto"/>
          <w:highlight w:val="none"/>
        </w:rPr>
      </w:pPr>
    </w:p>
    <w:p w14:paraId="383DAC7D">
      <w:pPr>
        <w:spacing w:line="320" w:lineRule="exact"/>
        <w:rPr>
          <w:color w:val="auto"/>
          <w:highlight w:val="none"/>
        </w:rPr>
      </w:pPr>
    </w:p>
    <w:p w14:paraId="39519F00">
      <w:pPr>
        <w:spacing w:line="320" w:lineRule="exact"/>
        <w:rPr>
          <w:color w:val="auto"/>
          <w:highlight w:val="none"/>
        </w:rPr>
      </w:pPr>
    </w:p>
    <w:p w14:paraId="5AF1E61E">
      <w:pPr>
        <w:spacing w:line="320" w:lineRule="exact"/>
        <w:rPr>
          <w:color w:val="auto"/>
          <w:highlight w:val="none"/>
        </w:rPr>
      </w:pPr>
    </w:p>
    <w:p w14:paraId="2ECC8C5D">
      <w:pPr>
        <w:spacing w:line="320" w:lineRule="exact"/>
        <w:rPr>
          <w:color w:val="auto"/>
          <w:highlight w:val="none"/>
        </w:rPr>
      </w:pPr>
    </w:p>
    <w:p w14:paraId="2302D3F8">
      <w:pPr>
        <w:spacing w:line="320" w:lineRule="exact"/>
        <w:rPr>
          <w:color w:val="auto"/>
          <w:highlight w:val="none"/>
        </w:rPr>
      </w:pPr>
    </w:p>
    <w:p w14:paraId="5DD7725D">
      <w:pPr>
        <w:spacing w:line="320" w:lineRule="exact"/>
        <w:rPr>
          <w:color w:val="auto"/>
          <w:highlight w:val="none"/>
        </w:rPr>
      </w:pPr>
    </w:p>
    <w:p w14:paraId="6FA2E2CE">
      <w:pPr>
        <w:spacing w:line="320" w:lineRule="exact"/>
        <w:rPr>
          <w:color w:val="auto"/>
          <w:highlight w:val="none"/>
        </w:rPr>
      </w:pPr>
    </w:p>
    <w:p w14:paraId="728B36FE">
      <w:pPr>
        <w:spacing w:line="320" w:lineRule="exact"/>
        <w:rPr>
          <w:color w:val="auto"/>
          <w:highlight w:val="none"/>
        </w:rPr>
      </w:pPr>
    </w:p>
    <w:p w14:paraId="2A420F3E">
      <w:pPr>
        <w:spacing w:line="320" w:lineRule="exact"/>
        <w:rPr>
          <w:color w:val="auto"/>
          <w:highlight w:val="none"/>
        </w:rPr>
      </w:pPr>
    </w:p>
    <w:p w14:paraId="66BBE6BE">
      <w:pPr>
        <w:spacing w:line="320" w:lineRule="exact"/>
        <w:rPr>
          <w:color w:val="auto"/>
          <w:highlight w:val="none"/>
        </w:rPr>
      </w:pPr>
    </w:p>
    <w:p w14:paraId="7268FAC7">
      <w:pPr>
        <w:pStyle w:val="2"/>
        <w:spacing w:line="400" w:lineRule="exact"/>
        <w:rPr>
          <w:rFonts w:ascii="方正小标宋_GBK" w:hAnsi="宋体" w:eastAsia="方正小标宋_GBK"/>
          <w:color w:val="auto"/>
          <w:highlight w:val="none"/>
        </w:rPr>
      </w:pPr>
      <w:bookmarkStart w:id="127" w:name="_第四章__评定标准及推荐原则"/>
      <w:bookmarkEnd w:id="127"/>
      <w:bookmarkStart w:id="128" w:name="_Toc92355026"/>
      <w:r>
        <w:rPr>
          <w:rFonts w:hint="eastAsia" w:ascii="方正小标宋_GBK" w:hAnsi="宋体" w:eastAsia="方正小标宋_GBK"/>
          <w:color w:val="auto"/>
          <w:highlight w:val="none"/>
        </w:rPr>
        <w:t>第四章  评定标准及推荐原则</w:t>
      </w:r>
      <w:bookmarkEnd w:id="128"/>
    </w:p>
    <w:p w14:paraId="38A7678E">
      <w:pPr>
        <w:pStyle w:val="22"/>
        <w:spacing w:line="280" w:lineRule="exact"/>
        <w:jc w:val="center"/>
        <w:rPr>
          <w:rFonts w:hAnsi="宋体"/>
          <w:b/>
          <w:bCs/>
          <w:color w:val="auto"/>
          <w:sz w:val="30"/>
          <w:szCs w:val="30"/>
          <w:highlight w:val="none"/>
        </w:rPr>
      </w:pPr>
      <w:r>
        <w:rPr>
          <w:rFonts w:hAnsi="宋体"/>
          <w:b/>
          <w:bCs/>
          <w:color w:val="auto"/>
          <w:highlight w:val="none"/>
        </w:rPr>
        <w:br w:type="page"/>
      </w:r>
    </w:p>
    <w:p w14:paraId="07165C2D">
      <w:pPr>
        <w:rPr>
          <w:color w:val="auto"/>
          <w:highlight w:val="none"/>
        </w:rPr>
      </w:pPr>
    </w:p>
    <w:p w14:paraId="5AEAF1A5">
      <w:pPr>
        <w:pStyle w:val="22"/>
        <w:spacing w:line="500" w:lineRule="exact"/>
        <w:jc w:val="center"/>
        <w:rPr>
          <w:rFonts w:hAnsi="宋体"/>
          <w:b/>
          <w:bCs/>
          <w:color w:val="auto"/>
          <w:sz w:val="44"/>
          <w:szCs w:val="44"/>
          <w:highlight w:val="none"/>
        </w:rPr>
      </w:pPr>
      <w:bookmarkStart w:id="129" w:name="_Hlk92463826"/>
      <w:r>
        <w:rPr>
          <w:rFonts w:hint="eastAsia" w:hAnsi="宋体"/>
          <w:b/>
          <w:bCs/>
          <w:color w:val="auto"/>
          <w:sz w:val="44"/>
          <w:szCs w:val="44"/>
          <w:highlight w:val="none"/>
        </w:rPr>
        <w:t>评定标准及推荐原则</w:t>
      </w:r>
    </w:p>
    <w:bookmarkEnd w:id="129"/>
    <w:p w14:paraId="4C8E8B21">
      <w:pPr>
        <w:rPr>
          <w:color w:val="auto"/>
          <w:highlight w:val="none"/>
        </w:rPr>
      </w:pPr>
    </w:p>
    <w:p w14:paraId="3A5D01B3">
      <w:pPr>
        <w:keepNext w:val="0"/>
        <w:keepLines w:val="0"/>
        <w:pageBreakBefore w:val="0"/>
        <w:kinsoku/>
        <w:wordWrap/>
        <w:overflowPunct/>
        <w:topLinePunct w:val="0"/>
        <w:autoSpaceDE/>
        <w:autoSpaceDN/>
        <w:bidi w:val="0"/>
        <w:snapToGrid/>
        <w:spacing w:line="46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一、评审原则</w:t>
      </w:r>
    </w:p>
    <w:p w14:paraId="2955D97C">
      <w:pPr>
        <w:keepNext w:val="0"/>
        <w:keepLines w:val="0"/>
        <w:pageBreakBefore w:val="0"/>
        <w:kinsoku/>
        <w:wordWrap/>
        <w:overflowPunct/>
        <w:topLinePunct w:val="0"/>
        <w:autoSpaceDE/>
        <w:autoSpaceDN/>
        <w:bidi w:val="0"/>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(一)评审依据：以竞争性磋商采购文件和响应文件为评定依据。</w:t>
      </w:r>
    </w:p>
    <w:p w14:paraId="751C2944">
      <w:pPr>
        <w:keepNext w:val="0"/>
        <w:keepLines w:val="0"/>
        <w:pageBreakBefore w:val="0"/>
        <w:kinsoku/>
        <w:wordWrap/>
        <w:overflowPunct/>
        <w:topLinePunct w:val="0"/>
        <w:autoSpaceDE/>
        <w:autoSpaceDN/>
        <w:bidi w:val="0"/>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(二)磋商小组：由采购人代表和评审专家共3人以上单数组成，其中评审专家人数不得少于磋商小组成员总数的2/3。</w:t>
      </w:r>
    </w:p>
    <w:p w14:paraId="14D33B66">
      <w:pPr>
        <w:keepNext w:val="0"/>
        <w:keepLines w:val="0"/>
        <w:pageBreakBefore w:val="0"/>
        <w:kinsoku/>
        <w:wordWrap/>
        <w:overflowPunct/>
        <w:topLinePunct w:val="0"/>
        <w:autoSpaceDE/>
        <w:autoSpaceDN/>
        <w:bidi w:val="0"/>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(三)评分方式：磋商小组各成员独立对每个有效响应文件进行评价、打分，汇总每个供应商每项评分因素的得分。</w:t>
      </w:r>
    </w:p>
    <w:p w14:paraId="6F0089F9">
      <w:pPr>
        <w:keepNext w:val="0"/>
        <w:keepLines w:val="0"/>
        <w:pageBreakBefore w:val="0"/>
        <w:kinsoku/>
        <w:wordWrap/>
        <w:overflowPunct/>
        <w:topLinePunct w:val="0"/>
        <w:autoSpaceDE/>
        <w:autoSpaceDN/>
        <w:bidi w:val="0"/>
        <w:snapToGrid/>
        <w:spacing w:line="46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二、评分细则</w:t>
      </w:r>
    </w:p>
    <w:p w14:paraId="4167125F">
      <w:pPr>
        <w:keepNext w:val="0"/>
        <w:keepLines w:val="0"/>
        <w:pageBreakBefore w:val="0"/>
        <w:widowControl/>
        <w:kinsoku/>
        <w:wordWrap/>
        <w:overflowPunct/>
        <w:topLinePunct w:val="0"/>
        <w:autoSpaceDE/>
        <w:autoSpaceDN/>
        <w:bidi w:val="0"/>
        <w:snapToGrid/>
        <w:spacing w:line="460" w:lineRule="exact"/>
        <w:ind w:firstLine="282" w:firstLineChars="134"/>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（一）磋商报价得分（</w:t>
      </w:r>
      <w:r>
        <w:rPr>
          <w:rFonts w:hint="eastAsia" w:ascii="宋体" w:hAnsi="宋体" w:cs="宋体"/>
          <w:b/>
          <w:bCs/>
          <w:color w:val="auto"/>
          <w:kern w:val="0"/>
          <w:sz w:val="21"/>
          <w:szCs w:val="21"/>
          <w:highlight w:val="none"/>
          <w:lang w:val="en-US" w:eastAsia="zh-CN"/>
        </w:rPr>
        <w:t>3</w:t>
      </w:r>
      <w:r>
        <w:rPr>
          <w:rFonts w:hint="eastAsia" w:ascii="宋体" w:hAnsi="宋体" w:eastAsia="宋体" w:cs="宋体"/>
          <w:b/>
          <w:bCs/>
          <w:color w:val="auto"/>
          <w:kern w:val="0"/>
          <w:sz w:val="21"/>
          <w:szCs w:val="21"/>
          <w:highlight w:val="none"/>
          <w:lang w:val="en-US" w:eastAsia="zh-CN"/>
        </w:rPr>
        <w:t>0</w:t>
      </w:r>
      <w:r>
        <w:rPr>
          <w:rFonts w:hint="eastAsia" w:ascii="宋体" w:hAnsi="宋体" w:eastAsia="宋体" w:cs="宋体"/>
          <w:b/>
          <w:bCs/>
          <w:color w:val="auto"/>
          <w:kern w:val="0"/>
          <w:sz w:val="21"/>
          <w:szCs w:val="21"/>
          <w:highlight w:val="none"/>
        </w:rPr>
        <w:t>分）</w:t>
      </w:r>
    </w:p>
    <w:p w14:paraId="77BD6C8E">
      <w:pPr>
        <w:keepNext w:val="0"/>
        <w:keepLines w:val="0"/>
        <w:pageBreakBefore w:val="0"/>
        <w:kinsoku/>
        <w:wordWrap/>
        <w:overflowPunct/>
        <w:topLinePunct w:val="0"/>
        <w:autoSpaceDE/>
        <w:autoSpaceDN/>
        <w:bidi w:val="0"/>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满足磋商文件要求且最后报价最低的供应商的价格为磋商基准价，其价格分为满分。其他供应商的价格分统一按照下列公式计算：</w:t>
      </w:r>
    </w:p>
    <w:p w14:paraId="4576ED4C">
      <w:pPr>
        <w:keepNext w:val="0"/>
        <w:keepLines w:val="0"/>
        <w:pageBreakBefore w:val="0"/>
        <w:kinsoku/>
        <w:wordWrap/>
        <w:overflowPunct/>
        <w:topLinePunct w:val="0"/>
        <w:autoSpaceDE/>
        <w:autoSpaceDN/>
        <w:bidi w:val="0"/>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磋商报价得分=（磋商基准价/最后磋商报价）×</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p w14:paraId="28E9E4D2">
      <w:pPr>
        <w:widowControl/>
        <w:spacing w:line="500" w:lineRule="exact"/>
        <w:ind w:firstLine="420" w:firstLineChars="0"/>
        <w:jc w:val="left"/>
        <w:rPr>
          <w:rFonts w:hint="eastAsia" w:ascii="宋体" w:hAnsi="宋体" w:cs="Courier New"/>
          <w:color w:val="auto"/>
          <w:szCs w:val="21"/>
        </w:rPr>
      </w:pPr>
      <w:r>
        <w:rPr>
          <w:rFonts w:hint="eastAsia" w:ascii="宋体" w:hAnsi="宋体" w:cs="Courier New"/>
          <w:color w:val="auto"/>
          <w:szCs w:val="21"/>
        </w:rPr>
        <w:t>注：</w:t>
      </w:r>
    </w:p>
    <w:p w14:paraId="5B7D6516">
      <w:pPr>
        <w:widowControl/>
        <w:spacing w:line="500" w:lineRule="exact"/>
        <w:ind w:firstLine="0" w:firstLineChars="0"/>
        <w:jc w:val="left"/>
        <w:rPr>
          <w:rFonts w:ascii="宋体" w:hAnsi="宋体" w:cs="Courier New"/>
          <w:color w:val="auto"/>
          <w:szCs w:val="21"/>
        </w:rPr>
      </w:pPr>
      <w:r>
        <w:rPr>
          <w:rFonts w:ascii="宋体" w:hAnsi="宋体" w:cs="Courier New"/>
          <w:color w:val="auto"/>
          <w:szCs w:val="21"/>
        </w:rPr>
        <w:tab/>
      </w:r>
      <w:r>
        <w:rPr>
          <w:rFonts w:hint="eastAsia" w:ascii="宋体" w:hAnsi="宋体" w:cs="Courier New"/>
          <w:color w:val="auto"/>
          <w:szCs w:val="21"/>
          <w:lang w:eastAsia="zh-CN"/>
        </w:rPr>
        <w:t>供应商</w:t>
      </w:r>
      <w:r>
        <w:rPr>
          <w:rFonts w:hint="eastAsia" w:ascii="宋体" w:hAnsi="宋体" w:cs="Courier New"/>
          <w:color w:val="auto"/>
          <w:szCs w:val="21"/>
        </w:rPr>
        <w:t>提供的</w:t>
      </w:r>
      <w:r>
        <w:rPr>
          <w:rFonts w:hint="eastAsia" w:ascii="宋体" w:hAnsi="宋体" w:cs="Courier New"/>
          <w:color w:val="auto"/>
          <w:szCs w:val="21"/>
          <w:lang w:val="en-US" w:eastAsia="zh-CN"/>
        </w:rPr>
        <w:t>服务</w:t>
      </w:r>
      <w:r>
        <w:rPr>
          <w:rFonts w:hint="eastAsia" w:ascii="宋体" w:hAnsi="宋体" w:cs="Courier New"/>
          <w:color w:val="auto"/>
          <w:szCs w:val="21"/>
        </w:rPr>
        <w:t>符合《政府采购促进中小企业发展管理办法》（财库﹝2020﹞46号）规定，并在</w:t>
      </w:r>
      <w:r>
        <w:rPr>
          <w:rFonts w:hint="eastAsia" w:ascii="宋体" w:hAnsi="宋体" w:cs="Courier New"/>
          <w:color w:val="auto"/>
          <w:szCs w:val="21"/>
          <w:lang w:val="en-US" w:eastAsia="zh-CN"/>
        </w:rPr>
        <w:t>响应</w:t>
      </w:r>
      <w:r>
        <w:rPr>
          <w:rFonts w:hint="eastAsia" w:ascii="宋体" w:hAnsi="宋体" w:cs="Courier New"/>
          <w:color w:val="auto"/>
          <w:szCs w:val="21"/>
        </w:rPr>
        <w:t>文件中提供《中小企业声明函》（格式见第六章，</w:t>
      </w:r>
      <w:r>
        <w:rPr>
          <w:rFonts w:hint="eastAsia" w:ascii="宋体" w:hAnsi="宋体" w:cs="Courier New"/>
          <w:color w:val="auto"/>
          <w:szCs w:val="21"/>
          <w:lang w:eastAsia="zh-CN"/>
        </w:rPr>
        <w:t>供应商</w:t>
      </w:r>
      <w:r>
        <w:rPr>
          <w:rFonts w:hint="eastAsia" w:ascii="宋体" w:hAnsi="宋体" w:cs="Courier New"/>
          <w:color w:val="auto"/>
          <w:szCs w:val="21"/>
        </w:rPr>
        <w:t>须对声明的真实性负责）。评审中将对小微型企业报价给予</w:t>
      </w:r>
      <w:r>
        <w:rPr>
          <w:rFonts w:ascii="宋体" w:hAnsi="宋体" w:cs="Courier New"/>
          <w:color w:val="auto"/>
          <w:szCs w:val="21"/>
        </w:rPr>
        <w:t>2</w:t>
      </w:r>
      <w:r>
        <w:rPr>
          <w:rFonts w:hint="eastAsia" w:ascii="宋体" w:hAnsi="宋体" w:cs="Courier New"/>
          <w:color w:val="auto"/>
          <w:szCs w:val="21"/>
        </w:rPr>
        <w:t>0%的扣除，扣除后的价格为评标价。</w:t>
      </w:r>
    </w:p>
    <w:p w14:paraId="06269EDC">
      <w:pPr>
        <w:widowControl/>
        <w:spacing w:line="500" w:lineRule="exact"/>
        <w:ind w:firstLine="0" w:firstLineChars="0"/>
        <w:jc w:val="left"/>
        <w:rPr>
          <w:rFonts w:hint="eastAsia" w:ascii="宋体" w:hAnsi="宋体" w:cs="Courier New"/>
          <w:color w:val="auto"/>
          <w:szCs w:val="21"/>
        </w:rPr>
      </w:pPr>
      <w:r>
        <w:rPr>
          <w:rFonts w:ascii="宋体" w:hAnsi="宋体" w:cs="Courier New"/>
          <w:color w:val="auto"/>
          <w:szCs w:val="21"/>
        </w:rPr>
        <w:tab/>
      </w:r>
      <w:r>
        <w:rPr>
          <w:rFonts w:hint="eastAsia" w:ascii="宋体" w:hAnsi="宋体" w:cs="Courier New"/>
          <w:color w:val="auto"/>
          <w:szCs w:val="21"/>
          <w:lang w:eastAsia="zh-CN"/>
        </w:rPr>
        <w:t>供应商</w:t>
      </w:r>
      <w:r>
        <w:rPr>
          <w:rFonts w:hint="eastAsia" w:ascii="宋体" w:hAnsi="宋体" w:cs="Courier New"/>
          <w:color w:val="auto"/>
          <w:szCs w:val="21"/>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653A4491">
      <w:pPr>
        <w:widowControl/>
        <w:spacing w:line="500" w:lineRule="exact"/>
        <w:ind w:firstLine="0" w:firstLineChars="0"/>
        <w:jc w:val="left"/>
        <w:rPr>
          <w:rFonts w:ascii="宋体" w:hAnsi="宋体" w:cs="Courier New"/>
          <w:color w:val="auto"/>
          <w:szCs w:val="21"/>
        </w:rPr>
      </w:pPr>
      <w:r>
        <w:rPr>
          <w:rFonts w:ascii="宋体" w:hAnsi="宋体" w:cs="Courier New"/>
          <w:color w:val="auto"/>
          <w:szCs w:val="21"/>
        </w:rPr>
        <w:tab/>
      </w:r>
      <w:r>
        <w:rPr>
          <w:rFonts w:hint="eastAsia" w:ascii="宋体" w:hAnsi="宋体" w:cs="Courier New"/>
          <w:color w:val="auto"/>
          <w:szCs w:val="21"/>
          <w:lang w:eastAsia="zh-CN"/>
        </w:rPr>
        <w:t>供应商</w:t>
      </w:r>
      <w:r>
        <w:rPr>
          <w:rFonts w:hint="eastAsia" w:ascii="宋体" w:hAnsi="宋体" w:cs="Courier New"/>
          <w:color w:val="auto"/>
          <w:szCs w:val="21"/>
        </w:rPr>
        <w:t>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格式见第六章），并对声明的真实性负责。残疾人福利性单位属于小型、微型企业的，不重复享受政策。</w:t>
      </w:r>
    </w:p>
    <w:p w14:paraId="4B741A1A">
      <w:pPr>
        <w:widowControl/>
        <w:spacing w:line="500" w:lineRule="exact"/>
        <w:ind w:firstLine="420"/>
        <w:jc w:val="left"/>
        <w:rPr>
          <w:rFonts w:hint="eastAsia"/>
        </w:rPr>
      </w:pPr>
      <w:bookmarkStart w:id="130" w:name="_Hlk93484329"/>
      <w:r>
        <w:rPr>
          <w:rFonts w:hint="eastAsia" w:ascii="Calibri" w:hAnsi="宋体" w:cs="Courier New"/>
          <w:color w:val="auto"/>
          <w:lang w:eastAsia="zh-CN"/>
        </w:rPr>
        <w:t>供应商</w:t>
      </w:r>
      <w:r>
        <w:rPr>
          <w:rFonts w:hint="eastAsia" w:hAnsi="宋体" w:cs="Courier New"/>
          <w:color w:val="auto"/>
        </w:rPr>
        <w:t>获得政策性价格扣除的，评标价=</w:t>
      </w:r>
      <w:r>
        <w:rPr>
          <w:rFonts w:hint="eastAsia" w:hAnsi="宋体" w:cs="Courier New"/>
          <w:color w:val="auto"/>
          <w:lang w:val="en-US" w:eastAsia="zh-CN"/>
        </w:rPr>
        <w:t>供应商最后磋商</w:t>
      </w:r>
      <w:r>
        <w:rPr>
          <w:rFonts w:hint="eastAsia" w:hAnsi="宋体" w:cs="Courier New"/>
          <w:color w:val="auto"/>
        </w:rPr>
        <w:t>报价×（1-</w:t>
      </w:r>
      <w:r>
        <w:rPr>
          <w:rFonts w:hAnsi="宋体" w:cs="Courier New"/>
          <w:color w:val="auto"/>
        </w:rPr>
        <w:t>2</w:t>
      </w:r>
      <w:r>
        <w:rPr>
          <w:rFonts w:hint="eastAsia" w:hAnsi="宋体" w:cs="Courier New"/>
          <w:color w:val="auto"/>
        </w:rPr>
        <w:t>0%），否则评标价=</w:t>
      </w:r>
      <w:r>
        <w:rPr>
          <w:rFonts w:hint="eastAsia" w:hAnsi="宋体" w:cs="Courier New"/>
          <w:color w:val="auto"/>
          <w:lang w:val="en-US" w:eastAsia="zh-CN"/>
        </w:rPr>
        <w:t>供应商最后磋商</w:t>
      </w:r>
      <w:r>
        <w:rPr>
          <w:rFonts w:hint="eastAsia" w:hAnsi="宋体" w:cs="Courier New"/>
          <w:color w:val="auto"/>
        </w:rPr>
        <w:t>报价。满足招标文件全部实质性要求的</w:t>
      </w:r>
      <w:r>
        <w:rPr>
          <w:rFonts w:hint="eastAsia" w:hAnsi="宋体" w:cs="Courier New"/>
          <w:color w:val="auto"/>
          <w:lang w:eastAsia="zh-CN"/>
        </w:rPr>
        <w:t>供应商</w:t>
      </w:r>
      <w:r>
        <w:rPr>
          <w:rFonts w:hint="eastAsia" w:hAnsi="宋体" w:cs="Courier New"/>
          <w:color w:val="auto"/>
        </w:rPr>
        <w:t>最低评标价为</w:t>
      </w:r>
      <w:r>
        <w:rPr>
          <w:rFonts w:hint="eastAsia" w:hAnsi="宋体" w:cs="Courier New"/>
          <w:color w:val="auto"/>
          <w:lang w:val="en-US" w:eastAsia="zh-CN"/>
        </w:rPr>
        <w:t>磋商</w:t>
      </w:r>
      <w:r>
        <w:rPr>
          <w:rFonts w:hint="eastAsia" w:hAnsi="宋体" w:cs="Courier New"/>
          <w:color w:val="auto"/>
        </w:rPr>
        <w:t>基准价。</w:t>
      </w:r>
      <w:r>
        <w:rPr>
          <w:rFonts w:hint="eastAsia" w:ascii="Calibri" w:hAnsi="宋体" w:cs="Courier New"/>
          <w:color w:val="auto"/>
        </w:rPr>
        <w:t>评标价仅作评标时使用，</w:t>
      </w:r>
      <w:r>
        <w:rPr>
          <w:rFonts w:hint="eastAsia" w:ascii="Calibri" w:hAnsi="宋体" w:cs="Courier New"/>
          <w:color w:val="auto"/>
          <w:lang w:val="en-US" w:eastAsia="zh-CN"/>
        </w:rPr>
        <w:t>成交</w:t>
      </w:r>
      <w:r>
        <w:rPr>
          <w:rFonts w:hint="eastAsia" w:ascii="Calibri" w:hAnsi="宋体" w:cs="Courier New"/>
          <w:color w:val="auto"/>
        </w:rPr>
        <w:t>金额＝</w:t>
      </w:r>
      <w:r>
        <w:rPr>
          <w:rFonts w:hint="eastAsia" w:ascii="Calibri" w:hAnsi="宋体" w:cs="Courier New"/>
          <w:color w:val="auto"/>
          <w:lang w:val="en-US" w:eastAsia="zh-CN"/>
        </w:rPr>
        <w:t>磋商</w:t>
      </w:r>
      <w:r>
        <w:rPr>
          <w:rFonts w:hint="eastAsia" w:ascii="Calibri" w:hAnsi="宋体" w:cs="Courier New"/>
          <w:color w:val="auto"/>
        </w:rPr>
        <w:t>报价</w:t>
      </w:r>
      <w:r>
        <w:rPr>
          <w:rFonts w:hint="eastAsia" w:hAnsi="宋体" w:cs="Courier New"/>
          <w:color w:val="auto"/>
        </w:rPr>
        <w:t>。</w:t>
      </w:r>
      <w:bookmarkEnd w:id="130"/>
      <w:bookmarkStart w:id="212" w:name="_GoBack"/>
      <w:bookmarkEnd w:id="212"/>
    </w:p>
    <w:p w14:paraId="6807EE9B">
      <w:pPr>
        <w:keepNext w:val="0"/>
        <w:keepLines w:val="0"/>
        <w:pageBreakBefore w:val="0"/>
        <w:widowControl/>
        <w:kinsoku/>
        <w:wordWrap/>
        <w:overflowPunct/>
        <w:topLinePunct w:val="0"/>
        <w:autoSpaceDE/>
        <w:autoSpaceDN/>
        <w:bidi w:val="0"/>
        <w:snapToGrid/>
        <w:spacing w:line="460" w:lineRule="exact"/>
        <w:ind w:firstLine="282" w:firstLineChars="134"/>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（二）技术商务</w:t>
      </w:r>
      <w:r>
        <w:rPr>
          <w:rFonts w:hint="eastAsia" w:ascii="宋体" w:hAnsi="宋体" w:eastAsia="宋体" w:cs="宋体"/>
          <w:b/>
          <w:bCs/>
          <w:color w:val="auto"/>
          <w:kern w:val="0"/>
          <w:sz w:val="21"/>
          <w:szCs w:val="21"/>
          <w:highlight w:val="none"/>
          <w:lang w:val="en-US" w:eastAsia="zh-CN"/>
        </w:rPr>
        <w:t>得</w:t>
      </w:r>
      <w:r>
        <w:rPr>
          <w:rFonts w:hint="eastAsia" w:ascii="宋体" w:hAnsi="宋体" w:eastAsia="宋体" w:cs="宋体"/>
          <w:b/>
          <w:bCs/>
          <w:color w:val="auto"/>
          <w:kern w:val="0"/>
          <w:sz w:val="21"/>
          <w:szCs w:val="21"/>
          <w:highlight w:val="none"/>
        </w:rPr>
        <w:t>分（</w:t>
      </w:r>
      <w:r>
        <w:rPr>
          <w:rFonts w:hint="eastAsia" w:ascii="宋体" w:hAnsi="宋体" w:cs="宋体"/>
          <w:b/>
          <w:bCs/>
          <w:color w:val="auto"/>
          <w:kern w:val="0"/>
          <w:sz w:val="21"/>
          <w:szCs w:val="21"/>
          <w:highlight w:val="none"/>
          <w:lang w:val="en-US" w:eastAsia="zh-CN"/>
        </w:rPr>
        <w:t>7</w:t>
      </w:r>
      <w:r>
        <w:rPr>
          <w:rFonts w:hint="eastAsia" w:ascii="宋体" w:hAnsi="宋体" w:eastAsia="宋体" w:cs="宋体"/>
          <w:b/>
          <w:bCs/>
          <w:color w:val="auto"/>
          <w:kern w:val="0"/>
          <w:sz w:val="21"/>
          <w:szCs w:val="21"/>
          <w:highlight w:val="none"/>
          <w:lang w:val="en-US" w:eastAsia="zh-CN"/>
        </w:rPr>
        <w:t>0</w:t>
      </w:r>
      <w:r>
        <w:rPr>
          <w:rFonts w:hint="eastAsia" w:ascii="宋体" w:hAnsi="宋体" w:eastAsia="宋体" w:cs="宋体"/>
          <w:b/>
          <w:bCs/>
          <w:color w:val="auto"/>
          <w:kern w:val="0"/>
          <w:sz w:val="21"/>
          <w:szCs w:val="21"/>
          <w:highlight w:val="none"/>
        </w:rPr>
        <w:t>分）</w:t>
      </w:r>
    </w:p>
    <w:p w14:paraId="1845A699">
      <w:pPr>
        <w:keepNext w:val="0"/>
        <w:keepLines w:val="0"/>
        <w:pageBreakBefore w:val="0"/>
        <w:widowControl/>
        <w:kinsoku/>
        <w:wordWrap/>
        <w:overflowPunct/>
        <w:topLinePunct w:val="0"/>
        <w:autoSpaceDE/>
        <w:autoSpaceDN/>
        <w:bidi w:val="0"/>
        <w:snapToGrid/>
        <w:spacing w:line="460" w:lineRule="exact"/>
        <w:ind w:firstLine="493" w:firstLineChars="234"/>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1.技术分（</w:t>
      </w:r>
      <w:r>
        <w:rPr>
          <w:rFonts w:hint="eastAsia" w:ascii="宋体" w:hAnsi="宋体" w:cs="宋体"/>
          <w:b/>
          <w:bCs/>
          <w:color w:val="auto"/>
          <w:kern w:val="0"/>
          <w:sz w:val="21"/>
          <w:szCs w:val="21"/>
          <w:highlight w:val="none"/>
          <w:lang w:val="en-US" w:eastAsia="zh-CN"/>
        </w:rPr>
        <w:t>60</w:t>
      </w:r>
      <w:r>
        <w:rPr>
          <w:rFonts w:hint="eastAsia" w:ascii="宋体" w:hAnsi="宋体" w:eastAsia="宋体" w:cs="宋体"/>
          <w:b/>
          <w:bCs/>
          <w:color w:val="auto"/>
          <w:kern w:val="0"/>
          <w:sz w:val="21"/>
          <w:szCs w:val="21"/>
          <w:highlight w:val="none"/>
        </w:rPr>
        <w:t>分）</w:t>
      </w:r>
    </w:p>
    <w:p w14:paraId="58DDE9EF">
      <w:pPr>
        <w:pStyle w:val="17"/>
        <w:keepNext w:val="0"/>
        <w:keepLines w:val="0"/>
        <w:pageBreakBefore w:val="0"/>
        <w:kinsoku/>
        <w:wordWrap/>
        <w:overflowPunct/>
        <w:topLinePunct w:val="0"/>
        <w:autoSpaceDE/>
        <w:autoSpaceDN/>
        <w:bidi w:val="0"/>
        <w:snapToGrid/>
        <w:spacing w:line="46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color w:val="auto"/>
          <w:kern w:val="0"/>
          <w:sz w:val="21"/>
          <w:szCs w:val="21"/>
          <w:highlight w:val="none"/>
        </w:rPr>
        <w:t xml:space="preserve"> </w:t>
      </w:r>
      <w:r>
        <w:rPr>
          <w:rFonts w:hint="eastAsia" w:ascii="宋体" w:hAnsi="宋体" w:eastAsia="宋体" w:cs="宋体"/>
          <w:b/>
          <w:bCs/>
          <w:color w:val="auto"/>
          <w:kern w:val="0"/>
          <w:sz w:val="21"/>
          <w:szCs w:val="21"/>
          <w:highlight w:val="none"/>
          <w:lang w:val="en-US" w:eastAsia="zh-CN"/>
        </w:rPr>
        <w:t xml:space="preserve"> </w:t>
      </w:r>
      <w:r>
        <w:rPr>
          <w:rFonts w:hint="eastAsia" w:ascii="宋体" w:hAnsi="宋体" w:eastAsia="宋体" w:cs="宋体"/>
          <w:b/>
          <w:bCs/>
          <w:color w:val="auto"/>
          <w:sz w:val="21"/>
          <w:szCs w:val="21"/>
          <w:lang w:val="en-US" w:eastAsia="zh-CN"/>
        </w:rPr>
        <w:t>1.1服务方案</w:t>
      </w:r>
      <w:r>
        <w:rPr>
          <w:rFonts w:hint="eastAsia" w:ascii="宋体" w:hAnsi="宋体" w:eastAsia="宋体" w:cs="宋体"/>
          <w:b/>
          <w:bCs/>
          <w:color w:val="auto"/>
          <w:kern w:val="0"/>
          <w:sz w:val="21"/>
          <w:szCs w:val="21"/>
          <w:highlight w:val="none"/>
        </w:rPr>
        <w:t>（</w:t>
      </w:r>
      <w:r>
        <w:rPr>
          <w:rFonts w:hint="eastAsia" w:ascii="宋体" w:hAnsi="宋体" w:cs="宋体"/>
          <w:b/>
          <w:bCs/>
          <w:color w:val="auto"/>
          <w:kern w:val="0"/>
          <w:sz w:val="21"/>
          <w:szCs w:val="21"/>
          <w:highlight w:val="none"/>
          <w:lang w:val="en-US" w:eastAsia="zh-CN"/>
        </w:rPr>
        <w:t>20</w:t>
      </w:r>
      <w:r>
        <w:rPr>
          <w:rFonts w:hint="eastAsia" w:ascii="宋体" w:hAnsi="宋体" w:eastAsia="宋体" w:cs="宋体"/>
          <w:b/>
          <w:bCs/>
          <w:color w:val="auto"/>
          <w:kern w:val="0"/>
          <w:sz w:val="21"/>
          <w:szCs w:val="21"/>
          <w:highlight w:val="none"/>
        </w:rPr>
        <w:t>分）</w:t>
      </w:r>
    </w:p>
    <w:p w14:paraId="1365AE2D">
      <w:pPr>
        <w:pStyle w:val="17"/>
        <w:keepNext w:val="0"/>
        <w:keepLines w:val="0"/>
        <w:pageBreakBefore w:val="0"/>
        <w:kinsoku/>
        <w:wordWrap/>
        <w:overflowPunct/>
        <w:topLinePunct w:val="0"/>
        <w:autoSpaceDE/>
        <w:autoSpaceDN/>
        <w:bidi w:val="0"/>
        <w:snapToGrid/>
        <w:spacing w:line="4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1.1.1服务方案内容包括：①接入链路情况；②流量实施情况；③内置服务响应措施；④设备设施维护措施等内容，满足采购需求，每项得4分，满分16分。</w:t>
      </w:r>
    </w:p>
    <w:p w14:paraId="538D6C61">
      <w:pPr>
        <w:pStyle w:val="17"/>
        <w:keepNext w:val="0"/>
        <w:keepLines w:val="0"/>
        <w:pageBreakBefore w:val="0"/>
        <w:kinsoku/>
        <w:wordWrap/>
        <w:overflowPunct/>
        <w:topLinePunct w:val="0"/>
        <w:autoSpaceDE/>
        <w:autoSpaceDN/>
        <w:bidi w:val="0"/>
        <w:snapToGrid/>
        <w:spacing w:line="4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1.1.2服务方案中提出提供具体的技术方法和思路（包括移动办公组网技术及流程、网络接入设计等），得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分；服务方案中有详细的供货组织计划，能详细说明项目管理相关制度、实施流程，以及各个阶段的相关保障措施、进度计划和交付保证措施，得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分，满分</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7A548207">
      <w:pPr>
        <w:rPr>
          <w:rFonts w:hint="eastAsia"/>
          <w:lang w:val="en-US" w:eastAsia="zh-CN"/>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无相关内容的不得分。</w:t>
      </w:r>
    </w:p>
    <w:p w14:paraId="494EE8E7">
      <w:pPr>
        <w:pStyle w:val="17"/>
        <w:keepNext w:val="0"/>
        <w:keepLines w:val="0"/>
        <w:pageBreakBefore w:val="0"/>
        <w:kinsoku/>
        <w:wordWrap/>
        <w:overflowPunct/>
        <w:topLinePunct w:val="0"/>
        <w:autoSpaceDE/>
        <w:autoSpaceDN/>
        <w:bidi w:val="0"/>
        <w:snapToGrid/>
        <w:spacing w:line="46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1.2</w:t>
      </w:r>
      <w:r>
        <w:rPr>
          <w:rFonts w:hint="eastAsia" w:ascii="宋体" w:hAnsi="宋体" w:cs="宋体"/>
          <w:b/>
          <w:bCs/>
          <w:color w:val="auto"/>
          <w:sz w:val="21"/>
          <w:szCs w:val="21"/>
          <w:lang w:val="en-US" w:eastAsia="zh-CN"/>
        </w:rPr>
        <w:t>售后</w:t>
      </w:r>
      <w:r>
        <w:rPr>
          <w:rFonts w:hint="eastAsia" w:ascii="宋体" w:hAnsi="宋体" w:eastAsia="宋体" w:cs="宋体"/>
          <w:b/>
          <w:bCs/>
          <w:color w:val="auto"/>
          <w:sz w:val="21"/>
          <w:szCs w:val="21"/>
          <w:lang w:val="en-US" w:eastAsia="zh-CN"/>
        </w:rPr>
        <w:t>服务方案</w:t>
      </w:r>
      <w:r>
        <w:rPr>
          <w:rFonts w:hint="eastAsia" w:ascii="宋体" w:hAnsi="宋体" w:cs="宋体"/>
          <w:b/>
          <w:bCs/>
          <w:color w:val="auto"/>
          <w:sz w:val="21"/>
          <w:szCs w:val="21"/>
          <w:lang w:val="en-US" w:eastAsia="zh-CN"/>
        </w:rPr>
        <w:t>分</w:t>
      </w:r>
      <w:r>
        <w:rPr>
          <w:rFonts w:hint="eastAsia" w:ascii="宋体" w:hAnsi="宋体" w:eastAsia="宋体" w:cs="宋体"/>
          <w:b/>
          <w:bCs/>
          <w:color w:val="auto"/>
          <w:kern w:val="0"/>
          <w:sz w:val="21"/>
          <w:szCs w:val="21"/>
          <w:highlight w:val="none"/>
        </w:rPr>
        <w:t>（</w:t>
      </w:r>
      <w:r>
        <w:rPr>
          <w:rFonts w:hint="eastAsia" w:ascii="宋体" w:hAnsi="宋体" w:cs="宋体"/>
          <w:b/>
          <w:bCs/>
          <w:color w:val="auto"/>
          <w:kern w:val="0"/>
          <w:sz w:val="21"/>
          <w:szCs w:val="21"/>
          <w:highlight w:val="none"/>
          <w:lang w:val="en-US" w:eastAsia="zh-CN"/>
        </w:rPr>
        <w:t>12</w:t>
      </w:r>
      <w:r>
        <w:rPr>
          <w:rFonts w:hint="eastAsia" w:ascii="宋体" w:hAnsi="宋体" w:eastAsia="宋体" w:cs="宋体"/>
          <w:b/>
          <w:bCs/>
          <w:color w:val="auto"/>
          <w:kern w:val="0"/>
          <w:sz w:val="21"/>
          <w:szCs w:val="21"/>
          <w:highlight w:val="none"/>
        </w:rPr>
        <w:t>分）</w:t>
      </w:r>
    </w:p>
    <w:p w14:paraId="55A89D9A">
      <w:pPr>
        <w:keepNext w:val="0"/>
        <w:keepLines w:val="0"/>
        <w:pageBreakBefore w:val="0"/>
        <w:kinsoku/>
        <w:wordWrap/>
        <w:overflowPunct/>
        <w:topLinePunct w:val="0"/>
        <w:autoSpaceDE/>
        <w:autoSpaceDN/>
        <w:bidi w:val="0"/>
        <w:snapToGrid/>
        <w:spacing w:line="4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由评委根据各供应商提供的项目售后服务承诺方案进行独立评价，按以下规则进行评分：</w:t>
      </w:r>
    </w:p>
    <w:p w14:paraId="15F7F83E">
      <w:pPr>
        <w:keepNext w:val="0"/>
        <w:keepLines w:val="0"/>
        <w:pageBreakBefore w:val="0"/>
        <w:kinsoku/>
        <w:wordWrap/>
        <w:overflowPunct/>
        <w:topLinePunct w:val="0"/>
        <w:autoSpaceDE/>
        <w:autoSpaceDN/>
        <w:bidi w:val="0"/>
        <w:snapToGrid/>
        <w:spacing w:line="4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lang w:val="en-US" w:eastAsia="zh-CN"/>
        </w:rPr>
        <w:t>提供项目售后服务承诺方案，供应商设置有售后服务要求、响应程度、服务方案基本满足招标文件要求，得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分；</w:t>
      </w:r>
    </w:p>
    <w:p w14:paraId="1200429B">
      <w:pPr>
        <w:keepNext w:val="0"/>
        <w:keepLines w:val="0"/>
        <w:pageBreakBefore w:val="0"/>
        <w:kinsoku/>
        <w:wordWrap/>
        <w:overflowPunct/>
        <w:topLinePunct w:val="0"/>
        <w:autoSpaceDE/>
        <w:autoSpaceDN/>
        <w:bidi w:val="0"/>
        <w:snapToGrid/>
        <w:spacing w:line="4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.2供应商设有售后服务点，质保服务满足采购需求，得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分；</w:t>
      </w:r>
    </w:p>
    <w:p w14:paraId="019D9833">
      <w:pPr>
        <w:keepNext w:val="0"/>
        <w:keepLines w:val="0"/>
        <w:pageBreakBefore w:val="0"/>
        <w:kinsoku/>
        <w:wordWrap/>
        <w:overflowPunct/>
        <w:topLinePunct w:val="0"/>
        <w:autoSpaceDE/>
        <w:autoSpaceDN/>
        <w:bidi w:val="0"/>
        <w:snapToGrid/>
        <w:spacing w:line="4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.3供应商具有免费培训计划，有售后维护</w:t>
      </w:r>
      <w:r>
        <w:rPr>
          <w:rFonts w:hint="eastAsia" w:ascii="宋体" w:hAnsi="宋体" w:cs="宋体"/>
          <w:color w:val="auto"/>
          <w:sz w:val="21"/>
          <w:szCs w:val="21"/>
          <w:lang w:val="en-US" w:eastAsia="zh-CN"/>
        </w:rPr>
        <w:t>方案</w:t>
      </w:r>
      <w:r>
        <w:rPr>
          <w:rFonts w:hint="eastAsia" w:ascii="宋体" w:hAnsi="宋体" w:eastAsia="宋体" w:cs="宋体"/>
          <w:color w:val="auto"/>
          <w:sz w:val="21"/>
          <w:szCs w:val="21"/>
          <w:lang w:val="en-US" w:eastAsia="zh-CN"/>
        </w:rPr>
        <w:t>，提供系统维护信息档案管理，发生故障时有替代产品、提供详细可行的技术支持服务、定期回访承诺的，得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分。</w:t>
      </w:r>
    </w:p>
    <w:p w14:paraId="65878E1E">
      <w:pPr>
        <w:keepNext w:val="0"/>
        <w:keepLines w:val="0"/>
        <w:pageBreakBefore w:val="0"/>
        <w:kinsoku/>
        <w:wordWrap/>
        <w:overflowPunct/>
        <w:topLinePunct w:val="0"/>
        <w:autoSpaceDE/>
        <w:autoSpaceDN/>
        <w:bidi w:val="0"/>
        <w:snapToGrid/>
        <w:spacing w:line="4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.3可以累计加分，满分</w:t>
      </w:r>
      <w:r>
        <w:rPr>
          <w:rFonts w:hint="eastAsia" w:ascii="宋体" w:hAnsi="宋体" w:cs="宋体"/>
          <w:color w:val="auto"/>
          <w:sz w:val="21"/>
          <w:szCs w:val="21"/>
          <w:lang w:val="en-US" w:eastAsia="zh-CN"/>
        </w:rPr>
        <w:t>12</w:t>
      </w:r>
      <w:r>
        <w:rPr>
          <w:rFonts w:hint="eastAsia" w:ascii="宋体" w:hAnsi="宋体" w:eastAsia="宋体" w:cs="宋体"/>
          <w:color w:val="auto"/>
          <w:sz w:val="21"/>
          <w:szCs w:val="21"/>
          <w:lang w:val="en-US" w:eastAsia="zh-CN"/>
        </w:rPr>
        <w:t>分。</w:t>
      </w:r>
    </w:p>
    <w:p w14:paraId="33FAB1C9">
      <w:pPr>
        <w:keepNext w:val="0"/>
        <w:keepLines w:val="0"/>
        <w:pageBreakBefore w:val="0"/>
        <w:kinsoku/>
        <w:wordWrap/>
        <w:overflowPunct/>
        <w:topLinePunct w:val="0"/>
        <w:autoSpaceDE/>
        <w:autoSpaceDN/>
        <w:bidi w:val="0"/>
        <w:snapToGrid/>
        <w:spacing w:line="4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无相关内容的不得分。</w:t>
      </w:r>
    </w:p>
    <w:p w14:paraId="73A23B2B">
      <w:pPr>
        <w:keepNext w:val="0"/>
        <w:keepLines w:val="0"/>
        <w:pageBreakBefore w:val="0"/>
        <w:kinsoku/>
        <w:wordWrap/>
        <w:overflowPunct/>
        <w:topLinePunct w:val="0"/>
        <w:autoSpaceDE/>
        <w:autoSpaceDN/>
        <w:bidi w:val="0"/>
        <w:snapToGrid/>
        <w:spacing w:line="460" w:lineRule="exact"/>
        <w:ind w:firstLine="422" w:firstLineChars="200"/>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 xml:space="preserve"> 1.3</w:t>
      </w:r>
      <w:r>
        <w:rPr>
          <w:rFonts w:hint="eastAsia" w:ascii="宋体" w:hAnsi="宋体" w:eastAsia="宋体" w:cs="宋体"/>
          <w:b/>
          <w:bCs/>
          <w:color w:val="auto"/>
          <w:sz w:val="21"/>
          <w:szCs w:val="21"/>
        </w:rPr>
        <w:t>应急预案</w:t>
      </w:r>
      <w:r>
        <w:rPr>
          <w:rFonts w:hint="eastAsia" w:ascii="宋体" w:hAnsi="宋体" w:eastAsia="宋体" w:cs="宋体"/>
          <w:b/>
          <w:bCs/>
          <w:color w:val="auto"/>
          <w:sz w:val="21"/>
          <w:szCs w:val="21"/>
          <w:lang w:eastAsia="zh-CN"/>
        </w:rPr>
        <w:t>（</w:t>
      </w:r>
      <w:r>
        <w:rPr>
          <w:rFonts w:hint="eastAsia" w:ascii="宋体" w:hAnsi="宋体" w:cs="宋体"/>
          <w:b/>
          <w:bCs/>
          <w:color w:val="auto"/>
          <w:sz w:val="21"/>
          <w:szCs w:val="21"/>
          <w:lang w:val="en-US" w:eastAsia="zh-CN"/>
        </w:rPr>
        <w:t>9</w:t>
      </w:r>
      <w:r>
        <w:rPr>
          <w:rFonts w:hint="eastAsia" w:ascii="宋体" w:hAnsi="宋体" w:eastAsia="宋体" w:cs="宋体"/>
          <w:b/>
          <w:bCs/>
          <w:color w:val="auto"/>
          <w:sz w:val="21"/>
          <w:szCs w:val="21"/>
        </w:rPr>
        <w:t>分</w:t>
      </w:r>
      <w:r>
        <w:rPr>
          <w:rFonts w:hint="eastAsia" w:ascii="宋体" w:hAnsi="宋体" w:eastAsia="宋体" w:cs="宋体"/>
          <w:b/>
          <w:bCs/>
          <w:color w:val="auto"/>
          <w:sz w:val="21"/>
          <w:szCs w:val="21"/>
          <w:lang w:eastAsia="zh-CN"/>
        </w:rPr>
        <w:t>）</w:t>
      </w:r>
    </w:p>
    <w:p w14:paraId="45F4E91E">
      <w:pPr>
        <w:keepNext w:val="0"/>
        <w:keepLines w:val="0"/>
        <w:pageBreakBefore w:val="0"/>
        <w:kinsoku/>
        <w:wordWrap/>
        <w:overflowPunct/>
        <w:topLinePunct w:val="0"/>
        <w:autoSpaceDE/>
        <w:autoSpaceDN/>
        <w:bidi w:val="0"/>
        <w:snapToGrid/>
        <w:spacing w:line="46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评分内容：应急预案，包括：①安全；②消防；③设备故障处置措施</w:t>
      </w:r>
      <w:r>
        <w:rPr>
          <w:rFonts w:hint="eastAsia" w:ascii="宋体" w:hAnsi="宋体" w:cs="宋体"/>
          <w:color w:val="auto"/>
          <w:sz w:val="21"/>
          <w:szCs w:val="21"/>
          <w:lang w:eastAsia="zh-CN"/>
        </w:rPr>
        <w:t>。</w:t>
      </w:r>
    </w:p>
    <w:p w14:paraId="45D5AA68">
      <w:pPr>
        <w:keepNext w:val="0"/>
        <w:keepLines w:val="0"/>
        <w:pageBreakBefore w:val="0"/>
        <w:kinsoku/>
        <w:wordWrap/>
        <w:overflowPunct/>
        <w:topLinePunct w:val="0"/>
        <w:autoSpaceDE/>
        <w:autoSpaceDN/>
        <w:bidi w:val="0"/>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内容能针对本项目制定，</w:t>
      </w:r>
      <w:r>
        <w:rPr>
          <w:rFonts w:hint="eastAsia" w:ascii="宋体" w:hAnsi="宋体" w:eastAsia="宋体" w:cs="宋体"/>
          <w:color w:val="auto"/>
          <w:sz w:val="21"/>
          <w:szCs w:val="21"/>
          <w:lang w:val="en-US" w:eastAsia="zh-CN"/>
        </w:rPr>
        <w:t>涉及的</w:t>
      </w:r>
      <w:r>
        <w:rPr>
          <w:rFonts w:hint="eastAsia" w:ascii="宋体" w:hAnsi="宋体" w:eastAsia="宋体" w:cs="宋体"/>
          <w:color w:val="auto"/>
          <w:sz w:val="21"/>
          <w:szCs w:val="21"/>
        </w:rPr>
        <w:t>①安全；②</w:t>
      </w:r>
      <w:r>
        <w:rPr>
          <w:rFonts w:hint="eastAsia" w:ascii="宋体" w:hAnsi="宋体" w:cs="宋体"/>
          <w:color w:val="auto"/>
          <w:sz w:val="21"/>
          <w:szCs w:val="21"/>
          <w:lang w:val="en-US" w:eastAsia="zh-CN"/>
        </w:rPr>
        <w:t>网络维护</w:t>
      </w:r>
      <w:r>
        <w:rPr>
          <w:rFonts w:hint="eastAsia" w:ascii="宋体" w:hAnsi="宋体" w:eastAsia="宋体" w:cs="宋体"/>
          <w:color w:val="auto"/>
          <w:sz w:val="21"/>
          <w:szCs w:val="21"/>
        </w:rPr>
        <w:t>；③设备故障处置措施</w:t>
      </w:r>
      <w:r>
        <w:rPr>
          <w:rFonts w:hint="eastAsia" w:ascii="宋体" w:hAnsi="宋体" w:eastAsia="宋体" w:cs="宋体"/>
          <w:color w:val="auto"/>
          <w:sz w:val="21"/>
          <w:szCs w:val="21"/>
          <w:lang w:val="en-US" w:eastAsia="zh-CN"/>
        </w:rPr>
        <w:t>等内容，满足采购需求，</w:t>
      </w:r>
      <w:r>
        <w:rPr>
          <w:rFonts w:hint="eastAsia" w:ascii="宋体" w:hAnsi="宋体" w:eastAsia="宋体" w:cs="宋体"/>
          <w:color w:val="auto"/>
          <w:sz w:val="21"/>
          <w:szCs w:val="21"/>
        </w:rPr>
        <w:t>有利于采购人项目实施和完善服务的应急预案内容的，</w:t>
      </w:r>
      <w:r>
        <w:rPr>
          <w:rFonts w:hint="eastAsia" w:ascii="宋体" w:hAnsi="宋体" w:eastAsia="宋体" w:cs="宋体"/>
          <w:color w:val="auto"/>
          <w:sz w:val="21"/>
          <w:szCs w:val="21"/>
          <w:lang w:val="en-US" w:eastAsia="zh-CN"/>
        </w:rPr>
        <w:t>每项得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分，该项满分</w:t>
      </w:r>
      <w:r>
        <w:rPr>
          <w:rFonts w:hint="eastAsia" w:ascii="宋体" w:hAnsi="宋体" w:eastAsia="宋体" w:cs="宋体"/>
          <w:color w:val="auto"/>
          <w:sz w:val="21"/>
          <w:szCs w:val="21"/>
        </w:rPr>
        <w:t>得</w:t>
      </w:r>
      <w:r>
        <w:rPr>
          <w:rFonts w:hint="eastAsia" w:ascii="宋体" w:hAnsi="宋体" w:cs="宋体"/>
          <w:color w:val="auto"/>
          <w:sz w:val="21"/>
          <w:szCs w:val="21"/>
          <w:lang w:val="en-US" w:eastAsia="zh-CN"/>
        </w:rPr>
        <w:t>9</w:t>
      </w:r>
      <w:r>
        <w:rPr>
          <w:rFonts w:hint="eastAsia" w:ascii="宋体" w:hAnsi="宋体" w:eastAsia="宋体" w:cs="宋体"/>
          <w:color w:val="auto"/>
          <w:sz w:val="21"/>
          <w:szCs w:val="21"/>
        </w:rPr>
        <w:t>分。</w:t>
      </w:r>
    </w:p>
    <w:p w14:paraId="4290F43A">
      <w:pPr>
        <w:keepNext w:val="0"/>
        <w:keepLines w:val="0"/>
        <w:pageBreakBefore w:val="0"/>
        <w:kinsoku/>
        <w:wordWrap/>
        <w:overflowPunct/>
        <w:topLinePunct w:val="0"/>
        <w:autoSpaceDE/>
        <w:autoSpaceDN/>
        <w:bidi w:val="0"/>
        <w:snapToGrid/>
        <w:spacing w:line="460" w:lineRule="exact"/>
        <w:ind w:firstLine="420" w:firstLineChars="200"/>
        <w:textAlignment w:val="auto"/>
        <w:rPr>
          <w:rFonts w:hint="default"/>
          <w:color w:val="auto"/>
          <w:lang w:val="en-US" w:eastAsia="zh-CN"/>
        </w:rPr>
      </w:pPr>
      <w:r>
        <w:rPr>
          <w:rFonts w:hint="eastAsia" w:ascii="宋体" w:hAnsi="宋体" w:eastAsia="宋体" w:cs="宋体"/>
          <w:color w:val="auto"/>
          <w:sz w:val="21"/>
          <w:szCs w:val="21"/>
        </w:rPr>
        <w:t>无相关内容的不得分。</w:t>
      </w:r>
    </w:p>
    <w:p w14:paraId="763BFADC">
      <w:pPr>
        <w:keepNext w:val="0"/>
        <w:keepLines w:val="0"/>
        <w:pageBreakBefore w:val="0"/>
        <w:kinsoku/>
        <w:wordWrap/>
        <w:overflowPunct/>
        <w:topLinePunct w:val="0"/>
        <w:autoSpaceDE/>
        <w:autoSpaceDN/>
        <w:bidi w:val="0"/>
        <w:snapToGrid/>
        <w:spacing w:line="460" w:lineRule="exact"/>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1.4</w:t>
      </w:r>
      <w:r>
        <w:rPr>
          <w:rFonts w:hint="eastAsia" w:ascii="宋体" w:hAnsi="宋体" w:cs="宋体"/>
          <w:b/>
          <w:bCs/>
          <w:color w:val="auto"/>
          <w:sz w:val="21"/>
          <w:szCs w:val="21"/>
          <w:highlight w:val="none"/>
          <w:lang w:val="en-US" w:eastAsia="zh-CN"/>
        </w:rPr>
        <w:t>终端服务增值服务分</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w:t>
      </w:r>
    </w:p>
    <w:p w14:paraId="2CE7749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1.4.1每台移动办公终端在每月全国流量的套餐基础上，每多增加10GB得2分，最高6分，超出不计分。仅承诺部分移动办公终端增加流量的，不计分。</w:t>
      </w:r>
    </w:p>
    <w:p w14:paraId="4611D20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1.4.2提供项目涉及的移动办公号码欠费不停机服务得2分。</w:t>
      </w:r>
    </w:p>
    <w:p w14:paraId="5522610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1.4.3提供涉及的移动办公号码高频防骚扰业务得2分。</w:t>
      </w:r>
    </w:p>
    <w:p w14:paraId="70F674D6">
      <w:pPr>
        <w:keepNext w:val="0"/>
        <w:keepLines w:val="0"/>
        <w:pageBreakBefore w:val="0"/>
        <w:kinsoku/>
        <w:wordWrap/>
        <w:overflowPunct/>
        <w:topLinePunct w:val="0"/>
        <w:autoSpaceDE/>
        <w:autoSpaceDN/>
        <w:bidi w:val="0"/>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注：以上须提供承诺书，加盖供应商公章，</w:t>
      </w:r>
      <w:r>
        <w:rPr>
          <w:rFonts w:hint="eastAsia" w:ascii="宋体" w:hAnsi="宋体" w:eastAsia="宋体" w:cs="宋体"/>
          <w:color w:val="auto"/>
          <w:sz w:val="21"/>
          <w:szCs w:val="21"/>
        </w:rPr>
        <w:t>无相关内容的不得分。</w:t>
      </w:r>
    </w:p>
    <w:p w14:paraId="7D381FA9">
      <w:pPr>
        <w:keepNext w:val="0"/>
        <w:keepLines w:val="0"/>
        <w:pageBreakBefore w:val="0"/>
        <w:kinsoku/>
        <w:wordWrap/>
        <w:overflowPunct/>
        <w:topLinePunct w:val="0"/>
        <w:autoSpaceDE/>
        <w:autoSpaceDN/>
        <w:bidi w:val="0"/>
        <w:snapToGrid/>
        <w:spacing w:line="460" w:lineRule="exact"/>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人员配备</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en-US" w:eastAsia="zh-CN"/>
        </w:rPr>
        <w:t>分</w:t>
      </w:r>
      <w:r>
        <w:rPr>
          <w:rFonts w:hint="eastAsia" w:ascii="宋体" w:hAnsi="宋体" w:cs="宋体"/>
          <w:b/>
          <w:bCs/>
          <w:color w:val="auto"/>
          <w:sz w:val="21"/>
          <w:szCs w:val="21"/>
          <w:highlight w:val="none"/>
          <w:lang w:val="en-US" w:eastAsia="zh-CN"/>
        </w:rPr>
        <w:t>）</w:t>
      </w:r>
    </w:p>
    <w:p w14:paraId="3D78A93D">
      <w:pPr>
        <w:keepNext w:val="0"/>
        <w:keepLines w:val="0"/>
        <w:pageBreakBefore w:val="0"/>
        <w:kinsoku/>
        <w:wordWrap/>
        <w:overflowPunct/>
        <w:topLinePunct w:val="0"/>
        <w:autoSpaceDE/>
        <w:autoSpaceDN/>
        <w:bidi w:val="0"/>
        <w:snapToGrid/>
        <w:spacing w:line="46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1.5.1</w:t>
      </w:r>
      <w:r>
        <w:rPr>
          <w:rFonts w:hint="eastAsia"/>
          <w:color w:val="auto"/>
          <w:highlight w:val="none"/>
          <w:lang w:eastAsia="zh-CN"/>
        </w:rPr>
        <w:t>供应商至少指定</w:t>
      </w:r>
      <w:r>
        <w:rPr>
          <w:rFonts w:hint="eastAsia"/>
          <w:color w:val="auto"/>
          <w:highlight w:val="none"/>
          <w:lang w:val="en-US" w:eastAsia="zh-CN"/>
        </w:rPr>
        <w:t>2名网络工程师，</w:t>
      </w:r>
      <w:r>
        <w:rPr>
          <w:rFonts w:hint="eastAsia"/>
          <w:color w:val="auto"/>
          <w:highlight w:val="none"/>
        </w:rPr>
        <w:t>负责上门受理调试日常维护及平时协助甲方维护检测等工作</w:t>
      </w:r>
      <w:r>
        <w:rPr>
          <w:rFonts w:hint="eastAsia"/>
          <w:color w:val="auto"/>
          <w:highlight w:val="none"/>
          <w:lang w:eastAsia="zh-CN"/>
        </w:rPr>
        <w:t>，</w:t>
      </w:r>
      <w:r>
        <w:rPr>
          <w:rFonts w:hint="eastAsia"/>
          <w:color w:val="auto"/>
          <w:highlight w:val="none"/>
          <w:lang w:val="en-US" w:eastAsia="zh-CN"/>
        </w:rPr>
        <w:t>得5分。</w:t>
      </w:r>
    </w:p>
    <w:p w14:paraId="52AA35C1">
      <w:pPr>
        <w:keepNext w:val="0"/>
        <w:keepLines w:val="0"/>
        <w:pageBreakBefore w:val="0"/>
        <w:kinsoku/>
        <w:wordWrap/>
        <w:overflowPunct/>
        <w:topLinePunct w:val="0"/>
        <w:autoSpaceDE/>
        <w:autoSpaceDN/>
        <w:bidi w:val="0"/>
        <w:snapToGrid/>
        <w:spacing w:line="4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color w:val="auto"/>
          <w:highlight w:val="none"/>
          <w:lang w:val="en-US" w:eastAsia="zh-CN"/>
        </w:rPr>
        <w:t xml:space="preserve"> 1.5.2</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承诺</w:t>
      </w:r>
      <w:r>
        <w:rPr>
          <w:rFonts w:hint="eastAsia" w:ascii="宋体" w:hAnsi="宋体" w:eastAsia="宋体" w:cs="宋体"/>
          <w:color w:val="auto"/>
          <w:sz w:val="21"/>
          <w:szCs w:val="21"/>
          <w:highlight w:val="none"/>
          <w:lang w:val="en-US" w:eastAsia="zh-CN"/>
        </w:rPr>
        <w:t>安排</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人及以上</w:t>
      </w:r>
      <w:r>
        <w:rPr>
          <w:rFonts w:hint="eastAsia" w:ascii="宋体" w:hAnsi="宋体" w:cs="宋体"/>
          <w:color w:val="auto"/>
          <w:sz w:val="21"/>
          <w:szCs w:val="21"/>
          <w:highlight w:val="none"/>
          <w:lang w:val="en-US" w:eastAsia="zh-CN"/>
        </w:rPr>
        <w:t>作为</w:t>
      </w:r>
      <w:r>
        <w:rPr>
          <w:rFonts w:hint="eastAsia" w:ascii="宋体" w:hAnsi="宋体" w:eastAsia="宋体" w:cs="宋体"/>
          <w:color w:val="auto"/>
          <w:sz w:val="21"/>
          <w:szCs w:val="21"/>
          <w:highlight w:val="none"/>
        </w:rPr>
        <w:t>应急维护抢修队伍</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保障</w:t>
      </w:r>
      <w:r>
        <w:rPr>
          <w:rFonts w:hint="eastAsia" w:ascii="宋体" w:hAnsi="宋体" w:cs="宋体"/>
          <w:color w:val="auto"/>
          <w:sz w:val="21"/>
          <w:szCs w:val="21"/>
          <w:highlight w:val="none"/>
          <w:lang w:val="en-US" w:eastAsia="zh-CN"/>
        </w:rPr>
        <w:t>本项目</w:t>
      </w:r>
      <w:r>
        <w:rPr>
          <w:rFonts w:hint="eastAsia" w:ascii="宋体" w:hAnsi="宋体" w:eastAsia="宋体" w:cs="宋体"/>
          <w:color w:val="auto"/>
          <w:sz w:val="21"/>
          <w:szCs w:val="21"/>
          <w:highlight w:val="none"/>
        </w:rPr>
        <w:t>售后</w:t>
      </w:r>
      <w:r>
        <w:rPr>
          <w:rFonts w:hint="eastAsia" w:ascii="宋体" w:hAnsi="宋体" w:cs="宋体"/>
          <w:color w:val="auto"/>
          <w:sz w:val="21"/>
          <w:szCs w:val="21"/>
          <w:highlight w:val="none"/>
          <w:lang w:val="en-US" w:eastAsia="zh-CN"/>
        </w:rPr>
        <w:t>应急服务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0A766BF2">
      <w:pPr>
        <w:keepNext w:val="0"/>
        <w:keepLines w:val="0"/>
        <w:pageBreakBefore w:val="0"/>
        <w:kinsoku/>
        <w:wordWrap/>
        <w:overflowPunct/>
        <w:topLinePunct w:val="0"/>
        <w:autoSpaceDE/>
        <w:autoSpaceDN/>
        <w:bidi w:val="0"/>
        <w:snapToGrid/>
        <w:spacing w:line="46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lang w:val="en-US" w:eastAsia="zh-CN"/>
        </w:rPr>
        <w:t>注：以上须提供承诺书，加盖供应商公章，</w:t>
      </w:r>
      <w:r>
        <w:rPr>
          <w:rFonts w:hint="eastAsia" w:ascii="宋体" w:hAnsi="宋体" w:eastAsia="宋体" w:cs="宋体"/>
          <w:color w:val="auto"/>
          <w:sz w:val="21"/>
          <w:szCs w:val="21"/>
        </w:rPr>
        <w:t>无相关内容的不得分。</w:t>
      </w:r>
      <w:r>
        <w:rPr>
          <w:rFonts w:hint="eastAsia" w:ascii="宋体" w:hAnsi="宋体" w:cs="宋体"/>
          <w:color w:val="auto"/>
          <w:sz w:val="21"/>
          <w:szCs w:val="21"/>
          <w:lang w:eastAsia="zh-CN"/>
        </w:rPr>
        <w:t>如分支机构（分公司）参加磋商的，拟派项目人员可以为总公司人员。</w:t>
      </w:r>
    </w:p>
    <w:p w14:paraId="30DF31A8">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 商务分（1</w:t>
      </w:r>
      <w:r>
        <w:rPr>
          <w:rFonts w:hint="eastAsia" w:ascii="宋体" w:hAnsi="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分）</w:t>
      </w:r>
    </w:p>
    <w:p w14:paraId="0CCEC73C">
      <w:pPr>
        <w:keepNext w:val="0"/>
        <w:keepLines w:val="0"/>
        <w:pageBreakBefore w:val="0"/>
        <w:kinsoku/>
        <w:wordWrap/>
        <w:overflowPunct/>
        <w:topLinePunct w:val="0"/>
        <w:autoSpaceDE/>
        <w:autoSpaceDN/>
        <w:bidi w:val="0"/>
        <w:snapToGrid/>
        <w:spacing w:line="46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b w:val="0"/>
          <w:bCs w:val="0"/>
          <w:color w:val="auto"/>
          <w:sz w:val="21"/>
          <w:szCs w:val="21"/>
          <w:highlight w:val="none"/>
          <w:lang w:val="en-US" w:eastAsia="zh-CN"/>
        </w:rPr>
        <w:t>2.1</w:t>
      </w:r>
      <w:r>
        <w:rPr>
          <w:rFonts w:hint="eastAsia" w:ascii="宋体" w:hAnsi="宋体" w:eastAsia="宋体" w:cs="宋体"/>
          <w:b w:val="0"/>
          <w:bCs w:val="0"/>
          <w:color w:val="auto"/>
          <w:sz w:val="21"/>
          <w:szCs w:val="21"/>
          <w:highlight w:val="none"/>
        </w:rPr>
        <w:t>供应商自2020年1月1日以来承担过</w:t>
      </w:r>
      <w:r>
        <w:rPr>
          <w:rFonts w:hint="eastAsia" w:ascii="宋体" w:hAnsi="宋体" w:cs="宋体"/>
          <w:b w:val="0"/>
          <w:bCs w:val="0"/>
          <w:color w:val="auto"/>
          <w:sz w:val="21"/>
          <w:szCs w:val="21"/>
          <w:highlight w:val="none"/>
          <w:lang w:val="en-US" w:eastAsia="zh-CN"/>
        </w:rPr>
        <w:t>类似</w:t>
      </w:r>
      <w:r>
        <w:rPr>
          <w:rFonts w:hint="eastAsia" w:ascii="宋体" w:hAnsi="宋体" w:eastAsia="宋体" w:cs="宋体"/>
          <w:b w:val="0"/>
          <w:bCs w:val="0"/>
          <w:color w:val="auto"/>
          <w:sz w:val="21"/>
          <w:szCs w:val="21"/>
          <w:highlight w:val="none"/>
        </w:rPr>
        <w:t>服务类项目的，每个项目得2分，满分10分。[以合同</w:t>
      </w:r>
      <w:r>
        <w:rPr>
          <w:rFonts w:hint="eastAsia" w:ascii="宋体" w:hAnsi="宋体" w:cs="宋体"/>
          <w:color w:val="auto"/>
          <w:sz w:val="21"/>
          <w:szCs w:val="21"/>
          <w:lang w:val="en-US" w:eastAsia="zh-CN"/>
        </w:rPr>
        <w:t>复印件为准，并加盖供应商公章]。</w:t>
      </w:r>
    </w:p>
    <w:p w14:paraId="30B3D52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注：分支机构（分公司）参加磋商的，业绩可以用总公司业绩。</w:t>
      </w:r>
    </w:p>
    <w:p w14:paraId="754CD880">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三、总得分=磋商报价得分+商务技术分</w:t>
      </w:r>
      <w:r>
        <w:rPr>
          <w:rFonts w:hint="eastAsia" w:ascii="宋体" w:hAnsi="宋体" w:cs="宋体"/>
          <w:b/>
          <w:bCs/>
          <w:color w:val="auto"/>
          <w:sz w:val="21"/>
          <w:szCs w:val="21"/>
          <w:lang w:val="en-US" w:eastAsia="zh-CN"/>
        </w:rPr>
        <w:t xml:space="preserve"> </w:t>
      </w:r>
    </w:p>
    <w:p w14:paraId="760EA201">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四、成交供应商的推荐</w:t>
      </w:r>
    </w:p>
    <w:p w14:paraId="2BD291C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市场竞争不充分的科研项目，以及需要扶持的科技成果转化项目或政府购买服务项目，可以推荐2家成交候选供应商。</w:t>
      </w:r>
    </w:p>
    <w:p w14:paraId="22C5F9FD">
      <w:pPr>
        <w:rPr>
          <w:rFonts w:hint="eastAsia" w:ascii="宋体" w:hAnsi="宋体" w:eastAsia="宋体" w:cs="宋体"/>
          <w:color w:val="auto"/>
          <w:sz w:val="21"/>
          <w:szCs w:val="21"/>
          <w:highlight w:val="none"/>
        </w:rPr>
      </w:pPr>
    </w:p>
    <w:p w14:paraId="45E62D63">
      <w:pPr>
        <w:rPr>
          <w:rFonts w:hint="eastAsia" w:ascii="宋体" w:hAnsi="宋体" w:eastAsia="宋体" w:cs="宋体"/>
          <w:color w:val="auto"/>
          <w:sz w:val="21"/>
          <w:szCs w:val="21"/>
          <w:highlight w:val="none"/>
        </w:rPr>
      </w:pPr>
    </w:p>
    <w:p w14:paraId="3D55FEC1">
      <w:pPr>
        <w:pStyle w:val="4"/>
        <w:rPr>
          <w:color w:val="auto"/>
          <w:highlight w:val="none"/>
        </w:rPr>
      </w:pPr>
    </w:p>
    <w:p w14:paraId="27FF32FE">
      <w:pPr>
        <w:pStyle w:val="4"/>
        <w:rPr>
          <w:rFonts w:hint="eastAsia" w:eastAsia="宋体"/>
          <w:color w:val="auto"/>
          <w:highlight w:val="none"/>
          <w:lang w:eastAsia="zh-CN"/>
        </w:rPr>
      </w:pPr>
    </w:p>
    <w:p w14:paraId="53F3065E">
      <w:pPr>
        <w:rPr>
          <w:rFonts w:hint="eastAsia" w:eastAsia="宋体"/>
          <w:color w:val="auto"/>
          <w:highlight w:val="none"/>
          <w:lang w:eastAsia="zh-CN"/>
        </w:rPr>
      </w:pPr>
    </w:p>
    <w:p w14:paraId="526ECBEF">
      <w:pPr>
        <w:pStyle w:val="4"/>
        <w:rPr>
          <w:rFonts w:hint="eastAsia" w:eastAsia="宋体"/>
          <w:color w:val="auto"/>
          <w:highlight w:val="none"/>
          <w:lang w:eastAsia="zh-CN"/>
        </w:rPr>
      </w:pPr>
    </w:p>
    <w:p w14:paraId="079A2117">
      <w:pPr>
        <w:rPr>
          <w:rFonts w:hint="eastAsia" w:eastAsia="宋体"/>
          <w:color w:val="auto"/>
          <w:highlight w:val="none"/>
          <w:lang w:eastAsia="zh-CN"/>
        </w:rPr>
      </w:pPr>
    </w:p>
    <w:p w14:paraId="74ADE913">
      <w:pPr>
        <w:pStyle w:val="4"/>
        <w:rPr>
          <w:rFonts w:hint="eastAsia" w:eastAsia="宋体"/>
          <w:color w:val="auto"/>
          <w:highlight w:val="none"/>
          <w:lang w:eastAsia="zh-CN"/>
        </w:rPr>
      </w:pPr>
    </w:p>
    <w:p w14:paraId="14E1B062">
      <w:pPr>
        <w:rPr>
          <w:rFonts w:hint="eastAsia" w:eastAsia="宋体"/>
          <w:color w:val="auto"/>
          <w:highlight w:val="none"/>
          <w:lang w:eastAsia="zh-CN"/>
        </w:rPr>
      </w:pPr>
    </w:p>
    <w:p w14:paraId="5FF9052A">
      <w:pPr>
        <w:pStyle w:val="4"/>
        <w:rPr>
          <w:rFonts w:hint="eastAsia" w:eastAsia="宋体"/>
          <w:color w:val="auto"/>
          <w:highlight w:val="none"/>
          <w:lang w:eastAsia="zh-CN"/>
        </w:rPr>
      </w:pPr>
    </w:p>
    <w:p w14:paraId="2FADE083">
      <w:pPr>
        <w:rPr>
          <w:rFonts w:hint="eastAsia" w:eastAsia="宋体"/>
          <w:color w:val="auto"/>
          <w:highlight w:val="none"/>
          <w:lang w:eastAsia="zh-CN"/>
        </w:rPr>
      </w:pPr>
    </w:p>
    <w:p w14:paraId="5CACD7B3">
      <w:pPr>
        <w:pStyle w:val="4"/>
        <w:rPr>
          <w:rFonts w:hint="eastAsia" w:eastAsia="宋体"/>
          <w:color w:val="auto"/>
          <w:highlight w:val="none"/>
          <w:lang w:eastAsia="zh-CN"/>
        </w:rPr>
      </w:pPr>
    </w:p>
    <w:p w14:paraId="38976394">
      <w:pPr>
        <w:rPr>
          <w:rFonts w:hint="eastAsia" w:eastAsia="宋体"/>
          <w:color w:val="auto"/>
          <w:highlight w:val="none"/>
          <w:lang w:eastAsia="zh-CN"/>
        </w:rPr>
      </w:pPr>
    </w:p>
    <w:p w14:paraId="5CACB188">
      <w:pPr>
        <w:pStyle w:val="4"/>
        <w:rPr>
          <w:rFonts w:hint="eastAsia"/>
          <w:lang w:eastAsia="zh-CN"/>
        </w:rPr>
      </w:pPr>
    </w:p>
    <w:p w14:paraId="11125F69"/>
    <w:p w14:paraId="40CD3832">
      <w:pPr>
        <w:rPr>
          <w:color w:val="auto"/>
          <w:highlight w:val="none"/>
        </w:rPr>
      </w:pPr>
    </w:p>
    <w:p w14:paraId="1DF33C48">
      <w:pPr>
        <w:rPr>
          <w:color w:val="auto"/>
          <w:highlight w:val="none"/>
        </w:rPr>
      </w:pPr>
    </w:p>
    <w:p w14:paraId="61D1FC98">
      <w:pPr>
        <w:rPr>
          <w:color w:val="auto"/>
          <w:highlight w:val="none"/>
        </w:rPr>
      </w:pPr>
    </w:p>
    <w:p w14:paraId="0F674929">
      <w:pPr>
        <w:rPr>
          <w:color w:val="auto"/>
          <w:highlight w:val="none"/>
        </w:rPr>
      </w:pPr>
    </w:p>
    <w:p w14:paraId="1DF12542">
      <w:pPr>
        <w:rPr>
          <w:color w:val="auto"/>
          <w:highlight w:val="none"/>
        </w:rPr>
      </w:pPr>
    </w:p>
    <w:p w14:paraId="44643AAF">
      <w:pPr>
        <w:pStyle w:val="2"/>
        <w:spacing w:line="400" w:lineRule="exact"/>
        <w:rPr>
          <w:rFonts w:ascii="方正小标宋_GBK" w:eastAsia="方正小标宋_GBK"/>
          <w:color w:val="auto"/>
          <w:highlight w:val="none"/>
        </w:rPr>
      </w:pPr>
      <w:bookmarkStart w:id="131" w:name="_Toc92355027"/>
      <w:r>
        <w:rPr>
          <w:rFonts w:hint="eastAsia" w:ascii="方正小标宋_GBK" w:eastAsia="方正小标宋_GBK"/>
          <w:color w:val="auto"/>
          <w:highlight w:val="none"/>
        </w:rPr>
        <w:t>第五章  合同文本</w:t>
      </w:r>
      <w:bookmarkEnd w:id="131"/>
    </w:p>
    <w:p w14:paraId="712C1514">
      <w:pPr>
        <w:pStyle w:val="22"/>
        <w:jc w:val="center"/>
        <w:rPr>
          <w:rFonts w:ascii="Times New Roman" w:hAnsi="宋体"/>
          <w:b/>
          <w:bCs/>
          <w:color w:val="auto"/>
          <w:sz w:val="28"/>
          <w:szCs w:val="28"/>
          <w:highlight w:val="none"/>
        </w:rPr>
      </w:pPr>
      <w:r>
        <w:rPr>
          <w:rFonts w:hint="eastAsia" w:ascii="Times New Roman" w:hAnsi="宋体"/>
          <w:b/>
          <w:bCs/>
          <w:color w:val="auto"/>
          <w:sz w:val="28"/>
          <w:szCs w:val="28"/>
          <w:highlight w:val="none"/>
        </w:rPr>
        <w:t>（参考格式）</w:t>
      </w:r>
    </w:p>
    <w:p w14:paraId="1E830933">
      <w:pPr>
        <w:pStyle w:val="22"/>
        <w:spacing w:line="340" w:lineRule="exact"/>
        <w:rPr>
          <w:rFonts w:hint="eastAsia" w:ascii="宋体" w:hAnsi="宋体" w:eastAsia="宋体"/>
          <w:b/>
          <w:color w:val="auto"/>
          <w:highlight w:val="none"/>
        </w:rPr>
      </w:pPr>
      <w:r>
        <w:rPr>
          <w:rFonts w:ascii="宋体" w:hAnsi="宋体"/>
          <w:bCs/>
          <w:color w:val="auto"/>
          <w:szCs w:val="21"/>
          <w:highlight w:val="none"/>
        </w:rPr>
        <w:br w:type="page"/>
      </w:r>
      <w:r>
        <w:rPr>
          <w:rFonts w:hint="eastAsia" w:ascii="宋体" w:hAnsi="宋体" w:eastAsia="宋体"/>
          <w:b/>
          <w:color w:val="auto"/>
          <w:highlight w:val="none"/>
        </w:rPr>
        <w:t>说明：</w:t>
      </w:r>
    </w:p>
    <w:p w14:paraId="7880A048">
      <w:pPr>
        <w:pStyle w:val="22"/>
        <w:spacing w:line="340" w:lineRule="exact"/>
        <w:rPr>
          <w:rFonts w:hint="eastAsia" w:ascii="宋体" w:hAnsi="宋体" w:eastAsia="宋体"/>
          <w:b/>
          <w:color w:val="auto"/>
          <w:highlight w:val="none"/>
        </w:rPr>
      </w:pPr>
      <w:r>
        <w:rPr>
          <w:rFonts w:hint="eastAsia" w:ascii="宋体" w:hAnsi="宋体" w:eastAsia="宋体"/>
          <w:b/>
          <w:color w:val="auto"/>
          <w:highlight w:val="none"/>
        </w:rPr>
        <w:t>1</w:t>
      </w:r>
      <w:r>
        <w:rPr>
          <w:rFonts w:hint="eastAsia" w:hAnsi="宋体"/>
          <w:b/>
          <w:color w:val="auto"/>
          <w:highlight w:val="none"/>
          <w:lang w:val="en-US" w:eastAsia="zh-CN"/>
        </w:rPr>
        <w:t>.</w:t>
      </w:r>
      <w:r>
        <w:rPr>
          <w:rFonts w:hint="eastAsia" w:ascii="宋体" w:hAnsi="宋体" w:eastAsia="宋体"/>
          <w:b/>
          <w:color w:val="auto"/>
          <w:highlight w:val="none"/>
        </w:rPr>
        <w:t>本合同书仅供签订正式合同时参考用。</w:t>
      </w:r>
    </w:p>
    <w:p w14:paraId="5847F4E7">
      <w:pPr>
        <w:pStyle w:val="22"/>
        <w:spacing w:line="340" w:lineRule="exact"/>
        <w:rPr>
          <w:rFonts w:hint="eastAsia" w:ascii="宋体" w:hAnsi="宋体" w:eastAsia="宋体"/>
          <w:b/>
          <w:color w:val="auto"/>
          <w:highlight w:val="none"/>
        </w:rPr>
      </w:pPr>
      <w:r>
        <w:rPr>
          <w:rFonts w:hint="eastAsia" w:ascii="宋体" w:hAnsi="宋体" w:eastAsia="宋体"/>
          <w:b/>
          <w:color w:val="auto"/>
          <w:highlight w:val="none"/>
        </w:rPr>
        <w:t>2</w:t>
      </w:r>
      <w:r>
        <w:rPr>
          <w:rFonts w:hint="eastAsia" w:hAnsi="宋体"/>
          <w:b/>
          <w:color w:val="auto"/>
          <w:highlight w:val="none"/>
          <w:lang w:val="en-US" w:eastAsia="zh-CN"/>
        </w:rPr>
        <w:t>.</w:t>
      </w:r>
      <w:r>
        <w:rPr>
          <w:rFonts w:hint="eastAsia" w:ascii="宋体" w:hAnsi="宋体" w:eastAsia="宋体"/>
          <w:b/>
          <w:color w:val="auto"/>
          <w:highlight w:val="none"/>
        </w:rPr>
        <w:t>合同签订双方可根据项目的具体要求进行修订，但合同条款不得与采购文件和成交供应商响应文件有实质性偏离。</w:t>
      </w:r>
    </w:p>
    <w:p w14:paraId="51DCFBEB">
      <w:pPr>
        <w:spacing w:line="520" w:lineRule="exact"/>
        <w:ind w:firstLine="881"/>
        <w:jc w:val="center"/>
        <w:rPr>
          <w:rFonts w:ascii="宋体" w:hAnsi="宋体" w:cs="Courier New"/>
          <w:b/>
          <w:sz w:val="32"/>
          <w:szCs w:val="32"/>
        </w:rPr>
      </w:pPr>
      <w:r>
        <w:rPr>
          <w:rFonts w:hint="eastAsia" w:eastAsia="华文中宋"/>
          <w:b/>
          <w:sz w:val="44"/>
          <w:szCs w:val="44"/>
        </w:rPr>
        <w:t>政府采购合同（格式）</w:t>
      </w:r>
    </w:p>
    <w:p w14:paraId="16715321">
      <w:pPr>
        <w:spacing w:line="520" w:lineRule="exact"/>
        <w:ind w:firstLine="643"/>
        <w:rPr>
          <w:rFonts w:ascii="宋体" w:hAnsi="宋体" w:cs="Courier New"/>
          <w:b/>
          <w:sz w:val="32"/>
          <w:szCs w:val="32"/>
        </w:rPr>
      </w:pPr>
    </w:p>
    <w:p w14:paraId="170F412E">
      <w:pPr>
        <w:spacing w:line="360" w:lineRule="auto"/>
        <w:ind w:right="800" w:firstLine="420"/>
        <w:rPr>
          <w:rFonts w:ascii="宋体" w:hAnsi="宋体" w:cs="宋体"/>
        </w:rPr>
      </w:pPr>
    </w:p>
    <w:p w14:paraId="007D3B86">
      <w:pPr>
        <w:spacing w:line="360" w:lineRule="auto"/>
        <w:ind w:right="800" w:firstLine="420"/>
        <w:rPr>
          <w:rFonts w:ascii="宋体" w:hAnsi="宋体" w:cs="宋体"/>
          <w:bCs/>
          <w:u w:val="single"/>
        </w:rPr>
      </w:pPr>
      <w:r>
        <w:rPr>
          <w:rFonts w:hint="eastAsia" w:ascii="宋体" w:hAnsi="宋体" w:cs="宋体"/>
        </w:rPr>
        <w:t>采购计划号：</w:t>
      </w:r>
      <w:r>
        <w:rPr>
          <w:rFonts w:hint="eastAsia" w:ascii="宋体" w:hAnsi="宋体" w:cs="宋体"/>
          <w:u w:val="single"/>
        </w:rPr>
        <w:t xml:space="preserve"> </w:t>
      </w:r>
      <w:r>
        <w:rPr>
          <w:rFonts w:ascii="宋体" w:hAnsi="宋体" w:cs="宋体"/>
          <w:u w:val="single"/>
        </w:rPr>
        <w:t xml:space="preserve">                        </w:t>
      </w:r>
      <w:r>
        <w:rPr>
          <w:rFonts w:ascii="宋体" w:hAnsi="宋体" w:cs="宋体"/>
        </w:rPr>
        <w:t xml:space="preserve">   </w:t>
      </w:r>
      <w:r>
        <w:rPr>
          <w:rFonts w:hint="eastAsia" w:ascii="宋体" w:hAnsi="宋体" w:cs="宋体"/>
          <w:bCs/>
        </w:rPr>
        <w:t>合同编号：</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w:t>
      </w:r>
    </w:p>
    <w:p w14:paraId="080ACD92">
      <w:pPr>
        <w:spacing w:line="360" w:lineRule="auto"/>
        <w:ind w:firstLine="420"/>
        <w:rPr>
          <w:rFonts w:ascii="宋体" w:hAnsi="宋体" w:cs="宋体"/>
          <w:u w:val="single"/>
        </w:rPr>
      </w:pPr>
      <w:r>
        <w:rPr>
          <w:rFonts w:hint="eastAsia" w:ascii="宋体" w:hAnsi="宋体" w:cs="宋体"/>
        </w:rPr>
        <w:t>采购人（甲方）：</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u w:val="single"/>
        </w:rPr>
        <w:t xml:space="preserve">   </w:t>
      </w:r>
      <w:r>
        <w:rPr>
          <w:rFonts w:hint="eastAsia" w:ascii="宋体" w:hAnsi="宋体" w:cs="宋体"/>
        </w:rPr>
        <w:t xml:space="preserve">   供应商（乙方）：</w:t>
      </w:r>
      <w:r>
        <w:rPr>
          <w:rFonts w:ascii="宋体" w:hAnsi="宋体" w:cs="宋体"/>
          <w:u w:val="single"/>
        </w:rPr>
        <w:t xml:space="preserve">                    </w:t>
      </w:r>
    </w:p>
    <w:p w14:paraId="71FB2E53">
      <w:pPr>
        <w:spacing w:line="360" w:lineRule="auto"/>
        <w:ind w:firstLine="420"/>
        <w:rPr>
          <w:rFonts w:ascii="宋体" w:hAnsi="宋体" w:cs="宋体"/>
          <w:u w:val="single"/>
        </w:rPr>
      </w:pPr>
      <w:r>
        <w:rPr>
          <w:rFonts w:hint="eastAsia" w:ascii="宋体" w:hAnsi="宋体" w:cs="宋体"/>
        </w:rPr>
        <w:t>项目名称：</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w:t>
      </w:r>
      <w:r>
        <w:rPr>
          <w:rFonts w:ascii="宋体" w:hAnsi="宋体" w:cs="宋体"/>
        </w:rPr>
        <w:t xml:space="preserve">   </w:t>
      </w:r>
      <w:r>
        <w:rPr>
          <w:rFonts w:hint="eastAsia" w:ascii="宋体" w:hAnsi="宋体" w:cs="宋体"/>
        </w:rPr>
        <w:t>项目编号：</w:t>
      </w:r>
      <w:r>
        <w:rPr>
          <w:rFonts w:ascii="宋体" w:hAnsi="宋体" w:cs="宋体"/>
          <w:u w:val="single"/>
        </w:rPr>
        <w:t xml:space="preserve">                          </w:t>
      </w:r>
    </w:p>
    <w:p w14:paraId="0ED69161">
      <w:pPr>
        <w:spacing w:line="360" w:lineRule="auto"/>
        <w:ind w:firstLine="420"/>
        <w:rPr>
          <w:rFonts w:ascii="宋体" w:hAnsi="宋体" w:cs="宋体"/>
          <w:u w:val="single"/>
        </w:rPr>
      </w:pPr>
      <w:r>
        <w:rPr>
          <w:rFonts w:hint="eastAsia" w:ascii="宋体" w:hAnsi="宋体" w:cs="宋体"/>
        </w:rPr>
        <w:t>签订地点：</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u w:val="single"/>
        </w:rPr>
        <w:t xml:space="preserve"> </w:t>
      </w:r>
      <w:r>
        <w:rPr>
          <w:rFonts w:hint="eastAsia" w:ascii="宋体" w:hAnsi="宋体" w:cs="宋体"/>
        </w:rPr>
        <w:t xml:space="preserve">   签订时间：</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w:t>
      </w:r>
    </w:p>
    <w:p w14:paraId="77A78DEE">
      <w:pPr>
        <w:spacing w:line="360" w:lineRule="auto"/>
        <w:ind w:firstLine="420"/>
        <w:rPr>
          <w:rFonts w:ascii="宋体" w:hAnsi="宋体" w:cs="宋体"/>
        </w:rPr>
      </w:pPr>
      <w:r>
        <w:rPr>
          <w:rFonts w:hint="eastAsia" w:ascii="宋体" w:hAnsi="宋体" w:cs="宋体"/>
        </w:rPr>
        <w:t>本合同为中小企业预留合同：</w:t>
      </w:r>
      <w:r>
        <w:rPr>
          <w:rFonts w:hint="eastAsia" w:ascii="宋体" w:hAnsi="宋体" w:cs="宋体"/>
          <w:u w:val="single"/>
        </w:rPr>
        <w:t>（是/否）</w:t>
      </w:r>
      <w:r>
        <w:rPr>
          <w:rFonts w:hint="eastAsia" w:ascii="宋体" w:hAnsi="宋体" w:cs="宋体"/>
        </w:rPr>
        <w:t>。</w:t>
      </w:r>
    </w:p>
    <w:p w14:paraId="69F79172">
      <w:pPr>
        <w:spacing w:line="360" w:lineRule="auto"/>
        <w:ind w:firstLine="420"/>
        <w:rPr>
          <w:rFonts w:ascii="宋体" w:hAnsi="宋体" w:cs="宋体"/>
        </w:rPr>
      </w:pPr>
    </w:p>
    <w:p w14:paraId="67E63C9A">
      <w:pPr>
        <w:snapToGrid w:val="0"/>
        <w:ind w:firstLine="420"/>
        <w:jc w:val="left"/>
        <w:rPr>
          <w:rFonts w:ascii="宋体" w:hAnsi="宋体"/>
        </w:rPr>
      </w:pPr>
      <w:r>
        <w:rPr>
          <w:rFonts w:hint="eastAsia" w:ascii="宋体" w:hAnsi="宋体"/>
          <w:bCs/>
        </w:rPr>
        <w:t>根据《中华人民共和国政府采购法》、《中华人民共和国民法典》等法律、法规规定，按照竞争性磋商文件（采购文件）规定条款和成交供应商响应文件承诺，</w:t>
      </w:r>
      <w:r>
        <w:rPr>
          <w:rFonts w:hint="eastAsia" w:ascii="宋体" w:hAnsi="宋体"/>
        </w:rPr>
        <w:t>甲乙双方签订本合同。</w:t>
      </w:r>
    </w:p>
    <w:p w14:paraId="51D83DEB">
      <w:pPr>
        <w:snapToGrid w:val="0"/>
        <w:spacing w:line="400" w:lineRule="atLeast"/>
        <w:ind w:firstLine="422"/>
        <w:rPr>
          <w:rFonts w:ascii="宋体" w:hAnsi="宋体"/>
          <w:b/>
        </w:rPr>
      </w:pPr>
      <w:r>
        <w:rPr>
          <w:rFonts w:hint="eastAsia" w:ascii="宋体" w:hAnsi="宋体"/>
          <w:b/>
        </w:rPr>
        <w:t>第一条　合同标的</w:t>
      </w:r>
    </w:p>
    <w:p w14:paraId="660ACD4F">
      <w:pPr>
        <w:tabs>
          <w:tab w:val="left" w:pos="8280"/>
        </w:tabs>
        <w:snapToGrid w:val="0"/>
        <w:spacing w:line="400" w:lineRule="atLeast"/>
        <w:ind w:right="26" w:firstLine="420"/>
        <w:rPr>
          <w:rFonts w:ascii="宋体" w:hAnsi="宋体"/>
        </w:rPr>
      </w:pPr>
      <w:r>
        <w:rPr>
          <w:rFonts w:hint="eastAsia" w:ascii="宋体" w:hAnsi="宋体"/>
        </w:rPr>
        <w:t>1.服务项目</w:t>
      </w:r>
    </w:p>
    <w:p w14:paraId="05E726DB">
      <w:pPr>
        <w:tabs>
          <w:tab w:val="left" w:pos="8280"/>
        </w:tabs>
        <w:snapToGrid w:val="0"/>
        <w:spacing w:line="400" w:lineRule="atLeast"/>
        <w:ind w:right="26" w:firstLine="420"/>
        <w:rPr>
          <w:rFonts w:ascii="宋体" w:hAnsi="宋体"/>
        </w:rPr>
      </w:pPr>
      <w:r>
        <w:rPr>
          <w:rFonts w:hint="eastAsia" w:ascii="宋体" w:hAnsi="宋体"/>
        </w:rPr>
        <w:t>乙方接受甲方委托，承担《</w:t>
      </w:r>
      <w:r>
        <w:rPr>
          <w:rFonts w:hint="eastAsia" w:ascii="宋体" w:hAnsi="宋体"/>
          <w:u w:val="single"/>
        </w:rPr>
        <w:t xml:space="preserve">            </w:t>
      </w:r>
      <w:r>
        <w:rPr>
          <w:rFonts w:hint="eastAsia" w:ascii="宋体" w:hAnsi="宋体"/>
        </w:rPr>
        <w:t>》项目实施工作，并为甲方提供技术服务，以满足甲方对本合同项目服务需求及要求。</w:t>
      </w:r>
      <w:r>
        <w:rPr>
          <w:rFonts w:hint="eastAsia" w:ascii="宋体" w:hAnsi="宋体"/>
          <w:b/>
          <w:u w:val="single"/>
        </w:rPr>
        <w:t>合同金额（大写）人民币                （¥       ）（详见报价表）</w:t>
      </w:r>
      <w:r>
        <w:rPr>
          <w:rFonts w:hint="eastAsia" w:ascii="宋体" w:hAnsi="宋体"/>
        </w:rPr>
        <w:t>。</w:t>
      </w:r>
    </w:p>
    <w:p w14:paraId="27C380EE">
      <w:pPr>
        <w:ind w:firstLine="420"/>
        <w:rPr>
          <w:rFonts w:ascii="宋体" w:hAnsi="宋体"/>
        </w:rPr>
      </w:pPr>
      <w:r>
        <w:rPr>
          <w:rFonts w:hint="eastAsia" w:ascii="宋体" w:hAnsi="宋体"/>
        </w:rPr>
        <w:t>2.项目服务所应实现的目标及技术要求以磋商文件和承诺约定为准。</w:t>
      </w:r>
    </w:p>
    <w:p w14:paraId="29563F0E">
      <w:pPr>
        <w:ind w:firstLine="420"/>
        <w:rPr>
          <w:rFonts w:ascii="宋体" w:hAnsi="宋体"/>
        </w:rPr>
      </w:pPr>
      <w:r>
        <w:rPr>
          <w:rFonts w:hint="eastAsia" w:ascii="宋体" w:hAnsi="宋体"/>
        </w:rPr>
        <w:t>3</w:t>
      </w:r>
      <w:r>
        <w:rPr>
          <w:rFonts w:ascii="宋体" w:hAnsi="宋体"/>
        </w:rPr>
        <w:t>.</w:t>
      </w:r>
      <w:r>
        <w:rPr>
          <w:rFonts w:hint="eastAsia" w:ascii="宋体" w:hAnsi="宋体"/>
        </w:rPr>
        <w:t>合同合计金额包括完成本项目采购要求、人员要求所产生的全部费用。如采购文件对其另有规定的，从其规定。</w:t>
      </w:r>
    </w:p>
    <w:p w14:paraId="35F1A4CD">
      <w:pPr>
        <w:ind w:firstLine="422"/>
        <w:rPr>
          <w:rFonts w:ascii="宋体" w:hAnsi="宋体"/>
          <w:b/>
        </w:rPr>
      </w:pPr>
      <w:r>
        <w:rPr>
          <w:rFonts w:hint="eastAsia" w:ascii="宋体" w:hAnsi="宋体"/>
          <w:b/>
        </w:rPr>
        <w:t>第二条　质量保证</w:t>
      </w:r>
    </w:p>
    <w:p w14:paraId="7AA84813">
      <w:pPr>
        <w:ind w:firstLine="420"/>
        <w:rPr>
          <w:rFonts w:ascii="宋体" w:hAnsi="宋体"/>
        </w:rPr>
      </w:pPr>
      <w:r>
        <w:rPr>
          <w:rFonts w:hint="eastAsia" w:ascii="宋体" w:hAnsi="宋体"/>
        </w:rPr>
        <w:t>1</w:t>
      </w:r>
      <w:r>
        <w:rPr>
          <w:rFonts w:ascii="宋体" w:hAnsi="宋体"/>
        </w:rPr>
        <w:t>.</w:t>
      </w:r>
      <w:r>
        <w:rPr>
          <w:rFonts w:hint="eastAsia" w:ascii="宋体" w:hAnsi="宋体"/>
        </w:rPr>
        <w:t>乙方所提供的服务必须与采购文件和响应承诺相一致。</w:t>
      </w:r>
    </w:p>
    <w:p w14:paraId="1C5C8966">
      <w:pPr>
        <w:ind w:firstLine="420"/>
        <w:rPr>
          <w:rFonts w:ascii="宋体" w:hAnsi="宋体"/>
        </w:rPr>
      </w:pPr>
      <w:r>
        <w:rPr>
          <w:rFonts w:hint="eastAsia" w:ascii="宋体" w:hAnsi="宋体"/>
        </w:rPr>
        <w:t>2</w:t>
      </w:r>
      <w:r>
        <w:rPr>
          <w:rFonts w:ascii="宋体" w:hAnsi="宋体"/>
        </w:rPr>
        <w:t>.</w:t>
      </w:r>
      <w:r>
        <w:rPr>
          <w:rFonts w:hint="eastAsia" w:ascii="宋体" w:hAnsi="宋体"/>
        </w:rPr>
        <w:t>乙方所提供的服务质量应达到采购文件要求和响应承诺的质量要求。</w:t>
      </w:r>
    </w:p>
    <w:p w14:paraId="3A593544">
      <w:pPr>
        <w:ind w:firstLine="422"/>
        <w:rPr>
          <w:rFonts w:ascii="宋体" w:hAnsi="宋体"/>
          <w:b/>
        </w:rPr>
      </w:pPr>
      <w:r>
        <w:rPr>
          <w:rFonts w:hint="eastAsia" w:ascii="宋体" w:hAnsi="宋体"/>
          <w:b/>
        </w:rPr>
        <w:t>第三条　权利保证</w:t>
      </w:r>
    </w:p>
    <w:p w14:paraId="3C1D94C9">
      <w:pPr>
        <w:ind w:firstLine="420"/>
        <w:rPr>
          <w:rFonts w:ascii="宋体" w:hAnsi="宋体"/>
        </w:rPr>
      </w:pPr>
      <w:r>
        <w:rPr>
          <w:rFonts w:hint="eastAsia" w:ascii="宋体" w:hAnsi="宋体"/>
        </w:rPr>
        <w:t>1.甲方根据工作需要，可为乙方提供相关资料等。</w:t>
      </w:r>
    </w:p>
    <w:p w14:paraId="14155E5C">
      <w:pPr>
        <w:ind w:firstLine="420"/>
        <w:rPr>
          <w:rFonts w:ascii="宋体" w:hAnsi="宋体"/>
        </w:rPr>
      </w:pPr>
      <w:r>
        <w:rPr>
          <w:rFonts w:hint="eastAsia" w:ascii="宋体" w:hAnsi="宋体"/>
        </w:rPr>
        <w:t>2.甲方有权定期了解乙方工作进展情况，并对乙方工作进行监督，提出合理建议。</w:t>
      </w:r>
    </w:p>
    <w:p w14:paraId="550BAB5B">
      <w:pPr>
        <w:ind w:firstLine="420"/>
        <w:rPr>
          <w:rFonts w:ascii="宋体" w:hAnsi="宋体"/>
        </w:rPr>
      </w:pPr>
      <w:r>
        <w:rPr>
          <w:rFonts w:hint="eastAsia" w:ascii="宋体" w:hAnsi="宋体"/>
        </w:rPr>
        <w:t>3.乙方应按规定时间节点内完成项目工作。</w:t>
      </w:r>
    </w:p>
    <w:p w14:paraId="26BB43A9">
      <w:pPr>
        <w:ind w:firstLine="420"/>
        <w:rPr>
          <w:rFonts w:ascii="宋体" w:hAnsi="宋体"/>
        </w:rPr>
      </w:pPr>
      <w:r>
        <w:rPr>
          <w:rFonts w:hint="eastAsia" w:ascii="宋体" w:hAnsi="宋体"/>
        </w:rPr>
        <w:t>4.乙方应委派具有相应能力、经验的员工为甲方提供服务，合同履行过程中，未经甲方同意，乙方不得随意更换项目人员（见合同附件《项目实施人员一览表》）。</w:t>
      </w:r>
    </w:p>
    <w:p w14:paraId="3E80F378">
      <w:pPr>
        <w:ind w:firstLine="420"/>
        <w:rPr>
          <w:rFonts w:ascii="宋体" w:hAnsi="宋体"/>
        </w:rPr>
      </w:pPr>
      <w:r>
        <w:rPr>
          <w:rFonts w:hint="eastAsia" w:ascii="宋体" w:hAnsi="宋体"/>
        </w:rPr>
        <w:t>5.合同履行过程中，乙方应根据甲方要求，定期向甲方汇报工作进展，并接受甲方监督。</w:t>
      </w:r>
    </w:p>
    <w:p w14:paraId="1B925353">
      <w:pPr>
        <w:ind w:firstLine="420"/>
        <w:rPr>
          <w:rFonts w:ascii="宋体" w:hAnsi="宋体"/>
        </w:rPr>
      </w:pPr>
      <w:r>
        <w:rPr>
          <w:rFonts w:hint="eastAsia" w:ascii="宋体" w:hAnsi="宋体"/>
        </w:rPr>
        <w:t>6.乙方有权根据本合同约定及工作需要，要求甲方提供与项目建设有关的信息与资料。</w:t>
      </w:r>
    </w:p>
    <w:p w14:paraId="2488A81D">
      <w:pPr>
        <w:ind w:firstLine="420"/>
        <w:rPr>
          <w:rFonts w:ascii="宋体" w:hAnsi="宋体"/>
        </w:rPr>
      </w:pPr>
      <w:r>
        <w:rPr>
          <w:rFonts w:hint="eastAsia" w:ascii="宋体" w:hAnsi="宋体"/>
        </w:rPr>
        <w:t>7.乙方有权要求甲方配合其工作，并要求甲方提供必要的协助。</w:t>
      </w:r>
    </w:p>
    <w:p w14:paraId="039CD60A">
      <w:pPr>
        <w:ind w:firstLine="420"/>
        <w:rPr>
          <w:rFonts w:ascii="宋体" w:hAnsi="宋体"/>
        </w:rPr>
      </w:pPr>
      <w:r>
        <w:rPr>
          <w:rFonts w:hint="eastAsia" w:ascii="宋体" w:hAnsi="宋体"/>
        </w:rPr>
        <w:t>8.乙方应保证在项目服务工作实施过程中不会侵犯任何第三方的专利权、著作权、商标权、工业设计权或其他权利。</w:t>
      </w:r>
    </w:p>
    <w:p w14:paraId="07388784">
      <w:pPr>
        <w:ind w:firstLine="420"/>
        <w:rPr>
          <w:rFonts w:ascii="宋体" w:hAnsi="宋体"/>
        </w:rPr>
      </w:pPr>
      <w:r>
        <w:rPr>
          <w:rFonts w:hint="eastAsia" w:ascii="宋体" w:hAnsi="宋体"/>
        </w:rPr>
        <w:t>9.乙方应按采购文件规定的时间向甲方提供项目实施工作有关技术资料。</w:t>
      </w:r>
    </w:p>
    <w:p w14:paraId="7FAAC5B8">
      <w:pPr>
        <w:ind w:firstLine="420"/>
        <w:rPr>
          <w:rFonts w:ascii="宋体" w:hAnsi="宋体"/>
        </w:rPr>
      </w:pPr>
      <w:r>
        <w:rPr>
          <w:rFonts w:hint="eastAsia" w:ascii="宋体" w:hAnsi="宋体"/>
        </w:rPr>
        <w:t>10.没有甲方事先书面同意，乙方不得将由甲方提供的有关合同或任何合同条文、规格、计划、图纸、样品或资料提供给与履行本合同无关的任何其他人。即使向履行本合同有关的人员提供，也应注意保密并限于履行合同的必需范围。乙方未履行保密义务的，按本合同第八条第7款承担违约责任。本合同终止保密条款继续有效。</w:t>
      </w:r>
    </w:p>
    <w:p w14:paraId="458DCDC1">
      <w:pPr>
        <w:ind w:firstLine="420"/>
        <w:rPr>
          <w:rFonts w:ascii="宋体" w:hAnsi="宋体"/>
        </w:rPr>
      </w:pPr>
      <w:r>
        <w:rPr>
          <w:rFonts w:hint="eastAsia" w:ascii="宋体" w:hAnsi="宋体"/>
        </w:rPr>
        <w:t>11.乙方保证所提供或交付的技术服务所有权完全属于乙方且无任何抵押、质押、查封等产权瑕疵。</w:t>
      </w:r>
    </w:p>
    <w:p w14:paraId="2B171DB7">
      <w:pPr>
        <w:ind w:firstLine="420"/>
        <w:rPr>
          <w:rFonts w:ascii="宋体" w:hAnsi="宋体"/>
        </w:rPr>
      </w:pPr>
      <w:r>
        <w:rPr>
          <w:rFonts w:hint="eastAsia" w:ascii="宋体" w:hAnsi="宋体"/>
        </w:rPr>
        <w:t>12.乙方所交付的技术成果知识产权归甲方所有（如采购文件另有约定的从其约定）。</w:t>
      </w:r>
    </w:p>
    <w:p w14:paraId="250EEA0D">
      <w:pPr>
        <w:ind w:firstLine="422"/>
        <w:rPr>
          <w:rFonts w:ascii="宋体" w:hAnsi="宋体"/>
          <w:b/>
        </w:rPr>
      </w:pPr>
      <w:r>
        <w:rPr>
          <w:rFonts w:hint="eastAsia" w:ascii="宋体" w:hAnsi="宋体"/>
          <w:b/>
        </w:rPr>
        <w:t>第四条　交付和验收</w:t>
      </w:r>
    </w:p>
    <w:p w14:paraId="1A60DEF5">
      <w:pPr>
        <w:snapToGrid w:val="0"/>
        <w:spacing w:line="400" w:lineRule="atLeast"/>
        <w:ind w:firstLine="420"/>
        <w:rPr>
          <w:rFonts w:ascii="宋体" w:hAnsi="宋体"/>
        </w:rPr>
      </w:pPr>
      <w:r>
        <w:rPr>
          <w:rFonts w:hint="eastAsia" w:ascii="宋体" w:hAnsi="宋体"/>
        </w:rPr>
        <w:t>1.服务时间及地点：</w:t>
      </w:r>
      <w:r>
        <w:rPr>
          <w:rFonts w:hint="eastAsia" w:ascii="宋体" w:hAnsi="宋体"/>
          <w:u w:val="single"/>
        </w:rPr>
        <w:t>见合同附件《商务响应表》</w:t>
      </w:r>
    </w:p>
    <w:p w14:paraId="50A53BB3">
      <w:pPr>
        <w:snapToGrid w:val="0"/>
        <w:spacing w:line="400" w:lineRule="atLeast"/>
        <w:ind w:firstLine="420"/>
        <w:rPr>
          <w:rFonts w:ascii="宋体" w:hAnsi="宋体"/>
        </w:rPr>
      </w:pPr>
      <w:r>
        <w:rPr>
          <w:rFonts w:hint="eastAsia" w:ascii="宋体" w:hAnsi="宋体"/>
        </w:rPr>
        <w:t>2.乙方应按照国家有关法律法规以及采购文件规定的服务内容、技术要求、质量标准和本合同所附的《服务方案》为甲方提供技术服务。乙方提供不符合采购文件和本合同规定的技术服务，甲方有权拒绝接受。</w:t>
      </w:r>
    </w:p>
    <w:p w14:paraId="759E4ADD">
      <w:pPr>
        <w:snapToGrid w:val="0"/>
        <w:spacing w:line="400" w:lineRule="atLeast"/>
        <w:ind w:firstLine="420"/>
        <w:rPr>
          <w:rFonts w:ascii="宋体" w:hAnsi="宋体"/>
        </w:rPr>
      </w:pPr>
      <w:r>
        <w:rPr>
          <w:rFonts w:hint="eastAsia" w:ascii="宋体" w:hAnsi="宋体"/>
        </w:rPr>
        <w:t>3.乙方向甲方提供无瑕疵的技术服务，并对项目质量负责。</w:t>
      </w:r>
    </w:p>
    <w:p w14:paraId="308B95F6">
      <w:pPr>
        <w:snapToGrid w:val="0"/>
        <w:spacing w:line="400" w:lineRule="atLeast"/>
        <w:ind w:firstLine="420"/>
        <w:rPr>
          <w:rFonts w:ascii="宋体" w:hAnsi="宋体"/>
        </w:rPr>
      </w:pPr>
      <w:r>
        <w:rPr>
          <w:rFonts w:hint="eastAsia" w:ascii="宋体" w:hAnsi="宋体"/>
        </w:rPr>
        <w:t>4.乙方应对提交的技术资料作出全面检查和整理，并列出清单，作为甲方验收和使用的技术条件依据，清单应交给甲方。</w:t>
      </w:r>
    </w:p>
    <w:p w14:paraId="24B96047">
      <w:pPr>
        <w:snapToGrid w:val="0"/>
        <w:spacing w:line="400" w:lineRule="atLeast"/>
        <w:ind w:firstLine="420"/>
        <w:rPr>
          <w:rFonts w:ascii="宋体" w:hAnsi="宋体"/>
        </w:rPr>
      </w:pPr>
      <w:r>
        <w:rPr>
          <w:rFonts w:hint="eastAsia" w:ascii="宋体" w:hAnsi="宋体"/>
        </w:rPr>
        <w:t>5.如采购文件已有约定的，乙方应按要求提交技术服务材料，如有缺失应及时补齐，否则视为逾期交付。</w:t>
      </w:r>
    </w:p>
    <w:p w14:paraId="514E47DD">
      <w:pPr>
        <w:snapToGrid w:val="0"/>
        <w:spacing w:line="400" w:lineRule="atLeast"/>
        <w:ind w:firstLine="420"/>
        <w:rPr>
          <w:rFonts w:ascii="宋体" w:hAnsi="宋体"/>
        </w:rPr>
      </w:pPr>
      <w:r>
        <w:rPr>
          <w:rFonts w:hint="eastAsia" w:ascii="宋体" w:hAnsi="宋体"/>
        </w:rPr>
        <w:t>6.验收合格后由甲乙双方签署验收单并加盖采购单位公章，甲乙双方各执一份。</w:t>
      </w:r>
    </w:p>
    <w:p w14:paraId="4C948570">
      <w:pPr>
        <w:ind w:firstLine="420"/>
        <w:rPr>
          <w:rFonts w:ascii="宋体" w:hAnsi="宋体"/>
        </w:rPr>
      </w:pPr>
      <w:r>
        <w:rPr>
          <w:rFonts w:hint="eastAsia" w:ascii="宋体" w:hAnsi="宋体"/>
        </w:rPr>
        <w:t>7.甲方对验收有异议的，在验收后五个工作日内以书面形式向乙方提出，乙方应自收到甲方书面异议后</w:t>
      </w:r>
      <w:r>
        <w:rPr>
          <w:rFonts w:hint="eastAsia" w:ascii="宋体" w:hAnsi="宋体"/>
          <w:u w:val="single"/>
        </w:rPr>
        <w:t xml:space="preserve"> 5个工作 </w:t>
      </w:r>
      <w:r>
        <w:rPr>
          <w:rFonts w:hint="eastAsia" w:ascii="宋体" w:hAnsi="宋体"/>
        </w:rPr>
        <w:t>日内及时予以解决。乙方必须无条件进行整改、修正，直至甲方验收通过。</w:t>
      </w:r>
    </w:p>
    <w:p w14:paraId="602D2F52">
      <w:pPr>
        <w:ind w:firstLine="420"/>
        <w:rPr>
          <w:rFonts w:ascii="宋体" w:hAnsi="宋体"/>
        </w:rPr>
      </w:pPr>
      <w:r>
        <w:rPr>
          <w:rFonts w:hint="eastAsia" w:ascii="宋体" w:hAnsi="宋体"/>
        </w:rPr>
        <w:t>8</w:t>
      </w:r>
      <w:r>
        <w:rPr>
          <w:rFonts w:ascii="宋体" w:hAnsi="宋体"/>
        </w:rPr>
        <w:t>.</w:t>
      </w:r>
      <w:r>
        <w:rPr>
          <w:rFonts w:hint="eastAsia" w:ascii="宋体" w:hAnsi="宋体"/>
        </w:rPr>
        <w:t>有关返工、再行验收给甲方造成的损失等费用均由乙方承担。拒不按要求整改（或经多次整改未能改善），或连续两次项目验收不合格的，或发现乙方有弄虚作假的行为，甲方将终止合同或不予验收，并追究乙方的责任，由此带来的一切损失由乙方自行承担。</w:t>
      </w:r>
    </w:p>
    <w:p w14:paraId="2633806B">
      <w:pPr>
        <w:ind w:firstLine="420"/>
        <w:rPr>
          <w:rFonts w:ascii="宋体" w:hAnsi="宋体"/>
        </w:rPr>
      </w:pPr>
      <w:r>
        <w:rPr>
          <w:rFonts w:ascii="宋体" w:hAnsi="宋体"/>
        </w:rPr>
        <w:t>9.</w:t>
      </w:r>
      <w:r>
        <w:rPr>
          <w:rFonts w:hint="eastAsia" w:ascii="宋体" w:hAnsi="宋体"/>
        </w:rPr>
        <w:t>其他未尽事宜应严格按照《关于印发广西壮族自治区政府采购项目履约验收管理办法的通知》[桂财采〔2015〕22号]以及《财政部关于进一步加强政府采购需求和履约验收管理的指导意见》[财库〔2016〕205号]规定执行。</w:t>
      </w:r>
    </w:p>
    <w:p w14:paraId="617F8AC8">
      <w:pPr>
        <w:snapToGrid w:val="0"/>
        <w:spacing w:line="400" w:lineRule="atLeast"/>
        <w:ind w:firstLine="422"/>
        <w:rPr>
          <w:rFonts w:ascii="宋体" w:hAnsi="宋体"/>
        </w:rPr>
      </w:pPr>
      <w:r>
        <w:rPr>
          <w:rFonts w:hint="eastAsia" w:ascii="宋体" w:hAnsi="宋体"/>
          <w:b/>
        </w:rPr>
        <w:t>第五条　付款方式</w:t>
      </w:r>
    </w:p>
    <w:p w14:paraId="6F114471">
      <w:pPr>
        <w:snapToGrid w:val="0"/>
        <w:spacing w:line="400" w:lineRule="atLeast"/>
        <w:ind w:firstLine="420"/>
        <w:rPr>
          <w:rFonts w:ascii="宋体" w:hAnsi="宋体" w:cs="Courier New"/>
        </w:rPr>
      </w:pPr>
      <w:r>
        <w:rPr>
          <w:rFonts w:hint="eastAsia" w:ascii="宋体" w:hAnsi="宋体" w:cs="Courier New"/>
          <w:bCs/>
        </w:rPr>
        <w:t>1.</w:t>
      </w:r>
      <w:r>
        <w:rPr>
          <w:rFonts w:hint="eastAsia" w:ascii="宋体" w:hAnsi="宋体" w:cs="Courier New"/>
        </w:rPr>
        <w:t>在合同履行期间，乙方无违约行文，甲方无合理理由而，乙方已开始实施工作的，甲方应根据乙方已进行的实际工作量给予适当的补偿。</w:t>
      </w:r>
    </w:p>
    <w:p w14:paraId="46CD1C45">
      <w:pPr>
        <w:snapToGrid w:val="0"/>
        <w:spacing w:line="400" w:lineRule="atLeast"/>
        <w:ind w:firstLine="420"/>
        <w:rPr>
          <w:rFonts w:ascii="宋体" w:hAnsi="宋体" w:cs="Courier New"/>
          <w:u w:val="single"/>
        </w:rPr>
      </w:pPr>
      <w:r>
        <w:rPr>
          <w:rFonts w:ascii="宋体" w:hAnsi="宋体"/>
        </w:rPr>
        <w:t>2</w:t>
      </w:r>
      <w:r>
        <w:rPr>
          <w:rFonts w:hint="eastAsia" w:ascii="宋体" w:hAnsi="宋体"/>
        </w:rPr>
        <w:t>.付款方式：</w:t>
      </w:r>
      <w:r>
        <w:rPr>
          <w:rFonts w:hint="eastAsia" w:ascii="宋体" w:hAnsi="宋体"/>
          <w:u w:val="single"/>
        </w:rPr>
        <w:t xml:space="preserve">                                                                    。</w:t>
      </w:r>
      <w:r>
        <w:rPr>
          <w:rFonts w:hint="eastAsia" w:ascii="宋体" w:hAnsi="宋体"/>
        </w:rPr>
        <w:t xml:space="preserve">              </w:t>
      </w:r>
    </w:p>
    <w:p w14:paraId="4D02B50E">
      <w:pPr>
        <w:ind w:firstLine="420"/>
        <w:rPr>
          <w:rFonts w:ascii="宋体" w:hAnsi="宋体"/>
        </w:rPr>
      </w:pPr>
      <w:r>
        <w:rPr>
          <w:rFonts w:ascii="宋体" w:hAnsi="宋体"/>
        </w:rPr>
        <w:t>4</w:t>
      </w:r>
      <w:r>
        <w:rPr>
          <w:rFonts w:hint="eastAsia" w:ascii="宋体" w:hAnsi="宋体"/>
        </w:rPr>
        <w:t>.乙方应在规定时间按要求完成服务工作，并按合同及投标承诺提供技术服务，合同期间，甲方不另行支付任何费用。</w:t>
      </w:r>
    </w:p>
    <w:p w14:paraId="28E6B143">
      <w:pPr>
        <w:ind w:firstLine="422"/>
        <w:rPr>
          <w:rFonts w:ascii="宋体" w:hAnsi="宋体"/>
          <w:b/>
        </w:rPr>
      </w:pPr>
      <w:r>
        <w:rPr>
          <w:rFonts w:hint="eastAsia" w:ascii="宋体" w:hAnsi="宋体"/>
          <w:b/>
        </w:rPr>
        <w:t>第六条　履约保证金</w:t>
      </w:r>
    </w:p>
    <w:p w14:paraId="35E9A488">
      <w:pPr>
        <w:ind w:firstLine="420"/>
        <w:rPr>
          <w:rFonts w:ascii="宋体" w:hAnsi="宋体"/>
        </w:rPr>
      </w:pPr>
      <w:r>
        <w:rPr>
          <w:rFonts w:hint="eastAsia" w:ascii="宋体" w:hAnsi="宋体"/>
          <w:u w:val="single"/>
        </w:rPr>
        <w:t>本项目合同无履约保证金</w:t>
      </w:r>
      <w:r>
        <w:rPr>
          <w:rFonts w:hint="eastAsia" w:ascii="宋体" w:hAnsi="宋体"/>
        </w:rPr>
        <w:t>。</w:t>
      </w:r>
    </w:p>
    <w:p w14:paraId="16A0A7DF">
      <w:pPr>
        <w:ind w:firstLine="422"/>
        <w:rPr>
          <w:rFonts w:ascii="宋体" w:hAnsi="宋体"/>
          <w:b/>
        </w:rPr>
      </w:pPr>
      <w:r>
        <w:rPr>
          <w:rFonts w:hint="eastAsia" w:ascii="宋体" w:hAnsi="宋体"/>
          <w:b/>
        </w:rPr>
        <w:t>第七条　税费</w:t>
      </w:r>
    </w:p>
    <w:p w14:paraId="089FC946">
      <w:pPr>
        <w:ind w:firstLine="420"/>
        <w:rPr>
          <w:rFonts w:ascii="宋体" w:hAnsi="宋体"/>
        </w:rPr>
      </w:pPr>
      <w:r>
        <w:rPr>
          <w:rFonts w:hint="eastAsia" w:ascii="宋体" w:hAnsi="宋体"/>
        </w:rPr>
        <w:t>本合同执行中相关的一切税费均由乙方承担。</w:t>
      </w:r>
    </w:p>
    <w:p w14:paraId="1762EBAF">
      <w:pPr>
        <w:snapToGrid w:val="0"/>
        <w:spacing w:line="400" w:lineRule="atLeast"/>
        <w:ind w:firstLine="422"/>
        <w:rPr>
          <w:rFonts w:ascii="宋体" w:hAnsi="宋体"/>
          <w:b/>
        </w:rPr>
      </w:pPr>
      <w:r>
        <w:rPr>
          <w:rFonts w:hint="eastAsia" w:ascii="宋体" w:hAnsi="宋体"/>
          <w:b/>
        </w:rPr>
        <w:t>第八条　违约责任</w:t>
      </w:r>
    </w:p>
    <w:p w14:paraId="309974FA">
      <w:pPr>
        <w:snapToGrid w:val="0"/>
        <w:spacing w:line="360" w:lineRule="exact"/>
        <w:ind w:firstLine="420"/>
        <w:rPr>
          <w:rFonts w:ascii="宋体" w:hAnsi="宋体"/>
        </w:rPr>
      </w:pPr>
      <w:r>
        <w:rPr>
          <w:rFonts w:hint="eastAsia" w:ascii="宋体" w:hAnsi="宋体"/>
        </w:rPr>
        <w:t>1.乙方所提供的服务成果、数量、服务项目要求(技术参数需求)等质量不符合磋商及响应文件、国家有关质量标准或本合同约定的，应及时调整，调整不及时的按本合同第八条第2款的约定按逾期提交成果处理；因特殊情况甲方同意接收不符合磋商及响应文件、国家有关质量标准或本合同约定的服务或报告的，乙方除承担逾期违约责任外，还应向甲方支付合同总价5%违约金。因乙方无法提供质量符合磋商及响应文件、国家有关质量标准或本合同约定的服务或报告的，甲方有权解除合同。</w:t>
      </w:r>
    </w:p>
    <w:p w14:paraId="1D2BF977">
      <w:pPr>
        <w:snapToGrid w:val="0"/>
        <w:spacing w:line="360" w:lineRule="exact"/>
        <w:ind w:firstLine="420"/>
        <w:rPr>
          <w:rFonts w:ascii="宋体" w:hAnsi="宋体"/>
        </w:rPr>
      </w:pPr>
      <w:r>
        <w:rPr>
          <w:rFonts w:hint="eastAsia" w:ascii="宋体" w:hAnsi="宋体"/>
        </w:rPr>
        <w:t xml:space="preserve">2.甲方无故延期接收服务成果、乙方逾期提交服务成果的，每天向对方偿付合同总价3‰违约金，但违约金累计不得超过合同总价5%。乙方逾期超过20天甲方有权解除合同。 </w:t>
      </w:r>
    </w:p>
    <w:p w14:paraId="419F6B75">
      <w:pPr>
        <w:snapToGrid w:val="0"/>
        <w:spacing w:line="400" w:lineRule="atLeast"/>
        <w:ind w:firstLine="420"/>
        <w:rPr>
          <w:rFonts w:ascii="宋体" w:hAnsi="宋体"/>
        </w:rPr>
      </w:pPr>
      <w:r>
        <w:rPr>
          <w:rFonts w:hint="eastAsia" w:ascii="宋体" w:hAnsi="宋体"/>
        </w:rPr>
        <w:t>3.乙方应当保证有权销售本合同的所有产品或技术服务，不会因此侵犯到第三人的所有权、知识产权等一切权利。属于第三人拥有知识产权的已经取得第三人合法授权，甲方有权不受限制的使用。若因违反本款约定引起的第三方任何纠纷或诉讼的均由乙方负责交涉解决并承担全部责任，包括甲方使用该产品或技术服务所需的授权费以及解决争议发生的一切费用（包括但不限于律师费、诉讼费、鉴定费等）均由乙方承担。如果不能取得使用许可需要另行购买产品或技术服务的，所需费用由乙方承担，并赔偿甲方因此受到的损失。如甲方为解决纠纷先行垫支了费用，乙方须在接到甲方通知之日起5个工作日内向甲方偿还完毕，并赔偿甲方全部经济损失。</w:t>
      </w:r>
    </w:p>
    <w:p w14:paraId="44613612">
      <w:pPr>
        <w:snapToGrid w:val="0"/>
        <w:spacing w:line="360" w:lineRule="exact"/>
        <w:ind w:firstLine="420"/>
        <w:rPr>
          <w:rFonts w:ascii="宋体" w:hAnsi="宋体"/>
        </w:rPr>
      </w:pPr>
      <w:r>
        <w:rPr>
          <w:rFonts w:hint="eastAsia" w:ascii="宋体" w:hAnsi="宋体"/>
        </w:rPr>
        <w:t>4.由于甲方的原因造成合同不能如期履行的，双方可根据具体情况顺延合同的履行期，对乙方因此遭受的损失，甲方应予以补偿。</w:t>
      </w:r>
    </w:p>
    <w:p w14:paraId="552CECA2">
      <w:pPr>
        <w:snapToGrid w:val="0"/>
        <w:spacing w:line="360" w:lineRule="exact"/>
        <w:ind w:firstLine="420"/>
        <w:rPr>
          <w:rFonts w:ascii="宋体" w:hAnsi="宋体"/>
        </w:rPr>
      </w:pPr>
      <w:r>
        <w:rPr>
          <w:rFonts w:hint="eastAsia" w:ascii="宋体" w:hAnsi="宋体"/>
        </w:rPr>
        <w:t>5.乙方不得将项目全部或部分进行转包、分包，如有违反，甲方有权解除合同，且乙方应向甲方一次性支付合同总价20%的违约金。</w:t>
      </w:r>
    </w:p>
    <w:p w14:paraId="587CC764">
      <w:pPr>
        <w:snapToGrid w:val="0"/>
        <w:spacing w:line="360" w:lineRule="exact"/>
        <w:ind w:firstLine="420"/>
        <w:rPr>
          <w:rFonts w:ascii="宋体" w:hAnsi="宋体"/>
        </w:rPr>
      </w:pPr>
      <w:r>
        <w:rPr>
          <w:rFonts w:hint="eastAsia" w:ascii="宋体" w:hAnsi="宋体"/>
        </w:rPr>
        <w:t>6.乙方未按本合同和响应文件中规定的服务承诺提供服务的，乙方应按合同总价</w:t>
      </w:r>
      <w:r>
        <w:rPr>
          <w:rFonts w:ascii="宋体" w:hAnsi="宋体"/>
        </w:rPr>
        <w:t>10</w:t>
      </w:r>
      <w:r>
        <w:rPr>
          <w:rFonts w:hint="eastAsia" w:ascii="宋体" w:hAnsi="宋体"/>
        </w:rPr>
        <w:t>%向甲方支付违约金。</w:t>
      </w:r>
    </w:p>
    <w:p w14:paraId="12402838">
      <w:pPr>
        <w:snapToGrid w:val="0"/>
        <w:spacing w:line="360" w:lineRule="exact"/>
        <w:ind w:firstLine="420"/>
        <w:rPr>
          <w:rFonts w:ascii="宋体" w:hAnsi="宋体"/>
        </w:rPr>
      </w:pPr>
      <w:r>
        <w:rPr>
          <w:rFonts w:hint="eastAsia" w:ascii="宋体" w:hAnsi="宋体"/>
        </w:rPr>
        <w:t>7.乙方有其它违约行为的，每发生一次按合同总价5%收取违约金。</w:t>
      </w:r>
    </w:p>
    <w:p w14:paraId="7574F25E">
      <w:pPr>
        <w:snapToGrid w:val="0"/>
        <w:spacing w:line="360" w:lineRule="exact"/>
        <w:ind w:firstLine="420"/>
        <w:rPr>
          <w:rFonts w:ascii="宋体" w:hAnsi="宋体"/>
        </w:rPr>
      </w:pPr>
      <w:r>
        <w:rPr>
          <w:rFonts w:hint="eastAsia" w:ascii="宋体" w:hAnsi="宋体"/>
        </w:rPr>
        <w:t>8.甲方根据本合同约定而解除合同的，有权不予支付任何款项给乙方，已经支付的，乙方应当自甲方要求返还之日起5日内予以返还，除合同有其他约定外，乙方还应支付合同总价5%的违约金给甲方并赔偿甲方经济损失。</w:t>
      </w:r>
    </w:p>
    <w:p w14:paraId="0BEBE5D4">
      <w:pPr>
        <w:snapToGrid w:val="0"/>
        <w:spacing w:line="400" w:lineRule="atLeast"/>
        <w:ind w:firstLine="420"/>
        <w:rPr>
          <w:rFonts w:ascii="宋体" w:hAnsi="宋体"/>
        </w:rPr>
      </w:pPr>
      <w:r>
        <w:rPr>
          <w:rFonts w:hint="eastAsia" w:ascii="宋体" w:hAnsi="宋体"/>
        </w:rPr>
        <w:t>9.当以上违约金不足以弥补甲方损失时，乙方还应对甲方超过违约金部分的损失依法承担赔偿责任，甲方有权继续向乙方追偿。乙方应当赔偿因此给甲方造成的所有损失，包括但不限于甲方直接损失、预期利益损失、向第三人承担的违约金、赔偿金、另行委托第三人的成本、为索赔支出的费用、律师费、诉讼费、仲裁费、调查费、公证费、鉴定费等。</w:t>
      </w:r>
    </w:p>
    <w:p w14:paraId="19EBA496">
      <w:pPr>
        <w:snapToGrid w:val="0"/>
        <w:spacing w:line="400" w:lineRule="atLeast"/>
        <w:ind w:firstLine="420"/>
        <w:rPr>
          <w:rFonts w:ascii="宋体" w:hAnsi="宋体"/>
        </w:rPr>
      </w:pPr>
      <w:r>
        <w:rPr>
          <w:rFonts w:hint="eastAsia" w:ascii="宋体" w:hAnsi="宋体"/>
        </w:rPr>
        <w:t xml:space="preserve">10.乙方未按期限完成项目工作或者项目工作的完成不符合约定的，乙方应根据本合同约定，向甲方支付违约金并赔偿甲方因此造成的经济损失（包括但不限于诉讼费、保全费、律师费等）。                                       </w:t>
      </w:r>
    </w:p>
    <w:p w14:paraId="17A64A6B">
      <w:pPr>
        <w:snapToGrid w:val="0"/>
        <w:spacing w:line="400" w:lineRule="atLeast"/>
        <w:ind w:firstLine="420"/>
        <w:rPr>
          <w:rFonts w:ascii="宋体" w:hAnsi="宋体"/>
        </w:rPr>
      </w:pPr>
      <w:r>
        <w:rPr>
          <w:rFonts w:hint="eastAsia" w:ascii="宋体" w:hAnsi="宋体"/>
        </w:rPr>
        <w:t>11.本合同签订后，乙方要求提前解除合同的，应向甲方支付本合同总价款30%的违约金，退还甲方已支付的全部费用并赔偿由此给甲方造成的全部损失。</w:t>
      </w:r>
    </w:p>
    <w:p w14:paraId="680E7497">
      <w:pPr>
        <w:snapToGrid w:val="0"/>
        <w:spacing w:line="400" w:lineRule="atLeast"/>
        <w:ind w:firstLine="420"/>
        <w:rPr>
          <w:rFonts w:ascii="宋体" w:hAnsi="宋体"/>
        </w:rPr>
      </w:pPr>
      <w:r>
        <w:rPr>
          <w:rFonts w:hint="eastAsia" w:ascii="宋体" w:hAnsi="宋体"/>
        </w:rPr>
        <w:t>12.乙方应当支付给甲方的违约金、赔偿金，甲方有权从未支付的合同款中扣除，违约金不足以赔偿给甲方造成损失的，甲方仍有权向乙方进行追偿。</w:t>
      </w:r>
    </w:p>
    <w:p w14:paraId="3566E5F5">
      <w:pPr>
        <w:snapToGrid w:val="0"/>
        <w:spacing w:line="400" w:lineRule="atLeast"/>
        <w:ind w:firstLine="420"/>
        <w:rPr>
          <w:rFonts w:ascii="宋体" w:hAnsi="宋体"/>
        </w:rPr>
      </w:pPr>
      <w:r>
        <w:rPr>
          <w:rFonts w:hint="eastAsia" w:ascii="宋体" w:hAnsi="宋体"/>
        </w:rPr>
        <w:t>13.按本合同约定甲方选择解除合同的，自甲方解除合同的书面通知送达乙方之日起合同解除，乙方应赔偿由此给甲方造成的全部损失。甲方不支付乙方任何费用，乙方对解除合同有异议的异议期为7日。乙方应当在合同解除后5日内退还甲方支付的所有费用（如有），自费运回所交付的产品，付清违约金、赔偿金。</w:t>
      </w:r>
    </w:p>
    <w:p w14:paraId="513B9F22">
      <w:pPr>
        <w:snapToGrid w:val="0"/>
        <w:spacing w:line="400" w:lineRule="atLeast"/>
        <w:ind w:firstLine="420"/>
        <w:rPr>
          <w:rFonts w:ascii="宋体" w:hAnsi="宋体"/>
        </w:rPr>
      </w:pPr>
      <w:r>
        <w:rPr>
          <w:rFonts w:hint="eastAsia" w:ascii="宋体" w:hAnsi="宋体"/>
        </w:rPr>
        <w:t>14.乙方违反本合同约定或法律规定的，应当赔偿给甲方造成的全部损失，包括但不限于直接损失、预期利益损失、甲方向第三人支付的违约金、赔偿金及甲方为索赔或应对第三方索赔而支出的诉讼费、律师费、公证费、保全费、担保费、鉴定费、评估费等全部费用。</w:t>
      </w:r>
    </w:p>
    <w:p w14:paraId="63853455">
      <w:pPr>
        <w:ind w:firstLine="420"/>
        <w:rPr>
          <w:rFonts w:ascii="宋体" w:hAnsi="宋体"/>
        </w:rPr>
      </w:pPr>
      <w:r>
        <w:rPr>
          <w:rFonts w:hint="eastAsia" w:ascii="宋体" w:hAnsi="宋体"/>
        </w:rPr>
        <w:t>1</w:t>
      </w:r>
      <w:r>
        <w:rPr>
          <w:rFonts w:ascii="宋体" w:hAnsi="宋体"/>
        </w:rPr>
        <w:t>5.</w:t>
      </w:r>
      <w:r>
        <w:rPr>
          <w:rFonts w:hint="eastAsia" w:ascii="宋体" w:hAnsi="宋体"/>
        </w:rPr>
        <w:t>出现以下情况之一的，甲方有权终止合同且无需支付合同解除后的合同后续费用，同时乙方应承担项目合同金额15%的违约金，并应当自收到甲方要求解除合同的函之日起5日内退还甲方已付出的所有服务费用，并赔偿由此给甲方造成的全部损失：</w:t>
      </w:r>
    </w:p>
    <w:p w14:paraId="31B25EC7">
      <w:pPr>
        <w:ind w:firstLine="420"/>
        <w:rPr>
          <w:rFonts w:ascii="宋体" w:hAnsi="宋体"/>
        </w:rPr>
      </w:pPr>
      <w:r>
        <w:rPr>
          <w:rFonts w:hint="eastAsia" w:ascii="宋体" w:hAnsi="宋体"/>
        </w:rPr>
        <w:t>（1）乙方未能按合同交付时间交付完整服务内容资料的。</w:t>
      </w:r>
    </w:p>
    <w:p w14:paraId="14CA4985">
      <w:pPr>
        <w:ind w:firstLine="420"/>
        <w:rPr>
          <w:rFonts w:ascii="宋体" w:hAnsi="宋体"/>
        </w:rPr>
      </w:pPr>
      <w:r>
        <w:rPr>
          <w:rFonts w:hint="eastAsia" w:ascii="宋体" w:hAnsi="宋体"/>
        </w:rPr>
        <w:t>（2）乙方未能按响应资料和甲方书面需求提供服务，甲方书面提出整改要求后，乙方未按期整改完毕的。</w:t>
      </w:r>
    </w:p>
    <w:p w14:paraId="60A22669">
      <w:pPr>
        <w:ind w:firstLine="420"/>
        <w:rPr>
          <w:rFonts w:ascii="宋体" w:hAnsi="宋体"/>
        </w:rPr>
      </w:pPr>
      <w:r>
        <w:rPr>
          <w:rFonts w:hint="eastAsia" w:ascii="宋体" w:hAnsi="宋体"/>
        </w:rPr>
        <w:t>（3）乙方不配合甲方进行验收的。</w:t>
      </w:r>
    </w:p>
    <w:p w14:paraId="6F0333F8">
      <w:pPr>
        <w:ind w:firstLine="422"/>
        <w:rPr>
          <w:rFonts w:ascii="宋体" w:hAnsi="宋体"/>
          <w:b/>
        </w:rPr>
      </w:pPr>
      <w:r>
        <w:rPr>
          <w:rFonts w:hint="eastAsia" w:ascii="宋体" w:hAnsi="宋体"/>
          <w:b/>
        </w:rPr>
        <w:t>第九条  不可抗力事件处理</w:t>
      </w:r>
    </w:p>
    <w:p w14:paraId="5ECC3F9F">
      <w:pPr>
        <w:ind w:firstLine="420"/>
        <w:rPr>
          <w:rFonts w:ascii="宋体" w:hAnsi="宋体"/>
        </w:rPr>
      </w:pPr>
      <w:r>
        <w:rPr>
          <w:rFonts w:hint="eastAsia" w:ascii="宋体" w:hAnsi="宋体"/>
        </w:rPr>
        <w:t>1</w:t>
      </w:r>
      <w:r>
        <w:rPr>
          <w:rFonts w:ascii="宋体" w:hAnsi="宋体"/>
        </w:rPr>
        <w:t>.</w:t>
      </w:r>
      <w:r>
        <w:rPr>
          <w:rFonts w:hint="eastAsia" w:ascii="宋体" w:hAnsi="宋体"/>
        </w:rPr>
        <w:t>在合同有效期内，任何一方因不可抗力事件导致不能履行合同，则合同履行期可延长，其延长期与不可抗力影响期相同。</w:t>
      </w:r>
    </w:p>
    <w:p w14:paraId="6C8C604B">
      <w:pPr>
        <w:ind w:firstLine="420"/>
        <w:rPr>
          <w:rFonts w:ascii="宋体" w:hAnsi="宋体"/>
        </w:rPr>
      </w:pPr>
      <w:r>
        <w:rPr>
          <w:rFonts w:hint="eastAsia" w:ascii="宋体" w:hAnsi="宋体"/>
        </w:rPr>
        <w:t>2</w:t>
      </w:r>
      <w:r>
        <w:rPr>
          <w:rFonts w:ascii="宋体" w:hAnsi="宋体"/>
        </w:rPr>
        <w:t>.</w:t>
      </w:r>
      <w:r>
        <w:rPr>
          <w:rFonts w:hint="eastAsia" w:ascii="宋体" w:hAnsi="宋体"/>
        </w:rPr>
        <w:t>不可抗力事件发生后，</w:t>
      </w:r>
      <w:r>
        <w:rPr>
          <w:rFonts w:hint="eastAsia" w:ascii="宋体" w:hAnsi="宋体"/>
          <w:kern w:val="0"/>
        </w:rPr>
        <w:t>应立即通知对方，并寄送有关权威机构出具的证明。声称受到不可抗力的一方应在任何时候采取合理的行动，以避免或尽量减少不可抗力事件的影响。因主观原因延误，未及时采取必要措施而导致损失扩大的，不能免除责任。</w:t>
      </w:r>
    </w:p>
    <w:p w14:paraId="211BC981">
      <w:pPr>
        <w:ind w:firstLine="420"/>
        <w:rPr>
          <w:rFonts w:ascii="宋体" w:hAnsi="宋体"/>
        </w:rPr>
      </w:pPr>
      <w:r>
        <w:rPr>
          <w:rFonts w:hint="eastAsia" w:ascii="宋体" w:hAnsi="宋体"/>
        </w:rPr>
        <w:t>3</w:t>
      </w:r>
      <w:r>
        <w:rPr>
          <w:rFonts w:ascii="宋体" w:hAnsi="宋体"/>
        </w:rPr>
        <w:t>.</w:t>
      </w:r>
      <w:r>
        <w:rPr>
          <w:rFonts w:hint="eastAsia" w:ascii="宋体" w:hAnsi="宋体"/>
        </w:rPr>
        <w:t>不可抗力事件延续一百二十天以上，双方应通过友好协商，确定是否继续履行合同。</w:t>
      </w:r>
    </w:p>
    <w:p w14:paraId="41306D0C">
      <w:pPr>
        <w:ind w:firstLine="422"/>
        <w:rPr>
          <w:rFonts w:ascii="宋体" w:hAnsi="宋体"/>
          <w:b/>
        </w:rPr>
      </w:pPr>
      <w:r>
        <w:rPr>
          <w:rFonts w:hint="eastAsia" w:ascii="宋体" w:hAnsi="宋体"/>
          <w:b/>
        </w:rPr>
        <w:t>第十条  合同争议解决</w:t>
      </w:r>
    </w:p>
    <w:p w14:paraId="4CCDF938">
      <w:pPr>
        <w:ind w:firstLine="420"/>
        <w:rPr>
          <w:rFonts w:ascii="宋体" w:hAnsi="宋体"/>
        </w:rPr>
      </w:pPr>
      <w:r>
        <w:rPr>
          <w:rFonts w:hint="eastAsia" w:ascii="宋体" w:hAnsi="宋体"/>
        </w:rPr>
        <w:t>1</w:t>
      </w:r>
      <w:r>
        <w:rPr>
          <w:rFonts w:ascii="宋体" w:hAnsi="宋体"/>
        </w:rPr>
        <w:t>.</w:t>
      </w:r>
      <w:r>
        <w:rPr>
          <w:rFonts w:hint="eastAsia" w:ascii="宋体" w:hAnsi="宋体"/>
        </w:rPr>
        <w:t>因服务质量问题发生争议的，应邀请国家认可的权威机构进行鉴定。服务符合标准的，鉴定费由甲方承担；服务不符合标准的，鉴定费由乙方承担。</w:t>
      </w:r>
    </w:p>
    <w:p w14:paraId="2010CDAD">
      <w:pPr>
        <w:ind w:firstLine="420"/>
        <w:rPr>
          <w:rFonts w:ascii="宋体" w:hAnsi="宋体"/>
        </w:rPr>
      </w:pPr>
      <w:r>
        <w:rPr>
          <w:rFonts w:hint="eastAsia" w:ascii="宋体" w:hAnsi="宋体"/>
        </w:rPr>
        <w:t>2</w:t>
      </w:r>
      <w:r>
        <w:rPr>
          <w:rFonts w:ascii="宋体" w:hAnsi="宋体"/>
        </w:rPr>
        <w:t>.</w:t>
      </w:r>
      <w:r>
        <w:rPr>
          <w:rFonts w:hint="eastAsia" w:ascii="宋体" w:hAnsi="宋体"/>
        </w:rPr>
        <w:t>因履行本合同引起的或与本合同有关的争议，甲乙双方应首先通过友好协商解决，如果协商不能解决，可向甲方所在地有管辖权的人民法院提起诉讼。</w:t>
      </w:r>
    </w:p>
    <w:p w14:paraId="6A57ECFC">
      <w:pPr>
        <w:ind w:firstLine="420"/>
        <w:rPr>
          <w:rFonts w:ascii="宋体" w:hAnsi="宋体"/>
        </w:rPr>
      </w:pPr>
      <w:r>
        <w:rPr>
          <w:rFonts w:ascii="宋体" w:hAnsi="宋体"/>
        </w:rPr>
        <w:t>3.</w:t>
      </w:r>
      <w:r>
        <w:rPr>
          <w:rFonts w:hint="eastAsia" w:ascii="宋体" w:hAnsi="宋体"/>
        </w:rPr>
        <w:t>诉讼期间，本合同继续履行。</w:t>
      </w:r>
    </w:p>
    <w:p w14:paraId="2247C614">
      <w:pPr>
        <w:ind w:firstLine="422"/>
        <w:rPr>
          <w:rFonts w:ascii="宋体" w:hAnsi="宋体"/>
          <w:b/>
        </w:rPr>
      </w:pPr>
      <w:r>
        <w:rPr>
          <w:rFonts w:hint="eastAsia" w:ascii="宋体" w:hAnsi="宋体"/>
          <w:b/>
        </w:rPr>
        <w:t>第十一条  合同的变更、终止与转让</w:t>
      </w:r>
    </w:p>
    <w:p w14:paraId="2231D56A">
      <w:pPr>
        <w:ind w:firstLine="420"/>
        <w:rPr>
          <w:rFonts w:ascii="宋体" w:hAnsi="宋体"/>
        </w:rPr>
      </w:pPr>
      <w:r>
        <w:rPr>
          <w:rFonts w:hint="eastAsia" w:ascii="宋体" w:hAnsi="宋体"/>
        </w:rPr>
        <w:t>1</w:t>
      </w:r>
      <w:r>
        <w:rPr>
          <w:rFonts w:ascii="宋体" w:hAnsi="宋体"/>
        </w:rPr>
        <w:t>.</w:t>
      </w:r>
      <w:r>
        <w:rPr>
          <w:rFonts w:hint="eastAsia" w:ascii="宋体" w:hAnsi="宋体"/>
        </w:rPr>
        <w:t>除《中华人民共和国政府采购法》第五十条规定的情形外，本合同一经签订，甲乙双方不得擅自变更、中止或终止。</w:t>
      </w:r>
    </w:p>
    <w:p w14:paraId="44787192">
      <w:pPr>
        <w:ind w:firstLine="420"/>
        <w:rPr>
          <w:rFonts w:ascii="宋体" w:hAnsi="宋体"/>
        </w:rPr>
      </w:pPr>
      <w:r>
        <w:rPr>
          <w:rFonts w:hint="eastAsia" w:ascii="宋体" w:hAnsi="宋体"/>
        </w:rPr>
        <w:t>2</w:t>
      </w:r>
      <w:r>
        <w:rPr>
          <w:rFonts w:ascii="宋体" w:hAnsi="宋体"/>
        </w:rPr>
        <w:t>.</w:t>
      </w:r>
      <w:r>
        <w:rPr>
          <w:rFonts w:hint="eastAsia" w:ascii="宋体" w:hAnsi="宋体"/>
        </w:rPr>
        <w:t>乙方不得擅自转让其应履行的合同义务。</w:t>
      </w:r>
    </w:p>
    <w:p w14:paraId="4E76A53F">
      <w:pPr>
        <w:ind w:firstLine="420"/>
        <w:rPr>
          <w:rFonts w:ascii="宋体" w:hAnsi="宋体"/>
        </w:rPr>
      </w:pPr>
      <w:r>
        <w:rPr>
          <w:rFonts w:hint="eastAsia" w:ascii="宋体" w:hAnsi="宋体"/>
        </w:rPr>
        <w:t>3</w:t>
      </w:r>
      <w:r>
        <w:rPr>
          <w:rFonts w:ascii="宋体" w:hAnsi="宋体"/>
        </w:rPr>
        <w:t>.</w:t>
      </w:r>
      <w:r>
        <w:rPr>
          <w:rFonts w:hint="eastAsia" w:ascii="宋体" w:hAnsi="宋体"/>
        </w:rPr>
        <w:t>合同执行中涉及采购资金和采购内容修改或补充的，须签书面补充协议。</w:t>
      </w:r>
    </w:p>
    <w:p w14:paraId="57B81A7C">
      <w:pPr>
        <w:snapToGrid w:val="0"/>
        <w:spacing w:line="400" w:lineRule="atLeast"/>
        <w:ind w:firstLine="422"/>
        <w:rPr>
          <w:rFonts w:ascii="宋体" w:hAnsi="宋体"/>
          <w:b/>
          <w:bCs/>
          <w:kern w:val="0"/>
        </w:rPr>
      </w:pPr>
      <w:r>
        <w:rPr>
          <w:rFonts w:hint="eastAsia" w:ascii="宋体" w:hAnsi="宋体"/>
          <w:b/>
        </w:rPr>
        <w:t>第十二条　</w:t>
      </w:r>
      <w:r>
        <w:rPr>
          <w:rFonts w:hint="eastAsia" w:ascii="宋体" w:hAnsi="宋体"/>
          <w:b/>
          <w:bCs/>
          <w:kern w:val="0"/>
        </w:rPr>
        <w:t>合同组成及解释</w:t>
      </w:r>
    </w:p>
    <w:p w14:paraId="6897C041">
      <w:pPr>
        <w:snapToGrid w:val="0"/>
        <w:spacing w:line="400" w:lineRule="atLeast"/>
        <w:ind w:firstLine="420"/>
        <w:rPr>
          <w:rFonts w:ascii="宋体" w:hAnsi="宋体"/>
          <w:kern w:val="0"/>
        </w:rPr>
      </w:pPr>
      <w:r>
        <w:rPr>
          <w:rFonts w:hint="eastAsia" w:ascii="宋体" w:hAnsi="宋体"/>
          <w:kern w:val="0"/>
        </w:rPr>
        <w:t>1.本项目的采购文件（含采购答疑）、符合采购要求的竞标文件、甲方确认采购要求、本合同履行过程中双方签章确认的协议或其他文件均为本合同的组成部分，若合同组成文件之间发生矛盾的，以下排列顺序为合同组成文件之间的优先解释顺序：</w:t>
      </w:r>
    </w:p>
    <w:p w14:paraId="6057C7A4">
      <w:pPr>
        <w:snapToGrid w:val="0"/>
        <w:spacing w:line="400" w:lineRule="atLeast"/>
        <w:ind w:firstLine="420"/>
        <w:rPr>
          <w:rFonts w:ascii="宋体" w:hAnsi="宋体"/>
          <w:kern w:val="0"/>
        </w:rPr>
      </w:pPr>
      <w:r>
        <w:rPr>
          <w:rFonts w:hint="eastAsia" w:ascii="宋体" w:hAnsi="宋体"/>
          <w:kern w:val="0"/>
        </w:rPr>
        <w:t>（1）合同履行过程中双方签章确认的协议或其他文件；</w:t>
      </w:r>
    </w:p>
    <w:p w14:paraId="783D65EE">
      <w:pPr>
        <w:snapToGrid w:val="0"/>
        <w:spacing w:line="400" w:lineRule="atLeast"/>
        <w:ind w:firstLine="420"/>
        <w:rPr>
          <w:rFonts w:ascii="宋体" w:hAnsi="宋体"/>
          <w:kern w:val="0"/>
        </w:rPr>
      </w:pPr>
      <w:r>
        <w:rPr>
          <w:rFonts w:hint="eastAsia" w:ascii="宋体" w:hAnsi="宋体"/>
          <w:kern w:val="0"/>
        </w:rPr>
        <w:t>（2）甲方确认的采购要求；</w:t>
      </w:r>
    </w:p>
    <w:p w14:paraId="6E9A95B3">
      <w:pPr>
        <w:snapToGrid w:val="0"/>
        <w:spacing w:line="400" w:lineRule="atLeast"/>
        <w:ind w:firstLine="420"/>
        <w:rPr>
          <w:rFonts w:ascii="宋体" w:hAnsi="宋体"/>
          <w:kern w:val="0"/>
        </w:rPr>
      </w:pPr>
      <w:r>
        <w:rPr>
          <w:rFonts w:hint="eastAsia" w:ascii="宋体" w:hAnsi="宋体"/>
          <w:kern w:val="0"/>
        </w:rPr>
        <w:t>（3）合同附件；</w:t>
      </w:r>
    </w:p>
    <w:p w14:paraId="16255446">
      <w:pPr>
        <w:snapToGrid w:val="0"/>
        <w:spacing w:line="400" w:lineRule="atLeast"/>
        <w:ind w:firstLine="420"/>
        <w:rPr>
          <w:rFonts w:ascii="宋体" w:hAnsi="宋体"/>
          <w:kern w:val="0"/>
        </w:rPr>
      </w:pPr>
      <w:r>
        <w:rPr>
          <w:rFonts w:hint="eastAsia" w:ascii="宋体" w:hAnsi="宋体"/>
          <w:kern w:val="0"/>
        </w:rPr>
        <w:t>（4）中标或成交通知书；</w:t>
      </w:r>
    </w:p>
    <w:p w14:paraId="38835D1B">
      <w:pPr>
        <w:snapToGrid w:val="0"/>
        <w:spacing w:line="400" w:lineRule="atLeast"/>
        <w:ind w:firstLine="420"/>
        <w:rPr>
          <w:rFonts w:ascii="宋体" w:hAnsi="宋体"/>
          <w:kern w:val="0"/>
        </w:rPr>
      </w:pPr>
      <w:r>
        <w:rPr>
          <w:rFonts w:hint="eastAsia" w:ascii="宋体" w:hAnsi="宋体"/>
          <w:kern w:val="0"/>
        </w:rPr>
        <w:t>（5）采购文件(含答疑)；</w:t>
      </w:r>
    </w:p>
    <w:p w14:paraId="6413B0EA">
      <w:pPr>
        <w:snapToGrid w:val="0"/>
        <w:spacing w:line="400" w:lineRule="atLeast"/>
        <w:ind w:firstLine="420"/>
        <w:rPr>
          <w:rFonts w:ascii="宋体" w:hAnsi="宋体"/>
          <w:kern w:val="0"/>
        </w:rPr>
      </w:pPr>
      <w:r>
        <w:rPr>
          <w:rFonts w:hint="eastAsia" w:ascii="宋体" w:hAnsi="宋体"/>
          <w:kern w:val="0"/>
        </w:rPr>
        <w:t>（6）符合采购要求的投标文件；</w:t>
      </w:r>
    </w:p>
    <w:p w14:paraId="011D7A0E">
      <w:pPr>
        <w:snapToGrid w:val="0"/>
        <w:spacing w:line="400" w:lineRule="atLeast"/>
        <w:ind w:firstLine="420"/>
        <w:rPr>
          <w:rFonts w:ascii="宋体" w:hAnsi="宋体"/>
          <w:kern w:val="0"/>
        </w:rPr>
      </w:pPr>
      <w:r>
        <w:rPr>
          <w:rFonts w:hint="eastAsia" w:ascii="宋体" w:hAnsi="宋体"/>
          <w:kern w:val="0"/>
        </w:rPr>
        <w:t>（7）标准、规范及有关技术文件；</w:t>
      </w:r>
    </w:p>
    <w:p w14:paraId="036FB664">
      <w:pPr>
        <w:snapToGrid w:val="0"/>
        <w:spacing w:line="400" w:lineRule="atLeast"/>
        <w:ind w:firstLine="420"/>
        <w:rPr>
          <w:rFonts w:ascii="宋体" w:hAnsi="宋体"/>
          <w:kern w:val="0"/>
        </w:rPr>
      </w:pPr>
      <w:r>
        <w:rPr>
          <w:rFonts w:hint="eastAsia" w:ascii="宋体" w:hAnsi="宋体"/>
          <w:kern w:val="0"/>
        </w:rPr>
        <w:t>（8）其他合同文件。</w:t>
      </w:r>
    </w:p>
    <w:p w14:paraId="0951C152">
      <w:pPr>
        <w:snapToGrid w:val="0"/>
        <w:spacing w:line="400" w:lineRule="atLeast"/>
        <w:ind w:firstLine="420"/>
        <w:rPr>
          <w:rFonts w:ascii="宋体" w:hAnsi="宋体"/>
          <w:kern w:val="0"/>
        </w:rPr>
      </w:pPr>
      <w:r>
        <w:rPr>
          <w:rFonts w:hint="eastAsia" w:ascii="宋体" w:hAnsi="宋体"/>
          <w:kern w:val="0"/>
        </w:rPr>
        <w:t>2.前述文件应认为是互为补充和解释的，但如有互相矛盾之处，以前述文件所列顺序作为其优先解释的顺序，但如果某一文件对甲方权利维护更有利或对设计工作有更高、更严格要求的以该文件内容为准。</w:t>
      </w:r>
    </w:p>
    <w:p w14:paraId="60270CBC">
      <w:pPr>
        <w:ind w:firstLine="420"/>
        <w:rPr>
          <w:rFonts w:ascii="宋体" w:hAnsi="宋体"/>
          <w:kern w:val="0"/>
        </w:rPr>
      </w:pPr>
      <w:r>
        <w:rPr>
          <w:rFonts w:hint="eastAsia" w:ascii="宋体" w:hAnsi="宋体"/>
          <w:kern w:val="0"/>
        </w:rPr>
        <w:t>3.前述各项文件包括双方就该合同组成文件所作出的补充和修改，属于同一项文件的，应以最新签署的为准。</w:t>
      </w:r>
    </w:p>
    <w:p w14:paraId="3A17AFD2">
      <w:pPr>
        <w:snapToGrid w:val="0"/>
        <w:spacing w:line="400" w:lineRule="atLeast"/>
        <w:ind w:firstLine="422"/>
        <w:rPr>
          <w:rFonts w:ascii="宋体" w:hAnsi="宋体"/>
          <w:bCs/>
        </w:rPr>
      </w:pPr>
      <w:r>
        <w:rPr>
          <w:rFonts w:hint="eastAsia" w:ascii="宋体" w:hAnsi="宋体"/>
          <w:b/>
        </w:rPr>
        <w:t>第十三条　通知与送达</w:t>
      </w:r>
    </w:p>
    <w:p w14:paraId="7D1BC497">
      <w:pPr>
        <w:ind w:firstLine="420"/>
        <w:rPr>
          <w:rFonts w:ascii="宋体" w:hAnsi="宋体"/>
        </w:rPr>
      </w:pPr>
      <w:r>
        <w:rPr>
          <w:rFonts w:ascii="宋体" w:hAnsi="宋体"/>
        </w:rPr>
        <w:t>1.</w:t>
      </w:r>
      <w:r>
        <w:rPr>
          <w:rFonts w:hint="eastAsia" w:ascii="宋体" w:hAnsi="宋体"/>
        </w:rPr>
        <w:t>双方确认，以下为各方真实有效通讯地址：</w:t>
      </w:r>
    </w:p>
    <w:p w14:paraId="037A2E1E">
      <w:pPr>
        <w:ind w:firstLine="420"/>
        <w:rPr>
          <w:rFonts w:ascii="宋体" w:hAnsi="宋体"/>
        </w:rPr>
      </w:pPr>
      <w:r>
        <w:rPr>
          <w:rFonts w:hint="eastAsia" w:ascii="宋体" w:hAnsi="宋体"/>
        </w:rPr>
        <w:t>甲方：</w:t>
      </w:r>
      <w:r>
        <w:rPr>
          <w:rFonts w:hint="eastAsia" w:ascii="宋体" w:hAnsi="宋体"/>
          <w:u w:val="single"/>
        </w:rPr>
        <w:t xml:space="preserve">                           </w:t>
      </w:r>
      <w:r>
        <w:rPr>
          <w:rFonts w:hint="eastAsia" w:ascii="宋体" w:hAnsi="宋体"/>
        </w:rPr>
        <w:t>，地址：</w:t>
      </w:r>
      <w:r>
        <w:rPr>
          <w:rFonts w:hint="eastAsia" w:ascii="宋体" w:hAnsi="宋体"/>
          <w:u w:val="single"/>
        </w:rPr>
        <w:t xml:space="preserve">                                </w:t>
      </w:r>
      <w:r>
        <w:rPr>
          <w:rFonts w:hint="eastAsia" w:ascii="宋体" w:hAnsi="宋体"/>
        </w:rPr>
        <w:t>，收件人：</w:t>
      </w:r>
      <w:r>
        <w:rPr>
          <w:rFonts w:hint="eastAsia" w:ascii="宋体" w:hAnsi="宋体"/>
          <w:u w:val="single"/>
        </w:rPr>
        <w:t xml:space="preserve"> </w:t>
      </w:r>
      <w:r>
        <w:rPr>
          <w:rFonts w:ascii="宋体" w:hAnsi="宋体"/>
          <w:u w:val="single"/>
        </w:rPr>
        <w:t xml:space="preserve">    </w:t>
      </w:r>
      <w:r>
        <w:rPr>
          <w:rFonts w:hint="eastAsia" w:ascii="宋体" w:hAnsi="宋体"/>
        </w:rPr>
        <w:t>，联系电话：</w:t>
      </w:r>
      <w:r>
        <w:rPr>
          <w:rFonts w:ascii="宋体" w:hAnsi="宋体"/>
          <w:u w:val="single"/>
        </w:rPr>
        <w:t xml:space="preserve">          </w:t>
      </w:r>
      <w:r>
        <w:rPr>
          <w:rFonts w:hint="eastAsia" w:ascii="宋体" w:hAnsi="宋体"/>
        </w:rPr>
        <w:t>。</w:t>
      </w:r>
    </w:p>
    <w:p w14:paraId="192C06A1">
      <w:pPr>
        <w:ind w:firstLine="420"/>
        <w:rPr>
          <w:rFonts w:ascii="宋体" w:hAnsi="宋体"/>
        </w:rPr>
      </w:pPr>
      <w:r>
        <w:rPr>
          <w:rFonts w:hint="eastAsia" w:ascii="宋体" w:hAnsi="宋体"/>
        </w:rPr>
        <w:t>乙方：</w:t>
      </w:r>
      <w:r>
        <w:rPr>
          <w:rFonts w:hint="eastAsia" w:ascii="宋体" w:hAnsi="宋体"/>
          <w:u w:val="single"/>
        </w:rPr>
        <w:t xml:space="preserve">       </w:t>
      </w:r>
      <w:r>
        <w:rPr>
          <w:rFonts w:hint="eastAsia" w:ascii="宋体" w:hAnsi="宋体"/>
        </w:rPr>
        <w:t>，地址：</w:t>
      </w:r>
      <w:r>
        <w:rPr>
          <w:rFonts w:hint="eastAsia" w:ascii="宋体" w:hAnsi="宋体"/>
          <w:u w:val="single"/>
        </w:rPr>
        <w:t xml:space="preserve">          </w:t>
      </w:r>
      <w:r>
        <w:rPr>
          <w:rFonts w:hint="eastAsia" w:ascii="宋体" w:hAnsi="宋体"/>
        </w:rPr>
        <w:t>，收件人：</w:t>
      </w:r>
      <w:r>
        <w:rPr>
          <w:rFonts w:hint="eastAsia" w:ascii="宋体" w:hAnsi="宋体"/>
          <w:u w:val="single"/>
        </w:rPr>
        <w:t xml:space="preserve">          </w:t>
      </w:r>
      <w:r>
        <w:rPr>
          <w:rFonts w:hint="eastAsia" w:ascii="宋体" w:hAnsi="宋体"/>
        </w:rPr>
        <w:t>，联系电话：</w:t>
      </w:r>
      <w:r>
        <w:rPr>
          <w:rFonts w:hint="eastAsia" w:ascii="宋体" w:hAnsi="宋体"/>
          <w:u w:val="single"/>
        </w:rPr>
        <w:t xml:space="preserve">          </w:t>
      </w:r>
      <w:r>
        <w:rPr>
          <w:rFonts w:hint="eastAsia" w:ascii="宋体" w:hAnsi="宋体"/>
        </w:rPr>
        <w:t>。</w:t>
      </w:r>
    </w:p>
    <w:p w14:paraId="668F2138">
      <w:pPr>
        <w:snapToGrid w:val="0"/>
        <w:spacing w:line="400" w:lineRule="atLeast"/>
        <w:ind w:firstLine="420"/>
        <w:rPr>
          <w:rFonts w:ascii="宋体" w:hAnsi="宋体"/>
        </w:rPr>
      </w:pPr>
      <w:r>
        <w:rPr>
          <w:rFonts w:hint="eastAsia" w:ascii="宋体" w:hAnsi="宋体"/>
        </w:rPr>
        <w:t>2</w:t>
      </w:r>
      <w:r>
        <w:rPr>
          <w:rFonts w:ascii="宋体" w:hAnsi="宋体"/>
        </w:rPr>
        <w:t>.</w:t>
      </w:r>
      <w:r>
        <w:rPr>
          <w:rFonts w:hint="eastAsia" w:ascii="宋体" w:hAnsi="宋体"/>
        </w:rPr>
        <w:t>一方向对方发出的任何通知、信函和文件，以挂号信函或快递信函方式向对方地址邮寄有关通知、信函和文件的，自发出之日起第三日视为送达对方，挂号信函或快递信函的邮寄凭证即视为成功送达的有效凭证。一方地址变更的，</w:t>
      </w:r>
      <w:r>
        <w:rPr>
          <w:rFonts w:hint="eastAsia" w:ascii="宋体" w:hAnsi="宋体"/>
          <w:bCs/>
        </w:rPr>
        <w:t>应当在变更后3日内及时书面通知对方当事人，</w:t>
      </w:r>
      <w:r>
        <w:rPr>
          <w:rFonts w:hint="eastAsia" w:ascii="宋体" w:hAnsi="宋体"/>
        </w:rPr>
        <w:t>否则上述地址仍为真实有效通讯地址；</w:t>
      </w:r>
      <w:r>
        <w:rPr>
          <w:rFonts w:hint="eastAsia" w:ascii="宋体" w:hAnsi="宋体"/>
          <w:bCs/>
        </w:rPr>
        <w:t>对方当事人实际收到变更通知前的送达仍为有效送达。</w:t>
      </w:r>
      <w:r>
        <w:rPr>
          <w:rFonts w:hint="eastAsia" w:ascii="宋体" w:hAnsi="宋体"/>
        </w:rPr>
        <w:t>若为提交的，自对方签收时视为送达对方。</w:t>
      </w:r>
    </w:p>
    <w:p w14:paraId="3D715DC1">
      <w:pPr>
        <w:snapToGrid w:val="0"/>
        <w:spacing w:line="400" w:lineRule="atLeast"/>
        <w:ind w:firstLine="420"/>
        <w:rPr>
          <w:rFonts w:ascii="宋体" w:hAnsi="宋体"/>
          <w:bCs/>
        </w:rPr>
      </w:pPr>
      <w:r>
        <w:rPr>
          <w:rFonts w:hint="eastAsia" w:ascii="宋体" w:hAnsi="宋体"/>
          <w:bCs/>
        </w:rPr>
        <w:t>3</w:t>
      </w:r>
      <w:r>
        <w:rPr>
          <w:rFonts w:ascii="宋体" w:hAnsi="宋体"/>
          <w:bCs/>
        </w:rPr>
        <w:t>.</w:t>
      </w:r>
      <w:r>
        <w:rPr>
          <w:rFonts w:hint="eastAsia" w:ascii="宋体" w:hAnsi="宋体"/>
          <w:bCs/>
        </w:rPr>
        <w:t>若送达日为非工作日,则视为在下一工作日送达。</w:t>
      </w:r>
    </w:p>
    <w:p w14:paraId="7FED5333">
      <w:pPr>
        <w:ind w:firstLine="422"/>
        <w:rPr>
          <w:rFonts w:ascii="宋体" w:hAnsi="宋体"/>
          <w:b/>
        </w:rPr>
      </w:pPr>
      <w:r>
        <w:rPr>
          <w:rFonts w:hint="eastAsia" w:ascii="宋体" w:hAnsi="宋体"/>
          <w:b/>
        </w:rPr>
        <w:t>第十四条  合同生效及其它</w:t>
      </w:r>
    </w:p>
    <w:p w14:paraId="472965FB">
      <w:pPr>
        <w:ind w:firstLine="420"/>
        <w:rPr>
          <w:rFonts w:ascii="宋体" w:hAnsi="宋体"/>
        </w:rPr>
      </w:pPr>
      <w:r>
        <w:rPr>
          <w:rFonts w:hint="eastAsia" w:ascii="宋体" w:hAnsi="宋体"/>
        </w:rPr>
        <w:t>1</w:t>
      </w:r>
      <w:r>
        <w:rPr>
          <w:rFonts w:ascii="宋体" w:hAnsi="宋体"/>
        </w:rPr>
        <w:t>.</w:t>
      </w:r>
      <w:r>
        <w:rPr>
          <w:rFonts w:hint="eastAsia" w:ascii="宋体" w:hAnsi="宋体"/>
        </w:rPr>
        <w:t>合同经双方</w:t>
      </w:r>
      <w:r>
        <w:rPr>
          <w:rFonts w:hint="eastAsia" w:ascii="宋体" w:hAnsi="宋体"/>
          <w:lang w:eastAsia="zh-CN"/>
        </w:rPr>
        <w:t>法定代表人（负责人）</w:t>
      </w:r>
      <w:r>
        <w:rPr>
          <w:rFonts w:hint="eastAsia" w:ascii="宋体" w:hAnsi="宋体"/>
        </w:rPr>
        <w:t>或授权代表签字并加盖单位公章后生效。</w:t>
      </w:r>
    </w:p>
    <w:p w14:paraId="3239CF49">
      <w:pPr>
        <w:ind w:firstLine="420"/>
        <w:rPr>
          <w:rFonts w:ascii="宋体" w:hAnsi="宋体"/>
        </w:rPr>
      </w:pPr>
      <w:r>
        <w:rPr>
          <w:rFonts w:hint="eastAsia" w:ascii="宋体" w:hAnsi="宋体"/>
        </w:rPr>
        <w:t>2</w:t>
      </w:r>
      <w:r>
        <w:rPr>
          <w:rFonts w:ascii="宋体" w:hAnsi="宋体"/>
        </w:rPr>
        <w:t>.</w:t>
      </w:r>
      <w:r>
        <w:rPr>
          <w:rFonts w:hint="eastAsia" w:ascii="宋体" w:hAnsi="宋体"/>
        </w:rPr>
        <w:t>本合同未尽事宜，遵照《中华人民共和国民法典》有关条文执行。</w:t>
      </w:r>
    </w:p>
    <w:p w14:paraId="08F195C5">
      <w:pPr>
        <w:ind w:firstLine="420"/>
        <w:rPr>
          <w:rFonts w:ascii="宋体" w:hAnsi="宋体"/>
        </w:rPr>
      </w:pPr>
      <w:r>
        <w:rPr>
          <w:rFonts w:hint="eastAsia" w:ascii="宋体" w:hAnsi="宋体"/>
        </w:rPr>
        <w:t>3</w:t>
      </w:r>
      <w:r>
        <w:rPr>
          <w:rFonts w:ascii="宋体" w:hAnsi="宋体"/>
        </w:rPr>
        <w:t>.</w:t>
      </w:r>
      <w:r>
        <w:rPr>
          <w:rFonts w:hint="eastAsia" w:ascii="宋体" w:hAnsi="宋体"/>
        </w:rPr>
        <w:t>本合同一式六份，具有同等法律效力，甲方三份，乙方二份，采购代理机构一份。</w:t>
      </w:r>
      <w:r>
        <w:rPr>
          <w:rFonts w:hint="eastAsia" w:ascii="宋体" w:hAnsi="宋体" w:cs="宋体"/>
        </w:rPr>
        <w:t>本合同自签订之日起2个工作日内，甲方应当将采购合同在广西壮族自治区财政厅指定的媒体上公告。</w:t>
      </w:r>
    </w:p>
    <w:p w14:paraId="20949B13">
      <w:pPr>
        <w:snapToGrid w:val="0"/>
        <w:spacing w:line="360" w:lineRule="atLeast"/>
        <w:ind w:firstLine="420"/>
        <w:rPr>
          <w:rFonts w:ascii="宋体" w:hAnsi="宋体"/>
        </w:rPr>
      </w:pPr>
    </w:p>
    <w:tbl>
      <w:tblPr>
        <w:tblStyle w:val="39"/>
        <w:tblW w:w="10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9"/>
        <w:gridCol w:w="5069"/>
      </w:tblGrid>
      <w:tr w14:paraId="4255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5069" w:type="dxa"/>
            <w:tcBorders>
              <w:top w:val="single" w:color="auto" w:sz="4" w:space="0"/>
              <w:left w:val="single" w:color="auto" w:sz="4" w:space="0"/>
              <w:bottom w:val="single" w:color="auto" w:sz="4" w:space="0"/>
              <w:right w:val="single" w:color="auto" w:sz="4" w:space="0"/>
            </w:tcBorders>
            <w:vAlign w:val="center"/>
          </w:tcPr>
          <w:p w14:paraId="5F69F358">
            <w:pPr>
              <w:snapToGrid w:val="0"/>
              <w:spacing w:line="360" w:lineRule="atLeast"/>
              <w:ind w:firstLine="420"/>
              <w:rPr>
                <w:rFonts w:ascii="宋体" w:hAnsi="宋体"/>
              </w:rPr>
            </w:pPr>
            <w:r>
              <w:rPr>
                <w:rFonts w:hint="eastAsia" w:ascii="宋体" w:hAnsi="宋体"/>
              </w:rPr>
              <w:t xml:space="preserve">甲方（章）           </w:t>
            </w:r>
          </w:p>
          <w:p w14:paraId="1D8E634D">
            <w:pPr>
              <w:snapToGrid w:val="0"/>
              <w:spacing w:line="360" w:lineRule="atLeast"/>
              <w:ind w:firstLine="420"/>
              <w:rPr>
                <w:rFonts w:ascii="宋体" w:hAnsi="宋体"/>
              </w:rPr>
            </w:pPr>
          </w:p>
          <w:p w14:paraId="36D50831">
            <w:pPr>
              <w:snapToGrid w:val="0"/>
              <w:spacing w:line="360" w:lineRule="atLeast"/>
              <w:ind w:firstLine="945" w:firstLineChars="450"/>
              <w:jc w:val="right"/>
              <w:rPr>
                <w:rFonts w:ascii="宋体" w:hAnsi="宋体"/>
              </w:rPr>
            </w:pPr>
            <w:r>
              <w:rPr>
                <w:rFonts w:hint="eastAsia" w:ascii="宋体" w:hAnsi="宋体"/>
              </w:rPr>
              <w:t>年   月   日</w:t>
            </w:r>
          </w:p>
        </w:tc>
        <w:tc>
          <w:tcPr>
            <w:tcW w:w="5069" w:type="dxa"/>
            <w:tcBorders>
              <w:top w:val="single" w:color="auto" w:sz="4" w:space="0"/>
              <w:left w:val="single" w:color="auto" w:sz="4" w:space="0"/>
              <w:bottom w:val="single" w:color="auto" w:sz="4" w:space="0"/>
              <w:right w:val="single" w:color="auto" w:sz="4" w:space="0"/>
            </w:tcBorders>
            <w:vAlign w:val="center"/>
          </w:tcPr>
          <w:p w14:paraId="00898640">
            <w:pPr>
              <w:snapToGrid w:val="0"/>
              <w:spacing w:line="360" w:lineRule="atLeast"/>
              <w:ind w:firstLine="420"/>
              <w:rPr>
                <w:rFonts w:ascii="宋体" w:hAnsi="宋体"/>
              </w:rPr>
            </w:pPr>
            <w:r>
              <w:rPr>
                <w:rFonts w:hint="eastAsia" w:ascii="宋体" w:hAnsi="宋体"/>
              </w:rPr>
              <w:t xml:space="preserve">乙方（章）              </w:t>
            </w:r>
          </w:p>
          <w:p w14:paraId="57648766">
            <w:pPr>
              <w:snapToGrid w:val="0"/>
              <w:spacing w:line="360" w:lineRule="atLeast"/>
              <w:ind w:firstLine="420"/>
              <w:rPr>
                <w:rFonts w:ascii="宋体" w:hAnsi="宋体"/>
              </w:rPr>
            </w:pPr>
          </w:p>
          <w:p w14:paraId="1A463E34">
            <w:pPr>
              <w:snapToGrid w:val="0"/>
              <w:spacing w:line="360" w:lineRule="atLeast"/>
              <w:ind w:firstLine="420"/>
              <w:jc w:val="right"/>
              <w:rPr>
                <w:rFonts w:ascii="宋体" w:hAnsi="宋体"/>
              </w:rPr>
            </w:pPr>
            <w:r>
              <w:rPr>
                <w:rFonts w:hint="eastAsia" w:ascii="宋体" w:hAnsi="宋体"/>
              </w:rPr>
              <w:t xml:space="preserve"> 年   月   日</w:t>
            </w:r>
          </w:p>
        </w:tc>
      </w:tr>
      <w:tr w14:paraId="4A3E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069" w:type="dxa"/>
            <w:tcBorders>
              <w:top w:val="single" w:color="auto" w:sz="4" w:space="0"/>
              <w:left w:val="single" w:color="auto" w:sz="4" w:space="0"/>
              <w:bottom w:val="single" w:color="auto" w:sz="4" w:space="0"/>
              <w:right w:val="single" w:color="auto" w:sz="4" w:space="0"/>
            </w:tcBorders>
            <w:vAlign w:val="center"/>
          </w:tcPr>
          <w:p w14:paraId="22A2770B">
            <w:pPr>
              <w:snapToGrid w:val="0"/>
              <w:spacing w:line="360" w:lineRule="atLeast"/>
              <w:ind w:firstLine="420"/>
              <w:rPr>
                <w:rFonts w:ascii="宋体" w:hAnsi="宋体"/>
              </w:rPr>
            </w:pPr>
            <w:r>
              <w:rPr>
                <w:rFonts w:hint="eastAsia" w:ascii="宋体" w:hAnsi="宋体"/>
              </w:rPr>
              <w:t>单位地址：</w:t>
            </w:r>
          </w:p>
        </w:tc>
        <w:tc>
          <w:tcPr>
            <w:tcW w:w="5069" w:type="dxa"/>
            <w:tcBorders>
              <w:top w:val="single" w:color="auto" w:sz="4" w:space="0"/>
              <w:left w:val="single" w:color="auto" w:sz="4" w:space="0"/>
              <w:bottom w:val="single" w:color="auto" w:sz="4" w:space="0"/>
              <w:right w:val="single" w:color="auto" w:sz="4" w:space="0"/>
            </w:tcBorders>
            <w:vAlign w:val="center"/>
          </w:tcPr>
          <w:p w14:paraId="5F39A040">
            <w:pPr>
              <w:snapToGrid w:val="0"/>
              <w:spacing w:line="360" w:lineRule="atLeast"/>
              <w:ind w:firstLine="420"/>
              <w:rPr>
                <w:rFonts w:ascii="宋体" w:hAnsi="宋体"/>
              </w:rPr>
            </w:pPr>
            <w:r>
              <w:rPr>
                <w:rFonts w:hint="eastAsia" w:ascii="宋体" w:hAnsi="宋体"/>
              </w:rPr>
              <w:t>单位地址：</w:t>
            </w:r>
          </w:p>
        </w:tc>
      </w:tr>
      <w:tr w14:paraId="57F0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069" w:type="dxa"/>
            <w:tcBorders>
              <w:top w:val="single" w:color="auto" w:sz="4" w:space="0"/>
              <w:left w:val="single" w:color="auto" w:sz="4" w:space="0"/>
              <w:bottom w:val="single" w:color="auto" w:sz="4" w:space="0"/>
              <w:right w:val="single" w:color="auto" w:sz="4" w:space="0"/>
            </w:tcBorders>
            <w:vAlign w:val="center"/>
          </w:tcPr>
          <w:p w14:paraId="5612C7E8">
            <w:pPr>
              <w:snapToGrid w:val="0"/>
              <w:spacing w:line="360" w:lineRule="atLeast"/>
              <w:ind w:firstLine="420"/>
              <w:rPr>
                <w:rFonts w:ascii="宋体" w:hAnsi="宋体"/>
              </w:rPr>
            </w:pPr>
            <w:r>
              <w:rPr>
                <w:rFonts w:hint="eastAsia" w:ascii="宋体" w:hAnsi="宋体"/>
                <w:lang w:eastAsia="zh-CN"/>
              </w:rPr>
              <w:t>法定代表人（负责人）</w:t>
            </w:r>
            <w:r>
              <w:rPr>
                <w:rFonts w:hint="eastAsia" w:ascii="宋体" w:hAnsi="宋体"/>
              </w:rPr>
              <w:t>：</w:t>
            </w:r>
          </w:p>
        </w:tc>
        <w:tc>
          <w:tcPr>
            <w:tcW w:w="5069" w:type="dxa"/>
            <w:tcBorders>
              <w:top w:val="single" w:color="auto" w:sz="4" w:space="0"/>
              <w:left w:val="single" w:color="auto" w:sz="4" w:space="0"/>
              <w:bottom w:val="single" w:color="auto" w:sz="4" w:space="0"/>
              <w:right w:val="single" w:color="auto" w:sz="4" w:space="0"/>
            </w:tcBorders>
            <w:vAlign w:val="center"/>
          </w:tcPr>
          <w:p w14:paraId="784FB7D3">
            <w:pPr>
              <w:snapToGrid w:val="0"/>
              <w:spacing w:line="360" w:lineRule="atLeast"/>
              <w:ind w:firstLine="420"/>
              <w:rPr>
                <w:rFonts w:ascii="宋体" w:hAnsi="宋体"/>
              </w:rPr>
            </w:pPr>
            <w:r>
              <w:rPr>
                <w:rFonts w:hint="eastAsia" w:ascii="宋体" w:hAnsi="宋体"/>
                <w:lang w:eastAsia="zh-CN"/>
              </w:rPr>
              <w:t>法定代表人（负责人）</w:t>
            </w:r>
            <w:r>
              <w:rPr>
                <w:rFonts w:hint="eastAsia" w:ascii="宋体" w:hAnsi="宋体"/>
              </w:rPr>
              <w:t>：</w:t>
            </w:r>
          </w:p>
        </w:tc>
      </w:tr>
      <w:tr w14:paraId="27F37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069" w:type="dxa"/>
            <w:tcBorders>
              <w:top w:val="single" w:color="auto" w:sz="4" w:space="0"/>
              <w:left w:val="single" w:color="auto" w:sz="4" w:space="0"/>
              <w:bottom w:val="single" w:color="auto" w:sz="4" w:space="0"/>
              <w:right w:val="single" w:color="auto" w:sz="4" w:space="0"/>
            </w:tcBorders>
            <w:vAlign w:val="center"/>
          </w:tcPr>
          <w:p w14:paraId="0DE87D6F">
            <w:pPr>
              <w:snapToGrid w:val="0"/>
              <w:spacing w:line="360" w:lineRule="atLeast"/>
              <w:ind w:firstLine="420"/>
              <w:rPr>
                <w:rFonts w:ascii="宋体" w:hAnsi="宋体"/>
              </w:rPr>
            </w:pPr>
            <w:r>
              <w:rPr>
                <w:rFonts w:hint="eastAsia" w:ascii="宋体" w:hAnsi="宋体"/>
              </w:rPr>
              <w:t>委托代理人：</w:t>
            </w:r>
          </w:p>
        </w:tc>
        <w:tc>
          <w:tcPr>
            <w:tcW w:w="5069" w:type="dxa"/>
            <w:tcBorders>
              <w:top w:val="single" w:color="auto" w:sz="4" w:space="0"/>
              <w:left w:val="single" w:color="auto" w:sz="4" w:space="0"/>
              <w:bottom w:val="single" w:color="auto" w:sz="4" w:space="0"/>
              <w:right w:val="single" w:color="auto" w:sz="4" w:space="0"/>
            </w:tcBorders>
            <w:vAlign w:val="center"/>
          </w:tcPr>
          <w:p w14:paraId="58170A56">
            <w:pPr>
              <w:snapToGrid w:val="0"/>
              <w:spacing w:line="360" w:lineRule="atLeast"/>
              <w:ind w:firstLine="420"/>
              <w:rPr>
                <w:rFonts w:ascii="宋体" w:hAnsi="宋体"/>
              </w:rPr>
            </w:pPr>
            <w:r>
              <w:rPr>
                <w:rFonts w:hint="eastAsia" w:ascii="宋体" w:hAnsi="宋体"/>
              </w:rPr>
              <w:t>委托代理人：</w:t>
            </w:r>
          </w:p>
        </w:tc>
      </w:tr>
      <w:tr w14:paraId="028D6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069" w:type="dxa"/>
            <w:tcBorders>
              <w:top w:val="single" w:color="auto" w:sz="4" w:space="0"/>
              <w:left w:val="single" w:color="auto" w:sz="4" w:space="0"/>
              <w:bottom w:val="single" w:color="auto" w:sz="4" w:space="0"/>
              <w:right w:val="single" w:color="auto" w:sz="4" w:space="0"/>
            </w:tcBorders>
            <w:vAlign w:val="center"/>
          </w:tcPr>
          <w:p w14:paraId="0B0429DC">
            <w:pPr>
              <w:snapToGrid w:val="0"/>
              <w:spacing w:line="360" w:lineRule="atLeast"/>
              <w:ind w:firstLine="420"/>
              <w:rPr>
                <w:rFonts w:ascii="宋体" w:hAnsi="宋体"/>
              </w:rPr>
            </w:pPr>
            <w:r>
              <w:rPr>
                <w:rFonts w:hint="eastAsia" w:ascii="宋体" w:hAnsi="宋体"/>
              </w:rPr>
              <w:t>电话：</w:t>
            </w:r>
          </w:p>
        </w:tc>
        <w:tc>
          <w:tcPr>
            <w:tcW w:w="5069" w:type="dxa"/>
            <w:tcBorders>
              <w:top w:val="single" w:color="auto" w:sz="4" w:space="0"/>
              <w:left w:val="single" w:color="auto" w:sz="4" w:space="0"/>
              <w:bottom w:val="single" w:color="auto" w:sz="4" w:space="0"/>
              <w:right w:val="single" w:color="auto" w:sz="4" w:space="0"/>
            </w:tcBorders>
            <w:vAlign w:val="center"/>
          </w:tcPr>
          <w:p w14:paraId="17EE5335">
            <w:pPr>
              <w:snapToGrid w:val="0"/>
              <w:spacing w:line="360" w:lineRule="atLeast"/>
              <w:ind w:firstLine="420"/>
              <w:rPr>
                <w:rFonts w:ascii="宋体" w:hAnsi="宋体"/>
              </w:rPr>
            </w:pPr>
            <w:r>
              <w:rPr>
                <w:rFonts w:hint="eastAsia" w:ascii="宋体" w:hAnsi="宋体"/>
              </w:rPr>
              <w:t>电话：</w:t>
            </w:r>
          </w:p>
        </w:tc>
      </w:tr>
      <w:tr w14:paraId="4676D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069" w:type="dxa"/>
            <w:tcBorders>
              <w:top w:val="single" w:color="auto" w:sz="4" w:space="0"/>
              <w:left w:val="single" w:color="auto" w:sz="4" w:space="0"/>
              <w:bottom w:val="single" w:color="auto" w:sz="4" w:space="0"/>
              <w:right w:val="single" w:color="auto" w:sz="4" w:space="0"/>
            </w:tcBorders>
            <w:vAlign w:val="center"/>
          </w:tcPr>
          <w:p w14:paraId="3E1B4711">
            <w:pPr>
              <w:snapToGrid w:val="0"/>
              <w:spacing w:line="360" w:lineRule="atLeast"/>
              <w:ind w:firstLine="420"/>
              <w:rPr>
                <w:rFonts w:ascii="宋体" w:hAnsi="宋体"/>
              </w:rPr>
            </w:pPr>
            <w:r>
              <w:rPr>
                <w:rFonts w:hint="eastAsia" w:ascii="宋体" w:hAnsi="宋体"/>
              </w:rPr>
              <w:t>传真：</w:t>
            </w:r>
          </w:p>
        </w:tc>
        <w:tc>
          <w:tcPr>
            <w:tcW w:w="5069" w:type="dxa"/>
            <w:tcBorders>
              <w:top w:val="single" w:color="auto" w:sz="4" w:space="0"/>
              <w:left w:val="single" w:color="auto" w:sz="4" w:space="0"/>
              <w:bottom w:val="single" w:color="auto" w:sz="4" w:space="0"/>
              <w:right w:val="single" w:color="auto" w:sz="4" w:space="0"/>
            </w:tcBorders>
            <w:vAlign w:val="center"/>
          </w:tcPr>
          <w:p w14:paraId="3BE1A5D3">
            <w:pPr>
              <w:snapToGrid w:val="0"/>
              <w:spacing w:line="360" w:lineRule="atLeast"/>
              <w:ind w:firstLine="420"/>
              <w:rPr>
                <w:rFonts w:ascii="宋体" w:hAnsi="宋体"/>
              </w:rPr>
            </w:pPr>
            <w:r>
              <w:rPr>
                <w:rFonts w:hint="eastAsia" w:ascii="宋体" w:hAnsi="宋体"/>
              </w:rPr>
              <w:t>传真：</w:t>
            </w:r>
          </w:p>
        </w:tc>
      </w:tr>
      <w:tr w14:paraId="0105C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069" w:type="dxa"/>
            <w:tcBorders>
              <w:top w:val="single" w:color="auto" w:sz="4" w:space="0"/>
              <w:left w:val="single" w:color="auto" w:sz="4" w:space="0"/>
              <w:bottom w:val="single" w:color="auto" w:sz="4" w:space="0"/>
              <w:right w:val="single" w:color="auto" w:sz="4" w:space="0"/>
            </w:tcBorders>
            <w:vAlign w:val="center"/>
          </w:tcPr>
          <w:p w14:paraId="0184D14C">
            <w:pPr>
              <w:snapToGrid w:val="0"/>
              <w:spacing w:line="360" w:lineRule="atLeast"/>
              <w:ind w:firstLine="420"/>
              <w:rPr>
                <w:rFonts w:ascii="宋体" w:hAnsi="宋体"/>
              </w:rPr>
            </w:pPr>
            <w:r>
              <w:rPr>
                <w:rFonts w:hint="eastAsia" w:ascii="宋体" w:hAnsi="宋体"/>
              </w:rPr>
              <w:t>电子邮箱：</w:t>
            </w:r>
          </w:p>
        </w:tc>
        <w:tc>
          <w:tcPr>
            <w:tcW w:w="5069" w:type="dxa"/>
            <w:tcBorders>
              <w:top w:val="single" w:color="auto" w:sz="4" w:space="0"/>
              <w:left w:val="single" w:color="auto" w:sz="4" w:space="0"/>
              <w:bottom w:val="single" w:color="auto" w:sz="4" w:space="0"/>
              <w:right w:val="single" w:color="auto" w:sz="4" w:space="0"/>
            </w:tcBorders>
            <w:vAlign w:val="center"/>
          </w:tcPr>
          <w:p w14:paraId="1757AC59">
            <w:pPr>
              <w:snapToGrid w:val="0"/>
              <w:spacing w:line="360" w:lineRule="atLeast"/>
              <w:ind w:firstLine="420"/>
              <w:rPr>
                <w:rFonts w:ascii="宋体" w:hAnsi="宋体"/>
              </w:rPr>
            </w:pPr>
            <w:r>
              <w:rPr>
                <w:rFonts w:hint="eastAsia" w:ascii="宋体" w:hAnsi="宋体"/>
              </w:rPr>
              <w:t>电子邮箱：</w:t>
            </w:r>
          </w:p>
        </w:tc>
      </w:tr>
      <w:tr w14:paraId="0A33A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069" w:type="dxa"/>
            <w:tcBorders>
              <w:top w:val="single" w:color="auto" w:sz="4" w:space="0"/>
              <w:left w:val="single" w:color="auto" w:sz="4" w:space="0"/>
              <w:bottom w:val="single" w:color="auto" w:sz="4" w:space="0"/>
              <w:right w:val="single" w:color="auto" w:sz="4" w:space="0"/>
            </w:tcBorders>
            <w:vAlign w:val="center"/>
          </w:tcPr>
          <w:p w14:paraId="69D84B80">
            <w:pPr>
              <w:snapToGrid w:val="0"/>
              <w:spacing w:line="360" w:lineRule="atLeast"/>
              <w:ind w:firstLine="420"/>
              <w:rPr>
                <w:rFonts w:ascii="宋体" w:hAnsi="宋体"/>
              </w:rPr>
            </w:pPr>
            <w:r>
              <w:rPr>
                <w:rFonts w:hint="eastAsia" w:ascii="宋体" w:hAnsi="宋体"/>
              </w:rPr>
              <w:t>开户银行：</w:t>
            </w:r>
          </w:p>
        </w:tc>
        <w:tc>
          <w:tcPr>
            <w:tcW w:w="5069" w:type="dxa"/>
            <w:tcBorders>
              <w:top w:val="single" w:color="auto" w:sz="4" w:space="0"/>
              <w:left w:val="single" w:color="auto" w:sz="4" w:space="0"/>
              <w:bottom w:val="single" w:color="auto" w:sz="4" w:space="0"/>
              <w:right w:val="single" w:color="auto" w:sz="4" w:space="0"/>
            </w:tcBorders>
            <w:vAlign w:val="center"/>
          </w:tcPr>
          <w:p w14:paraId="23DE2175">
            <w:pPr>
              <w:snapToGrid w:val="0"/>
              <w:spacing w:line="360" w:lineRule="atLeast"/>
              <w:ind w:firstLine="420"/>
              <w:rPr>
                <w:rFonts w:ascii="宋体" w:hAnsi="宋体"/>
              </w:rPr>
            </w:pPr>
            <w:r>
              <w:rPr>
                <w:rFonts w:hint="eastAsia" w:ascii="宋体" w:hAnsi="宋体"/>
              </w:rPr>
              <w:t>开户银行：</w:t>
            </w:r>
          </w:p>
        </w:tc>
      </w:tr>
      <w:tr w14:paraId="283B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069" w:type="dxa"/>
            <w:tcBorders>
              <w:top w:val="single" w:color="auto" w:sz="4" w:space="0"/>
              <w:left w:val="single" w:color="auto" w:sz="4" w:space="0"/>
              <w:bottom w:val="single" w:color="auto" w:sz="4" w:space="0"/>
              <w:right w:val="single" w:color="auto" w:sz="4" w:space="0"/>
            </w:tcBorders>
            <w:vAlign w:val="center"/>
          </w:tcPr>
          <w:p w14:paraId="554C8FE0">
            <w:pPr>
              <w:snapToGrid w:val="0"/>
              <w:spacing w:line="360" w:lineRule="atLeast"/>
              <w:ind w:firstLine="420"/>
              <w:rPr>
                <w:rFonts w:ascii="宋体" w:hAnsi="宋体"/>
              </w:rPr>
            </w:pPr>
            <w:r>
              <w:rPr>
                <w:rFonts w:hint="eastAsia" w:ascii="宋体" w:hAnsi="宋体"/>
              </w:rPr>
              <w:t>账号：</w:t>
            </w:r>
          </w:p>
        </w:tc>
        <w:tc>
          <w:tcPr>
            <w:tcW w:w="5069" w:type="dxa"/>
            <w:tcBorders>
              <w:top w:val="single" w:color="auto" w:sz="4" w:space="0"/>
              <w:left w:val="single" w:color="auto" w:sz="4" w:space="0"/>
              <w:bottom w:val="single" w:color="auto" w:sz="4" w:space="0"/>
              <w:right w:val="single" w:color="auto" w:sz="4" w:space="0"/>
            </w:tcBorders>
            <w:vAlign w:val="center"/>
          </w:tcPr>
          <w:p w14:paraId="098F7B96">
            <w:pPr>
              <w:snapToGrid w:val="0"/>
              <w:spacing w:line="360" w:lineRule="atLeast"/>
              <w:ind w:firstLine="420"/>
              <w:rPr>
                <w:rFonts w:ascii="宋体" w:hAnsi="宋体"/>
              </w:rPr>
            </w:pPr>
            <w:r>
              <w:rPr>
                <w:rFonts w:hint="eastAsia" w:ascii="宋体" w:hAnsi="宋体"/>
              </w:rPr>
              <w:t>账号：</w:t>
            </w:r>
          </w:p>
        </w:tc>
      </w:tr>
      <w:tr w14:paraId="024F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069" w:type="dxa"/>
            <w:tcBorders>
              <w:top w:val="single" w:color="auto" w:sz="4" w:space="0"/>
              <w:left w:val="single" w:color="auto" w:sz="4" w:space="0"/>
              <w:bottom w:val="single" w:color="auto" w:sz="4" w:space="0"/>
              <w:right w:val="single" w:color="auto" w:sz="4" w:space="0"/>
            </w:tcBorders>
            <w:vAlign w:val="center"/>
          </w:tcPr>
          <w:p w14:paraId="5F0932E5">
            <w:pPr>
              <w:snapToGrid w:val="0"/>
              <w:spacing w:line="360" w:lineRule="atLeast"/>
              <w:ind w:firstLine="420"/>
              <w:rPr>
                <w:rFonts w:ascii="宋体" w:hAnsi="宋体"/>
              </w:rPr>
            </w:pPr>
            <w:r>
              <w:rPr>
                <w:rFonts w:hint="eastAsia" w:ascii="宋体" w:hAnsi="宋体"/>
              </w:rPr>
              <w:t>纳税人识别号或统一社会信用代码：</w:t>
            </w:r>
          </w:p>
        </w:tc>
        <w:tc>
          <w:tcPr>
            <w:tcW w:w="5069" w:type="dxa"/>
            <w:tcBorders>
              <w:top w:val="single" w:color="auto" w:sz="4" w:space="0"/>
              <w:left w:val="single" w:color="auto" w:sz="4" w:space="0"/>
              <w:bottom w:val="single" w:color="auto" w:sz="4" w:space="0"/>
              <w:right w:val="single" w:color="auto" w:sz="4" w:space="0"/>
            </w:tcBorders>
            <w:vAlign w:val="center"/>
          </w:tcPr>
          <w:p w14:paraId="1A9285A9">
            <w:pPr>
              <w:snapToGrid w:val="0"/>
              <w:spacing w:line="360" w:lineRule="atLeast"/>
              <w:ind w:firstLine="420"/>
              <w:rPr>
                <w:rFonts w:ascii="宋体" w:hAnsi="宋体"/>
              </w:rPr>
            </w:pPr>
            <w:r>
              <w:rPr>
                <w:rFonts w:hint="eastAsia" w:ascii="宋体" w:hAnsi="宋体"/>
              </w:rPr>
              <w:t>纳税人识别号或统一社会信用代码：</w:t>
            </w:r>
          </w:p>
        </w:tc>
      </w:tr>
      <w:tr w14:paraId="3CF0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069" w:type="dxa"/>
            <w:tcBorders>
              <w:top w:val="single" w:color="auto" w:sz="4" w:space="0"/>
              <w:left w:val="single" w:color="auto" w:sz="4" w:space="0"/>
              <w:bottom w:val="single" w:color="auto" w:sz="4" w:space="0"/>
              <w:right w:val="single" w:color="auto" w:sz="4" w:space="0"/>
            </w:tcBorders>
            <w:vAlign w:val="center"/>
          </w:tcPr>
          <w:p w14:paraId="2DD47A67">
            <w:pPr>
              <w:snapToGrid w:val="0"/>
              <w:spacing w:line="360" w:lineRule="atLeast"/>
              <w:ind w:firstLine="420"/>
              <w:rPr>
                <w:rFonts w:ascii="宋体" w:hAnsi="宋体"/>
              </w:rPr>
            </w:pPr>
            <w:r>
              <w:rPr>
                <w:rFonts w:hint="eastAsia" w:ascii="宋体" w:hAnsi="宋体"/>
              </w:rPr>
              <w:t>邮政编码：</w:t>
            </w:r>
          </w:p>
        </w:tc>
        <w:tc>
          <w:tcPr>
            <w:tcW w:w="5069" w:type="dxa"/>
            <w:tcBorders>
              <w:top w:val="single" w:color="auto" w:sz="4" w:space="0"/>
              <w:left w:val="single" w:color="auto" w:sz="4" w:space="0"/>
              <w:bottom w:val="single" w:color="auto" w:sz="4" w:space="0"/>
              <w:right w:val="single" w:color="auto" w:sz="4" w:space="0"/>
            </w:tcBorders>
            <w:vAlign w:val="center"/>
          </w:tcPr>
          <w:p w14:paraId="27348EE9">
            <w:pPr>
              <w:snapToGrid w:val="0"/>
              <w:spacing w:line="360" w:lineRule="atLeast"/>
              <w:ind w:firstLine="420"/>
              <w:rPr>
                <w:rFonts w:ascii="宋体" w:hAnsi="宋体"/>
              </w:rPr>
            </w:pPr>
            <w:r>
              <w:rPr>
                <w:rFonts w:hint="eastAsia" w:ascii="宋体" w:hAnsi="宋体"/>
              </w:rPr>
              <w:t>邮政编码：</w:t>
            </w:r>
          </w:p>
        </w:tc>
      </w:tr>
    </w:tbl>
    <w:p w14:paraId="5DDE0861">
      <w:pPr>
        <w:spacing w:before="4"/>
        <w:ind w:firstLine="120"/>
        <w:rPr>
          <w:rFonts w:ascii="宋体" w:hAnsi="宋体" w:cs="宋体"/>
          <w:sz w:val="6"/>
          <w:szCs w:val="6"/>
        </w:rPr>
      </w:pPr>
    </w:p>
    <w:p w14:paraId="6AEC841D">
      <w:pPr>
        <w:ind w:firstLine="420"/>
      </w:pPr>
    </w:p>
    <w:p w14:paraId="121F55B2">
      <w:pPr>
        <w:pStyle w:val="22"/>
        <w:spacing w:line="340" w:lineRule="exact"/>
        <w:rPr>
          <w:rFonts w:hint="eastAsia" w:ascii="宋体" w:hAnsi="宋体" w:eastAsia="宋体"/>
          <w:b/>
          <w:color w:val="auto"/>
          <w:highlight w:val="none"/>
        </w:rPr>
      </w:pPr>
    </w:p>
    <w:p w14:paraId="10369680">
      <w:pPr>
        <w:rPr>
          <w:color w:val="FF0000"/>
          <w:highlight w:val="none"/>
        </w:rPr>
      </w:pPr>
    </w:p>
    <w:p w14:paraId="5F806676">
      <w:pPr>
        <w:rPr>
          <w:color w:val="FF0000"/>
          <w:highlight w:val="none"/>
        </w:rPr>
      </w:pPr>
    </w:p>
    <w:p w14:paraId="0A752A1A">
      <w:pPr>
        <w:rPr>
          <w:color w:val="auto"/>
          <w:highlight w:val="none"/>
        </w:rPr>
      </w:pPr>
    </w:p>
    <w:p w14:paraId="4A7732E4">
      <w:pPr>
        <w:rPr>
          <w:color w:val="auto"/>
          <w:highlight w:val="none"/>
        </w:rPr>
      </w:pPr>
    </w:p>
    <w:p w14:paraId="5691C0D0">
      <w:pPr>
        <w:rPr>
          <w:color w:val="auto"/>
          <w:highlight w:val="none"/>
        </w:rPr>
      </w:pPr>
    </w:p>
    <w:p w14:paraId="452F7A31">
      <w:pPr>
        <w:rPr>
          <w:color w:val="auto"/>
          <w:highlight w:val="none"/>
        </w:rPr>
      </w:pPr>
    </w:p>
    <w:p w14:paraId="7DEB7093">
      <w:pPr>
        <w:rPr>
          <w:color w:val="auto"/>
          <w:highlight w:val="none"/>
        </w:rPr>
      </w:pPr>
    </w:p>
    <w:p w14:paraId="23FAF036">
      <w:pPr>
        <w:rPr>
          <w:color w:val="auto"/>
          <w:highlight w:val="none"/>
        </w:rPr>
      </w:pPr>
    </w:p>
    <w:p w14:paraId="40982AA4">
      <w:pPr>
        <w:rPr>
          <w:color w:val="auto"/>
          <w:highlight w:val="none"/>
        </w:rPr>
      </w:pPr>
    </w:p>
    <w:p w14:paraId="03663393">
      <w:pPr>
        <w:rPr>
          <w:color w:val="auto"/>
          <w:highlight w:val="none"/>
        </w:rPr>
      </w:pPr>
    </w:p>
    <w:p w14:paraId="5ACD48FE">
      <w:pPr>
        <w:rPr>
          <w:color w:val="auto"/>
          <w:highlight w:val="none"/>
        </w:rPr>
      </w:pPr>
    </w:p>
    <w:p w14:paraId="019FFCBA">
      <w:pPr>
        <w:rPr>
          <w:color w:val="auto"/>
          <w:highlight w:val="none"/>
        </w:rPr>
      </w:pPr>
    </w:p>
    <w:p w14:paraId="5A5ADD50">
      <w:pPr>
        <w:rPr>
          <w:color w:val="auto"/>
          <w:highlight w:val="none"/>
        </w:rPr>
      </w:pPr>
    </w:p>
    <w:p w14:paraId="62BF4B66">
      <w:pPr>
        <w:rPr>
          <w:color w:val="auto"/>
          <w:highlight w:val="none"/>
        </w:rPr>
      </w:pPr>
    </w:p>
    <w:p w14:paraId="211B1259">
      <w:pPr>
        <w:rPr>
          <w:color w:val="auto"/>
          <w:highlight w:val="none"/>
        </w:rPr>
      </w:pPr>
    </w:p>
    <w:p w14:paraId="544BED29">
      <w:pPr>
        <w:rPr>
          <w:color w:val="auto"/>
          <w:highlight w:val="none"/>
        </w:rPr>
      </w:pPr>
    </w:p>
    <w:p w14:paraId="4E1E31AE">
      <w:pPr>
        <w:rPr>
          <w:color w:val="auto"/>
          <w:highlight w:val="none"/>
        </w:rPr>
      </w:pPr>
    </w:p>
    <w:p w14:paraId="66F7BD14">
      <w:pPr>
        <w:rPr>
          <w:color w:val="auto"/>
          <w:highlight w:val="none"/>
        </w:rPr>
      </w:pPr>
    </w:p>
    <w:p w14:paraId="0E31E4A5">
      <w:pPr>
        <w:rPr>
          <w:color w:val="auto"/>
          <w:highlight w:val="none"/>
        </w:rPr>
      </w:pPr>
    </w:p>
    <w:p w14:paraId="74AE7F46">
      <w:pPr>
        <w:rPr>
          <w:color w:val="auto"/>
          <w:highlight w:val="none"/>
        </w:rPr>
      </w:pPr>
    </w:p>
    <w:p w14:paraId="46061625">
      <w:pPr>
        <w:rPr>
          <w:color w:val="auto"/>
          <w:highlight w:val="none"/>
        </w:rPr>
      </w:pPr>
    </w:p>
    <w:p w14:paraId="38054C87">
      <w:pPr>
        <w:rPr>
          <w:color w:val="auto"/>
          <w:highlight w:val="none"/>
        </w:rPr>
      </w:pPr>
    </w:p>
    <w:p w14:paraId="137CA346">
      <w:pPr>
        <w:pStyle w:val="2"/>
        <w:spacing w:line="400" w:lineRule="exact"/>
        <w:rPr>
          <w:rFonts w:hAnsi="宋体"/>
          <w:color w:val="auto"/>
          <w:sz w:val="36"/>
          <w:szCs w:val="36"/>
          <w:highlight w:val="none"/>
        </w:rPr>
      </w:pPr>
      <w:bookmarkStart w:id="132" w:name="_Toc92355028"/>
      <w:bookmarkStart w:id="133" w:name="_Toc397585460"/>
      <w:r>
        <w:rPr>
          <w:rFonts w:hint="eastAsia" w:ascii="方正小标宋_GBK" w:hAnsi="方正小标宋_GBK" w:eastAsia="方正小标宋_GBK"/>
          <w:color w:val="auto"/>
          <w:highlight w:val="none"/>
        </w:rPr>
        <w:t>第六章  响应文件格式</w:t>
      </w:r>
      <w:bookmarkEnd w:id="132"/>
      <w:bookmarkEnd w:id="133"/>
      <w:r>
        <w:rPr>
          <w:b/>
          <w:color w:val="auto"/>
          <w:sz w:val="30"/>
          <w:szCs w:val="30"/>
          <w:highlight w:val="none"/>
        </w:rPr>
        <w:br w:type="page"/>
      </w:r>
      <w:r>
        <w:rPr>
          <w:rFonts w:hint="eastAsia" w:ascii="仿宋_GB2312"/>
          <w:b/>
          <w:bCs/>
          <w:color w:val="auto"/>
          <w:sz w:val="36"/>
          <w:szCs w:val="36"/>
          <w:highlight w:val="none"/>
        </w:rPr>
        <w:t>一、供应商资格文件</w:t>
      </w:r>
    </w:p>
    <w:p w14:paraId="766B597E">
      <w:pPr>
        <w:tabs>
          <w:tab w:val="left" w:pos="3402"/>
        </w:tabs>
        <w:rPr>
          <w:rFonts w:ascii="仿宋_GB2312" w:hAnsi="仿宋" w:eastAsia="仿宋_GB2312"/>
          <w:b/>
          <w:color w:val="auto"/>
          <w:spacing w:val="10"/>
          <w:szCs w:val="21"/>
          <w:highlight w:val="none"/>
        </w:rPr>
      </w:pPr>
      <w:bookmarkStart w:id="134" w:name="_Hlk108530892"/>
    </w:p>
    <w:p w14:paraId="4A3E4491">
      <w:pPr>
        <w:tabs>
          <w:tab w:val="left" w:pos="3402"/>
        </w:tabs>
        <w:ind w:firstLine="602"/>
        <w:jc w:val="center"/>
        <w:rPr>
          <w:rFonts w:ascii="仿宋_GB2312" w:hAnsi="Adobe 仿宋 Std R" w:eastAsia="仿宋_GB2312"/>
          <w:b/>
          <w:color w:val="auto"/>
          <w:spacing w:val="10"/>
          <w:sz w:val="32"/>
          <w:szCs w:val="32"/>
          <w:highlight w:val="none"/>
        </w:rPr>
      </w:pPr>
      <w:bookmarkStart w:id="135" w:name="_Hlk147761258"/>
      <w:r>
        <w:rPr>
          <w:rFonts w:hint="eastAsia" w:ascii="仿宋_GB2312" w:hAnsi="Adobe 仿宋 Std R" w:eastAsia="仿宋_GB2312"/>
          <w:b/>
          <w:color w:val="auto"/>
          <w:spacing w:val="10"/>
          <w:sz w:val="32"/>
          <w:szCs w:val="32"/>
          <w:highlight w:val="none"/>
        </w:rPr>
        <w:t>供应商具备参加政府采购活动条件的承诺书</w:t>
      </w:r>
      <w:bookmarkEnd w:id="135"/>
      <w:r>
        <w:rPr>
          <w:rFonts w:hint="eastAsia" w:ascii="仿宋_GB2312" w:hAnsi="Adobe 仿宋 Std R" w:eastAsia="仿宋_GB2312" w:cs="黑体"/>
          <w:bCs/>
          <w:color w:val="auto"/>
          <w:sz w:val="24"/>
          <w:highlight w:val="none"/>
        </w:rPr>
        <w:t>(格式)</w:t>
      </w:r>
    </w:p>
    <w:p w14:paraId="03368F4F">
      <w:pPr>
        <w:tabs>
          <w:tab w:val="left" w:pos="3402"/>
        </w:tabs>
        <w:jc w:val="left"/>
        <w:rPr>
          <w:rFonts w:ascii="仿宋_GB2312" w:hAnsi="仿宋" w:eastAsia="仿宋_GB2312"/>
          <w:b/>
          <w:color w:val="auto"/>
          <w:spacing w:val="10"/>
          <w:szCs w:val="21"/>
          <w:highlight w:val="none"/>
        </w:rPr>
      </w:pPr>
    </w:p>
    <w:p w14:paraId="5CF84535">
      <w:pPr>
        <w:spacing w:line="520" w:lineRule="exact"/>
        <w:rPr>
          <w:rFonts w:ascii="宋体" w:hAnsi="宋体"/>
          <w:bCs/>
          <w:color w:val="auto"/>
          <w:szCs w:val="22"/>
          <w:highlight w:val="none"/>
        </w:rPr>
      </w:pPr>
      <w:r>
        <w:rPr>
          <w:rFonts w:hint="eastAsia" w:ascii="宋体" w:hAnsi="宋体"/>
          <w:bCs/>
          <w:color w:val="auto"/>
          <w:szCs w:val="22"/>
          <w:highlight w:val="none"/>
        </w:rPr>
        <w:t>钦州市政府采购中心：</w:t>
      </w:r>
    </w:p>
    <w:p w14:paraId="39087482">
      <w:pPr>
        <w:spacing w:line="520" w:lineRule="exact"/>
        <w:ind w:firstLine="420"/>
        <w:rPr>
          <w:rFonts w:ascii="宋体" w:hAnsi="宋体"/>
          <w:bCs/>
          <w:color w:val="auto"/>
          <w:szCs w:val="22"/>
          <w:highlight w:val="none"/>
        </w:rPr>
      </w:pPr>
      <w:r>
        <w:rPr>
          <w:rFonts w:hint="eastAsia" w:ascii="宋体" w:hAnsi="宋体"/>
          <w:bCs/>
          <w:color w:val="auto"/>
          <w:szCs w:val="22"/>
          <w:highlight w:val="none"/>
        </w:rPr>
        <w:t>根据《中华人民共和国政府采购法》实施条例第十七条的规定，现郑重承诺：</w:t>
      </w:r>
    </w:p>
    <w:p w14:paraId="2D17F3AB">
      <w:pPr>
        <w:spacing w:line="520" w:lineRule="exact"/>
        <w:ind w:firstLine="420"/>
        <w:rPr>
          <w:rFonts w:ascii="宋体" w:hAnsi="宋体"/>
          <w:bCs/>
          <w:color w:val="auto"/>
          <w:szCs w:val="22"/>
          <w:highlight w:val="none"/>
        </w:rPr>
      </w:pPr>
      <w:r>
        <w:rPr>
          <w:rFonts w:ascii="宋体" w:hAnsi="宋体"/>
          <w:bCs/>
          <w:color w:val="auto"/>
          <w:szCs w:val="22"/>
          <w:highlight w:val="none"/>
          <w:u w:val="single"/>
        </w:rPr>
        <w:t>(</w:t>
      </w:r>
      <w:r>
        <w:rPr>
          <w:rFonts w:hint="eastAsia" w:ascii="宋体" w:hAnsi="宋体"/>
          <w:bCs/>
          <w:color w:val="auto"/>
          <w:szCs w:val="22"/>
          <w:highlight w:val="none"/>
          <w:u w:val="single"/>
        </w:rPr>
        <w:t>供应商名称)</w:t>
      </w:r>
      <w:r>
        <w:rPr>
          <w:rFonts w:hint="eastAsia" w:ascii="宋体" w:hAnsi="宋体"/>
          <w:bCs/>
          <w:color w:val="auto"/>
          <w:szCs w:val="22"/>
          <w:highlight w:val="none"/>
        </w:rPr>
        <w:t>具有良好的商业信誉和健全的财务会计制度，具有履行合同所必需的设备和专业技术能力，有依法缴纳税收和社会保障资金的良好记录。</w:t>
      </w:r>
    </w:p>
    <w:p w14:paraId="40F62E71">
      <w:pPr>
        <w:spacing w:line="520" w:lineRule="exact"/>
        <w:ind w:firstLine="420"/>
        <w:rPr>
          <w:rFonts w:ascii="宋体" w:hAnsi="宋体"/>
          <w:bCs/>
          <w:color w:val="auto"/>
          <w:szCs w:val="22"/>
          <w:highlight w:val="none"/>
        </w:rPr>
      </w:pPr>
      <w:r>
        <w:rPr>
          <w:rFonts w:hint="eastAsia" w:ascii="宋体" w:hAnsi="宋体"/>
          <w:bCs/>
          <w:color w:val="auto"/>
          <w:szCs w:val="22"/>
          <w:highlight w:val="none"/>
        </w:rPr>
        <w:t>本单位对上述承诺内容事项真实性负责，如有虚假，由我单位承担相关法律责任。</w:t>
      </w:r>
    </w:p>
    <w:p w14:paraId="4E80D878">
      <w:pPr>
        <w:spacing w:line="520" w:lineRule="exact"/>
        <w:ind w:firstLine="420"/>
        <w:rPr>
          <w:rFonts w:ascii="宋体" w:hAnsi="宋体"/>
          <w:bCs/>
          <w:color w:val="auto"/>
          <w:szCs w:val="22"/>
          <w:highlight w:val="none"/>
        </w:rPr>
      </w:pPr>
      <w:r>
        <w:rPr>
          <w:rFonts w:hint="eastAsia" w:ascii="宋体" w:hAnsi="宋体"/>
          <w:bCs/>
          <w:color w:val="auto"/>
          <w:szCs w:val="22"/>
          <w:highlight w:val="none"/>
        </w:rPr>
        <w:t>特此承诺。</w:t>
      </w:r>
    </w:p>
    <w:p w14:paraId="69F1C4AF">
      <w:pPr>
        <w:rPr>
          <w:color w:val="auto"/>
          <w:highlight w:val="none"/>
        </w:rPr>
      </w:pPr>
    </w:p>
    <w:p w14:paraId="7AF6124A">
      <w:pPr>
        <w:rPr>
          <w:color w:val="auto"/>
          <w:highlight w:val="none"/>
        </w:rPr>
      </w:pPr>
    </w:p>
    <w:p w14:paraId="25A211FC">
      <w:pPr>
        <w:rPr>
          <w:color w:val="auto"/>
          <w:highlight w:val="none"/>
        </w:rPr>
      </w:pPr>
    </w:p>
    <w:p w14:paraId="291218EE">
      <w:pPr>
        <w:spacing w:line="400" w:lineRule="exact"/>
        <w:ind w:right="1050" w:rightChars="500" w:firstLine="5103" w:firstLineChars="2430"/>
        <w:jc w:val="left"/>
        <w:rPr>
          <w:rFonts w:ascii="宋体" w:hAnsi="宋体"/>
          <w:bCs/>
          <w:color w:val="auto"/>
          <w:highlight w:val="none"/>
        </w:rPr>
      </w:pPr>
      <w:r>
        <w:rPr>
          <w:rFonts w:hint="eastAsia" w:ascii="宋体" w:hAnsi="宋体"/>
          <w:bCs/>
          <w:color w:val="auto"/>
          <w:szCs w:val="22"/>
          <w:highlight w:val="none"/>
        </w:rPr>
        <w:t xml:space="preserve"> </w:t>
      </w:r>
      <w:r>
        <w:rPr>
          <w:rFonts w:ascii="宋体" w:hAnsi="宋体"/>
          <w:bCs/>
          <w:color w:val="auto"/>
          <w:szCs w:val="22"/>
          <w:highlight w:val="none"/>
        </w:rPr>
        <w:t xml:space="preserve">     </w:t>
      </w:r>
      <w:r>
        <w:rPr>
          <w:rFonts w:hint="eastAsia" w:ascii="宋体" w:hAnsi="宋体"/>
          <w:bCs/>
          <w:color w:val="auto"/>
          <w:highlight w:val="none"/>
        </w:rPr>
        <w:t>供应商（盖章）：</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p>
    <w:p w14:paraId="40D73644">
      <w:pPr>
        <w:spacing w:line="400" w:lineRule="exact"/>
        <w:ind w:right="1050" w:rightChars="500"/>
        <w:jc w:val="right"/>
        <w:rPr>
          <w:rFonts w:ascii="宋体" w:hAnsi="宋体"/>
          <w:bCs/>
          <w:color w:val="auto"/>
          <w:highlight w:val="none"/>
        </w:rPr>
      </w:pPr>
      <w:r>
        <w:rPr>
          <w:rFonts w:hint="eastAsia" w:ascii="宋体" w:hAnsi="宋体"/>
          <w:bCs/>
          <w:color w:val="auto"/>
          <w:highlight w:val="none"/>
        </w:rPr>
        <w:t>日期：</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p>
    <w:p w14:paraId="216C8A6C">
      <w:pPr>
        <w:rPr>
          <w:color w:val="auto"/>
          <w:highlight w:val="none"/>
        </w:rPr>
      </w:pPr>
    </w:p>
    <w:p w14:paraId="53FBDE17">
      <w:pPr>
        <w:pStyle w:val="4"/>
        <w:rPr>
          <w:color w:val="auto"/>
          <w:highlight w:val="none"/>
        </w:rPr>
      </w:pPr>
    </w:p>
    <w:p w14:paraId="13D1C43A">
      <w:pPr>
        <w:tabs>
          <w:tab w:val="left" w:pos="3402"/>
        </w:tabs>
        <w:spacing w:line="460" w:lineRule="exact"/>
        <w:jc w:val="center"/>
        <w:rPr>
          <w:rFonts w:ascii="仿宋_GB2312" w:hAnsi="仿宋" w:eastAsia="仿宋_GB2312"/>
          <w:b/>
          <w:color w:val="auto"/>
          <w:spacing w:val="10"/>
          <w:sz w:val="32"/>
          <w:szCs w:val="32"/>
          <w:highlight w:val="none"/>
        </w:rPr>
      </w:pPr>
      <w:r>
        <w:rPr>
          <w:rFonts w:hint="eastAsia" w:ascii="仿宋_GB2312" w:hAnsi="仿宋" w:eastAsia="仿宋_GB2312"/>
          <w:b/>
          <w:color w:val="auto"/>
          <w:spacing w:val="10"/>
          <w:sz w:val="32"/>
          <w:szCs w:val="32"/>
          <w:highlight w:val="none"/>
        </w:rPr>
        <w:t>无重大违法记录的书面声明</w:t>
      </w:r>
      <w:bookmarkStart w:id="136" w:name="_Hlk108528701"/>
      <w:r>
        <w:rPr>
          <w:rFonts w:hint="eastAsia" w:ascii="仿宋" w:hAnsi="仿宋" w:eastAsia="仿宋" w:cs="黑体"/>
          <w:bCs/>
          <w:color w:val="auto"/>
          <w:sz w:val="24"/>
          <w:highlight w:val="none"/>
        </w:rPr>
        <w:t>(格式</w:t>
      </w:r>
      <w:r>
        <w:rPr>
          <w:rFonts w:ascii="仿宋" w:hAnsi="仿宋" w:eastAsia="仿宋" w:cs="黑体"/>
          <w:bCs/>
          <w:color w:val="auto"/>
          <w:sz w:val="24"/>
          <w:highlight w:val="none"/>
        </w:rPr>
        <w:t>)</w:t>
      </w:r>
      <w:bookmarkEnd w:id="136"/>
    </w:p>
    <w:p w14:paraId="3ACAC55F">
      <w:pPr>
        <w:spacing w:line="400" w:lineRule="exact"/>
        <w:rPr>
          <w:rFonts w:ascii="宋体" w:hAnsi="宋体"/>
          <w:b/>
          <w:color w:val="auto"/>
          <w:highlight w:val="none"/>
        </w:rPr>
      </w:pPr>
    </w:p>
    <w:p w14:paraId="38155843">
      <w:pPr>
        <w:spacing w:line="520" w:lineRule="exact"/>
        <w:rPr>
          <w:rFonts w:ascii="宋体" w:hAnsi="宋体"/>
          <w:bCs/>
          <w:color w:val="auto"/>
          <w:highlight w:val="none"/>
        </w:rPr>
      </w:pPr>
      <w:r>
        <w:rPr>
          <w:rFonts w:hint="eastAsia" w:ascii="宋体" w:hAnsi="宋体"/>
          <w:bCs/>
          <w:color w:val="auto"/>
          <w:highlight w:val="none"/>
        </w:rPr>
        <w:t>钦州市政府采购中心：</w:t>
      </w:r>
    </w:p>
    <w:p w14:paraId="4E014AAE">
      <w:pPr>
        <w:spacing w:line="520" w:lineRule="exact"/>
        <w:ind w:firstLine="420"/>
        <w:rPr>
          <w:rFonts w:ascii="宋体" w:hAnsi="宋体"/>
          <w:bCs/>
          <w:color w:val="auto"/>
          <w:highlight w:val="none"/>
        </w:rPr>
      </w:pPr>
      <w:r>
        <w:rPr>
          <w:rFonts w:hint="eastAsia" w:ascii="宋体" w:hAnsi="宋体"/>
          <w:bCs/>
          <w:color w:val="auto"/>
          <w:highlight w:val="none"/>
        </w:rPr>
        <w:t>根据《中华人民共和国政府采购法实施条例》第十七条第一款第(四)项的规定，现郑重声明：</w:t>
      </w:r>
    </w:p>
    <w:p w14:paraId="70E5200C">
      <w:pPr>
        <w:spacing w:line="520" w:lineRule="exact"/>
        <w:ind w:firstLine="420"/>
        <w:rPr>
          <w:rFonts w:ascii="宋体" w:hAnsi="宋体"/>
          <w:bCs/>
          <w:color w:val="auto"/>
          <w:highlight w:val="none"/>
        </w:rPr>
      </w:pPr>
      <w:r>
        <w:rPr>
          <w:rFonts w:ascii="宋体" w:hAnsi="宋体"/>
          <w:bCs/>
          <w:color w:val="auto"/>
          <w:highlight w:val="none"/>
          <w:u w:val="single"/>
        </w:rPr>
        <w:t>(</w:t>
      </w:r>
      <w:r>
        <w:rPr>
          <w:rFonts w:hint="eastAsia" w:ascii="宋体" w:hAnsi="宋体"/>
          <w:bCs/>
          <w:color w:val="auto"/>
          <w:highlight w:val="none"/>
          <w:u w:val="single"/>
        </w:rPr>
        <w:t>供应商名称)</w:t>
      </w:r>
      <w:r>
        <w:rPr>
          <w:rFonts w:hint="eastAsia" w:ascii="宋体" w:hAnsi="宋体"/>
          <w:bCs/>
          <w:color w:val="auto"/>
          <w:highlight w:val="none"/>
        </w:rPr>
        <w:t>在参加本次政府采购活动前3年内在经营活动中没有重大违法记录（</w:t>
      </w:r>
      <w:r>
        <w:rPr>
          <w:rFonts w:hint="eastAsia" w:ascii="宋体" w:hAnsi="宋体"/>
          <w:bCs/>
          <w:color w:val="auto"/>
          <w:highlight w:val="none"/>
          <w:u w:val="single"/>
        </w:rPr>
        <w:t>即因违法经营受到刑事处罚或者责令停产停业、吊销许可证或者执照、较大数额罚款等行政处罚的行为</w:t>
      </w:r>
      <w:r>
        <w:rPr>
          <w:rFonts w:hint="eastAsia" w:ascii="宋体" w:hAnsi="宋体"/>
          <w:bCs/>
          <w:color w:val="auto"/>
          <w:highlight w:val="none"/>
        </w:rPr>
        <w:t>）。</w:t>
      </w:r>
    </w:p>
    <w:p w14:paraId="200325CB">
      <w:pPr>
        <w:spacing w:line="520" w:lineRule="exact"/>
        <w:ind w:firstLine="420"/>
        <w:rPr>
          <w:rFonts w:ascii="宋体" w:hAnsi="宋体"/>
          <w:bCs/>
          <w:color w:val="auto"/>
          <w:highlight w:val="none"/>
        </w:rPr>
      </w:pPr>
      <w:r>
        <w:rPr>
          <w:rFonts w:hint="eastAsia" w:ascii="宋体" w:hAnsi="宋体"/>
          <w:bCs/>
          <w:color w:val="auto"/>
          <w:highlight w:val="none"/>
        </w:rPr>
        <w:t>本单位对上述声明内容事项真实性负责，如有虚假，由我单位承担相关法律责任。</w:t>
      </w:r>
    </w:p>
    <w:p w14:paraId="6626C651">
      <w:pPr>
        <w:spacing w:line="520" w:lineRule="exact"/>
        <w:ind w:firstLine="420"/>
        <w:rPr>
          <w:rFonts w:ascii="宋体" w:hAnsi="宋体"/>
          <w:bCs/>
          <w:color w:val="auto"/>
          <w:highlight w:val="none"/>
        </w:rPr>
      </w:pPr>
      <w:r>
        <w:rPr>
          <w:rFonts w:hint="eastAsia" w:ascii="宋体" w:hAnsi="宋体"/>
          <w:bCs/>
          <w:color w:val="auto"/>
          <w:highlight w:val="none"/>
        </w:rPr>
        <w:t>特此声明。</w:t>
      </w:r>
    </w:p>
    <w:p w14:paraId="7D3DC4B8">
      <w:pPr>
        <w:rPr>
          <w:color w:val="auto"/>
          <w:highlight w:val="none"/>
        </w:rPr>
      </w:pPr>
    </w:p>
    <w:p w14:paraId="5DB1DAED">
      <w:pPr>
        <w:rPr>
          <w:color w:val="auto"/>
          <w:highlight w:val="none"/>
        </w:rPr>
      </w:pPr>
    </w:p>
    <w:p w14:paraId="165DFA7D">
      <w:pPr>
        <w:rPr>
          <w:color w:val="auto"/>
          <w:highlight w:val="none"/>
        </w:rPr>
      </w:pPr>
    </w:p>
    <w:p w14:paraId="5D9AA4F0">
      <w:pPr>
        <w:spacing w:line="400" w:lineRule="exact"/>
        <w:ind w:right="1050" w:rightChars="500" w:firstLine="5810" w:firstLineChars="2767"/>
        <w:jc w:val="left"/>
        <w:rPr>
          <w:rFonts w:ascii="宋体" w:hAnsi="宋体"/>
          <w:bCs/>
          <w:color w:val="auto"/>
          <w:highlight w:val="none"/>
        </w:rPr>
      </w:pPr>
      <w:bookmarkStart w:id="137" w:name="_Hlk112311442"/>
      <w:r>
        <w:rPr>
          <w:rFonts w:hint="eastAsia" w:ascii="宋体" w:hAnsi="宋体"/>
          <w:bCs/>
          <w:color w:val="auto"/>
          <w:highlight w:val="none"/>
        </w:rPr>
        <w:t>供应商（盖章）：</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p>
    <w:p w14:paraId="69CF97BB">
      <w:pPr>
        <w:spacing w:line="400" w:lineRule="exact"/>
        <w:ind w:right="735" w:rightChars="350" w:firstLine="5810" w:firstLineChars="2767"/>
        <w:jc w:val="left"/>
        <w:rPr>
          <w:rFonts w:ascii="宋体" w:hAnsi="宋体"/>
          <w:bCs/>
          <w:color w:val="auto"/>
          <w:highlight w:val="none"/>
        </w:rPr>
      </w:pPr>
      <w:r>
        <w:rPr>
          <w:rFonts w:hint="eastAsia" w:ascii="宋体" w:hAnsi="宋体"/>
          <w:bCs/>
          <w:color w:val="auto"/>
          <w:highlight w:val="none"/>
        </w:rPr>
        <w:t>日期：</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bookmarkEnd w:id="137"/>
      <w:r>
        <w:rPr>
          <w:color w:val="auto"/>
          <w:highlight w:val="none"/>
        </w:rPr>
        <w:br w:type="page"/>
      </w:r>
    </w:p>
    <w:p w14:paraId="43E215D0">
      <w:pPr>
        <w:rPr>
          <w:color w:val="auto"/>
          <w:highlight w:val="none"/>
        </w:rPr>
      </w:pPr>
    </w:p>
    <w:p w14:paraId="47C75CCB">
      <w:pPr>
        <w:spacing w:line="440" w:lineRule="exact"/>
        <w:jc w:val="center"/>
        <w:rPr>
          <w:rFonts w:ascii="仿宋_GB2312" w:hAnsi="宋体" w:eastAsia="仿宋_GB2312"/>
          <w:b/>
          <w:color w:val="auto"/>
          <w:sz w:val="36"/>
          <w:szCs w:val="36"/>
          <w:highlight w:val="none"/>
        </w:rPr>
      </w:pPr>
      <w:r>
        <w:rPr>
          <w:rFonts w:hint="eastAsia" w:ascii="仿宋_GB2312" w:hAnsi="宋体" w:eastAsia="仿宋_GB2312"/>
          <w:b/>
          <w:color w:val="auto"/>
          <w:sz w:val="36"/>
          <w:szCs w:val="36"/>
          <w:highlight w:val="none"/>
        </w:rPr>
        <w:t>中小企业声明函</w:t>
      </w:r>
    </w:p>
    <w:p w14:paraId="5F8126CA">
      <w:pPr>
        <w:spacing w:line="440" w:lineRule="exact"/>
        <w:jc w:val="left"/>
        <w:rPr>
          <w:rFonts w:hAnsi="宋体"/>
          <w:bCs/>
          <w:color w:val="auto"/>
          <w:szCs w:val="21"/>
          <w:highlight w:val="none"/>
        </w:rPr>
      </w:pPr>
    </w:p>
    <w:p w14:paraId="1CE96593">
      <w:pPr>
        <w:spacing w:line="600" w:lineRule="exact"/>
        <w:ind w:firstLine="294" w:firstLineChars="140"/>
        <w:jc w:val="left"/>
        <w:rPr>
          <w:rFonts w:ascii="宋体" w:hAnsi="宋体"/>
          <w:bCs/>
          <w:color w:val="auto"/>
          <w:szCs w:val="21"/>
          <w:highlight w:val="none"/>
        </w:rPr>
      </w:pPr>
      <w:r>
        <w:rPr>
          <w:rFonts w:hint="eastAsia" w:ascii="宋体" w:hAnsi="宋体"/>
          <w:bCs/>
          <w:color w:val="auto"/>
          <w:szCs w:val="21"/>
          <w:highlight w:val="none"/>
        </w:rPr>
        <w:t>本公司郑重声明，根据《政府采购促进中小企业发展管理办法》</w:t>
      </w:r>
      <w:bookmarkStart w:id="138" w:name="_Hlk60836554"/>
      <w:r>
        <w:rPr>
          <w:rFonts w:hint="eastAsia" w:ascii="宋体" w:hAnsi="宋体"/>
          <w:bCs/>
          <w:color w:val="auto"/>
          <w:szCs w:val="21"/>
          <w:highlight w:val="none"/>
        </w:rPr>
        <w:t>（财库﹝2020﹞46号）</w:t>
      </w:r>
      <w:bookmarkEnd w:id="138"/>
      <w:r>
        <w:rPr>
          <w:rFonts w:hint="eastAsia" w:ascii="宋体" w:hAnsi="宋体"/>
          <w:bCs/>
          <w:color w:val="auto"/>
          <w:szCs w:val="21"/>
          <w:highlight w:val="none"/>
        </w:rPr>
        <w:t>的规定，本公司参加（</w:t>
      </w:r>
      <w:r>
        <w:rPr>
          <w:rFonts w:hint="eastAsia" w:ascii="宋体" w:hAnsi="宋体"/>
          <w:bCs/>
          <w:color w:val="auto"/>
          <w:szCs w:val="21"/>
          <w:highlight w:val="none"/>
          <w:u w:val="single"/>
        </w:rPr>
        <w:t>单位名称</w:t>
      </w:r>
      <w:r>
        <w:rPr>
          <w:rFonts w:hint="eastAsia" w:ascii="宋体" w:hAnsi="宋体"/>
          <w:bCs/>
          <w:color w:val="auto"/>
          <w:szCs w:val="21"/>
          <w:highlight w:val="none"/>
        </w:rPr>
        <w:t>）的（</w:t>
      </w:r>
      <w:r>
        <w:rPr>
          <w:rFonts w:hint="eastAsia" w:ascii="宋体" w:hAnsi="宋体"/>
          <w:bCs/>
          <w:color w:val="auto"/>
          <w:szCs w:val="21"/>
          <w:highlight w:val="none"/>
          <w:u w:val="single"/>
        </w:rPr>
        <w:t>项目名称</w:t>
      </w:r>
      <w:r>
        <w:rPr>
          <w:rFonts w:hint="eastAsia" w:ascii="宋体" w:hAnsi="宋体"/>
          <w:bCs/>
          <w:color w:val="auto"/>
          <w:szCs w:val="21"/>
          <w:highlight w:val="none"/>
        </w:rPr>
        <w:t>）采购活动，</w:t>
      </w:r>
      <w:bookmarkStart w:id="139" w:name="_Hlk108682836"/>
      <w:r>
        <w:rPr>
          <w:rFonts w:hint="eastAsia" w:ascii="宋体" w:hAnsi="宋体"/>
          <w:bCs/>
          <w:color w:val="auto"/>
          <w:szCs w:val="21"/>
          <w:highlight w:val="none"/>
        </w:rPr>
        <w:t>服务全部由符合政策要求的中小企业承接</w:t>
      </w:r>
      <w:bookmarkEnd w:id="139"/>
      <w:r>
        <w:rPr>
          <w:rFonts w:hint="eastAsia" w:ascii="宋体" w:hAnsi="宋体"/>
          <w:bCs/>
          <w:color w:val="auto"/>
          <w:szCs w:val="21"/>
          <w:highlight w:val="none"/>
        </w:rPr>
        <w:t>。相关企业的具体情况如下：</w:t>
      </w:r>
    </w:p>
    <w:p w14:paraId="3D42F184">
      <w:pPr>
        <w:spacing w:line="600" w:lineRule="exact"/>
        <w:ind w:firstLine="294" w:firstLineChars="140"/>
        <w:jc w:val="left"/>
        <w:rPr>
          <w:rFonts w:ascii="宋体" w:hAnsi="宋体"/>
          <w:bCs/>
          <w:color w:val="auto"/>
          <w:szCs w:val="21"/>
          <w:highlight w:val="none"/>
        </w:rPr>
      </w:pPr>
      <w:r>
        <w:rPr>
          <w:rFonts w:hint="eastAsia" w:ascii="宋体" w:hAnsi="宋体"/>
          <w:bCs/>
          <w:color w:val="auto"/>
          <w:szCs w:val="21"/>
          <w:highlight w:val="none"/>
        </w:rPr>
        <w:t>1.</w:t>
      </w:r>
      <w:bookmarkStart w:id="140" w:name="_Hlk60836996"/>
      <w:r>
        <w:rPr>
          <w:rFonts w:hint="eastAsia" w:ascii="宋体" w:hAnsi="宋体"/>
          <w:bCs/>
          <w:color w:val="auto"/>
          <w:szCs w:val="21"/>
          <w:highlight w:val="none"/>
        </w:rPr>
        <w:t>（</w:t>
      </w:r>
      <w:r>
        <w:rPr>
          <w:rFonts w:hint="eastAsia" w:ascii="宋体" w:hAnsi="宋体"/>
          <w:bCs/>
          <w:color w:val="auto"/>
          <w:szCs w:val="21"/>
          <w:highlight w:val="none"/>
          <w:u w:val="single"/>
        </w:rPr>
        <w:t>标的名称</w:t>
      </w:r>
      <w:r>
        <w:rPr>
          <w:rFonts w:hint="eastAsia" w:ascii="宋体" w:hAnsi="宋体"/>
          <w:bCs/>
          <w:color w:val="auto"/>
          <w:szCs w:val="21"/>
          <w:highlight w:val="none"/>
        </w:rPr>
        <w:t>），属于（</w:t>
      </w:r>
      <w:r>
        <w:rPr>
          <w:rFonts w:hint="eastAsia" w:ascii="宋体" w:hAnsi="宋体"/>
          <w:bCs/>
          <w:color w:val="auto"/>
          <w:szCs w:val="21"/>
          <w:highlight w:val="none"/>
          <w:u w:val="single"/>
        </w:rPr>
        <w:t>采购文件中明确的所属行业</w:t>
      </w:r>
      <w:r>
        <w:rPr>
          <w:rFonts w:hint="eastAsia" w:ascii="宋体" w:hAnsi="宋体"/>
          <w:bCs/>
          <w:color w:val="auto"/>
          <w:szCs w:val="21"/>
          <w:highlight w:val="none"/>
        </w:rPr>
        <w:t>）行业；承接企业为（</w:t>
      </w:r>
      <w:r>
        <w:rPr>
          <w:rFonts w:hint="eastAsia" w:ascii="宋体" w:hAnsi="宋体"/>
          <w:bCs/>
          <w:color w:val="auto"/>
          <w:szCs w:val="21"/>
          <w:highlight w:val="none"/>
          <w:u w:val="single"/>
        </w:rPr>
        <w:t>企业名称</w:t>
      </w:r>
      <w:r>
        <w:rPr>
          <w:rFonts w:hint="eastAsia" w:ascii="宋体" w:hAnsi="宋体"/>
          <w:bCs/>
          <w:color w:val="auto"/>
          <w:szCs w:val="21"/>
          <w:highlight w:val="none"/>
        </w:rPr>
        <w:t>），从业人员</w:t>
      </w:r>
      <w:r>
        <w:rPr>
          <w:rFonts w:ascii="宋体" w:hAnsi="宋体"/>
          <w:bCs/>
          <w:color w:val="auto"/>
          <w:szCs w:val="21"/>
          <w:highlight w:val="none"/>
          <w:u w:val="single"/>
        </w:rPr>
        <w:t xml:space="preserve">  </w:t>
      </w:r>
      <w:r>
        <w:rPr>
          <w:rFonts w:hint="eastAsia" w:ascii="宋体" w:hAnsi="宋体"/>
          <w:bCs/>
          <w:color w:val="auto"/>
          <w:szCs w:val="21"/>
          <w:highlight w:val="none"/>
        </w:rPr>
        <w:t>人，营业收入为</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万元，资产总额为</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rPr>
        <w:t>万元，属于（</w:t>
      </w:r>
      <w:r>
        <w:rPr>
          <w:rFonts w:hint="eastAsia" w:ascii="宋体" w:hAnsi="宋体"/>
          <w:bCs/>
          <w:color w:val="auto"/>
          <w:szCs w:val="21"/>
          <w:highlight w:val="none"/>
          <w:u w:val="single"/>
        </w:rPr>
        <w:t>中型企业、小型企业、微型企业</w:t>
      </w:r>
      <w:r>
        <w:rPr>
          <w:rFonts w:hint="eastAsia" w:ascii="宋体" w:hAnsi="宋体"/>
          <w:bCs/>
          <w:color w:val="auto"/>
          <w:szCs w:val="21"/>
          <w:highlight w:val="none"/>
        </w:rPr>
        <w:t>）；</w:t>
      </w:r>
      <w:bookmarkEnd w:id="140"/>
    </w:p>
    <w:p w14:paraId="29F1EEA6">
      <w:pPr>
        <w:spacing w:line="600" w:lineRule="exact"/>
        <w:ind w:firstLine="294" w:firstLineChars="140"/>
        <w:jc w:val="left"/>
        <w:rPr>
          <w:rFonts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u w:val="single"/>
        </w:rPr>
        <w:t>标的名称</w:t>
      </w:r>
      <w:r>
        <w:rPr>
          <w:rFonts w:hint="eastAsia" w:ascii="宋体" w:hAnsi="宋体"/>
          <w:bCs/>
          <w:color w:val="auto"/>
          <w:szCs w:val="21"/>
          <w:highlight w:val="none"/>
        </w:rPr>
        <w:t>），属于（</w:t>
      </w:r>
      <w:r>
        <w:rPr>
          <w:rFonts w:hint="eastAsia" w:ascii="宋体" w:hAnsi="宋体"/>
          <w:bCs/>
          <w:color w:val="auto"/>
          <w:szCs w:val="21"/>
          <w:highlight w:val="none"/>
          <w:u w:val="single"/>
        </w:rPr>
        <w:t>采购文件中明确的所属行业</w:t>
      </w:r>
      <w:r>
        <w:rPr>
          <w:rFonts w:hint="eastAsia" w:ascii="宋体" w:hAnsi="宋体"/>
          <w:bCs/>
          <w:color w:val="auto"/>
          <w:szCs w:val="21"/>
          <w:highlight w:val="none"/>
        </w:rPr>
        <w:t>）行业；承接企业为（</w:t>
      </w:r>
      <w:r>
        <w:rPr>
          <w:rFonts w:hint="eastAsia" w:ascii="宋体" w:hAnsi="宋体"/>
          <w:bCs/>
          <w:color w:val="auto"/>
          <w:szCs w:val="21"/>
          <w:highlight w:val="none"/>
          <w:u w:val="single"/>
        </w:rPr>
        <w:t>企业名称</w:t>
      </w:r>
      <w:r>
        <w:rPr>
          <w:rFonts w:hint="eastAsia" w:ascii="宋体" w:hAnsi="宋体"/>
          <w:bCs/>
          <w:color w:val="auto"/>
          <w:szCs w:val="21"/>
          <w:highlight w:val="none"/>
        </w:rPr>
        <w:t>），从业人员</w:t>
      </w:r>
      <w:r>
        <w:rPr>
          <w:rFonts w:ascii="宋体" w:hAnsi="宋体"/>
          <w:bCs/>
          <w:color w:val="auto"/>
          <w:szCs w:val="21"/>
          <w:highlight w:val="none"/>
          <w:u w:val="single"/>
        </w:rPr>
        <w:t xml:space="preserve">  </w:t>
      </w:r>
      <w:r>
        <w:rPr>
          <w:rFonts w:hint="eastAsia" w:ascii="宋体" w:hAnsi="宋体"/>
          <w:bCs/>
          <w:color w:val="auto"/>
          <w:szCs w:val="21"/>
          <w:highlight w:val="none"/>
        </w:rPr>
        <w:t>人，营业收入为</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万元，资产总额为</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rPr>
        <w:t>万元，属于（</w:t>
      </w:r>
      <w:r>
        <w:rPr>
          <w:rFonts w:hint="eastAsia" w:ascii="宋体" w:hAnsi="宋体"/>
          <w:bCs/>
          <w:color w:val="auto"/>
          <w:szCs w:val="21"/>
          <w:highlight w:val="none"/>
          <w:u w:val="single"/>
        </w:rPr>
        <w:t>中型企业、小型企业、微型企业</w:t>
      </w:r>
      <w:r>
        <w:rPr>
          <w:rFonts w:hint="eastAsia" w:ascii="宋体" w:hAnsi="宋体"/>
          <w:bCs/>
          <w:color w:val="auto"/>
          <w:szCs w:val="21"/>
          <w:highlight w:val="none"/>
        </w:rPr>
        <w:t>）；</w:t>
      </w:r>
    </w:p>
    <w:p w14:paraId="70B6D99F">
      <w:pPr>
        <w:spacing w:line="600" w:lineRule="exact"/>
        <w:ind w:firstLine="294" w:firstLineChars="140"/>
        <w:jc w:val="left"/>
        <w:rPr>
          <w:rFonts w:ascii="宋体" w:hAnsi="宋体"/>
          <w:bCs/>
          <w:color w:val="auto"/>
          <w:szCs w:val="21"/>
          <w:highlight w:val="none"/>
        </w:rPr>
      </w:pPr>
      <w:r>
        <w:rPr>
          <w:rFonts w:hint="eastAsia" w:ascii="宋体" w:hAnsi="宋体"/>
          <w:bCs/>
          <w:color w:val="auto"/>
          <w:szCs w:val="21"/>
          <w:highlight w:val="none"/>
        </w:rPr>
        <w:t>……</w:t>
      </w:r>
    </w:p>
    <w:p w14:paraId="74939CDA">
      <w:pPr>
        <w:spacing w:line="600" w:lineRule="exact"/>
        <w:ind w:firstLine="294" w:firstLineChars="140"/>
        <w:jc w:val="left"/>
        <w:rPr>
          <w:rFonts w:ascii="宋体" w:hAnsi="宋体"/>
          <w:bCs/>
          <w:color w:val="auto"/>
          <w:szCs w:val="21"/>
          <w:highlight w:val="none"/>
        </w:rPr>
      </w:pPr>
      <w:r>
        <w:rPr>
          <w:rFonts w:hint="eastAsia" w:ascii="宋体" w:hAnsi="宋体"/>
          <w:bCs/>
          <w:color w:val="auto"/>
          <w:szCs w:val="21"/>
          <w:highlight w:val="none"/>
        </w:rPr>
        <w:t>以上企业，不属于大企业的分支机构，不存在控股股东为大企业的情形，也不存在与大企业的负责人为同一人的情形。</w:t>
      </w:r>
    </w:p>
    <w:p w14:paraId="7ED0284C">
      <w:pPr>
        <w:spacing w:line="600" w:lineRule="exact"/>
        <w:ind w:firstLine="294" w:firstLineChars="140"/>
        <w:jc w:val="left"/>
        <w:rPr>
          <w:rFonts w:ascii="宋体" w:hAnsi="宋体"/>
          <w:bCs/>
          <w:color w:val="auto"/>
          <w:szCs w:val="21"/>
          <w:highlight w:val="none"/>
        </w:rPr>
      </w:pPr>
      <w:r>
        <w:rPr>
          <w:rFonts w:hint="eastAsia" w:ascii="宋体" w:hAnsi="宋体"/>
          <w:bCs/>
          <w:color w:val="auto"/>
          <w:szCs w:val="21"/>
          <w:highlight w:val="none"/>
        </w:rPr>
        <w:t>本企业对上述声明内容的真实性负责。如有虚假，将依法承担相应责任。</w:t>
      </w:r>
    </w:p>
    <w:p w14:paraId="1D0A2229">
      <w:pPr>
        <w:spacing w:line="400" w:lineRule="exact"/>
        <w:rPr>
          <w:color w:val="auto"/>
          <w:szCs w:val="21"/>
          <w:highlight w:val="none"/>
        </w:rPr>
      </w:pPr>
    </w:p>
    <w:p w14:paraId="056ACA09">
      <w:pPr>
        <w:spacing w:line="400" w:lineRule="exact"/>
        <w:rPr>
          <w:color w:val="auto"/>
          <w:szCs w:val="21"/>
          <w:highlight w:val="none"/>
        </w:rPr>
      </w:pPr>
    </w:p>
    <w:p w14:paraId="43ADE63C">
      <w:pPr>
        <w:spacing w:line="400" w:lineRule="exact"/>
        <w:rPr>
          <w:color w:val="auto"/>
          <w:szCs w:val="21"/>
          <w:highlight w:val="none"/>
        </w:rPr>
      </w:pPr>
    </w:p>
    <w:p w14:paraId="4302DE85">
      <w:pPr>
        <w:spacing w:line="500" w:lineRule="exact"/>
        <w:ind w:right="451" w:rightChars="215" w:firstLine="3570" w:firstLineChars="1700"/>
        <w:jc w:val="center"/>
        <w:rPr>
          <w:rFonts w:ascii="宋体" w:hAnsi="宋体"/>
          <w:bCs/>
          <w:color w:val="auto"/>
          <w:szCs w:val="21"/>
          <w:highlight w:val="none"/>
        </w:rPr>
      </w:pPr>
      <w:r>
        <w:rPr>
          <w:rFonts w:hint="eastAsia" w:ascii="宋体" w:hAnsi="宋体"/>
          <w:bCs/>
          <w:color w:val="auto"/>
          <w:szCs w:val="21"/>
          <w:highlight w:val="none"/>
        </w:rPr>
        <w:t>企业名称（盖章）：</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p>
    <w:p w14:paraId="3303DC37">
      <w:pPr>
        <w:spacing w:line="500" w:lineRule="exact"/>
        <w:ind w:right="309" w:rightChars="147" w:firstLine="5460" w:firstLineChars="2600"/>
        <w:rPr>
          <w:rFonts w:ascii="宋体" w:hAnsi="宋体"/>
          <w:bCs/>
          <w:color w:val="auto"/>
          <w:szCs w:val="21"/>
          <w:highlight w:val="none"/>
        </w:rPr>
      </w:pPr>
      <w:r>
        <w:rPr>
          <w:rFonts w:hint="eastAsia" w:ascii="宋体" w:hAnsi="宋体"/>
          <w:bCs/>
          <w:color w:val="auto"/>
          <w:szCs w:val="21"/>
          <w:highlight w:val="none"/>
        </w:rPr>
        <w:t>日 期：</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p>
    <w:p w14:paraId="146FA22A">
      <w:pPr>
        <w:rPr>
          <w:color w:val="auto"/>
          <w:highlight w:val="none"/>
        </w:rPr>
      </w:pPr>
    </w:p>
    <w:p w14:paraId="30F31AFA">
      <w:pPr>
        <w:rPr>
          <w:color w:val="auto"/>
          <w:highlight w:val="none"/>
        </w:rPr>
      </w:pPr>
    </w:p>
    <w:p w14:paraId="5853AA29">
      <w:pPr>
        <w:rPr>
          <w:color w:val="auto"/>
          <w:highlight w:val="none"/>
        </w:rPr>
      </w:pPr>
    </w:p>
    <w:p w14:paraId="20E441ED">
      <w:pPr>
        <w:rPr>
          <w:color w:val="auto"/>
          <w:highlight w:val="none"/>
        </w:rPr>
      </w:pPr>
    </w:p>
    <w:p w14:paraId="0E9717CD">
      <w:pPr>
        <w:rPr>
          <w:color w:val="auto"/>
          <w:highlight w:val="none"/>
        </w:rPr>
      </w:pPr>
    </w:p>
    <w:p w14:paraId="7AFEF568">
      <w:pPr>
        <w:rPr>
          <w:color w:val="auto"/>
          <w:highlight w:val="none"/>
        </w:rPr>
      </w:pPr>
    </w:p>
    <w:p w14:paraId="2F611068">
      <w:pPr>
        <w:rPr>
          <w:color w:val="auto"/>
          <w:highlight w:val="none"/>
        </w:rPr>
      </w:pPr>
    </w:p>
    <w:p w14:paraId="65B28D7C">
      <w:pPr>
        <w:rPr>
          <w:color w:val="auto"/>
          <w:highlight w:val="none"/>
        </w:rPr>
      </w:pPr>
    </w:p>
    <w:p w14:paraId="289E7068">
      <w:pPr>
        <w:rPr>
          <w:color w:val="auto"/>
          <w:highlight w:val="none"/>
        </w:rPr>
      </w:pPr>
    </w:p>
    <w:p w14:paraId="7B04C6C7">
      <w:pPr>
        <w:rPr>
          <w:color w:val="auto"/>
          <w:highlight w:val="none"/>
        </w:rPr>
      </w:pPr>
    </w:p>
    <w:p w14:paraId="240C603B">
      <w:pPr>
        <w:spacing w:line="320" w:lineRule="exact"/>
        <w:jc w:val="left"/>
        <w:rPr>
          <w:rFonts w:hAnsi="宋体"/>
          <w:bCs/>
          <w:color w:val="auto"/>
          <w:sz w:val="18"/>
          <w:szCs w:val="18"/>
          <w:highlight w:val="none"/>
        </w:rPr>
      </w:pPr>
      <w:bookmarkStart w:id="141" w:name="_Hlk82091879"/>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),从)</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),业)</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),人)</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),员)</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),营)</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),业)</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),收)</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),入)</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),资)</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),产)</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),总)</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),额)</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),填)</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),报)</w:instrText>
      </w:r>
      <w:r>
        <w:rPr>
          <w:rFonts w:hAnsi="宋体"/>
          <w:bCs/>
          <w:color w:val="auto"/>
          <w:sz w:val="18"/>
          <w:szCs w:val="18"/>
          <w:highlight w:val="none"/>
        </w:rPr>
        <w:fldChar w:fldCharType="end"/>
      </w:r>
      <w:bookmarkEnd w:id="141"/>
      <w:r>
        <w:rPr>
          <w:rFonts w:hint="eastAsia" w:hAnsi="宋体"/>
          <w:bCs/>
          <w:color w:val="auto"/>
          <w:sz w:val="18"/>
          <w:szCs w:val="18"/>
          <w:highlight w:val="none"/>
        </w:rPr>
        <w:t>上一年度数据，无上一年度数据的新成立企业可不填报。</w:t>
      </w:r>
      <w:bookmarkEnd w:id="134"/>
    </w:p>
    <w:p w14:paraId="5B76CCBF">
      <w:pPr>
        <w:pStyle w:val="4"/>
        <w:rPr>
          <w:color w:val="auto"/>
          <w:highlight w:val="none"/>
        </w:rPr>
      </w:pPr>
      <w:r>
        <w:rPr>
          <w:color w:val="auto"/>
          <w:highlight w:val="none"/>
        </w:rPr>
        <w:br w:type="page"/>
      </w:r>
    </w:p>
    <w:tbl>
      <w:tblPr>
        <w:tblStyle w:val="39"/>
        <w:tblW w:w="9952" w:type="dxa"/>
        <w:tblInd w:w="150" w:type="dxa"/>
        <w:shd w:val="clear" w:color="auto" w:fill="FFFFFF"/>
        <w:tblLayout w:type="fixed"/>
        <w:tblCellMar>
          <w:top w:w="15" w:type="dxa"/>
          <w:left w:w="15" w:type="dxa"/>
          <w:bottom w:w="15" w:type="dxa"/>
          <w:right w:w="15" w:type="dxa"/>
        </w:tblCellMar>
      </w:tblPr>
      <w:tblGrid>
        <w:gridCol w:w="2127"/>
        <w:gridCol w:w="1413"/>
        <w:gridCol w:w="714"/>
        <w:gridCol w:w="1275"/>
        <w:gridCol w:w="1843"/>
        <w:gridCol w:w="1559"/>
        <w:gridCol w:w="1021"/>
      </w:tblGrid>
      <w:tr w14:paraId="1CDC04AD">
        <w:tblPrEx>
          <w:shd w:val="clear" w:color="auto" w:fill="FFFFFF"/>
          <w:tblCellMar>
            <w:top w:w="15" w:type="dxa"/>
            <w:left w:w="15" w:type="dxa"/>
            <w:bottom w:w="15" w:type="dxa"/>
            <w:right w:w="15" w:type="dxa"/>
          </w:tblCellMar>
        </w:tblPrEx>
        <w:trPr>
          <w:trHeight w:val="330" w:hRule="atLeast"/>
        </w:trPr>
        <w:tc>
          <w:tcPr>
            <w:tcW w:w="9952" w:type="dxa"/>
            <w:gridSpan w:val="7"/>
            <w:tcBorders>
              <w:top w:val="nil"/>
              <w:left w:val="nil"/>
              <w:bottom w:val="single" w:color="auto" w:sz="6" w:space="0"/>
              <w:right w:val="nil"/>
            </w:tcBorders>
            <w:shd w:val="clear" w:color="auto" w:fill="FFFFFF"/>
            <w:tcMar>
              <w:top w:w="30" w:type="dxa"/>
              <w:left w:w="150" w:type="dxa"/>
              <w:bottom w:w="30" w:type="dxa"/>
              <w:right w:w="150" w:type="dxa"/>
            </w:tcMar>
            <w:vAlign w:val="center"/>
          </w:tcPr>
          <w:p w14:paraId="4D194DAB">
            <w:pPr>
              <w:widowControl/>
              <w:spacing w:line="440" w:lineRule="exact"/>
              <w:jc w:val="center"/>
              <w:rPr>
                <w:rFonts w:ascii="Helvetica" w:hAnsi="Helvetica" w:cs="Helvetica"/>
                <w:b/>
                <w:bCs/>
                <w:color w:val="auto"/>
                <w:kern w:val="0"/>
                <w:szCs w:val="21"/>
                <w:highlight w:val="none"/>
              </w:rPr>
            </w:pPr>
            <w:bookmarkStart w:id="142" w:name="_Hlk147826091"/>
            <w:r>
              <w:rPr>
                <w:rFonts w:ascii="Helvetica" w:hAnsi="Helvetica" w:cs="Helvetica"/>
                <w:b/>
                <w:bCs/>
                <w:color w:val="auto"/>
                <w:kern w:val="0"/>
                <w:szCs w:val="21"/>
                <w:highlight w:val="none"/>
              </w:rPr>
              <w:t>大中小微型企业划分标准</w:t>
            </w:r>
          </w:p>
        </w:tc>
      </w:tr>
      <w:tr w14:paraId="4FE0290C">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958451D">
            <w:pPr>
              <w:widowControl/>
              <w:spacing w:line="340" w:lineRule="exact"/>
              <w:jc w:val="center"/>
              <w:rPr>
                <w:rFonts w:ascii="Helvetica" w:hAnsi="Helvetica" w:cs="Helvetica"/>
                <w:color w:val="auto"/>
                <w:kern w:val="0"/>
                <w:sz w:val="18"/>
                <w:szCs w:val="18"/>
                <w:highlight w:val="none"/>
              </w:rPr>
            </w:pPr>
            <w:bookmarkStart w:id="143" w:name="_Hlk143699200"/>
            <w:r>
              <w:rPr>
                <w:rFonts w:ascii="Helvetica" w:hAnsi="Helvetica" w:cs="Helvetica"/>
                <w:b/>
                <w:bCs/>
                <w:color w:val="auto"/>
                <w:kern w:val="0"/>
                <w:sz w:val="18"/>
                <w:szCs w:val="18"/>
                <w:highlight w:val="none"/>
              </w:rPr>
              <w:t>行业名称</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8D04147">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指标名称</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31B0D9F">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计量</w:t>
            </w:r>
          </w:p>
          <w:p w14:paraId="027AB347">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单位</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0D0ADFC">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大型</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5AE4A59">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中型</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F65575D">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小型</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7473405">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微型</w:t>
            </w:r>
          </w:p>
        </w:tc>
      </w:tr>
      <w:tr w14:paraId="28C5F5DF">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AF9EC39">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农、林、牧、渔业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6C66D09">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09FFC98">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BE26E55">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692BDD9">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F6082FB">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50≤Y＜500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94309C2">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Y＜50</w:t>
            </w:r>
          </w:p>
        </w:tc>
      </w:tr>
      <w:tr w14:paraId="64D8EE3C">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0C47AC5D">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工业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3551090">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2C09851">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341740C">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836CEC8">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72B25EB">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A422434">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w:t>
            </w:r>
          </w:p>
        </w:tc>
      </w:tr>
      <w:tr w14:paraId="32798E21">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11854FD">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BFD1928">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096735D">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1FAA8DC">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11AE250">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1525490">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0C123C6">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w:t>
            </w:r>
          </w:p>
        </w:tc>
      </w:tr>
      <w:tr w14:paraId="2E780A13">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577F65C0">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建筑业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AEBC035">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76556EF">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14F4F87">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B304449">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6000≤Y＜80000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D353B92">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300≤Y＜6000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36C961A">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w:t>
            </w:r>
          </w:p>
        </w:tc>
      </w:tr>
      <w:tr w14:paraId="21D333FB">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61A6F40">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037FDC5">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EA7AE8A">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7BE20E7">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B032B20">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5000≤Z＜80000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856F888">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300≤Z＜5000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50B0580">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Z＜300</w:t>
            </w:r>
          </w:p>
        </w:tc>
      </w:tr>
      <w:tr w14:paraId="1D0ACAB1">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0924DDD1">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批发业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9F7EE69">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0E9CF22">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C8DFF3F">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90B1A37">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F337DE2">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5≤X＜20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14D3CA1">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X＜5</w:t>
            </w:r>
          </w:p>
        </w:tc>
      </w:tr>
      <w:tr w14:paraId="6C751D1F">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4F68390">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F1CA5E7">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4C5EDFF">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E16D754">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9DD67D2">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08056CE">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E9FCEBF">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w:t>
            </w:r>
          </w:p>
        </w:tc>
      </w:tr>
      <w:tr w14:paraId="75F8CA00">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0794285D">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零售业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EA2E7C4">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87AED33">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62CDD94">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139E647">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73E5EB7">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10≤X＜50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B8DA579">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14:paraId="14F3DE1E">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D677C54">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BD7C617">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2D395F6">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839FED5">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8A707FA">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08B0415">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100≤Y＜500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8C36A83">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14:paraId="2F1F5DD2">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661774A2">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交通运输业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513671D">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6933261">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7DB7D0F">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5138109">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3E8CD73">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D855AAE">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w:t>
            </w:r>
          </w:p>
        </w:tc>
      </w:tr>
      <w:tr w14:paraId="449E53C0">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05DDFDA">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7E1D57C">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17CE01A">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0E76859">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66691BB">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9871CCB">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200≤Y＜3000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2F7D63C">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Y＜200</w:t>
            </w:r>
          </w:p>
        </w:tc>
      </w:tr>
      <w:tr w14:paraId="65C95ABB">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7033C0E4">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仓储业*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5FCB19F">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07867E3">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9956505">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15ABFC1">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0F615EF">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19E3A78">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w:t>
            </w:r>
          </w:p>
        </w:tc>
      </w:tr>
      <w:tr w14:paraId="26D7FF3F">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B23DAEB">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5444242">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A02324E">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1EDC400">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0AD7C87">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EE67696">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DEDED93">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14:paraId="16309CDD">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1B5C01F2">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邮政业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58FDD91">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24551AC">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286F4CE">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383D6EE">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2CE718F">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A0F955A">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w:t>
            </w:r>
          </w:p>
        </w:tc>
      </w:tr>
      <w:tr w14:paraId="6937AE97">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1E558EA">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5466E84">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7C8D7FA">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83818F9">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A030E44">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A30B8E7">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CB3FDAE">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14:paraId="40AF3B86">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7FCD15E8">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住宿业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6001EDB">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7AF3778">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91F2640">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65D9E1D">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CD6F944">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C3AB829">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14:paraId="160990A2">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59CB4A7">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32DA8C6">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3694C52">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C7A742B">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37A1DA2">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1983828">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D5C37EC">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14:paraId="0361FF03">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4A750DD3">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餐饮业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D741BC8">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898C259">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B4068B4">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27F461F">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5962E2F">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3B6D3B8">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14:paraId="055B8F5D">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2C5D585">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CC950B4">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9CD8A94">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03F25E0">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5224508">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F761C00">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2C27653">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14:paraId="4EAEC851">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66212155">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信息传输业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8045932">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44C235A">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2F924BF">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41795D5">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100≤X＜2000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0E6EC2A">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98228AF">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14:paraId="66EA2F5F">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FB6AAB6">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E338C35">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859CE0D">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DC93DA9">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8835468">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1000≤Y＜100000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C79C350">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6ADE6DF">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14:paraId="6EA25605">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708A2466">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软件和信息技术服务业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058865F">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092FFD1">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9091B94">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29F4662">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5061E01">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7E16870">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14:paraId="36A69453">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A1603B3">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2137B76">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321875E">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5F993EA">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0D71159">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24FDB02">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C209012">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Y＜50</w:t>
            </w:r>
          </w:p>
        </w:tc>
      </w:tr>
      <w:tr w14:paraId="41DC50BC">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16A74CFA">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房地产开发经营</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67E68E0">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942DE71">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98067A7">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Y≥200000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7EA7148">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1000≤Y＜200000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CFB8CC3">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94346E9">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14:paraId="056564B4">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22B6DF5">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85BD3FD">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1B9206D">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35F5DA4">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87D154D">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5000≤Z＜10000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77BCE58">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2000≤Z＜5000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61B25D6">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Z＜2000</w:t>
            </w:r>
          </w:p>
        </w:tc>
      </w:tr>
      <w:tr w14:paraId="403E9EC6">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41A20261">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物业管理</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E27BF0A">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7B8EECE">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07C816D">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8C0EC2E">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19B43CD">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75F4838">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w:t>
            </w:r>
          </w:p>
        </w:tc>
      </w:tr>
      <w:tr w14:paraId="5F9E045D">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F9ADE97">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DDE1D5D">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FC31593">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69A9FEC">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Y≥5000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02AB1FE">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1000≤Y＜5000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7653A69">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25EAD1A">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Y＜500</w:t>
            </w:r>
          </w:p>
        </w:tc>
      </w:tr>
      <w:tr w14:paraId="1225225D">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015A45EF">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租赁和商务服务业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1A4F87C">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7683457">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4F00289">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185974C">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BCCCA96">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373A8B8">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14:paraId="5026ABFE">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4F030FF">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232BD64">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7DA598C">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01D58FF">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Z≥120000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A1BECEF">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8000≤Z＜120000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1033CFC">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100≤Z＜8000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4EFA16E">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Z＜100</w:t>
            </w:r>
          </w:p>
        </w:tc>
      </w:tr>
      <w:tr w14:paraId="6A9B8C59">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812AD17">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其他未列明行业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8A70F9E">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0706019">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45C7D97">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411C439">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C785935">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1A89D89">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bl>
    <w:p w14:paraId="4373964A">
      <w:pPr>
        <w:widowControl/>
        <w:shd w:val="clear" w:color="auto" w:fill="FFFFFF"/>
        <w:spacing w:line="360" w:lineRule="atLeast"/>
        <w:jc w:val="left"/>
        <w:rPr>
          <w:rFonts w:ascii="Helvetica" w:hAnsi="Helvetica" w:cs="Helvetica"/>
          <w:color w:val="auto"/>
          <w:kern w:val="0"/>
          <w:szCs w:val="21"/>
          <w:highlight w:val="none"/>
        </w:rPr>
      </w:pPr>
    </w:p>
    <w:bookmarkEnd w:id="143"/>
    <w:p w14:paraId="7C48F19E">
      <w:pPr>
        <w:widowControl/>
        <w:shd w:val="clear" w:color="auto" w:fill="FFFFFF"/>
        <w:spacing w:line="360" w:lineRule="atLeast"/>
        <w:jc w:val="left"/>
        <w:rPr>
          <w:rFonts w:ascii="Helvetica" w:hAnsi="Helvetica" w:cs="Helvetica"/>
          <w:color w:val="auto"/>
          <w:kern w:val="0"/>
          <w:sz w:val="18"/>
          <w:szCs w:val="18"/>
          <w:highlight w:val="none"/>
        </w:rPr>
      </w:pPr>
      <w:r>
        <w:rPr>
          <w:color w:val="auto"/>
          <w:highlight w:val="none"/>
        </w:rPr>
        <w:br w:type="page"/>
      </w:r>
      <w:r>
        <w:rPr>
          <w:rFonts w:ascii="Helvetica" w:hAnsi="Helvetica" w:cs="Helvetica"/>
          <w:color w:val="auto"/>
          <w:kern w:val="0"/>
          <w:sz w:val="18"/>
          <w:szCs w:val="18"/>
          <w:highlight w:val="none"/>
        </w:rPr>
        <w:t>说明：</w:t>
      </w:r>
    </w:p>
    <w:p w14:paraId="1A629F55">
      <w:pPr>
        <w:widowControl/>
        <w:shd w:val="clear" w:color="auto" w:fill="FFFFFF"/>
        <w:spacing w:line="360" w:lineRule="atLeast"/>
        <w:ind w:firstLine="480"/>
        <w:jc w:val="left"/>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1.大型、中型和小型企业须同时满足所列指标的下限，否则下划一档；微型企业只须满足所列指标中的一项即可。</w:t>
      </w:r>
    </w:p>
    <w:p w14:paraId="0AE764E1">
      <w:pPr>
        <w:widowControl/>
        <w:shd w:val="clear" w:color="auto" w:fill="FFFFFF"/>
        <w:spacing w:line="360" w:lineRule="atLeast"/>
        <w:ind w:firstLine="480"/>
        <w:jc w:val="left"/>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w:t>
      </w:r>
      <w:r>
        <w:rPr>
          <w:color w:val="auto"/>
          <w:highlight w:val="none"/>
        </w:rPr>
        <w:fldChar w:fldCharType="begin"/>
      </w:r>
      <w:r>
        <w:rPr>
          <w:color w:val="auto"/>
          <w:highlight w:val="none"/>
        </w:rPr>
        <w:instrText xml:space="preserve"> HYPERLINK "https://baike.baidu.com/item/%E5%A4%9A%E5%BC%8F%E8%81%94%E8%BF%90/3342240?fromModule=lemma_inlink"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多式联运</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和运输代理业、</w:t>
      </w:r>
      <w:r>
        <w:rPr>
          <w:color w:val="auto"/>
          <w:highlight w:val="none"/>
        </w:rPr>
        <w:fldChar w:fldCharType="begin"/>
      </w:r>
      <w:r>
        <w:rPr>
          <w:color w:val="auto"/>
          <w:highlight w:val="none"/>
        </w:rPr>
        <w:instrText xml:space="preserve"> HYPERLINK "https://baike.baidu.com/item/%E8%A3%85%E5%8D%B8%E6%90%AC%E8%BF%90/6511400?fromModule=lemma_inlink"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装卸搬运</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，不包括铁路运输业；</w:t>
      </w:r>
      <w:r>
        <w:rPr>
          <w:color w:val="auto"/>
          <w:highlight w:val="none"/>
        </w:rPr>
        <w:fldChar w:fldCharType="begin"/>
      </w:r>
      <w:r>
        <w:rPr>
          <w:color w:val="auto"/>
          <w:highlight w:val="none"/>
        </w:rPr>
        <w:instrText xml:space="preserve"> HYPERLINK "https://baike.baidu.com/item/%E4%BB%93%E5%82%A8%E4%B8%9A/3487863?fromModule=lemma_inlink"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仓储业</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包括通用仓储，低温仓储，危险品仓储，谷物、棉花等农产品仓储，中药材仓储和其他仓储业;</w:t>
      </w:r>
      <w:r>
        <w:rPr>
          <w:color w:val="auto"/>
          <w:highlight w:val="none"/>
        </w:rPr>
        <w:fldChar w:fldCharType="begin"/>
      </w:r>
      <w:r>
        <w:rPr>
          <w:color w:val="auto"/>
          <w:highlight w:val="none"/>
        </w:rPr>
        <w:instrText xml:space="preserve"> HYPERLINK "https://baike.baidu.com/item/%E4%BF%A1%E6%81%AF%E4%BC%A0%E8%BE%93%E4%B8%9A/61331990?fromModule=lemma_inlink"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信息传输业</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CDF2AFD">
      <w:pPr>
        <w:widowControl/>
        <w:shd w:val="clear" w:color="auto" w:fill="FFFFFF"/>
        <w:spacing w:line="360" w:lineRule="atLeast"/>
        <w:ind w:firstLine="480"/>
        <w:jc w:val="left"/>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3.企业划分指标以现行</w:t>
      </w:r>
      <w:r>
        <w:rPr>
          <w:color w:val="auto"/>
          <w:highlight w:val="none"/>
        </w:rPr>
        <w:fldChar w:fldCharType="begin"/>
      </w:r>
      <w:r>
        <w:rPr>
          <w:color w:val="auto"/>
          <w:highlight w:val="none"/>
        </w:rPr>
        <w:instrText xml:space="preserve"> HYPERLINK "https://baike.baidu.com/item/%E7%BB%9F%E8%AE%A1%E5%88%B6%E5%BA%A6/917165?fromModule=lemma_inlink"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统计制度</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为准。（1）从业人员，是指期末从业人员数，没有期末从业人员数的，采用全年平均人员数代替。（2）</w:t>
      </w:r>
      <w:r>
        <w:rPr>
          <w:color w:val="auto"/>
          <w:highlight w:val="none"/>
        </w:rPr>
        <w:fldChar w:fldCharType="begin"/>
      </w:r>
      <w:r>
        <w:rPr>
          <w:color w:val="auto"/>
          <w:highlight w:val="none"/>
        </w:rPr>
        <w:instrText xml:space="preserve"> HYPERLINK "https://baike.baidu.com/item/%E8%90%A5%E4%B8%9A%E6%94%B6%E5%85%A5/5099832?fromModule=lemma_inlink"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营业收入</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rPr>
          <w:color w:val="auto"/>
          <w:highlight w:val="none"/>
        </w:rPr>
        <w:fldChar w:fldCharType="begin"/>
      </w:r>
      <w:r>
        <w:rPr>
          <w:color w:val="auto"/>
          <w:highlight w:val="none"/>
        </w:rPr>
        <w:instrText xml:space="preserve"> HYPERLINK "https://baike.baidu.com/item/%E8%B5%84%E4%BA%A7%E6%80%BB%E9%A2%9D/716517?fromModule=lemma_inlink"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资产总额</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，采用资产总计代替。</w:t>
      </w:r>
    </w:p>
    <w:bookmarkEnd w:id="142"/>
    <w:p w14:paraId="0440DF77">
      <w:pPr>
        <w:widowControl/>
        <w:jc w:val="left"/>
        <w:rPr>
          <w:b/>
          <w:bCs/>
          <w:color w:val="auto"/>
          <w:sz w:val="32"/>
          <w:szCs w:val="32"/>
          <w:highlight w:val="none"/>
        </w:rPr>
      </w:pPr>
      <w:r>
        <w:rPr>
          <w:color w:val="auto"/>
          <w:highlight w:val="none"/>
        </w:rPr>
        <w:br w:type="page"/>
      </w:r>
    </w:p>
    <w:p w14:paraId="0B0C9E0E">
      <w:pPr>
        <w:spacing w:line="320" w:lineRule="exact"/>
        <w:jc w:val="left"/>
        <w:rPr>
          <w:rFonts w:hAnsi="宋体"/>
          <w:bCs/>
          <w:color w:val="auto"/>
          <w:sz w:val="18"/>
          <w:szCs w:val="18"/>
          <w:highlight w:val="none"/>
        </w:rPr>
      </w:pPr>
    </w:p>
    <w:p w14:paraId="3723E31D">
      <w:pPr>
        <w:pStyle w:val="22"/>
        <w:spacing w:line="440" w:lineRule="exact"/>
        <w:jc w:val="center"/>
        <w:rPr>
          <w:rFonts w:ascii="仿宋" w:hAnsi="仿宋" w:eastAsia="仿宋"/>
          <w:b/>
          <w:color w:val="auto"/>
          <w:kern w:val="0"/>
          <w:sz w:val="32"/>
          <w:szCs w:val="32"/>
          <w:highlight w:val="none"/>
        </w:rPr>
      </w:pPr>
      <w:r>
        <w:rPr>
          <w:rFonts w:hint="eastAsia" w:ascii="仿宋" w:hAnsi="仿宋" w:eastAsia="仿宋"/>
          <w:b/>
          <w:color w:val="auto"/>
          <w:kern w:val="0"/>
          <w:sz w:val="32"/>
          <w:szCs w:val="32"/>
          <w:highlight w:val="none"/>
        </w:rPr>
        <w:t>残疾人福利性单位声明函</w:t>
      </w:r>
    </w:p>
    <w:p w14:paraId="7D0F84A8">
      <w:pPr>
        <w:rPr>
          <w:color w:val="auto"/>
          <w:highlight w:val="none"/>
        </w:rPr>
      </w:pPr>
    </w:p>
    <w:p w14:paraId="624EEE95">
      <w:pPr>
        <w:spacing w:line="660" w:lineRule="exact"/>
        <w:ind w:firstLine="420" w:firstLineChars="200"/>
        <w:rPr>
          <w:rFonts w:ascii="宋体" w:hAnsi="宋体" w:cs="Courier New"/>
          <w:color w:val="auto"/>
          <w:kern w:val="0"/>
          <w:szCs w:val="21"/>
          <w:highlight w:val="none"/>
        </w:rPr>
      </w:pPr>
      <w:r>
        <w:rPr>
          <w:rFonts w:hint="eastAsia" w:ascii="宋体" w:hAnsi="宋体" w:cs="Courier New"/>
          <w:color w:val="auto"/>
          <w:kern w:val="0"/>
          <w:szCs w:val="21"/>
          <w:highlight w:val="none"/>
        </w:rPr>
        <w:t>本单位郑重声明，根据</w:t>
      </w:r>
      <w:bookmarkStart w:id="144" w:name="_Hlk82091361"/>
      <w:r>
        <w:rPr>
          <w:rFonts w:hint="eastAsia" w:ascii="宋体" w:hAnsi="宋体" w:cs="Courier New"/>
          <w:color w:val="auto"/>
          <w:kern w:val="0"/>
          <w:szCs w:val="21"/>
          <w:highlight w:val="none"/>
        </w:rPr>
        <w:t>《</w:t>
      </w:r>
      <w:r>
        <w:rPr>
          <w:color w:val="auto"/>
          <w:highlight w:val="none"/>
        </w:rPr>
        <w:fldChar w:fldCharType="begin"/>
      </w:r>
      <w:r>
        <w:rPr>
          <w:color w:val="auto"/>
          <w:highlight w:val="none"/>
        </w:rPr>
        <w:instrText xml:space="preserve"> HYPERLINK "http://www.mof.gov.cn/gp/xxgkml/gks/201709/t20170901_2689542.htm" </w:instrText>
      </w:r>
      <w:r>
        <w:rPr>
          <w:color w:val="auto"/>
          <w:highlight w:val="none"/>
        </w:rPr>
        <w:fldChar w:fldCharType="separate"/>
      </w:r>
      <w:r>
        <w:rPr>
          <w:rFonts w:hint="eastAsia" w:ascii="宋体" w:hAnsi="Courier New" w:cs="Courier New"/>
          <w:color w:val="auto"/>
          <w:kern w:val="0"/>
          <w:szCs w:val="21"/>
          <w:highlight w:val="none"/>
        </w:rPr>
        <w:t>财政部 民政部 中国残疾人联合会关于促进残疾人就业政府采购政策的通知》（财库〔2017〕141号）</w:t>
      </w:r>
      <w:r>
        <w:rPr>
          <w:rFonts w:hint="eastAsia" w:ascii="宋体" w:hAnsi="Courier New" w:cs="Courier New"/>
          <w:color w:val="auto"/>
          <w:kern w:val="0"/>
          <w:szCs w:val="21"/>
          <w:highlight w:val="none"/>
        </w:rPr>
        <w:fldChar w:fldCharType="end"/>
      </w:r>
      <w:bookmarkEnd w:id="144"/>
      <w:r>
        <w:rPr>
          <w:rFonts w:hint="eastAsia" w:ascii="宋体" w:hAnsi="宋体" w:cs="Courier New"/>
          <w:color w:val="auto"/>
          <w:kern w:val="0"/>
          <w:szCs w:val="21"/>
          <w:highlight w:val="none"/>
        </w:rPr>
        <w:t>的规定，本单位为符合条件的残疾人福利性单位，且本单位参加（</w:t>
      </w:r>
      <w:r>
        <w:rPr>
          <w:rFonts w:hint="eastAsia" w:ascii="宋体" w:hAnsi="宋体" w:cs="Courier New"/>
          <w:color w:val="auto"/>
          <w:kern w:val="0"/>
          <w:szCs w:val="21"/>
          <w:highlight w:val="none"/>
          <w:u w:val="single"/>
        </w:rPr>
        <w:t>单位名称</w:t>
      </w:r>
      <w:r>
        <w:rPr>
          <w:rFonts w:hint="eastAsia" w:ascii="宋体" w:hAnsi="宋体" w:cs="Courier New"/>
          <w:color w:val="auto"/>
          <w:kern w:val="0"/>
          <w:szCs w:val="21"/>
          <w:highlight w:val="none"/>
        </w:rPr>
        <w:t>）的（</w:t>
      </w:r>
      <w:r>
        <w:rPr>
          <w:rFonts w:hint="eastAsia" w:ascii="宋体" w:hAnsi="宋体" w:cs="Courier New"/>
          <w:color w:val="auto"/>
          <w:kern w:val="0"/>
          <w:szCs w:val="21"/>
          <w:highlight w:val="none"/>
          <w:u w:val="single"/>
        </w:rPr>
        <w:t>项目名称</w:t>
      </w:r>
      <w:r>
        <w:rPr>
          <w:rFonts w:hint="eastAsia" w:ascii="宋体" w:hAnsi="宋体" w:cs="Courier New"/>
          <w:color w:val="auto"/>
          <w:kern w:val="0"/>
          <w:szCs w:val="21"/>
          <w:highlight w:val="none"/>
        </w:rPr>
        <w:t>）采购活动提供本单位制造的货物，或者提供其他残疾人福利性单位（</w:t>
      </w:r>
      <w:r>
        <w:rPr>
          <w:rFonts w:hint="eastAsia" w:ascii="宋体" w:hAnsi="宋体" w:cs="Courier New"/>
          <w:color w:val="auto"/>
          <w:kern w:val="0"/>
          <w:szCs w:val="21"/>
          <w:highlight w:val="none"/>
          <w:u w:val="single"/>
        </w:rPr>
        <w:t>请填写具体单位名称</w:t>
      </w:r>
      <w:r>
        <w:rPr>
          <w:rFonts w:hint="eastAsia" w:ascii="宋体" w:hAnsi="宋体" w:cs="Courier New"/>
          <w:color w:val="auto"/>
          <w:kern w:val="0"/>
          <w:szCs w:val="21"/>
          <w:highlight w:val="none"/>
        </w:rPr>
        <w:t>）制造的货物（不包括使用非残疾人福利性单位注册商标的货物）。</w:t>
      </w:r>
    </w:p>
    <w:p w14:paraId="2F2EBE89">
      <w:pPr>
        <w:spacing w:line="660" w:lineRule="exact"/>
        <w:ind w:firstLine="420" w:firstLineChars="200"/>
        <w:rPr>
          <w:rFonts w:ascii="宋体" w:hAnsi="宋体" w:cs="Courier New"/>
          <w:color w:val="auto"/>
          <w:kern w:val="0"/>
          <w:szCs w:val="21"/>
          <w:highlight w:val="none"/>
        </w:rPr>
      </w:pPr>
      <w:r>
        <w:rPr>
          <w:rFonts w:hint="eastAsia" w:ascii="宋体" w:hAnsi="宋体" w:cs="Courier New"/>
          <w:color w:val="auto"/>
          <w:kern w:val="0"/>
          <w:szCs w:val="21"/>
          <w:highlight w:val="none"/>
        </w:rPr>
        <w:t>本单位对上述声明的真实性负责。如有虚假，将依法承担相应责任。</w:t>
      </w:r>
    </w:p>
    <w:p w14:paraId="24CEC775">
      <w:pPr>
        <w:rPr>
          <w:color w:val="auto"/>
          <w:highlight w:val="none"/>
        </w:rPr>
      </w:pPr>
    </w:p>
    <w:p w14:paraId="347D3FF1">
      <w:pPr>
        <w:rPr>
          <w:color w:val="auto"/>
          <w:highlight w:val="none"/>
        </w:rPr>
      </w:pPr>
    </w:p>
    <w:p w14:paraId="3224818B">
      <w:pPr>
        <w:rPr>
          <w:color w:val="auto"/>
          <w:highlight w:val="none"/>
        </w:rPr>
      </w:pPr>
    </w:p>
    <w:p w14:paraId="5B358196">
      <w:pPr>
        <w:spacing w:line="500" w:lineRule="exact"/>
        <w:ind w:firstLine="5250" w:firstLineChars="2500"/>
        <w:rPr>
          <w:rFonts w:ascii="宋体" w:hAnsi="宋体" w:cs="Courier New"/>
          <w:color w:val="auto"/>
          <w:kern w:val="0"/>
          <w:szCs w:val="21"/>
          <w:highlight w:val="none"/>
        </w:rPr>
      </w:pPr>
      <w:r>
        <w:rPr>
          <w:rFonts w:hint="eastAsia" w:ascii="宋体" w:hAnsi="宋体" w:cs="Courier New"/>
          <w:color w:val="auto"/>
          <w:kern w:val="0"/>
          <w:szCs w:val="21"/>
          <w:highlight w:val="none"/>
        </w:rPr>
        <w:t>单位名称（盖章）：</w:t>
      </w:r>
      <w:r>
        <w:rPr>
          <w:rFonts w:hint="eastAsia" w:ascii="宋体" w:hAnsi="宋体" w:cs="Courier New"/>
          <w:color w:val="auto"/>
          <w:szCs w:val="21"/>
          <w:highlight w:val="none"/>
          <w:u w:val="single"/>
        </w:rPr>
        <w:t xml:space="preserve"> </w:t>
      </w:r>
      <w:r>
        <w:rPr>
          <w:rFonts w:ascii="宋体" w:hAnsi="宋体" w:cs="Courier New"/>
          <w:color w:val="auto"/>
          <w:szCs w:val="21"/>
          <w:highlight w:val="none"/>
          <w:u w:val="single"/>
        </w:rPr>
        <w:t xml:space="preserve">             </w:t>
      </w:r>
    </w:p>
    <w:p w14:paraId="53340DB0">
      <w:pPr>
        <w:spacing w:line="500" w:lineRule="exact"/>
        <w:ind w:firstLine="5250" w:firstLineChars="2500"/>
        <w:rPr>
          <w:rFonts w:ascii="宋体" w:hAnsi="宋体" w:cs="Courier New"/>
          <w:color w:val="auto"/>
          <w:szCs w:val="21"/>
          <w:highlight w:val="none"/>
          <w:u w:val="single"/>
        </w:rPr>
      </w:pPr>
      <w:r>
        <w:rPr>
          <w:rFonts w:hint="eastAsia" w:ascii="宋体" w:hAnsi="宋体" w:cs="Courier New"/>
          <w:color w:val="auto"/>
          <w:kern w:val="0"/>
          <w:szCs w:val="21"/>
          <w:highlight w:val="none"/>
        </w:rPr>
        <w:t>日  期：</w:t>
      </w:r>
      <w:r>
        <w:rPr>
          <w:rFonts w:hint="eastAsia" w:ascii="宋体" w:hAnsi="宋体" w:cs="Courier New"/>
          <w:color w:val="auto"/>
          <w:szCs w:val="21"/>
          <w:highlight w:val="none"/>
          <w:u w:val="single"/>
        </w:rPr>
        <w:t xml:space="preserve"> </w:t>
      </w:r>
      <w:r>
        <w:rPr>
          <w:rFonts w:ascii="宋体" w:hAnsi="宋体" w:cs="Courier New"/>
          <w:color w:val="auto"/>
          <w:szCs w:val="21"/>
          <w:highlight w:val="none"/>
          <w:u w:val="single"/>
        </w:rPr>
        <w:t xml:space="preserve">                       </w:t>
      </w:r>
    </w:p>
    <w:p w14:paraId="622DDAC0">
      <w:pPr>
        <w:widowControl/>
        <w:jc w:val="left"/>
        <w:rPr>
          <w:rFonts w:ascii="宋体" w:hAnsi="Courier New" w:cs="Courier New"/>
          <w:color w:val="auto"/>
          <w:sz w:val="18"/>
          <w:szCs w:val="18"/>
          <w:highlight w:val="none"/>
        </w:rPr>
      </w:pPr>
      <w:r>
        <w:rPr>
          <w:rFonts w:ascii="黑体" w:hAnsi="黑体" w:eastAsia="黑体" w:cs="黑体"/>
          <w:b/>
          <w:color w:val="auto"/>
          <w:sz w:val="32"/>
          <w:szCs w:val="32"/>
          <w:highlight w:val="none"/>
        </w:rPr>
        <w:br w:type="page"/>
      </w:r>
      <w:r>
        <w:rPr>
          <w:rFonts w:hint="eastAsia" w:ascii="仿宋" w:hAnsi="仿宋" w:eastAsia="仿宋"/>
          <w:b/>
          <w:color w:val="auto"/>
          <w:sz w:val="36"/>
          <w:szCs w:val="36"/>
          <w:highlight w:val="none"/>
        </w:rPr>
        <w:t>二、商务技术文件</w:t>
      </w:r>
    </w:p>
    <w:p w14:paraId="38A80445">
      <w:pPr>
        <w:widowControl/>
        <w:jc w:val="center"/>
        <w:rPr>
          <w:rFonts w:ascii="仿宋" w:hAnsi="仿宋" w:eastAsia="仿宋" w:cs="黑体"/>
          <w:b/>
          <w:color w:val="auto"/>
          <w:sz w:val="32"/>
          <w:szCs w:val="32"/>
          <w:highlight w:val="none"/>
        </w:rPr>
      </w:pPr>
      <w:bookmarkStart w:id="145" w:name="_Hlk92702324"/>
      <w:r>
        <w:rPr>
          <w:rFonts w:hint="eastAsia" w:ascii="仿宋" w:hAnsi="仿宋" w:eastAsia="仿宋" w:cs="黑体"/>
          <w:b/>
          <w:color w:val="auto"/>
          <w:sz w:val="32"/>
          <w:szCs w:val="32"/>
          <w:highlight w:val="none"/>
        </w:rPr>
        <w:t>磋 商 函</w:t>
      </w:r>
      <w:bookmarkEnd w:id="145"/>
      <w:r>
        <w:rPr>
          <w:rFonts w:hint="eastAsia" w:ascii="仿宋" w:hAnsi="仿宋" w:eastAsia="仿宋" w:cs="黑体"/>
          <w:bCs/>
          <w:color w:val="auto"/>
          <w:sz w:val="24"/>
          <w:highlight w:val="none"/>
        </w:rPr>
        <w:t>(格式</w:t>
      </w:r>
      <w:r>
        <w:rPr>
          <w:rFonts w:ascii="仿宋" w:hAnsi="仿宋" w:eastAsia="仿宋" w:cs="黑体"/>
          <w:bCs/>
          <w:color w:val="auto"/>
          <w:sz w:val="24"/>
          <w:highlight w:val="none"/>
        </w:rPr>
        <w:t>)</w:t>
      </w:r>
    </w:p>
    <w:p w14:paraId="58F9F40A">
      <w:pPr>
        <w:spacing w:line="360" w:lineRule="exact"/>
        <w:jc w:val="center"/>
        <w:rPr>
          <w:rFonts w:ascii="宋体" w:hAnsi="宋体"/>
          <w:b/>
          <w:color w:val="auto"/>
          <w:szCs w:val="21"/>
          <w:highlight w:val="none"/>
        </w:rPr>
      </w:pPr>
    </w:p>
    <w:p w14:paraId="43AD9E4D">
      <w:pPr>
        <w:spacing w:line="400" w:lineRule="exact"/>
        <w:rPr>
          <w:rFonts w:ascii="宋体" w:hAnsi="宋体"/>
          <w:color w:val="auto"/>
          <w:szCs w:val="21"/>
          <w:highlight w:val="none"/>
        </w:rPr>
      </w:pPr>
      <w:r>
        <w:rPr>
          <w:rFonts w:hint="eastAsia" w:ascii="宋体" w:hAnsi="宋体"/>
          <w:color w:val="auto"/>
          <w:szCs w:val="21"/>
          <w:highlight w:val="none"/>
        </w:rPr>
        <w:t>致：钦州市政府采购中心：</w:t>
      </w:r>
    </w:p>
    <w:p w14:paraId="042D1A93">
      <w:pPr>
        <w:pStyle w:val="22"/>
        <w:spacing w:line="480" w:lineRule="exact"/>
        <w:ind w:firstLine="420"/>
        <w:rPr>
          <w:rFonts w:hAnsi="宋体"/>
          <w:color w:val="auto"/>
          <w:highlight w:val="none"/>
        </w:rPr>
      </w:pPr>
      <w:r>
        <w:rPr>
          <w:rFonts w:hint="eastAsia" w:hAnsi="宋体"/>
          <w:color w:val="auto"/>
          <w:highlight w:val="none"/>
        </w:rPr>
        <w:t>依据贵方</w:t>
      </w:r>
      <w:r>
        <w:rPr>
          <w:rFonts w:hint="eastAsia" w:hAnsi="宋体"/>
          <w:color w:val="auto"/>
          <w:highlight w:val="none"/>
          <w:u w:val="single"/>
        </w:rPr>
        <w:t>（项目名称/文件编号）</w:t>
      </w:r>
      <w:r>
        <w:rPr>
          <w:rFonts w:hint="eastAsia" w:hAnsi="宋体"/>
          <w:color w:val="auto"/>
          <w:highlight w:val="none"/>
        </w:rPr>
        <w:t>项目竞争性磋商采购文件，我方</w:t>
      </w:r>
      <w:r>
        <w:rPr>
          <w:rFonts w:hint="eastAsia" w:hAnsi="宋体"/>
          <w:color w:val="auto"/>
          <w:highlight w:val="none"/>
          <w:u w:val="single"/>
        </w:rPr>
        <w:t xml:space="preserve"> （供应商名称） </w:t>
      </w:r>
      <w:r>
        <w:rPr>
          <w:rFonts w:hint="eastAsia" w:hAnsi="宋体"/>
          <w:color w:val="auto"/>
          <w:highlight w:val="none"/>
        </w:rPr>
        <w:t>经正式授权代表</w:t>
      </w:r>
      <w:r>
        <w:rPr>
          <w:rFonts w:hint="eastAsia" w:hAnsi="宋体"/>
          <w:color w:val="auto"/>
          <w:highlight w:val="none"/>
          <w:u w:val="single"/>
        </w:rPr>
        <w:t xml:space="preserve">   （被授权人）</w:t>
      </w:r>
      <w:r>
        <w:rPr>
          <w:rFonts w:hint="eastAsia" w:hAnsi="宋体"/>
          <w:color w:val="auto"/>
          <w:highlight w:val="none"/>
        </w:rPr>
        <w:t>提交响应文件。</w:t>
      </w:r>
    </w:p>
    <w:p w14:paraId="0ABE44BD">
      <w:pPr>
        <w:spacing w:line="400" w:lineRule="exact"/>
        <w:rPr>
          <w:rFonts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据此函，我公司承诺：</w:t>
      </w:r>
    </w:p>
    <w:p w14:paraId="344A957A">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我方已详细审阅采购文件（包括澄清或者修改文件），已经了解我方对于采购文件、采购过程、采购结果有依法进行询问、质疑、投诉的权利及相关渠道和要求。</w:t>
      </w:r>
    </w:p>
    <w:p w14:paraId="2121D649">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2.我方不是采购人的附属机构；在获知本项目采购信息后，与采购人聘请的为此项目提供咨询服务的公司及其附属机构没有任何联系。</w:t>
      </w:r>
    </w:p>
    <w:p w14:paraId="549ED6A9">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我方在磋商之前已经与贵方进行了充分的沟通，完全理解并接受采购文件的各项规定和要求，对采购文件的合理性、合法性不再有异议。</w:t>
      </w:r>
    </w:p>
    <w:p w14:paraId="59B882B5">
      <w:pPr>
        <w:spacing w:line="400" w:lineRule="exact"/>
        <w:rPr>
          <w:rFonts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4</w:t>
      </w:r>
      <w:r>
        <w:rPr>
          <w:rFonts w:hint="eastAsia" w:ascii="宋体" w:hAnsi="宋体"/>
          <w:color w:val="auto"/>
          <w:szCs w:val="21"/>
          <w:highlight w:val="none"/>
        </w:rPr>
        <w:t>.我方根据采购文件的规定，承担完成合同的责任和义务。</w:t>
      </w:r>
    </w:p>
    <w:p w14:paraId="40CFA371">
      <w:pPr>
        <w:spacing w:line="400" w:lineRule="exact"/>
        <w:rPr>
          <w:rFonts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5</w:t>
      </w:r>
      <w:r>
        <w:rPr>
          <w:rFonts w:hint="eastAsia" w:ascii="宋体" w:hAnsi="宋体"/>
          <w:color w:val="auto"/>
          <w:szCs w:val="21"/>
          <w:highlight w:val="none"/>
        </w:rPr>
        <w:t>.同意向贵方提供贵方可能要求的与本项目采购有关的人员、数据和资料。</w:t>
      </w:r>
    </w:p>
    <w:p w14:paraId="763EA044">
      <w:pPr>
        <w:spacing w:line="400" w:lineRule="exact"/>
        <w:ind w:firstLine="424" w:firstLineChars="202"/>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我方向贵方提交的所有响应文件、资料都是准确的和真实的。</w:t>
      </w:r>
    </w:p>
    <w:p w14:paraId="3C54BAF2">
      <w:pPr>
        <w:spacing w:line="400" w:lineRule="exact"/>
        <w:rPr>
          <w:rFonts w:ascii="宋体" w:hAnsi="宋体"/>
          <w:color w:val="auto"/>
          <w:szCs w:val="21"/>
          <w:highlight w:val="none"/>
        </w:rPr>
      </w:pPr>
    </w:p>
    <w:p w14:paraId="1CCDF508">
      <w:pPr>
        <w:spacing w:line="400" w:lineRule="exact"/>
        <w:ind w:firstLine="426"/>
        <w:rPr>
          <w:rFonts w:ascii="宋体" w:hAnsi="宋体"/>
          <w:color w:val="auto"/>
          <w:szCs w:val="21"/>
          <w:highlight w:val="none"/>
        </w:rPr>
      </w:pPr>
      <w:r>
        <w:rPr>
          <w:rFonts w:hint="eastAsia" w:ascii="宋体" w:hAnsi="宋体"/>
          <w:color w:val="auto"/>
          <w:szCs w:val="21"/>
          <w:highlight w:val="none"/>
        </w:rPr>
        <w:t>与我公司有关的正式通讯方式：</w:t>
      </w:r>
    </w:p>
    <w:p w14:paraId="09B38DC0">
      <w:pPr>
        <w:spacing w:line="400" w:lineRule="exact"/>
        <w:rPr>
          <w:rFonts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14:paraId="67A10189">
      <w:pPr>
        <w:spacing w:line="400" w:lineRule="exact"/>
        <w:rPr>
          <w:rFonts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47C6BAD6">
      <w:pPr>
        <w:spacing w:line="400" w:lineRule="exact"/>
        <w:rPr>
          <w:rFonts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电话、电报、传真或电传：</w:t>
      </w:r>
      <w:r>
        <w:rPr>
          <w:rFonts w:hint="eastAsia" w:ascii="宋体" w:hAnsi="宋体"/>
          <w:color w:val="auto"/>
          <w:szCs w:val="21"/>
          <w:highlight w:val="none"/>
          <w:u w:val="single"/>
        </w:rPr>
        <w:t xml:space="preserve">                 </w:t>
      </w:r>
    </w:p>
    <w:p w14:paraId="79530CE4">
      <w:pPr>
        <w:spacing w:line="400" w:lineRule="exact"/>
        <w:rPr>
          <w:rFonts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开户名称：</w:t>
      </w:r>
      <w:r>
        <w:rPr>
          <w:rFonts w:hint="eastAsia" w:ascii="宋体" w:hAnsi="宋体"/>
          <w:color w:val="auto"/>
          <w:szCs w:val="21"/>
          <w:highlight w:val="none"/>
          <w:u w:val="single"/>
        </w:rPr>
        <w:t xml:space="preserve">                               </w:t>
      </w:r>
    </w:p>
    <w:p w14:paraId="5C3DE012">
      <w:pPr>
        <w:spacing w:line="400" w:lineRule="exact"/>
        <w:rPr>
          <w:rFonts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p>
    <w:p w14:paraId="13757563">
      <w:pPr>
        <w:spacing w:line="400" w:lineRule="exact"/>
        <w:rPr>
          <w:rFonts w:ascii="宋体" w:hAnsi="宋体"/>
          <w:color w:val="auto"/>
          <w:szCs w:val="21"/>
          <w:highlight w:val="none"/>
          <w:u w:val="single"/>
        </w:rPr>
      </w:pPr>
      <w:r>
        <w:rPr>
          <w:rFonts w:ascii="宋体" w:hAnsi="宋体"/>
          <w:color w:val="auto"/>
          <w:szCs w:val="21"/>
          <w:highlight w:val="none"/>
        </w:rPr>
        <w:tab/>
      </w:r>
      <w:r>
        <w:rPr>
          <w:rFonts w:hint="eastAsia" w:ascii="宋体" w:hAnsi="宋体"/>
          <w:color w:val="auto"/>
          <w:szCs w:val="21"/>
          <w:highlight w:val="none"/>
        </w:rPr>
        <w:t>账    号：</w:t>
      </w:r>
      <w:r>
        <w:rPr>
          <w:rFonts w:hint="eastAsia" w:ascii="宋体" w:hAnsi="宋体"/>
          <w:color w:val="auto"/>
          <w:szCs w:val="21"/>
          <w:highlight w:val="none"/>
          <w:u w:val="single"/>
        </w:rPr>
        <w:t xml:space="preserve">                               </w:t>
      </w:r>
    </w:p>
    <w:p w14:paraId="50B49E10">
      <w:pPr>
        <w:rPr>
          <w:color w:val="auto"/>
          <w:highlight w:val="none"/>
        </w:rPr>
      </w:pPr>
    </w:p>
    <w:p w14:paraId="1DA51536">
      <w:pPr>
        <w:rPr>
          <w:color w:val="auto"/>
          <w:highlight w:val="none"/>
        </w:rPr>
      </w:pPr>
    </w:p>
    <w:p w14:paraId="395A697B">
      <w:pPr>
        <w:rPr>
          <w:color w:val="auto"/>
          <w:highlight w:val="none"/>
        </w:rPr>
      </w:pPr>
    </w:p>
    <w:p w14:paraId="16F1D58C">
      <w:pPr>
        <w:spacing w:line="400" w:lineRule="exact"/>
        <w:rPr>
          <w:rFonts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 xml:space="preserve">                                  </w:t>
      </w:r>
    </w:p>
    <w:p w14:paraId="08CCC2C7">
      <w:pPr>
        <w:spacing w:line="400" w:lineRule="exact"/>
        <w:rPr>
          <w:rFonts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 xml:space="preserve">                                              </w:t>
      </w:r>
      <w:r>
        <w:rPr>
          <w:rFonts w:hint="eastAsia" w:ascii="宋体" w:hAnsi="宋体"/>
          <w:color w:val="auto"/>
          <w:szCs w:val="21"/>
          <w:highlight w:val="none"/>
        </w:rPr>
        <w:t>供应商（盖章）：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63BC5504">
      <w:pPr>
        <w:spacing w:line="400" w:lineRule="exact"/>
        <w:rPr>
          <w:rFonts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 xml:space="preserve">                                              </w:t>
      </w: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35ED1DF5">
      <w:pPr>
        <w:widowControl/>
        <w:jc w:val="left"/>
        <w:rPr>
          <w:color w:val="auto"/>
          <w:highlight w:val="none"/>
        </w:rPr>
      </w:pPr>
      <w:r>
        <w:rPr>
          <w:color w:val="auto"/>
          <w:highlight w:val="none"/>
        </w:rPr>
        <w:br w:type="page"/>
      </w:r>
    </w:p>
    <w:p w14:paraId="2B1D2ACD">
      <w:pPr>
        <w:rPr>
          <w:color w:val="auto"/>
          <w:highlight w:val="none"/>
        </w:rPr>
      </w:pPr>
    </w:p>
    <w:p w14:paraId="17E95CAD">
      <w:pPr>
        <w:jc w:val="center"/>
        <w:rPr>
          <w:rFonts w:ascii="仿宋" w:hAnsi="仿宋" w:eastAsia="仿宋"/>
          <w:color w:val="auto"/>
          <w:sz w:val="32"/>
          <w:szCs w:val="32"/>
          <w:highlight w:val="none"/>
        </w:rPr>
      </w:pPr>
      <w:r>
        <w:rPr>
          <w:rFonts w:hint="eastAsia" w:ascii="仿宋" w:hAnsi="仿宋" w:eastAsia="仿宋"/>
          <w:b/>
          <w:color w:val="auto"/>
          <w:sz w:val="32"/>
          <w:szCs w:val="32"/>
          <w:highlight w:val="none"/>
        </w:rPr>
        <w:t>授权委托书</w:t>
      </w:r>
      <w:bookmarkStart w:id="146" w:name="_Hlk92703623"/>
      <w:r>
        <w:rPr>
          <w:rFonts w:hint="eastAsia" w:ascii="仿宋" w:hAnsi="仿宋" w:eastAsia="仿宋"/>
          <w:color w:val="auto"/>
          <w:sz w:val="24"/>
          <w:highlight w:val="none"/>
        </w:rPr>
        <w:t>(格式</w:t>
      </w:r>
      <w:r>
        <w:rPr>
          <w:rFonts w:ascii="仿宋" w:hAnsi="仿宋" w:eastAsia="仿宋"/>
          <w:color w:val="auto"/>
          <w:sz w:val="24"/>
          <w:highlight w:val="none"/>
        </w:rPr>
        <w:t>)</w:t>
      </w:r>
      <w:bookmarkEnd w:id="146"/>
    </w:p>
    <w:p w14:paraId="644A418E">
      <w:pPr>
        <w:snapToGrid w:val="0"/>
        <w:spacing w:before="156" w:beforeLines="50" w:after="50" w:line="500" w:lineRule="exact"/>
        <w:rPr>
          <w:rFonts w:ascii="宋体" w:hAnsi="宋体"/>
          <w:b/>
          <w:bCs/>
          <w:color w:val="auto"/>
          <w:szCs w:val="21"/>
          <w:highlight w:val="none"/>
        </w:rPr>
      </w:pPr>
      <w:r>
        <w:rPr>
          <w:rFonts w:hint="eastAsia" w:ascii="宋体" w:hAnsi="宋体"/>
          <w:bCs/>
          <w:color w:val="auto"/>
          <w:szCs w:val="21"/>
          <w:highlight w:val="none"/>
        </w:rPr>
        <w:t>致：</w:t>
      </w:r>
      <w:r>
        <w:rPr>
          <w:rFonts w:hint="eastAsia"/>
          <w:color w:val="auto"/>
          <w:highlight w:val="none"/>
        </w:rPr>
        <w:t>钦州市政府采购中心</w:t>
      </w:r>
    </w:p>
    <w:p w14:paraId="79B1717A">
      <w:pPr>
        <w:snapToGrid w:val="0"/>
        <w:spacing w:before="156" w:beforeLines="50" w:after="50" w:line="500" w:lineRule="exact"/>
        <w:ind w:firstLine="420" w:firstLineChars="200"/>
        <w:rPr>
          <w:rFonts w:ascii="宋体" w:hAnsi="宋体"/>
          <w:color w:val="auto"/>
          <w:szCs w:val="21"/>
          <w:highlight w:val="none"/>
        </w:rPr>
      </w:pPr>
      <w:r>
        <w:rPr>
          <w:rFonts w:hint="eastAsia" w:ascii="宋体" w:hAnsi="宋体"/>
          <w:color w:val="auto"/>
          <w:szCs w:val="21"/>
          <w:highlight w:val="none"/>
        </w:rPr>
        <w:t>我</w:t>
      </w:r>
      <w:r>
        <w:rPr>
          <w:rFonts w:hint="eastAsia" w:ascii="宋体" w:hAnsi="宋体"/>
          <w:color w:val="auto"/>
          <w:szCs w:val="21"/>
          <w:highlight w:val="none"/>
          <w:u w:val="single"/>
        </w:rPr>
        <w:t>（姓名）</w:t>
      </w:r>
      <w:r>
        <w:rPr>
          <w:rFonts w:hint="eastAsia" w:ascii="宋体" w:hAnsi="宋体"/>
          <w:color w:val="auto"/>
          <w:szCs w:val="21"/>
          <w:highlight w:val="none"/>
        </w:rPr>
        <w:t>系</w:t>
      </w:r>
      <w:r>
        <w:rPr>
          <w:rFonts w:hint="eastAsia" w:ascii="宋体" w:hAnsi="宋体"/>
          <w:color w:val="auto"/>
          <w:szCs w:val="21"/>
          <w:highlight w:val="none"/>
          <w:u w:val="single"/>
        </w:rPr>
        <w:t>（供应商名称）</w:t>
      </w:r>
      <w:r>
        <w:rPr>
          <w:rFonts w:hint="eastAsia" w:ascii="宋体" w:hAnsi="宋体"/>
          <w:color w:val="auto"/>
          <w:szCs w:val="21"/>
          <w:highlight w:val="none"/>
        </w:rPr>
        <w:t>的</w:t>
      </w:r>
      <w:r>
        <w:rPr>
          <w:rFonts w:hint="eastAsia" w:ascii="宋体" w:hAnsi="宋体"/>
          <w:color w:val="auto"/>
          <w:szCs w:val="21"/>
          <w:highlight w:val="none"/>
          <w:lang w:eastAsia="zh-CN"/>
        </w:rPr>
        <w:t>法定代表人（负责人）</w:t>
      </w:r>
      <w:r>
        <w:rPr>
          <w:rFonts w:hint="eastAsia" w:ascii="宋体" w:hAnsi="宋体"/>
          <w:color w:val="auto"/>
          <w:szCs w:val="21"/>
          <w:highlight w:val="none"/>
        </w:rPr>
        <w:t>，现授权委托本单位在职职工</w:t>
      </w:r>
      <w:r>
        <w:rPr>
          <w:rFonts w:hint="eastAsia" w:ascii="宋体" w:hAnsi="宋体"/>
          <w:color w:val="auto"/>
          <w:szCs w:val="21"/>
          <w:highlight w:val="none"/>
          <w:u w:val="single"/>
        </w:rPr>
        <w:t>（姓名）</w:t>
      </w:r>
      <w:r>
        <w:rPr>
          <w:rFonts w:hint="eastAsia" w:ascii="宋体" w:hAnsi="宋体"/>
          <w:color w:val="auto"/>
          <w:szCs w:val="21"/>
          <w:highlight w:val="none"/>
        </w:rPr>
        <w:t>以我方的名义参加</w:t>
      </w:r>
      <w:r>
        <w:rPr>
          <w:rFonts w:hint="eastAsia" w:ascii="宋体" w:hAnsi="宋体"/>
          <w:color w:val="auto"/>
          <w:szCs w:val="21"/>
          <w:highlight w:val="none"/>
          <w:u w:val="single"/>
        </w:rPr>
        <w:t>（项目名称/项目编号）</w:t>
      </w:r>
      <w:r>
        <w:rPr>
          <w:rFonts w:hint="eastAsia" w:ascii="宋体" w:hAnsi="宋体"/>
          <w:color w:val="auto"/>
          <w:szCs w:val="21"/>
          <w:highlight w:val="none"/>
        </w:rPr>
        <w:t>的磋商活动，并代表我方全权办理针对上述项目的磋商、签约等具体事务和签署相关文件。</w:t>
      </w:r>
    </w:p>
    <w:p w14:paraId="151C4B3C">
      <w:pPr>
        <w:snapToGrid w:val="0"/>
        <w:spacing w:before="156" w:beforeLines="50" w:after="50" w:line="500" w:lineRule="exact"/>
        <w:ind w:firstLine="420" w:firstLineChars="200"/>
        <w:rPr>
          <w:rFonts w:ascii="宋体" w:hAnsi="宋体"/>
          <w:color w:val="auto"/>
          <w:szCs w:val="21"/>
          <w:highlight w:val="none"/>
        </w:rPr>
      </w:pPr>
      <w:r>
        <w:rPr>
          <w:rFonts w:hint="eastAsia" w:ascii="宋体" w:hAnsi="宋体"/>
          <w:color w:val="auto"/>
          <w:szCs w:val="21"/>
          <w:highlight w:val="none"/>
        </w:rPr>
        <w:t>我方对被授权人的签名事项负全部责任。</w:t>
      </w:r>
    </w:p>
    <w:p w14:paraId="793BA8DB">
      <w:pPr>
        <w:snapToGrid w:val="0"/>
        <w:spacing w:before="156" w:beforeLines="50" w:after="50" w:line="500" w:lineRule="exact"/>
        <w:ind w:firstLine="420" w:firstLineChars="200"/>
        <w:rPr>
          <w:rFonts w:ascii="宋体" w:hAnsi="宋体"/>
          <w:color w:val="auto"/>
          <w:szCs w:val="21"/>
          <w:highlight w:val="none"/>
        </w:rPr>
      </w:pPr>
      <w:r>
        <w:rPr>
          <w:rFonts w:hint="eastAsia" w:ascii="宋体" w:hAnsi="宋体"/>
          <w:color w:val="auto"/>
          <w:szCs w:val="21"/>
          <w:highlight w:val="none"/>
          <w:u w:val="single"/>
        </w:rPr>
        <w:t>在撤销授权的书面通知以前，本授权书一直有效</w:t>
      </w:r>
      <w:r>
        <w:rPr>
          <w:rFonts w:hint="eastAsia" w:ascii="宋体" w:hAnsi="宋体"/>
          <w:color w:val="auto"/>
          <w:szCs w:val="21"/>
          <w:highlight w:val="none"/>
        </w:rPr>
        <w:t>。被授权人在授权书有效期内签署的所有文件不因授权的撤销而失效。</w:t>
      </w:r>
    </w:p>
    <w:p w14:paraId="0536CB6A">
      <w:pPr>
        <w:snapToGrid w:val="0"/>
        <w:spacing w:before="156" w:beforeLines="50" w:after="50" w:line="500" w:lineRule="exact"/>
        <w:ind w:firstLine="420" w:firstLineChars="200"/>
        <w:rPr>
          <w:rFonts w:ascii="宋体" w:hAnsi="宋体"/>
          <w:color w:val="auto"/>
          <w:szCs w:val="21"/>
          <w:highlight w:val="none"/>
        </w:rPr>
      </w:pPr>
      <w:r>
        <w:rPr>
          <w:rFonts w:hint="eastAsia" w:ascii="宋体" w:hAnsi="宋体"/>
          <w:color w:val="auto"/>
          <w:szCs w:val="21"/>
          <w:highlight w:val="none"/>
        </w:rPr>
        <w:t>被授权人无转委托权，特此委托。</w:t>
      </w:r>
    </w:p>
    <w:p w14:paraId="430038A1">
      <w:pPr>
        <w:snapToGrid w:val="0"/>
        <w:spacing w:before="156" w:beforeLines="50" w:after="50" w:line="300" w:lineRule="exact"/>
        <w:ind w:firstLine="525" w:firstLineChars="250"/>
        <w:rPr>
          <w:rFonts w:ascii="宋体" w:hAnsi="宋体"/>
          <w:color w:val="auto"/>
          <w:szCs w:val="21"/>
          <w:highlight w:val="none"/>
        </w:rPr>
      </w:pPr>
    </w:p>
    <w:p w14:paraId="02ED6226">
      <w:pPr>
        <w:snapToGrid w:val="0"/>
        <w:spacing w:before="156" w:beforeLines="50" w:after="50" w:line="300" w:lineRule="exact"/>
        <w:ind w:firstLine="420" w:firstLineChars="200"/>
        <w:rPr>
          <w:rFonts w:ascii="宋体" w:hAnsi="宋体"/>
          <w:color w:val="auto"/>
          <w:szCs w:val="21"/>
          <w:highlight w:val="none"/>
        </w:rPr>
      </w:pPr>
      <w:r>
        <w:rPr>
          <w:rFonts w:hint="eastAsia" w:ascii="宋体" w:hAnsi="宋体"/>
          <w:color w:val="auto"/>
          <w:szCs w:val="21"/>
          <w:highlight w:val="none"/>
        </w:rPr>
        <w:t>所在部门职务：</w:t>
      </w:r>
      <w:r>
        <w:rPr>
          <w:rFonts w:hint="eastAsia" w:ascii="宋体" w:hAnsi="宋体"/>
          <w:color w:val="auto"/>
          <w:szCs w:val="21"/>
          <w:highlight w:val="none"/>
          <w:u w:val="single"/>
        </w:rPr>
        <w:t xml:space="preserve">                        </w:t>
      </w:r>
    </w:p>
    <w:p w14:paraId="214AA718">
      <w:pPr>
        <w:snapToGrid w:val="0"/>
        <w:spacing w:before="156" w:beforeLines="50" w:after="50" w:line="3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职务：</w:t>
      </w:r>
      <w:r>
        <w:rPr>
          <w:rFonts w:hint="eastAsia" w:ascii="宋体" w:hAnsi="宋体"/>
          <w:color w:val="auto"/>
          <w:szCs w:val="21"/>
          <w:highlight w:val="none"/>
          <w:u w:val="single"/>
        </w:rPr>
        <w:t xml:space="preserve">                                </w:t>
      </w:r>
    </w:p>
    <w:p w14:paraId="1A72ADAF">
      <w:pPr>
        <w:snapToGrid w:val="0"/>
        <w:spacing w:before="156" w:beforeLines="50" w:after="50" w:line="300" w:lineRule="exact"/>
        <w:ind w:firstLine="420" w:firstLineChars="200"/>
        <w:rPr>
          <w:rFonts w:ascii="宋体" w:hAnsi="宋体"/>
          <w:color w:val="auto"/>
          <w:szCs w:val="21"/>
          <w:highlight w:val="none"/>
        </w:rPr>
      </w:pPr>
      <w:r>
        <w:rPr>
          <w:rFonts w:hint="eastAsia" w:ascii="宋体" w:hAnsi="宋体"/>
          <w:color w:val="auto"/>
          <w:szCs w:val="21"/>
          <w:highlight w:val="none"/>
        </w:rPr>
        <w:t>被授权人身份证号码：</w:t>
      </w:r>
      <w:r>
        <w:rPr>
          <w:rFonts w:hint="eastAsia" w:ascii="宋体" w:hAnsi="宋体"/>
          <w:color w:val="auto"/>
          <w:szCs w:val="21"/>
          <w:highlight w:val="none"/>
          <w:u w:val="single"/>
        </w:rPr>
        <w:t xml:space="preserve">                  </w:t>
      </w:r>
    </w:p>
    <w:p w14:paraId="71F3AE82">
      <w:pPr>
        <w:snapToGrid w:val="0"/>
        <w:spacing w:before="156" w:beforeLines="50" w:after="50" w:line="300" w:lineRule="exact"/>
        <w:ind w:firstLine="420" w:firstLineChars="200"/>
        <w:rPr>
          <w:rFonts w:hAnsi="宋体"/>
          <w:color w:val="auto"/>
          <w:highlight w:val="none"/>
        </w:rPr>
      </w:pPr>
      <w:r>
        <w:rPr>
          <w:rFonts w:hint="eastAsia" w:hAnsi="宋体"/>
          <w:color w:val="auto"/>
          <w:highlight w:val="none"/>
        </w:rPr>
        <w:t>附：委托代理人身份证(正反面</w:t>
      </w:r>
      <w:r>
        <w:rPr>
          <w:rFonts w:hAnsi="宋体"/>
          <w:color w:val="auto"/>
          <w:highlight w:val="none"/>
        </w:rPr>
        <w:t>)</w:t>
      </w:r>
    </w:p>
    <w:p w14:paraId="519525F8">
      <w:pPr>
        <w:rPr>
          <w:color w:val="auto"/>
          <w:highlight w:val="none"/>
        </w:rPr>
      </w:pPr>
    </w:p>
    <w:p w14:paraId="4BDA3A26">
      <w:pPr>
        <w:rPr>
          <w:color w:val="auto"/>
          <w:highlight w:val="none"/>
        </w:rPr>
      </w:pPr>
    </w:p>
    <w:p w14:paraId="6488912F">
      <w:pPr>
        <w:rPr>
          <w:color w:val="auto"/>
          <w:highlight w:val="none"/>
        </w:rPr>
      </w:pPr>
    </w:p>
    <w:p w14:paraId="3D8DB41F">
      <w:pPr>
        <w:rPr>
          <w:color w:val="auto"/>
          <w:highlight w:val="none"/>
        </w:rPr>
      </w:pPr>
    </w:p>
    <w:p w14:paraId="47CE2EFE">
      <w:pPr>
        <w:rPr>
          <w:color w:val="auto"/>
          <w:highlight w:val="none"/>
        </w:rPr>
      </w:pPr>
    </w:p>
    <w:p w14:paraId="7C926E86">
      <w:pPr>
        <w:snapToGrid w:val="0"/>
        <w:spacing w:before="156" w:beforeLines="50" w:after="50" w:line="200" w:lineRule="exact"/>
        <w:ind w:firstLine="4620" w:firstLineChars="2200"/>
        <w:rPr>
          <w:rFonts w:ascii="宋体" w:hAnsi="宋体"/>
          <w:color w:val="auto"/>
          <w:szCs w:val="21"/>
          <w:highlight w:val="none"/>
          <w:u w:val="single"/>
        </w:rPr>
      </w:pPr>
      <w:r>
        <w:rPr>
          <w:rFonts w:hint="eastAsia" w:ascii="宋体" w:hAnsi="宋体"/>
          <w:color w:val="auto"/>
          <w:szCs w:val="21"/>
          <w:highlight w:val="none"/>
        </w:rPr>
        <w:t xml:space="preserve">       供应商（盖章）：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40FDAE2D">
      <w:pPr>
        <w:snapToGrid w:val="0"/>
        <w:spacing w:before="156" w:beforeLines="50" w:after="50" w:line="200" w:lineRule="exact"/>
        <w:ind w:firstLine="5355" w:firstLineChars="2550"/>
        <w:rPr>
          <w:rFonts w:ascii="宋体" w:hAnsi="宋体"/>
          <w:color w:val="auto"/>
          <w:szCs w:val="21"/>
          <w:highlight w:val="none"/>
        </w:rPr>
      </w:pPr>
      <w:r>
        <w:rPr>
          <w:rFonts w:hint="eastAsia" w:ascii="宋体" w:hAnsi="宋体"/>
          <w:color w:val="auto"/>
          <w:szCs w:val="21"/>
          <w:highlight w:val="none"/>
          <w:lang w:eastAsia="zh-CN"/>
        </w:rPr>
        <w:t>法定代表人（负责人）</w:t>
      </w:r>
      <w:r>
        <w:rPr>
          <w:rFonts w:hint="eastAsia" w:ascii="宋体" w:hAnsi="宋体"/>
          <w:color w:val="auto"/>
          <w:szCs w:val="21"/>
          <w:highlight w:val="none"/>
        </w:rPr>
        <w:t>签名：</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27E71095">
      <w:pPr>
        <w:snapToGrid w:val="0"/>
        <w:spacing w:before="156" w:beforeLines="50" w:after="50" w:line="200" w:lineRule="exact"/>
        <w:ind w:firstLine="5355" w:firstLineChars="2550"/>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28B489B9">
      <w:pPr>
        <w:widowControl/>
        <w:jc w:val="left"/>
        <w:rPr>
          <w:color w:val="auto"/>
          <w:highlight w:val="none"/>
        </w:rPr>
      </w:pPr>
      <w:r>
        <w:rPr>
          <w:b/>
          <w:bCs/>
          <w:color w:val="auto"/>
          <w:highlight w:val="none"/>
        </w:rPr>
        <w:br w:type="page"/>
      </w:r>
    </w:p>
    <w:p w14:paraId="7C559673">
      <w:pPr>
        <w:snapToGrid w:val="0"/>
        <w:spacing w:before="156" w:beforeLines="50" w:after="50" w:line="360" w:lineRule="exact"/>
        <w:jc w:val="center"/>
        <w:rPr>
          <w:rFonts w:ascii="仿宋" w:hAnsi="仿宋" w:eastAsia="仿宋"/>
          <w:color w:val="auto"/>
          <w:sz w:val="24"/>
          <w:highlight w:val="none"/>
        </w:rPr>
      </w:pPr>
      <w:bookmarkStart w:id="147" w:name="_Hlk92702799"/>
      <w:r>
        <w:rPr>
          <w:rFonts w:hint="eastAsia" w:ascii="仿宋_GB2312" w:hAnsi="宋体" w:eastAsia="仿宋_GB2312"/>
          <w:b/>
          <w:color w:val="auto"/>
          <w:sz w:val="28"/>
          <w:szCs w:val="28"/>
          <w:highlight w:val="none"/>
        </w:rPr>
        <w:t>商务响应</w:t>
      </w:r>
      <w:r>
        <w:rPr>
          <w:rFonts w:hint="eastAsia" w:ascii="仿宋_GB2312" w:eastAsia="仿宋_GB2312"/>
          <w:b/>
          <w:color w:val="auto"/>
          <w:sz w:val="28"/>
          <w:szCs w:val="28"/>
          <w:highlight w:val="none"/>
        </w:rPr>
        <w:t>表</w:t>
      </w:r>
      <w:r>
        <w:rPr>
          <w:rFonts w:hint="eastAsia" w:ascii="仿宋" w:hAnsi="仿宋" w:eastAsia="仿宋"/>
          <w:color w:val="auto"/>
          <w:sz w:val="24"/>
          <w:highlight w:val="none"/>
        </w:rPr>
        <w:t>(格式</w:t>
      </w:r>
      <w:r>
        <w:rPr>
          <w:rFonts w:ascii="仿宋" w:hAnsi="仿宋" w:eastAsia="仿宋"/>
          <w:color w:val="auto"/>
          <w:sz w:val="24"/>
          <w:highlight w:val="none"/>
        </w:rPr>
        <w:t>)</w:t>
      </w:r>
    </w:p>
    <w:p w14:paraId="372E2A1F">
      <w:pPr>
        <w:rPr>
          <w:color w:val="auto"/>
          <w:highlight w:val="none"/>
        </w:rPr>
      </w:pPr>
    </w:p>
    <w:tbl>
      <w:tblPr>
        <w:tblStyle w:val="39"/>
        <w:tblW w:w="94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3240"/>
        <w:gridCol w:w="2748"/>
        <w:gridCol w:w="1572"/>
      </w:tblGrid>
      <w:tr w14:paraId="33377E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4EBD196B">
            <w:pPr>
              <w:snapToGrid w:val="0"/>
              <w:spacing w:before="156" w:beforeLines="50" w:line="360" w:lineRule="exact"/>
              <w:jc w:val="center"/>
              <w:rPr>
                <w:rFonts w:ascii="宋体" w:hAnsi="宋体"/>
                <w:b/>
                <w:color w:val="auto"/>
                <w:szCs w:val="21"/>
                <w:highlight w:val="none"/>
              </w:rPr>
            </w:pPr>
            <w:r>
              <w:rPr>
                <w:rFonts w:hint="eastAsia" w:ascii="宋体" w:hAnsi="宋体"/>
                <w:b/>
                <w:color w:val="auto"/>
                <w:szCs w:val="21"/>
                <w:highlight w:val="none"/>
              </w:rPr>
              <w:t>项目</w:t>
            </w:r>
          </w:p>
        </w:tc>
        <w:tc>
          <w:tcPr>
            <w:tcW w:w="3240" w:type="dxa"/>
            <w:tcBorders>
              <w:top w:val="single" w:color="auto" w:sz="4" w:space="0"/>
              <w:left w:val="single" w:color="auto" w:sz="4" w:space="0"/>
              <w:bottom w:val="single" w:color="auto" w:sz="4" w:space="0"/>
              <w:right w:val="single" w:color="auto" w:sz="4" w:space="0"/>
            </w:tcBorders>
            <w:vAlign w:val="center"/>
          </w:tcPr>
          <w:p w14:paraId="3AC71C99">
            <w:pPr>
              <w:snapToGrid w:val="0"/>
              <w:spacing w:before="156" w:beforeLines="50" w:line="360" w:lineRule="exact"/>
              <w:jc w:val="center"/>
              <w:rPr>
                <w:rFonts w:ascii="宋体" w:hAnsi="宋体"/>
                <w:b/>
                <w:color w:val="auto"/>
                <w:szCs w:val="21"/>
                <w:highlight w:val="none"/>
              </w:rPr>
            </w:pPr>
            <w:r>
              <w:rPr>
                <w:rFonts w:hint="eastAsia" w:ascii="宋体" w:hAnsi="宋体"/>
                <w:b/>
                <w:color w:val="auto"/>
                <w:szCs w:val="21"/>
                <w:highlight w:val="none"/>
              </w:rPr>
              <w:t>采购文件</w:t>
            </w:r>
            <w:r>
              <w:rPr>
                <w:rFonts w:hint="eastAsia" w:ascii="宋体" w:hAnsi="宋体"/>
                <w:b/>
                <w:color w:val="auto"/>
                <w:szCs w:val="21"/>
                <w:highlight w:val="none"/>
                <w:lang w:val="en-US" w:eastAsia="zh-CN"/>
              </w:rPr>
              <w:t>商务</w:t>
            </w:r>
            <w:r>
              <w:rPr>
                <w:rFonts w:hint="eastAsia" w:ascii="宋体" w:hAnsi="宋体"/>
                <w:b/>
                <w:color w:val="auto"/>
                <w:szCs w:val="21"/>
                <w:highlight w:val="none"/>
              </w:rPr>
              <w:t>要求</w:t>
            </w:r>
          </w:p>
        </w:tc>
        <w:tc>
          <w:tcPr>
            <w:tcW w:w="2748" w:type="dxa"/>
            <w:tcBorders>
              <w:top w:val="single" w:color="auto" w:sz="4" w:space="0"/>
              <w:left w:val="single" w:color="auto" w:sz="4" w:space="0"/>
              <w:bottom w:val="single" w:color="auto" w:sz="4" w:space="0"/>
              <w:right w:val="single" w:color="auto" w:sz="4" w:space="0"/>
            </w:tcBorders>
            <w:vAlign w:val="center"/>
          </w:tcPr>
          <w:p w14:paraId="5CFB622D">
            <w:pPr>
              <w:snapToGrid w:val="0"/>
              <w:spacing w:before="156" w:beforeLines="50" w:line="360" w:lineRule="exact"/>
              <w:jc w:val="center"/>
              <w:rPr>
                <w:rFonts w:ascii="宋体" w:hAnsi="宋体"/>
                <w:b/>
                <w:color w:val="auto"/>
                <w:szCs w:val="21"/>
                <w:highlight w:val="none"/>
              </w:rPr>
            </w:pPr>
            <w:r>
              <w:rPr>
                <w:rFonts w:hint="eastAsia" w:ascii="宋体" w:hAnsi="宋体" w:eastAsia="宋体"/>
                <w:b/>
                <w:color w:val="auto"/>
                <w:szCs w:val="21"/>
                <w:highlight w:val="none"/>
                <w:lang w:val="en-US" w:eastAsia="zh-CN"/>
              </w:rPr>
              <w:t>供应商的</w:t>
            </w:r>
            <w:r>
              <w:rPr>
                <w:rFonts w:hint="eastAsia" w:ascii="宋体" w:hAnsi="宋体" w:eastAsia="宋体"/>
                <w:b/>
                <w:color w:val="auto"/>
                <w:szCs w:val="21"/>
                <w:highlight w:val="none"/>
              </w:rPr>
              <w:t>响应</w:t>
            </w:r>
          </w:p>
        </w:tc>
        <w:tc>
          <w:tcPr>
            <w:tcW w:w="1572" w:type="dxa"/>
            <w:tcBorders>
              <w:top w:val="single" w:color="auto" w:sz="4" w:space="0"/>
              <w:left w:val="single" w:color="auto" w:sz="4" w:space="0"/>
              <w:bottom w:val="single" w:color="auto" w:sz="4" w:space="0"/>
              <w:right w:val="single" w:color="auto" w:sz="4" w:space="0"/>
            </w:tcBorders>
            <w:vAlign w:val="center"/>
          </w:tcPr>
          <w:p w14:paraId="78E85C72">
            <w:pPr>
              <w:snapToGrid w:val="0"/>
              <w:spacing w:before="156" w:beforeLines="50" w:line="360" w:lineRule="exact"/>
              <w:jc w:val="center"/>
              <w:rPr>
                <w:rFonts w:ascii="宋体" w:hAnsi="宋体"/>
                <w:b/>
                <w:color w:val="auto"/>
                <w:szCs w:val="21"/>
                <w:highlight w:val="none"/>
              </w:rPr>
            </w:pPr>
            <w:r>
              <w:rPr>
                <w:rFonts w:hint="eastAsia" w:ascii="宋体" w:hAnsi="宋体" w:eastAsia="宋体"/>
                <w:b/>
                <w:color w:val="auto"/>
                <w:szCs w:val="21"/>
                <w:highlight w:val="none"/>
              </w:rPr>
              <w:t>偏离说明</w:t>
            </w:r>
          </w:p>
        </w:tc>
      </w:tr>
      <w:tr w14:paraId="6D571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1E5CCCAA">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服务期</w:t>
            </w:r>
          </w:p>
        </w:tc>
        <w:tc>
          <w:tcPr>
            <w:tcW w:w="3240" w:type="dxa"/>
            <w:tcBorders>
              <w:top w:val="single" w:color="auto" w:sz="4" w:space="0"/>
              <w:left w:val="single" w:color="auto" w:sz="4" w:space="0"/>
              <w:bottom w:val="single" w:color="auto" w:sz="4" w:space="0"/>
              <w:right w:val="single" w:color="auto" w:sz="4" w:space="0"/>
            </w:tcBorders>
            <w:vAlign w:val="center"/>
          </w:tcPr>
          <w:p w14:paraId="546409D1">
            <w:pPr>
              <w:snapToGrid w:val="0"/>
              <w:spacing w:before="156" w:beforeLines="50" w:line="360" w:lineRule="exact"/>
              <w:jc w:val="center"/>
              <w:rPr>
                <w:rFonts w:ascii="宋体" w:hAnsi="宋体"/>
                <w:color w:val="auto"/>
                <w:szCs w:val="21"/>
                <w:highlight w:val="none"/>
              </w:rPr>
            </w:pPr>
          </w:p>
        </w:tc>
        <w:tc>
          <w:tcPr>
            <w:tcW w:w="2748" w:type="dxa"/>
            <w:tcBorders>
              <w:top w:val="single" w:color="auto" w:sz="4" w:space="0"/>
              <w:left w:val="single" w:color="auto" w:sz="4" w:space="0"/>
              <w:bottom w:val="single" w:color="auto" w:sz="4" w:space="0"/>
              <w:right w:val="single" w:color="auto" w:sz="4" w:space="0"/>
            </w:tcBorders>
            <w:vAlign w:val="center"/>
          </w:tcPr>
          <w:p w14:paraId="500D4E65">
            <w:pPr>
              <w:snapToGrid w:val="0"/>
              <w:spacing w:before="156" w:beforeLines="50" w:line="360" w:lineRule="exact"/>
              <w:jc w:val="center"/>
              <w:rPr>
                <w:rFonts w:ascii="宋体" w:hAnsi="宋体"/>
                <w:color w:val="auto"/>
                <w:szCs w:val="21"/>
                <w:highlight w:val="none"/>
              </w:rPr>
            </w:pPr>
          </w:p>
        </w:tc>
        <w:tc>
          <w:tcPr>
            <w:tcW w:w="1572" w:type="dxa"/>
            <w:tcBorders>
              <w:top w:val="single" w:color="auto" w:sz="4" w:space="0"/>
              <w:left w:val="single" w:color="auto" w:sz="4" w:space="0"/>
              <w:bottom w:val="single" w:color="auto" w:sz="4" w:space="0"/>
              <w:right w:val="single" w:color="auto" w:sz="4" w:space="0"/>
            </w:tcBorders>
            <w:vAlign w:val="center"/>
          </w:tcPr>
          <w:p w14:paraId="61EDC65A">
            <w:pPr>
              <w:snapToGrid w:val="0"/>
              <w:spacing w:before="156" w:beforeLines="50" w:line="360" w:lineRule="exact"/>
              <w:jc w:val="center"/>
              <w:rPr>
                <w:rFonts w:ascii="宋体" w:hAnsi="宋体"/>
                <w:color w:val="auto"/>
                <w:szCs w:val="21"/>
                <w:highlight w:val="none"/>
              </w:rPr>
            </w:pPr>
          </w:p>
        </w:tc>
      </w:tr>
      <w:tr w14:paraId="55C78C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55BE68FC">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服务地点</w:t>
            </w:r>
          </w:p>
        </w:tc>
        <w:tc>
          <w:tcPr>
            <w:tcW w:w="3240" w:type="dxa"/>
            <w:tcBorders>
              <w:top w:val="single" w:color="auto" w:sz="4" w:space="0"/>
              <w:left w:val="single" w:color="auto" w:sz="4" w:space="0"/>
              <w:bottom w:val="single" w:color="auto" w:sz="4" w:space="0"/>
              <w:right w:val="single" w:color="auto" w:sz="4" w:space="0"/>
            </w:tcBorders>
            <w:vAlign w:val="center"/>
          </w:tcPr>
          <w:p w14:paraId="12A6E0BC">
            <w:pPr>
              <w:snapToGrid w:val="0"/>
              <w:spacing w:before="156" w:beforeLines="50" w:line="360" w:lineRule="exact"/>
              <w:jc w:val="center"/>
              <w:rPr>
                <w:rFonts w:ascii="宋体" w:hAnsi="宋体"/>
                <w:color w:val="auto"/>
                <w:szCs w:val="21"/>
                <w:highlight w:val="none"/>
              </w:rPr>
            </w:pPr>
          </w:p>
        </w:tc>
        <w:tc>
          <w:tcPr>
            <w:tcW w:w="2748" w:type="dxa"/>
            <w:tcBorders>
              <w:top w:val="single" w:color="auto" w:sz="4" w:space="0"/>
              <w:left w:val="single" w:color="auto" w:sz="4" w:space="0"/>
              <w:bottom w:val="single" w:color="auto" w:sz="4" w:space="0"/>
              <w:right w:val="single" w:color="auto" w:sz="4" w:space="0"/>
            </w:tcBorders>
            <w:vAlign w:val="center"/>
          </w:tcPr>
          <w:p w14:paraId="31633B21">
            <w:pPr>
              <w:snapToGrid w:val="0"/>
              <w:spacing w:before="156" w:beforeLines="50" w:line="360" w:lineRule="exact"/>
              <w:ind w:left="43"/>
              <w:jc w:val="center"/>
              <w:rPr>
                <w:rFonts w:ascii="宋体" w:hAnsi="宋体"/>
                <w:color w:val="auto"/>
                <w:szCs w:val="21"/>
                <w:highlight w:val="none"/>
              </w:rPr>
            </w:pPr>
          </w:p>
        </w:tc>
        <w:tc>
          <w:tcPr>
            <w:tcW w:w="1572" w:type="dxa"/>
            <w:tcBorders>
              <w:top w:val="single" w:color="auto" w:sz="4" w:space="0"/>
              <w:left w:val="single" w:color="auto" w:sz="4" w:space="0"/>
              <w:bottom w:val="single" w:color="auto" w:sz="4" w:space="0"/>
              <w:right w:val="single" w:color="auto" w:sz="4" w:space="0"/>
            </w:tcBorders>
            <w:vAlign w:val="center"/>
          </w:tcPr>
          <w:p w14:paraId="4FE7051E">
            <w:pPr>
              <w:snapToGrid w:val="0"/>
              <w:spacing w:before="156" w:beforeLines="50" w:line="360" w:lineRule="exact"/>
              <w:ind w:left="43"/>
              <w:jc w:val="center"/>
              <w:rPr>
                <w:rFonts w:ascii="宋体" w:hAnsi="宋体"/>
                <w:color w:val="auto"/>
                <w:szCs w:val="21"/>
                <w:highlight w:val="none"/>
              </w:rPr>
            </w:pPr>
          </w:p>
        </w:tc>
      </w:tr>
      <w:tr w14:paraId="6D3C9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19413DCF">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付款条件</w:t>
            </w:r>
          </w:p>
        </w:tc>
        <w:tc>
          <w:tcPr>
            <w:tcW w:w="3240" w:type="dxa"/>
            <w:tcBorders>
              <w:top w:val="single" w:color="auto" w:sz="4" w:space="0"/>
              <w:left w:val="single" w:color="auto" w:sz="4" w:space="0"/>
              <w:bottom w:val="single" w:color="auto" w:sz="4" w:space="0"/>
              <w:right w:val="single" w:color="auto" w:sz="4" w:space="0"/>
            </w:tcBorders>
            <w:vAlign w:val="center"/>
          </w:tcPr>
          <w:p w14:paraId="198CC55F">
            <w:pPr>
              <w:snapToGrid w:val="0"/>
              <w:spacing w:before="156" w:beforeLines="50" w:line="360" w:lineRule="exact"/>
              <w:ind w:left="105"/>
              <w:jc w:val="center"/>
              <w:rPr>
                <w:rFonts w:ascii="宋体" w:hAnsi="宋体"/>
                <w:color w:val="auto"/>
                <w:szCs w:val="21"/>
                <w:highlight w:val="none"/>
              </w:rPr>
            </w:pPr>
          </w:p>
        </w:tc>
        <w:tc>
          <w:tcPr>
            <w:tcW w:w="2748" w:type="dxa"/>
            <w:tcBorders>
              <w:top w:val="single" w:color="auto" w:sz="4" w:space="0"/>
              <w:left w:val="single" w:color="auto" w:sz="4" w:space="0"/>
              <w:bottom w:val="single" w:color="auto" w:sz="4" w:space="0"/>
              <w:right w:val="single" w:color="auto" w:sz="4" w:space="0"/>
            </w:tcBorders>
            <w:vAlign w:val="center"/>
          </w:tcPr>
          <w:p w14:paraId="70F5917F">
            <w:pPr>
              <w:snapToGrid w:val="0"/>
              <w:spacing w:before="156" w:beforeLines="50" w:line="360" w:lineRule="exact"/>
              <w:jc w:val="center"/>
              <w:rPr>
                <w:rFonts w:ascii="宋体" w:hAnsi="宋体"/>
                <w:color w:val="auto"/>
                <w:szCs w:val="21"/>
                <w:highlight w:val="none"/>
              </w:rPr>
            </w:pPr>
          </w:p>
        </w:tc>
        <w:tc>
          <w:tcPr>
            <w:tcW w:w="1572" w:type="dxa"/>
            <w:tcBorders>
              <w:top w:val="single" w:color="auto" w:sz="4" w:space="0"/>
              <w:left w:val="single" w:color="auto" w:sz="4" w:space="0"/>
              <w:bottom w:val="single" w:color="auto" w:sz="4" w:space="0"/>
              <w:right w:val="single" w:color="auto" w:sz="4" w:space="0"/>
            </w:tcBorders>
            <w:vAlign w:val="center"/>
          </w:tcPr>
          <w:p w14:paraId="5257FAAA">
            <w:pPr>
              <w:snapToGrid w:val="0"/>
              <w:spacing w:before="156" w:beforeLines="50" w:line="360" w:lineRule="exact"/>
              <w:jc w:val="center"/>
              <w:rPr>
                <w:rFonts w:ascii="宋体" w:hAnsi="宋体"/>
                <w:color w:val="auto"/>
                <w:szCs w:val="21"/>
                <w:highlight w:val="none"/>
              </w:rPr>
            </w:pPr>
          </w:p>
        </w:tc>
      </w:tr>
      <w:tr w14:paraId="7EC73C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727D70CA">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w:t>
            </w:r>
          </w:p>
        </w:tc>
        <w:tc>
          <w:tcPr>
            <w:tcW w:w="3240" w:type="dxa"/>
            <w:tcBorders>
              <w:top w:val="single" w:color="auto" w:sz="4" w:space="0"/>
              <w:left w:val="single" w:color="auto" w:sz="4" w:space="0"/>
              <w:bottom w:val="single" w:color="auto" w:sz="4" w:space="0"/>
              <w:right w:val="single" w:color="auto" w:sz="4" w:space="0"/>
            </w:tcBorders>
            <w:vAlign w:val="center"/>
          </w:tcPr>
          <w:p w14:paraId="6280C765">
            <w:pPr>
              <w:snapToGrid w:val="0"/>
              <w:spacing w:before="156" w:beforeLines="50" w:line="360" w:lineRule="exact"/>
              <w:jc w:val="center"/>
              <w:rPr>
                <w:rFonts w:ascii="宋体" w:hAnsi="宋体"/>
                <w:color w:val="auto"/>
                <w:szCs w:val="21"/>
                <w:highlight w:val="none"/>
              </w:rPr>
            </w:pPr>
          </w:p>
        </w:tc>
        <w:tc>
          <w:tcPr>
            <w:tcW w:w="2748" w:type="dxa"/>
            <w:tcBorders>
              <w:top w:val="single" w:color="auto" w:sz="4" w:space="0"/>
              <w:left w:val="single" w:color="auto" w:sz="4" w:space="0"/>
              <w:bottom w:val="single" w:color="auto" w:sz="4" w:space="0"/>
              <w:right w:val="single" w:color="auto" w:sz="4" w:space="0"/>
            </w:tcBorders>
            <w:vAlign w:val="center"/>
          </w:tcPr>
          <w:p w14:paraId="4135238D">
            <w:pPr>
              <w:snapToGrid w:val="0"/>
              <w:spacing w:before="156" w:beforeLines="50" w:line="360" w:lineRule="exact"/>
              <w:jc w:val="center"/>
              <w:rPr>
                <w:rFonts w:ascii="宋体" w:hAnsi="宋体"/>
                <w:color w:val="auto"/>
                <w:szCs w:val="21"/>
                <w:highlight w:val="none"/>
              </w:rPr>
            </w:pPr>
          </w:p>
        </w:tc>
        <w:tc>
          <w:tcPr>
            <w:tcW w:w="1572" w:type="dxa"/>
            <w:tcBorders>
              <w:top w:val="single" w:color="auto" w:sz="4" w:space="0"/>
              <w:left w:val="single" w:color="auto" w:sz="4" w:space="0"/>
              <w:bottom w:val="single" w:color="auto" w:sz="4" w:space="0"/>
              <w:right w:val="single" w:color="auto" w:sz="4" w:space="0"/>
            </w:tcBorders>
            <w:vAlign w:val="center"/>
          </w:tcPr>
          <w:p w14:paraId="63E59A91">
            <w:pPr>
              <w:snapToGrid w:val="0"/>
              <w:spacing w:before="156" w:beforeLines="50" w:line="360" w:lineRule="exact"/>
              <w:jc w:val="center"/>
              <w:rPr>
                <w:rFonts w:ascii="宋体" w:hAnsi="宋体"/>
                <w:color w:val="auto"/>
                <w:szCs w:val="21"/>
                <w:highlight w:val="none"/>
              </w:rPr>
            </w:pPr>
          </w:p>
        </w:tc>
      </w:tr>
    </w:tbl>
    <w:p w14:paraId="245F4C20">
      <w:pPr>
        <w:tabs>
          <w:tab w:val="left" w:pos="3870"/>
          <w:tab w:val="left" w:pos="4085"/>
        </w:tabs>
        <w:snapToGrid w:val="0"/>
        <w:spacing w:line="360" w:lineRule="exact"/>
        <w:rPr>
          <w:rFonts w:ascii="宋体" w:hAnsi="宋体"/>
          <w:b/>
          <w:color w:val="auto"/>
          <w:szCs w:val="21"/>
          <w:highlight w:val="none"/>
        </w:rPr>
      </w:pPr>
    </w:p>
    <w:p w14:paraId="76948A9C">
      <w:pPr>
        <w:rPr>
          <w:rFonts w:hint="eastAsia"/>
          <w:color w:val="auto"/>
          <w:highlight w:val="none"/>
          <w:lang w:val="en-US" w:eastAsia="zh-CN"/>
        </w:rPr>
      </w:pPr>
      <w:r>
        <w:rPr>
          <w:rFonts w:hint="eastAsia"/>
          <w:color w:val="auto"/>
          <w:highlight w:val="none"/>
          <w:lang w:val="en-US" w:eastAsia="zh-CN"/>
        </w:rPr>
        <w:t>注：</w:t>
      </w:r>
    </w:p>
    <w:p w14:paraId="628D1D82">
      <w:pPr>
        <w:rPr>
          <w:rFonts w:hint="eastAsia" w:eastAsia="宋体"/>
          <w:b w:val="0"/>
          <w:bCs w:val="0"/>
          <w:color w:val="auto"/>
          <w:sz w:val="21"/>
          <w:szCs w:val="21"/>
          <w:highlight w:val="none"/>
          <w:lang w:val="en-US" w:eastAsia="zh-CN"/>
        </w:rPr>
      </w:pPr>
      <w:r>
        <w:rPr>
          <w:rFonts w:hint="eastAsia" w:eastAsia="宋体"/>
          <w:b w:val="0"/>
          <w:bCs w:val="0"/>
          <w:color w:val="auto"/>
          <w:sz w:val="21"/>
          <w:szCs w:val="21"/>
          <w:highlight w:val="none"/>
          <w:lang w:val="en-US" w:eastAsia="zh-CN"/>
        </w:rPr>
        <w:t>1.</w:t>
      </w:r>
      <w:r>
        <w:rPr>
          <w:rFonts w:hint="eastAsia" w:eastAsia="宋体"/>
          <w:b w:val="0"/>
          <w:bCs w:val="0"/>
          <w:color w:val="auto"/>
          <w:sz w:val="21"/>
          <w:szCs w:val="21"/>
          <w:highlight w:val="none"/>
        </w:rPr>
        <w:t>应</w:t>
      </w:r>
      <w:r>
        <w:rPr>
          <w:rFonts w:hint="eastAsia" w:eastAsia="宋体"/>
          <w:b w:val="0"/>
          <w:bCs w:val="0"/>
          <w:color w:val="auto"/>
          <w:sz w:val="21"/>
          <w:szCs w:val="21"/>
          <w:highlight w:val="none"/>
          <w:lang w:val="en-US" w:eastAsia="zh-CN"/>
        </w:rPr>
        <w:t>按采购</w:t>
      </w:r>
      <w:r>
        <w:rPr>
          <w:rFonts w:hint="eastAsia" w:eastAsia="宋体"/>
          <w:b w:val="0"/>
          <w:bCs w:val="0"/>
          <w:color w:val="auto"/>
          <w:sz w:val="21"/>
          <w:szCs w:val="21"/>
          <w:highlight w:val="none"/>
        </w:rPr>
        <w:t>文件“第二章 项目需求”中的商务要求</w:t>
      </w:r>
      <w:r>
        <w:rPr>
          <w:rFonts w:hint="eastAsia" w:eastAsia="宋体"/>
          <w:b w:val="0"/>
          <w:bCs w:val="0"/>
          <w:color w:val="auto"/>
          <w:sz w:val="21"/>
          <w:szCs w:val="21"/>
          <w:highlight w:val="none"/>
          <w:lang w:val="en-US" w:eastAsia="zh-CN"/>
        </w:rPr>
        <w:t>具体条款修改并</w:t>
      </w:r>
      <w:r>
        <w:rPr>
          <w:rFonts w:hint="eastAsia" w:eastAsia="宋体"/>
          <w:b w:val="0"/>
          <w:bCs w:val="0"/>
          <w:color w:val="auto"/>
          <w:sz w:val="21"/>
          <w:szCs w:val="21"/>
          <w:highlight w:val="none"/>
        </w:rPr>
        <w:t>逐条作明确的</w:t>
      </w:r>
      <w:r>
        <w:rPr>
          <w:rFonts w:hint="eastAsia" w:eastAsia="宋体"/>
          <w:b w:val="0"/>
          <w:bCs w:val="0"/>
          <w:color w:val="auto"/>
          <w:sz w:val="21"/>
          <w:szCs w:val="21"/>
          <w:highlight w:val="none"/>
          <w:lang w:val="en-US" w:eastAsia="zh-CN"/>
        </w:rPr>
        <w:t>竞标</w:t>
      </w:r>
      <w:r>
        <w:rPr>
          <w:rFonts w:hint="eastAsia" w:eastAsia="宋体"/>
          <w:b w:val="0"/>
          <w:bCs w:val="0"/>
          <w:color w:val="auto"/>
          <w:sz w:val="21"/>
          <w:szCs w:val="21"/>
          <w:highlight w:val="none"/>
        </w:rPr>
        <w:t>响应。</w:t>
      </w:r>
    </w:p>
    <w:p w14:paraId="6B250F2C">
      <w:pPr>
        <w:rPr>
          <w:rFonts w:hint="eastAsia" w:eastAsia="宋体"/>
          <w:b w:val="0"/>
          <w:bCs w:val="0"/>
          <w:color w:val="auto"/>
          <w:sz w:val="21"/>
          <w:szCs w:val="21"/>
          <w:highlight w:val="none"/>
        </w:rPr>
      </w:pPr>
      <w:r>
        <w:rPr>
          <w:rFonts w:hint="eastAsia" w:eastAsia="宋体"/>
          <w:b w:val="0"/>
          <w:bCs w:val="0"/>
          <w:color w:val="auto"/>
          <w:sz w:val="21"/>
          <w:szCs w:val="21"/>
          <w:highlight w:val="none"/>
        </w:rPr>
        <w:t>2.供应商应根据自身的承诺，对照磋商文件要求，在“偏离说明”中注明“正偏离”、“负偏离”或者“无偏离”。既不属于“正偏离”也不属于“负偏离”即为“无偏离”。</w:t>
      </w:r>
    </w:p>
    <w:p w14:paraId="70AB0464">
      <w:pPr>
        <w:tabs>
          <w:tab w:val="left" w:pos="3870"/>
          <w:tab w:val="left" w:pos="4085"/>
        </w:tabs>
        <w:snapToGrid w:val="0"/>
        <w:spacing w:line="360" w:lineRule="exact"/>
        <w:rPr>
          <w:rFonts w:hint="default" w:ascii="宋体" w:hAnsi="宋体" w:eastAsia="宋体"/>
          <w:b/>
          <w:color w:val="auto"/>
          <w:szCs w:val="21"/>
          <w:highlight w:val="none"/>
          <w:lang w:val="en-US" w:eastAsia="zh-CN"/>
        </w:rPr>
      </w:pPr>
    </w:p>
    <w:p w14:paraId="36A856CA">
      <w:pPr>
        <w:spacing w:line="400" w:lineRule="exact"/>
        <w:ind w:left="6092" w:leftChars="2766" w:right="592" w:rightChars="282" w:hanging="283" w:hangingChars="135"/>
        <w:jc w:val="left"/>
        <w:rPr>
          <w:rFonts w:ascii="宋体" w:hAnsi="宋体"/>
          <w:bCs/>
          <w:color w:val="auto"/>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bookmarkEnd w:id="147"/>
      <w:bookmarkStart w:id="148" w:name="_Hlk112311546"/>
      <w:r>
        <w:rPr>
          <w:rFonts w:hint="eastAsia" w:ascii="宋体" w:hAnsi="宋体"/>
          <w:bCs/>
          <w:color w:val="auto"/>
          <w:highlight w:val="none"/>
        </w:rPr>
        <w:t>供应商（盖章）：</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p>
    <w:p w14:paraId="04042CA8">
      <w:pPr>
        <w:snapToGrid w:val="0"/>
        <w:spacing w:before="50" w:after="50" w:line="350" w:lineRule="exact"/>
        <w:ind w:right="-817" w:rightChars="-389" w:firstLine="6090" w:firstLineChars="2900"/>
        <w:jc w:val="left"/>
        <w:rPr>
          <w:color w:val="auto"/>
          <w:highlight w:val="none"/>
        </w:rPr>
      </w:pPr>
      <w:r>
        <w:rPr>
          <w:rFonts w:hint="eastAsia" w:ascii="宋体" w:hAnsi="宋体"/>
          <w:bCs/>
          <w:color w:val="auto"/>
          <w:highlight w:val="none"/>
        </w:rPr>
        <w:t>日期：</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p>
    <w:bookmarkEnd w:id="148"/>
    <w:p w14:paraId="3D500A95">
      <w:pPr>
        <w:rPr>
          <w:color w:val="auto"/>
          <w:highlight w:val="none"/>
        </w:rPr>
      </w:pPr>
    </w:p>
    <w:p w14:paraId="54986722">
      <w:pPr>
        <w:shd w:val="clear"/>
        <w:adjustRightInd w:val="0"/>
        <w:snapToGrid w:val="0"/>
        <w:spacing w:line="300" w:lineRule="auto"/>
        <w:jc w:val="center"/>
        <w:rPr>
          <w:rFonts w:hint="eastAsia" w:ascii="仿宋_GB2312" w:hAnsi="宋体" w:eastAsia="仿宋_GB2312"/>
          <w:b/>
          <w:color w:val="auto"/>
          <w:sz w:val="28"/>
          <w:szCs w:val="28"/>
          <w:highlight w:val="none"/>
        </w:rPr>
      </w:pPr>
    </w:p>
    <w:p w14:paraId="5DE92849">
      <w:pPr>
        <w:shd w:val="clear"/>
        <w:adjustRightInd w:val="0"/>
        <w:snapToGrid w:val="0"/>
        <w:spacing w:line="300" w:lineRule="auto"/>
        <w:jc w:val="center"/>
        <w:rPr>
          <w:rFonts w:hint="eastAsia" w:ascii="仿宋_GB2312" w:hAnsi="宋体" w:eastAsia="仿宋_GB2312"/>
          <w:b/>
          <w:color w:val="auto"/>
          <w:sz w:val="28"/>
          <w:szCs w:val="28"/>
          <w:highlight w:val="none"/>
        </w:rPr>
      </w:pPr>
    </w:p>
    <w:p w14:paraId="07414F04">
      <w:pPr>
        <w:shd w:val="clear"/>
        <w:adjustRightInd w:val="0"/>
        <w:snapToGrid w:val="0"/>
        <w:spacing w:line="300" w:lineRule="auto"/>
        <w:jc w:val="center"/>
        <w:rPr>
          <w:rFonts w:ascii="Arial Unicode MS" w:hAnsi="Arial Unicode MS" w:eastAsia="Arial Unicode MS" w:cs="Arial Unicode MS"/>
          <w:bCs/>
          <w:color w:val="auto"/>
          <w:sz w:val="44"/>
          <w:szCs w:val="44"/>
          <w:highlight w:val="none"/>
        </w:rPr>
      </w:pPr>
      <w:r>
        <w:rPr>
          <w:rFonts w:hint="eastAsia" w:ascii="仿宋_GB2312" w:hAnsi="宋体" w:eastAsia="仿宋_GB2312"/>
          <w:b/>
          <w:color w:val="auto"/>
          <w:sz w:val="28"/>
          <w:szCs w:val="28"/>
          <w:highlight w:val="none"/>
        </w:rPr>
        <w:t>技术响应</w:t>
      </w:r>
      <w:r>
        <w:rPr>
          <w:rFonts w:hint="eastAsia" w:ascii="仿宋_GB2312" w:eastAsia="仿宋_GB2312"/>
          <w:b/>
          <w:color w:val="auto"/>
          <w:sz w:val="28"/>
          <w:szCs w:val="28"/>
          <w:highlight w:val="none"/>
        </w:rPr>
        <w:t>表</w:t>
      </w:r>
      <w:r>
        <w:rPr>
          <w:rFonts w:hint="eastAsia" w:ascii="仿宋" w:hAnsi="仿宋" w:eastAsia="仿宋"/>
          <w:color w:val="auto"/>
          <w:sz w:val="24"/>
          <w:highlight w:val="none"/>
        </w:rPr>
        <w:t>(格式</w:t>
      </w:r>
      <w:r>
        <w:rPr>
          <w:rFonts w:ascii="仿宋" w:hAnsi="仿宋" w:eastAsia="仿宋"/>
          <w:color w:val="auto"/>
          <w:sz w:val="24"/>
          <w:highlight w:val="none"/>
        </w:rPr>
        <w:t>)</w:t>
      </w:r>
    </w:p>
    <w:tbl>
      <w:tblPr>
        <w:tblStyle w:val="39"/>
        <w:tblW w:w="852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7"/>
        <w:gridCol w:w="858"/>
        <w:gridCol w:w="2847"/>
        <w:gridCol w:w="2562"/>
        <w:gridCol w:w="1398"/>
      </w:tblGrid>
      <w:tr w14:paraId="5BC1F1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57" w:type="dxa"/>
            <w:vAlign w:val="center"/>
          </w:tcPr>
          <w:p w14:paraId="05FC2189">
            <w:pPr>
              <w:snapToGrid w:val="0"/>
              <w:spacing w:before="156" w:beforeLines="50" w:line="360" w:lineRule="exact"/>
              <w:jc w:val="center"/>
              <w:rPr>
                <w:rFonts w:hint="eastAsia" w:ascii="宋体" w:hAnsi="宋体" w:eastAsia="宋体"/>
                <w:b/>
                <w:color w:val="auto"/>
                <w:szCs w:val="21"/>
                <w:highlight w:val="none"/>
              </w:rPr>
            </w:pPr>
            <w:bookmarkStart w:id="149" w:name="_Toc173066401"/>
            <w:bookmarkStart w:id="150" w:name="_Toc254970588"/>
            <w:bookmarkStart w:id="151" w:name="_Toc383699906"/>
            <w:bookmarkStart w:id="152" w:name="_Toc301781611"/>
            <w:bookmarkStart w:id="153" w:name="_Toc297193185"/>
            <w:bookmarkStart w:id="154" w:name="_Toc295404981"/>
            <w:bookmarkStart w:id="155" w:name="_Toc254970729"/>
            <w:bookmarkStart w:id="156" w:name="_Toc373333689"/>
            <w:bookmarkStart w:id="157" w:name="_Toc173211900"/>
            <w:r>
              <w:rPr>
                <w:rFonts w:hint="eastAsia" w:ascii="宋体" w:hAnsi="宋体" w:eastAsia="宋体"/>
                <w:b/>
                <w:color w:val="auto"/>
                <w:szCs w:val="21"/>
                <w:highlight w:val="none"/>
              </w:rPr>
              <w:t>序号</w:t>
            </w:r>
            <w:bookmarkEnd w:id="149"/>
            <w:bookmarkEnd w:id="150"/>
            <w:bookmarkEnd w:id="151"/>
            <w:bookmarkEnd w:id="152"/>
            <w:bookmarkEnd w:id="153"/>
            <w:bookmarkEnd w:id="154"/>
            <w:bookmarkEnd w:id="155"/>
            <w:bookmarkEnd w:id="156"/>
            <w:bookmarkEnd w:id="157"/>
          </w:p>
        </w:tc>
        <w:tc>
          <w:tcPr>
            <w:tcW w:w="858" w:type="dxa"/>
            <w:tcBorders>
              <w:right w:val="single" w:color="auto" w:sz="4" w:space="0"/>
            </w:tcBorders>
            <w:vAlign w:val="center"/>
          </w:tcPr>
          <w:p w14:paraId="08732905">
            <w:pPr>
              <w:snapToGrid w:val="0"/>
              <w:spacing w:before="156" w:beforeLines="50" w:line="360" w:lineRule="exact"/>
              <w:jc w:val="center"/>
              <w:rPr>
                <w:rFonts w:hint="eastAsia" w:ascii="宋体" w:hAnsi="宋体" w:eastAsia="宋体"/>
                <w:b/>
                <w:color w:val="auto"/>
                <w:szCs w:val="21"/>
                <w:highlight w:val="none"/>
              </w:rPr>
            </w:pPr>
            <w:r>
              <w:rPr>
                <w:rFonts w:hint="eastAsia" w:ascii="宋体" w:hAnsi="宋体" w:eastAsia="宋体"/>
                <w:b/>
                <w:color w:val="auto"/>
                <w:szCs w:val="21"/>
                <w:highlight w:val="none"/>
              </w:rPr>
              <w:t>名称</w:t>
            </w:r>
          </w:p>
        </w:tc>
        <w:tc>
          <w:tcPr>
            <w:tcW w:w="2847" w:type="dxa"/>
            <w:tcBorders>
              <w:left w:val="single" w:color="auto" w:sz="4" w:space="0"/>
            </w:tcBorders>
            <w:vAlign w:val="center"/>
          </w:tcPr>
          <w:p w14:paraId="1BA96B50">
            <w:pPr>
              <w:snapToGrid w:val="0"/>
              <w:spacing w:before="156" w:beforeLines="50" w:line="360" w:lineRule="exact"/>
              <w:jc w:val="center"/>
              <w:rPr>
                <w:rFonts w:hint="eastAsia" w:ascii="宋体" w:hAnsi="宋体" w:eastAsia="宋体"/>
                <w:b/>
                <w:color w:val="auto"/>
                <w:szCs w:val="21"/>
                <w:highlight w:val="none"/>
              </w:rPr>
            </w:pPr>
            <w:r>
              <w:rPr>
                <w:rFonts w:hint="eastAsia" w:ascii="宋体" w:hAnsi="宋体" w:eastAsia="宋体"/>
                <w:b/>
                <w:color w:val="auto"/>
                <w:szCs w:val="21"/>
                <w:highlight w:val="none"/>
              </w:rPr>
              <w:t>采购文件服务要求</w:t>
            </w:r>
          </w:p>
        </w:tc>
        <w:tc>
          <w:tcPr>
            <w:tcW w:w="2562" w:type="dxa"/>
            <w:vAlign w:val="center"/>
          </w:tcPr>
          <w:p w14:paraId="4872FDA0">
            <w:pPr>
              <w:snapToGrid w:val="0"/>
              <w:spacing w:before="156" w:beforeLines="50" w:line="360" w:lineRule="exact"/>
              <w:jc w:val="center"/>
              <w:rPr>
                <w:rFonts w:hint="eastAsia" w:ascii="宋体" w:hAnsi="宋体" w:eastAsia="宋体"/>
                <w:b/>
                <w:color w:val="auto"/>
                <w:szCs w:val="21"/>
                <w:highlight w:val="none"/>
              </w:rPr>
            </w:pPr>
            <w:r>
              <w:rPr>
                <w:rFonts w:hint="eastAsia" w:ascii="宋体" w:hAnsi="宋体" w:eastAsia="宋体"/>
                <w:b/>
                <w:color w:val="auto"/>
                <w:szCs w:val="21"/>
                <w:highlight w:val="none"/>
                <w:lang w:val="en-US" w:eastAsia="zh-CN"/>
              </w:rPr>
              <w:t>供应商的</w:t>
            </w:r>
            <w:r>
              <w:rPr>
                <w:rFonts w:hint="eastAsia" w:ascii="宋体" w:hAnsi="宋体" w:eastAsia="宋体"/>
                <w:b/>
                <w:color w:val="auto"/>
                <w:szCs w:val="21"/>
                <w:highlight w:val="none"/>
              </w:rPr>
              <w:t>响应</w:t>
            </w:r>
          </w:p>
        </w:tc>
        <w:tc>
          <w:tcPr>
            <w:tcW w:w="1398" w:type="dxa"/>
            <w:vAlign w:val="center"/>
          </w:tcPr>
          <w:p w14:paraId="4BCDB1A5">
            <w:pPr>
              <w:snapToGrid w:val="0"/>
              <w:spacing w:before="156" w:beforeLines="50" w:line="360" w:lineRule="exact"/>
              <w:jc w:val="center"/>
              <w:rPr>
                <w:rFonts w:hint="eastAsia" w:ascii="宋体" w:hAnsi="宋体" w:eastAsia="宋体"/>
                <w:b/>
                <w:color w:val="auto"/>
                <w:szCs w:val="21"/>
                <w:highlight w:val="none"/>
              </w:rPr>
            </w:pPr>
            <w:bookmarkStart w:id="158" w:name="_Toc301781614"/>
            <w:bookmarkStart w:id="159" w:name="_Toc173066404"/>
            <w:bookmarkStart w:id="160" w:name="_Toc173211903"/>
            <w:bookmarkStart w:id="161" w:name="_Toc383699909"/>
            <w:bookmarkStart w:id="162" w:name="_Toc295404984"/>
            <w:bookmarkStart w:id="163" w:name="_Toc373333692"/>
            <w:bookmarkStart w:id="164" w:name="_Toc297193188"/>
            <w:bookmarkStart w:id="165" w:name="_Toc254970591"/>
            <w:bookmarkStart w:id="166" w:name="_Toc254970732"/>
            <w:r>
              <w:rPr>
                <w:rFonts w:hint="eastAsia" w:ascii="宋体" w:hAnsi="宋体" w:eastAsia="宋体"/>
                <w:b/>
                <w:color w:val="auto"/>
                <w:szCs w:val="21"/>
                <w:highlight w:val="none"/>
              </w:rPr>
              <w:t>偏离</w:t>
            </w:r>
            <w:bookmarkEnd w:id="158"/>
            <w:bookmarkEnd w:id="159"/>
            <w:bookmarkEnd w:id="160"/>
            <w:bookmarkEnd w:id="161"/>
            <w:bookmarkEnd w:id="162"/>
            <w:bookmarkEnd w:id="163"/>
            <w:bookmarkEnd w:id="164"/>
            <w:bookmarkEnd w:id="165"/>
            <w:bookmarkEnd w:id="166"/>
            <w:bookmarkStart w:id="167" w:name="_Toc173066405"/>
            <w:bookmarkStart w:id="168" w:name="_Toc254970733"/>
            <w:bookmarkStart w:id="169" w:name="_Toc373333693"/>
            <w:bookmarkStart w:id="170" w:name="_Toc173211904"/>
            <w:bookmarkStart w:id="171" w:name="_Toc295404985"/>
            <w:bookmarkStart w:id="172" w:name="_Toc297193189"/>
            <w:bookmarkStart w:id="173" w:name="_Toc254970592"/>
            <w:bookmarkStart w:id="174" w:name="_Toc383699910"/>
            <w:bookmarkStart w:id="175" w:name="_Toc301781615"/>
            <w:r>
              <w:rPr>
                <w:rFonts w:hint="eastAsia" w:ascii="宋体" w:hAnsi="宋体" w:eastAsia="宋体"/>
                <w:b/>
                <w:color w:val="auto"/>
                <w:szCs w:val="21"/>
                <w:highlight w:val="none"/>
              </w:rPr>
              <w:t>说明</w:t>
            </w:r>
            <w:bookmarkEnd w:id="167"/>
            <w:bookmarkEnd w:id="168"/>
            <w:bookmarkEnd w:id="169"/>
            <w:bookmarkEnd w:id="170"/>
            <w:bookmarkEnd w:id="171"/>
            <w:bookmarkEnd w:id="172"/>
            <w:bookmarkEnd w:id="173"/>
            <w:bookmarkEnd w:id="174"/>
            <w:bookmarkEnd w:id="175"/>
          </w:p>
        </w:tc>
      </w:tr>
      <w:tr w14:paraId="7C55FC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57" w:type="dxa"/>
            <w:vAlign w:val="center"/>
          </w:tcPr>
          <w:p w14:paraId="58DDCE0C">
            <w:pPr>
              <w:pStyle w:val="19"/>
              <w:shd w:val="clear"/>
              <w:spacing w:line="360" w:lineRule="auto"/>
              <w:ind w:firstLine="0" w:firstLineChars="0"/>
              <w:contextualSpacing/>
              <w:jc w:val="center"/>
              <w:rPr>
                <w:rFonts w:ascii="宋体" w:hAnsi="宋体" w:eastAsia="宋体" w:cs="仿宋_GB2312"/>
                <w:color w:val="auto"/>
                <w:sz w:val="21"/>
                <w:szCs w:val="21"/>
                <w:highlight w:val="none"/>
              </w:rPr>
            </w:pPr>
            <w:bookmarkStart w:id="176" w:name="_Toc254970593"/>
            <w:bookmarkStart w:id="177" w:name="_Toc373333694"/>
            <w:bookmarkStart w:id="178" w:name="_Toc295404986"/>
            <w:bookmarkStart w:id="179" w:name="_Toc254970734"/>
            <w:bookmarkStart w:id="180" w:name="_Toc301781616"/>
            <w:bookmarkStart w:id="181" w:name="_Toc297193190"/>
            <w:bookmarkStart w:id="182" w:name="_Toc173211905"/>
            <w:bookmarkStart w:id="183" w:name="_Toc173066406"/>
            <w:bookmarkStart w:id="184" w:name="_Toc383699911"/>
            <w:r>
              <w:rPr>
                <w:rFonts w:hint="eastAsia" w:ascii="宋体" w:hAnsi="宋体" w:eastAsia="宋体" w:cs="仿宋_GB2312"/>
                <w:color w:val="auto"/>
                <w:sz w:val="21"/>
                <w:szCs w:val="21"/>
                <w:highlight w:val="none"/>
              </w:rPr>
              <w:t>1</w:t>
            </w:r>
            <w:bookmarkEnd w:id="176"/>
            <w:bookmarkEnd w:id="177"/>
            <w:bookmarkEnd w:id="178"/>
            <w:bookmarkEnd w:id="179"/>
            <w:bookmarkEnd w:id="180"/>
            <w:bookmarkEnd w:id="181"/>
            <w:bookmarkEnd w:id="182"/>
            <w:bookmarkEnd w:id="183"/>
            <w:bookmarkEnd w:id="184"/>
          </w:p>
        </w:tc>
        <w:tc>
          <w:tcPr>
            <w:tcW w:w="858" w:type="dxa"/>
            <w:tcBorders>
              <w:right w:val="single" w:color="auto" w:sz="4" w:space="0"/>
            </w:tcBorders>
            <w:vAlign w:val="center"/>
          </w:tcPr>
          <w:p w14:paraId="3E87969F">
            <w:pPr>
              <w:pStyle w:val="19"/>
              <w:shd w:val="clear"/>
              <w:spacing w:line="360" w:lineRule="auto"/>
              <w:ind w:firstLine="0" w:firstLineChars="0"/>
              <w:contextualSpacing/>
              <w:jc w:val="center"/>
              <w:rPr>
                <w:rFonts w:ascii="宋体" w:hAnsi="宋体" w:eastAsia="宋体" w:cs="仿宋_GB2312"/>
                <w:color w:val="auto"/>
                <w:sz w:val="21"/>
                <w:szCs w:val="21"/>
                <w:highlight w:val="none"/>
              </w:rPr>
            </w:pPr>
          </w:p>
        </w:tc>
        <w:tc>
          <w:tcPr>
            <w:tcW w:w="2847" w:type="dxa"/>
            <w:tcBorders>
              <w:left w:val="single" w:color="auto" w:sz="4" w:space="0"/>
            </w:tcBorders>
            <w:vAlign w:val="center"/>
          </w:tcPr>
          <w:p w14:paraId="76F4F95E">
            <w:pPr>
              <w:pStyle w:val="19"/>
              <w:shd w:val="clear"/>
              <w:spacing w:line="360" w:lineRule="auto"/>
              <w:ind w:firstLine="0" w:firstLineChars="0"/>
              <w:contextualSpacing/>
              <w:jc w:val="center"/>
              <w:rPr>
                <w:rFonts w:ascii="宋体" w:hAnsi="宋体" w:eastAsia="宋体" w:cs="仿宋_GB2312"/>
                <w:color w:val="auto"/>
                <w:sz w:val="21"/>
                <w:szCs w:val="21"/>
                <w:highlight w:val="none"/>
              </w:rPr>
            </w:pPr>
          </w:p>
        </w:tc>
        <w:tc>
          <w:tcPr>
            <w:tcW w:w="2562" w:type="dxa"/>
            <w:vAlign w:val="center"/>
          </w:tcPr>
          <w:p w14:paraId="36FCB36A">
            <w:pPr>
              <w:pStyle w:val="19"/>
              <w:shd w:val="clear"/>
              <w:spacing w:line="360" w:lineRule="auto"/>
              <w:ind w:firstLine="0" w:firstLineChars="0"/>
              <w:contextualSpacing/>
              <w:jc w:val="center"/>
              <w:rPr>
                <w:rFonts w:ascii="宋体" w:hAnsi="宋体" w:eastAsia="宋体" w:cs="仿宋_GB2312"/>
                <w:color w:val="auto"/>
                <w:sz w:val="21"/>
                <w:szCs w:val="21"/>
                <w:highlight w:val="none"/>
              </w:rPr>
            </w:pPr>
          </w:p>
        </w:tc>
        <w:tc>
          <w:tcPr>
            <w:tcW w:w="1398" w:type="dxa"/>
            <w:vAlign w:val="center"/>
          </w:tcPr>
          <w:p w14:paraId="4584F1A9">
            <w:pPr>
              <w:pStyle w:val="19"/>
              <w:shd w:val="clear"/>
              <w:spacing w:line="360" w:lineRule="auto"/>
              <w:ind w:firstLine="0" w:firstLineChars="0"/>
              <w:contextualSpacing/>
              <w:jc w:val="center"/>
              <w:rPr>
                <w:rFonts w:ascii="宋体" w:hAnsi="宋体" w:eastAsia="宋体" w:cs="仿宋_GB2312"/>
                <w:color w:val="auto"/>
                <w:sz w:val="21"/>
                <w:szCs w:val="21"/>
                <w:highlight w:val="none"/>
              </w:rPr>
            </w:pPr>
          </w:p>
        </w:tc>
      </w:tr>
      <w:tr w14:paraId="414933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57" w:type="dxa"/>
            <w:vAlign w:val="center"/>
          </w:tcPr>
          <w:p w14:paraId="192DE65D">
            <w:pPr>
              <w:pStyle w:val="19"/>
              <w:shd w:val="clear"/>
              <w:spacing w:line="360" w:lineRule="auto"/>
              <w:ind w:firstLine="0" w:firstLineChars="0"/>
              <w:contextualSpacing/>
              <w:jc w:val="center"/>
              <w:rPr>
                <w:rFonts w:ascii="宋体" w:hAnsi="宋体" w:eastAsia="宋体" w:cs="仿宋_GB2312"/>
                <w:color w:val="auto"/>
                <w:sz w:val="21"/>
                <w:szCs w:val="21"/>
                <w:highlight w:val="none"/>
              </w:rPr>
            </w:pPr>
            <w:bookmarkStart w:id="185" w:name="_Toc173211906"/>
            <w:bookmarkStart w:id="186" w:name="_Toc254970594"/>
            <w:bookmarkStart w:id="187" w:name="_Toc295404987"/>
            <w:bookmarkStart w:id="188" w:name="_Toc173066407"/>
            <w:bookmarkStart w:id="189" w:name="_Toc301781617"/>
            <w:bookmarkStart w:id="190" w:name="_Toc373333695"/>
            <w:bookmarkStart w:id="191" w:name="_Toc297193191"/>
            <w:bookmarkStart w:id="192" w:name="_Toc383699912"/>
            <w:bookmarkStart w:id="193" w:name="_Toc254970735"/>
            <w:r>
              <w:rPr>
                <w:rFonts w:hint="eastAsia" w:ascii="宋体" w:hAnsi="宋体" w:eastAsia="宋体" w:cs="仿宋_GB2312"/>
                <w:color w:val="auto"/>
                <w:sz w:val="21"/>
                <w:szCs w:val="21"/>
                <w:highlight w:val="none"/>
              </w:rPr>
              <w:t>2</w:t>
            </w:r>
            <w:bookmarkEnd w:id="185"/>
            <w:bookmarkEnd w:id="186"/>
            <w:bookmarkEnd w:id="187"/>
            <w:bookmarkEnd w:id="188"/>
            <w:bookmarkEnd w:id="189"/>
            <w:bookmarkEnd w:id="190"/>
            <w:bookmarkEnd w:id="191"/>
            <w:bookmarkEnd w:id="192"/>
            <w:bookmarkEnd w:id="193"/>
          </w:p>
        </w:tc>
        <w:tc>
          <w:tcPr>
            <w:tcW w:w="858" w:type="dxa"/>
            <w:tcBorders>
              <w:right w:val="single" w:color="auto" w:sz="4" w:space="0"/>
            </w:tcBorders>
            <w:vAlign w:val="center"/>
          </w:tcPr>
          <w:p w14:paraId="278CDBAB">
            <w:pPr>
              <w:pStyle w:val="19"/>
              <w:shd w:val="clear"/>
              <w:spacing w:line="360" w:lineRule="auto"/>
              <w:ind w:firstLine="0" w:firstLineChars="0"/>
              <w:contextualSpacing/>
              <w:jc w:val="center"/>
              <w:rPr>
                <w:rFonts w:ascii="宋体" w:hAnsi="宋体" w:eastAsia="宋体" w:cs="仿宋_GB2312"/>
                <w:color w:val="auto"/>
                <w:sz w:val="21"/>
                <w:szCs w:val="21"/>
                <w:highlight w:val="none"/>
              </w:rPr>
            </w:pPr>
          </w:p>
        </w:tc>
        <w:tc>
          <w:tcPr>
            <w:tcW w:w="2847" w:type="dxa"/>
            <w:tcBorders>
              <w:left w:val="single" w:color="auto" w:sz="4" w:space="0"/>
            </w:tcBorders>
            <w:vAlign w:val="center"/>
          </w:tcPr>
          <w:p w14:paraId="64D7CDBC">
            <w:pPr>
              <w:pStyle w:val="19"/>
              <w:shd w:val="clear"/>
              <w:spacing w:line="360" w:lineRule="auto"/>
              <w:ind w:firstLine="0" w:firstLineChars="0"/>
              <w:contextualSpacing/>
              <w:jc w:val="center"/>
              <w:rPr>
                <w:rFonts w:ascii="宋体" w:hAnsi="宋体" w:eastAsia="宋体" w:cs="仿宋_GB2312"/>
                <w:color w:val="auto"/>
                <w:sz w:val="21"/>
                <w:szCs w:val="21"/>
                <w:highlight w:val="none"/>
              </w:rPr>
            </w:pPr>
          </w:p>
        </w:tc>
        <w:tc>
          <w:tcPr>
            <w:tcW w:w="2562" w:type="dxa"/>
            <w:vAlign w:val="center"/>
          </w:tcPr>
          <w:p w14:paraId="310C279C">
            <w:pPr>
              <w:pStyle w:val="19"/>
              <w:shd w:val="clear"/>
              <w:spacing w:line="360" w:lineRule="auto"/>
              <w:ind w:firstLine="0" w:firstLineChars="0"/>
              <w:contextualSpacing/>
              <w:jc w:val="center"/>
              <w:rPr>
                <w:rFonts w:ascii="宋体" w:hAnsi="宋体" w:eastAsia="宋体" w:cs="仿宋_GB2312"/>
                <w:color w:val="auto"/>
                <w:sz w:val="21"/>
                <w:szCs w:val="21"/>
                <w:highlight w:val="none"/>
              </w:rPr>
            </w:pPr>
          </w:p>
        </w:tc>
        <w:tc>
          <w:tcPr>
            <w:tcW w:w="1398" w:type="dxa"/>
            <w:vAlign w:val="center"/>
          </w:tcPr>
          <w:p w14:paraId="3834A2FE">
            <w:pPr>
              <w:pStyle w:val="19"/>
              <w:shd w:val="clear"/>
              <w:spacing w:line="360" w:lineRule="auto"/>
              <w:ind w:firstLine="0" w:firstLineChars="0"/>
              <w:contextualSpacing/>
              <w:jc w:val="center"/>
              <w:rPr>
                <w:rFonts w:ascii="宋体" w:hAnsi="宋体" w:eastAsia="宋体" w:cs="仿宋_GB2312"/>
                <w:color w:val="auto"/>
                <w:sz w:val="21"/>
                <w:szCs w:val="21"/>
                <w:highlight w:val="none"/>
              </w:rPr>
            </w:pPr>
          </w:p>
        </w:tc>
      </w:tr>
      <w:tr w14:paraId="7581C8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57" w:type="dxa"/>
            <w:vAlign w:val="center"/>
          </w:tcPr>
          <w:p w14:paraId="5145298E">
            <w:pPr>
              <w:pStyle w:val="19"/>
              <w:shd w:val="clear"/>
              <w:spacing w:line="360" w:lineRule="auto"/>
              <w:ind w:firstLine="0" w:firstLineChars="0"/>
              <w:contextualSpacing/>
              <w:jc w:val="center"/>
              <w:rPr>
                <w:rFonts w:ascii="宋体" w:hAnsi="宋体" w:eastAsia="宋体" w:cs="仿宋_GB2312"/>
                <w:color w:val="auto"/>
                <w:sz w:val="21"/>
                <w:szCs w:val="21"/>
                <w:highlight w:val="none"/>
              </w:rPr>
            </w:pPr>
            <w:bookmarkStart w:id="194" w:name="_Toc373333696"/>
            <w:bookmarkStart w:id="195" w:name="_Toc254970595"/>
            <w:bookmarkStart w:id="196" w:name="_Toc301781618"/>
            <w:bookmarkStart w:id="197" w:name="_Toc297193192"/>
            <w:bookmarkStart w:id="198" w:name="_Toc173211907"/>
            <w:bookmarkStart w:id="199" w:name="_Toc173066408"/>
            <w:bookmarkStart w:id="200" w:name="_Toc383699913"/>
            <w:bookmarkStart w:id="201" w:name="_Toc295404988"/>
            <w:bookmarkStart w:id="202" w:name="_Toc254970736"/>
            <w:r>
              <w:rPr>
                <w:rFonts w:hint="eastAsia" w:ascii="宋体" w:hAnsi="宋体" w:eastAsia="宋体" w:cs="仿宋_GB2312"/>
                <w:color w:val="auto"/>
                <w:sz w:val="21"/>
                <w:szCs w:val="21"/>
                <w:highlight w:val="none"/>
              </w:rPr>
              <w:t>3</w:t>
            </w:r>
            <w:bookmarkEnd w:id="194"/>
            <w:bookmarkEnd w:id="195"/>
            <w:bookmarkEnd w:id="196"/>
            <w:bookmarkEnd w:id="197"/>
            <w:bookmarkEnd w:id="198"/>
            <w:bookmarkEnd w:id="199"/>
            <w:bookmarkEnd w:id="200"/>
            <w:bookmarkEnd w:id="201"/>
            <w:bookmarkEnd w:id="202"/>
          </w:p>
        </w:tc>
        <w:tc>
          <w:tcPr>
            <w:tcW w:w="858" w:type="dxa"/>
            <w:tcBorders>
              <w:right w:val="single" w:color="auto" w:sz="4" w:space="0"/>
            </w:tcBorders>
            <w:vAlign w:val="center"/>
          </w:tcPr>
          <w:p w14:paraId="19F5B0FB">
            <w:pPr>
              <w:pStyle w:val="19"/>
              <w:shd w:val="clear"/>
              <w:spacing w:line="360" w:lineRule="auto"/>
              <w:ind w:firstLine="0" w:firstLineChars="0"/>
              <w:contextualSpacing/>
              <w:jc w:val="center"/>
              <w:rPr>
                <w:rFonts w:ascii="宋体" w:hAnsi="宋体" w:eastAsia="宋体" w:cs="仿宋_GB2312"/>
                <w:color w:val="auto"/>
                <w:sz w:val="21"/>
                <w:szCs w:val="21"/>
                <w:highlight w:val="none"/>
              </w:rPr>
            </w:pPr>
          </w:p>
        </w:tc>
        <w:tc>
          <w:tcPr>
            <w:tcW w:w="2847" w:type="dxa"/>
            <w:tcBorders>
              <w:left w:val="single" w:color="auto" w:sz="4" w:space="0"/>
            </w:tcBorders>
            <w:vAlign w:val="center"/>
          </w:tcPr>
          <w:p w14:paraId="449596AF">
            <w:pPr>
              <w:pStyle w:val="19"/>
              <w:shd w:val="clear"/>
              <w:spacing w:line="360" w:lineRule="auto"/>
              <w:ind w:firstLine="0" w:firstLineChars="0"/>
              <w:contextualSpacing/>
              <w:jc w:val="center"/>
              <w:rPr>
                <w:rFonts w:ascii="宋体" w:hAnsi="宋体" w:eastAsia="宋体" w:cs="仿宋_GB2312"/>
                <w:color w:val="auto"/>
                <w:sz w:val="21"/>
                <w:szCs w:val="21"/>
                <w:highlight w:val="none"/>
              </w:rPr>
            </w:pPr>
          </w:p>
        </w:tc>
        <w:tc>
          <w:tcPr>
            <w:tcW w:w="2562" w:type="dxa"/>
            <w:vAlign w:val="center"/>
          </w:tcPr>
          <w:p w14:paraId="022D65F0">
            <w:pPr>
              <w:pStyle w:val="19"/>
              <w:shd w:val="clear"/>
              <w:spacing w:line="360" w:lineRule="auto"/>
              <w:ind w:firstLine="0" w:firstLineChars="0"/>
              <w:contextualSpacing/>
              <w:jc w:val="center"/>
              <w:rPr>
                <w:rFonts w:ascii="宋体" w:hAnsi="宋体" w:eastAsia="宋体" w:cs="仿宋_GB2312"/>
                <w:color w:val="auto"/>
                <w:sz w:val="21"/>
                <w:szCs w:val="21"/>
                <w:highlight w:val="none"/>
              </w:rPr>
            </w:pPr>
          </w:p>
        </w:tc>
        <w:tc>
          <w:tcPr>
            <w:tcW w:w="1398" w:type="dxa"/>
            <w:vAlign w:val="center"/>
          </w:tcPr>
          <w:p w14:paraId="5B3C6039">
            <w:pPr>
              <w:pStyle w:val="19"/>
              <w:shd w:val="clear"/>
              <w:spacing w:line="360" w:lineRule="auto"/>
              <w:ind w:firstLine="0" w:firstLineChars="0"/>
              <w:contextualSpacing/>
              <w:jc w:val="center"/>
              <w:rPr>
                <w:rFonts w:ascii="宋体" w:hAnsi="宋体" w:eastAsia="宋体" w:cs="仿宋_GB2312"/>
                <w:color w:val="auto"/>
                <w:sz w:val="21"/>
                <w:szCs w:val="21"/>
                <w:highlight w:val="none"/>
              </w:rPr>
            </w:pPr>
          </w:p>
        </w:tc>
      </w:tr>
      <w:tr w14:paraId="500A31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57" w:type="dxa"/>
            <w:vAlign w:val="center"/>
          </w:tcPr>
          <w:p w14:paraId="19A91F4B">
            <w:pPr>
              <w:pStyle w:val="19"/>
              <w:shd w:val="clear"/>
              <w:spacing w:line="360" w:lineRule="auto"/>
              <w:ind w:firstLine="0" w:firstLineChars="0"/>
              <w:contextualSpacing/>
              <w:jc w:val="center"/>
              <w:rPr>
                <w:rFonts w:ascii="宋体" w:hAnsi="宋体" w:eastAsia="宋体" w:cs="仿宋_GB2312"/>
                <w:color w:val="auto"/>
                <w:sz w:val="21"/>
                <w:szCs w:val="21"/>
                <w:highlight w:val="none"/>
              </w:rPr>
            </w:pPr>
            <w:bookmarkStart w:id="203" w:name="_Toc373333699"/>
            <w:bookmarkStart w:id="204" w:name="_Toc173066415"/>
            <w:bookmarkStart w:id="205" w:name="_Toc254970743"/>
            <w:bookmarkStart w:id="206" w:name="_Toc173211914"/>
            <w:bookmarkStart w:id="207" w:name="_Toc254970602"/>
            <w:bookmarkStart w:id="208" w:name="_Toc383699916"/>
            <w:bookmarkStart w:id="209" w:name="_Toc295404991"/>
            <w:bookmarkStart w:id="210" w:name="_Toc297193195"/>
            <w:bookmarkStart w:id="211" w:name="_Toc301781621"/>
            <w:r>
              <w:rPr>
                <w:rFonts w:hint="eastAsia" w:ascii="宋体" w:hAnsi="宋体" w:eastAsia="宋体" w:cs="仿宋_GB2312"/>
                <w:color w:val="auto"/>
                <w:sz w:val="21"/>
                <w:szCs w:val="21"/>
                <w:highlight w:val="none"/>
              </w:rPr>
              <w:t>…</w:t>
            </w:r>
            <w:bookmarkEnd w:id="203"/>
            <w:bookmarkEnd w:id="204"/>
            <w:bookmarkEnd w:id="205"/>
            <w:bookmarkEnd w:id="206"/>
            <w:bookmarkEnd w:id="207"/>
            <w:bookmarkEnd w:id="208"/>
            <w:bookmarkEnd w:id="209"/>
            <w:bookmarkEnd w:id="210"/>
            <w:bookmarkEnd w:id="211"/>
          </w:p>
        </w:tc>
        <w:tc>
          <w:tcPr>
            <w:tcW w:w="858" w:type="dxa"/>
            <w:tcBorders>
              <w:right w:val="single" w:color="auto" w:sz="4" w:space="0"/>
            </w:tcBorders>
            <w:vAlign w:val="center"/>
          </w:tcPr>
          <w:p w14:paraId="251A2983">
            <w:pPr>
              <w:pStyle w:val="19"/>
              <w:shd w:val="clear"/>
              <w:spacing w:line="360" w:lineRule="auto"/>
              <w:ind w:firstLine="0" w:firstLineChars="0"/>
              <w:contextualSpacing/>
              <w:jc w:val="center"/>
              <w:rPr>
                <w:rFonts w:ascii="宋体" w:hAnsi="宋体" w:eastAsia="宋体" w:cs="仿宋_GB2312"/>
                <w:color w:val="auto"/>
                <w:sz w:val="21"/>
                <w:szCs w:val="21"/>
                <w:highlight w:val="none"/>
              </w:rPr>
            </w:pPr>
          </w:p>
        </w:tc>
        <w:tc>
          <w:tcPr>
            <w:tcW w:w="2847" w:type="dxa"/>
            <w:tcBorders>
              <w:left w:val="single" w:color="auto" w:sz="4" w:space="0"/>
            </w:tcBorders>
            <w:vAlign w:val="center"/>
          </w:tcPr>
          <w:p w14:paraId="4749A35E">
            <w:pPr>
              <w:pStyle w:val="19"/>
              <w:shd w:val="clear"/>
              <w:spacing w:line="360" w:lineRule="auto"/>
              <w:ind w:firstLine="0" w:firstLineChars="0"/>
              <w:contextualSpacing/>
              <w:jc w:val="center"/>
              <w:rPr>
                <w:rFonts w:ascii="宋体" w:hAnsi="宋体" w:eastAsia="宋体" w:cs="仿宋_GB2312"/>
                <w:color w:val="auto"/>
                <w:sz w:val="21"/>
                <w:szCs w:val="21"/>
                <w:highlight w:val="none"/>
              </w:rPr>
            </w:pPr>
          </w:p>
        </w:tc>
        <w:tc>
          <w:tcPr>
            <w:tcW w:w="2562" w:type="dxa"/>
            <w:vAlign w:val="center"/>
          </w:tcPr>
          <w:p w14:paraId="0B675731">
            <w:pPr>
              <w:pStyle w:val="19"/>
              <w:shd w:val="clear"/>
              <w:spacing w:line="360" w:lineRule="auto"/>
              <w:ind w:firstLine="0" w:firstLineChars="0"/>
              <w:contextualSpacing/>
              <w:jc w:val="center"/>
              <w:rPr>
                <w:rFonts w:ascii="宋体" w:hAnsi="宋体" w:eastAsia="宋体" w:cs="仿宋_GB2312"/>
                <w:color w:val="auto"/>
                <w:sz w:val="21"/>
                <w:szCs w:val="21"/>
                <w:highlight w:val="none"/>
              </w:rPr>
            </w:pPr>
          </w:p>
        </w:tc>
        <w:tc>
          <w:tcPr>
            <w:tcW w:w="1398" w:type="dxa"/>
            <w:tcBorders>
              <w:right w:val="single" w:color="auto" w:sz="4" w:space="0"/>
            </w:tcBorders>
            <w:vAlign w:val="center"/>
          </w:tcPr>
          <w:p w14:paraId="2855E071">
            <w:pPr>
              <w:pStyle w:val="19"/>
              <w:shd w:val="clear"/>
              <w:spacing w:line="360" w:lineRule="auto"/>
              <w:ind w:firstLine="0" w:firstLineChars="0"/>
              <w:contextualSpacing/>
              <w:jc w:val="center"/>
              <w:rPr>
                <w:rFonts w:ascii="宋体" w:hAnsi="宋体" w:eastAsia="宋体" w:cs="仿宋_GB2312"/>
                <w:color w:val="auto"/>
                <w:sz w:val="21"/>
                <w:szCs w:val="21"/>
                <w:highlight w:val="none"/>
              </w:rPr>
            </w:pPr>
          </w:p>
        </w:tc>
      </w:tr>
    </w:tbl>
    <w:p w14:paraId="72905E85">
      <w:pPr>
        <w:rPr>
          <w:rFonts w:hint="eastAsia" w:eastAsia="宋体"/>
          <w:b w:val="0"/>
          <w:bCs w:val="0"/>
          <w:color w:val="auto"/>
          <w:sz w:val="21"/>
          <w:szCs w:val="21"/>
          <w:highlight w:val="none"/>
        </w:rPr>
      </w:pPr>
    </w:p>
    <w:p w14:paraId="3DB142B4">
      <w:pPr>
        <w:rPr>
          <w:rFonts w:hint="eastAsia" w:eastAsia="宋体"/>
          <w:b w:val="0"/>
          <w:bCs w:val="0"/>
          <w:color w:val="auto"/>
          <w:sz w:val="21"/>
          <w:szCs w:val="21"/>
          <w:highlight w:val="none"/>
        </w:rPr>
      </w:pPr>
      <w:r>
        <w:rPr>
          <w:rFonts w:hint="eastAsia" w:eastAsia="宋体"/>
          <w:b w:val="0"/>
          <w:bCs w:val="0"/>
          <w:color w:val="auto"/>
          <w:sz w:val="21"/>
          <w:szCs w:val="21"/>
          <w:highlight w:val="none"/>
        </w:rPr>
        <w:t>注：</w:t>
      </w:r>
    </w:p>
    <w:p w14:paraId="45C22B9E">
      <w:pPr>
        <w:rPr>
          <w:rFonts w:hint="eastAsia" w:eastAsia="宋体"/>
          <w:b w:val="0"/>
          <w:bCs w:val="0"/>
          <w:color w:val="auto"/>
          <w:sz w:val="21"/>
          <w:szCs w:val="21"/>
          <w:highlight w:val="none"/>
        </w:rPr>
      </w:pPr>
      <w:r>
        <w:rPr>
          <w:rFonts w:hint="eastAsia" w:eastAsia="宋体"/>
          <w:b w:val="0"/>
          <w:bCs w:val="0"/>
          <w:color w:val="auto"/>
          <w:sz w:val="21"/>
          <w:szCs w:val="21"/>
          <w:highlight w:val="none"/>
        </w:rPr>
        <w:t>1.应对照采购文件“第二章 项目需求”中的服务要求逐条作出明确响应，并作出偏离说明。</w:t>
      </w:r>
    </w:p>
    <w:p w14:paraId="6399082C">
      <w:pPr>
        <w:rPr>
          <w:rFonts w:hint="eastAsia" w:eastAsia="宋体"/>
          <w:b w:val="0"/>
          <w:bCs w:val="0"/>
          <w:color w:val="auto"/>
          <w:sz w:val="21"/>
          <w:szCs w:val="21"/>
          <w:highlight w:val="none"/>
        </w:rPr>
      </w:pPr>
      <w:r>
        <w:rPr>
          <w:rFonts w:hint="eastAsia" w:eastAsia="宋体"/>
          <w:b w:val="0"/>
          <w:bCs w:val="0"/>
          <w:color w:val="auto"/>
          <w:sz w:val="21"/>
          <w:szCs w:val="21"/>
          <w:highlight w:val="none"/>
        </w:rPr>
        <w:t>2.供应商应根据自身的承诺，对照磋商文件要求，在“偏离说明”中注明“正偏离”、“负偏离”或者“无偏离”。既不属于“正偏离”也不属于“负偏离”即为“无偏离”。</w:t>
      </w:r>
    </w:p>
    <w:p w14:paraId="6F742776">
      <w:pPr>
        <w:pStyle w:val="38"/>
        <w:shd w:val="clear"/>
        <w:ind w:firstLine="281"/>
        <w:rPr>
          <w:rFonts w:hAnsi="宋体"/>
          <w:b/>
          <w:color w:val="auto"/>
          <w:sz w:val="28"/>
          <w:szCs w:val="28"/>
          <w:highlight w:val="none"/>
        </w:rPr>
      </w:pPr>
    </w:p>
    <w:p w14:paraId="48B839CC">
      <w:pPr>
        <w:shd w:val="clear"/>
        <w:spacing w:line="400" w:lineRule="exact"/>
        <w:ind w:left="6092" w:leftChars="2766" w:right="592" w:rightChars="282" w:hanging="283" w:hangingChars="135"/>
        <w:jc w:val="left"/>
        <w:rPr>
          <w:rFonts w:ascii="宋体" w:hAnsi="宋体"/>
          <w:bCs/>
          <w:color w:val="auto"/>
          <w:highlight w:val="none"/>
        </w:rPr>
      </w:pPr>
      <w:r>
        <w:rPr>
          <w:rFonts w:hint="eastAsia" w:ascii="宋体" w:hAnsi="宋体"/>
          <w:bCs/>
          <w:color w:val="auto"/>
          <w:highlight w:val="none"/>
        </w:rPr>
        <w:t>供应商（盖章）：</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p>
    <w:p w14:paraId="25B65FF0">
      <w:pPr>
        <w:shd w:val="clear"/>
        <w:snapToGrid w:val="0"/>
        <w:spacing w:before="50" w:after="50" w:line="350" w:lineRule="exact"/>
        <w:ind w:right="-817" w:rightChars="-389" w:firstLine="6090" w:firstLineChars="2900"/>
        <w:jc w:val="left"/>
        <w:rPr>
          <w:color w:val="auto"/>
          <w:highlight w:val="none"/>
        </w:rPr>
      </w:pPr>
      <w:r>
        <w:rPr>
          <w:rFonts w:hint="eastAsia" w:ascii="宋体" w:hAnsi="宋体"/>
          <w:bCs/>
          <w:color w:val="auto"/>
          <w:highlight w:val="none"/>
        </w:rPr>
        <w:t>日期：</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p>
    <w:p w14:paraId="6358EFC1">
      <w:pPr>
        <w:rPr>
          <w:color w:val="auto"/>
          <w:highlight w:val="none"/>
        </w:rPr>
      </w:pPr>
    </w:p>
    <w:p w14:paraId="46F411DB">
      <w:pPr>
        <w:snapToGrid w:val="0"/>
        <w:spacing w:line="700" w:lineRule="exact"/>
        <w:ind w:firstLine="0" w:firstLineChars="0"/>
        <w:jc w:val="center"/>
        <w:rPr>
          <w:color w:val="auto"/>
          <w:highlight w:val="none"/>
        </w:rPr>
      </w:pPr>
      <w:r>
        <w:rPr>
          <w:rFonts w:hint="eastAsia" w:ascii="仿宋_GB2312" w:hAnsi="宋体" w:eastAsia="仿宋_GB2312"/>
          <w:b/>
          <w:color w:val="auto"/>
          <w:sz w:val="32"/>
          <w:szCs w:val="32"/>
          <w:highlight w:val="none"/>
        </w:rPr>
        <w:t>项目实施人员一览表</w:t>
      </w:r>
      <w:r>
        <w:rPr>
          <w:rFonts w:hint="eastAsia" w:ascii="仿宋_GB2312" w:eastAsia="仿宋_GB2312"/>
          <w:bCs/>
          <w:color w:val="auto"/>
          <w:sz w:val="24"/>
          <w:highlight w:val="none"/>
        </w:rPr>
        <w:t>（格式）</w:t>
      </w:r>
    </w:p>
    <w:tbl>
      <w:tblPr>
        <w:tblStyle w:val="39"/>
        <w:tblW w:w="9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650"/>
        <w:gridCol w:w="960"/>
        <w:gridCol w:w="990"/>
        <w:gridCol w:w="1650"/>
        <w:gridCol w:w="3049"/>
        <w:gridCol w:w="811"/>
      </w:tblGrid>
      <w:tr w14:paraId="2DF5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5" w:type="dxa"/>
            <w:vAlign w:val="center"/>
          </w:tcPr>
          <w:p w14:paraId="091D9F73">
            <w:pPr>
              <w:shd w:val="clear"/>
              <w:snapToGrid w:val="0"/>
              <w:spacing w:before="50" w:after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650" w:type="dxa"/>
            <w:vAlign w:val="center"/>
          </w:tcPr>
          <w:p w14:paraId="1D1E0977">
            <w:pPr>
              <w:shd w:val="clear"/>
              <w:snapToGrid w:val="0"/>
              <w:spacing w:before="50" w:after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960" w:type="dxa"/>
            <w:vAlign w:val="center"/>
          </w:tcPr>
          <w:p w14:paraId="1A3618AB">
            <w:pPr>
              <w:shd w:val="clear"/>
              <w:snapToGrid w:val="0"/>
              <w:spacing w:before="50" w:after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990" w:type="dxa"/>
            <w:vAlign w:val="center"/>
          </w:tcPr>
          <w:p w14:paraId="4E55E26F">
            <w:pPr>
              <w:shd w:val="clear"/>
              <w:snapToGrid w:val="0"/>
              <w:spacing w:before="50" w:after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1650" w:type="dxa"/>
            <w:vAlign w:val="center"/>
          </w:tcPr>
          <w:p w14:paraId="2260FB9F">
            <w:pPr>
              <w:shd w:val="clear"/>
              <w:snapToGrid w:val="0"/>
              <w:spacing w:before="50" w:after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3049" w:type="dxa"/>
            <w:vAlign w:val="center"/>
          </w:tcPr>
          <w:p w14:paraId="2364AE84">
            <w:pPr>
              <w:shd w:val="clear"/>
              <w:snapToGrid w:val="0"/>
              <w:spacing w:before="50" w:afterLines="5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专业技术资格</w:t>
            </w:r>
            <w:r>
              <w:rPr>
                <w:rFonts w:hint="eastAsia" w:ascii="宋体" w:hAnsi="宋体" w:eastAsia="宋体" w:cs="宋体"/>
                <w:color w:val="auto"/>
                <w:szCs w:val="21"/>
                <w:highlight w:val="none"/>
                <w:lang w:val="en-US" w:eastAsia="zh-CN"/>
              </w:rPr>
              <w:t>或职称</w:t>
            </w:r>
          </w:p>
        </w:tc>
        <w:tc>
          <w:tcPr>
            <w:tcW w:w="811" w:type="dxa"/>
            <w:vAlign w:val="center"/>
          </w:tcPr>
          <w:p w14:paraId="094887FB">
            <w:pPr>
              <w:shd w:val="clear"/>
              <w:snapToGrid w:val="0"/>
              <w:spacing w:before="50" w:after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4C352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695" w:type="dxa"/>
            <w:vAlign w:val="center"/>
          </w:tcPr>
          <w:p w14:paraId="783A0489">
            <w:pPr>
              <w:widowControl/>
              <w:shd w:val="clear"/>
              <w:jc w:val="center"/>
              <w:textAlignment w:val="center"/>
              <w:rPr>
                <w:rFonts w:ascii="宋体" w:hAnsi="宋体" w:cs="宋体"/>
                <w:color w:val="auto"/>
                <w:kern w:val="0"/>
                <w:szCs w:val="21"/>
                <w:highlight w:val="none"/>
              </w:rPr>
            </w:pPr>
          </w:p>
        </w:tc>
        <w:tc>
          <w:tcPr>
            <w:tcW w:w="1650" w:type="dxa"/>
            <w:vAlign w:val="center"/>
          </w:tcPr>
          <w:p w14:paraId="15056E3C">
            <w:pPr>
              <w:widowControl/>
              <w:shd w:val="clear"/>
              <w:jc w:val="center"/>
              <w:textAlignment w:val="center"/>
              <w:rPr>
                <w:rFonts w:ascii="宋体" w:hAnsi="宋体" w:cs="宋体"/>
                <w:color w:val="auto"/>
                <w:szCs w:val="21"/>
                <w:highlight w:val="none"/>
              </w:rPr>
            </w:pPr>
          </w:p>
        </w:tc>
        <w:tc>
          <w:tcPr>
            <w:tcW w:w="960" w:type="dxa"/>
            <w:vAlign w:val="center"/>
          </w:tcPr>
          <w:p w14:paraId="10EBE304">
            <w:pPr>
              <w:shd w:val="clear"/>
              <w:jc w:val="center"/>
              <w:rPr>
                <w:rFonts w:ascii="宋体" w:hAnsi="宋体" w:cs="宋体"/>
                <w:color w:val="auto"/>
                <w:kern w:val="1"/>
                <w:szCs w:val="21"/>
                <w:highlight w:val="none"/>
              </w:rPr>
            </w:pPr>
          </w:p>
        </w:tc>
        <w:tc>
          <w:tcPr>
            <w:tcW w:w="990" w:type="dxa"/>
            <w:vAlign w:val="center"/>
          </w:tcPr>
          <w:p w14:paraId="450BB0E6">
            <w:pPr>
              <w:shd w:val="clear"/>
              <w:jc w:val="center"/>
              <w:rPr>
                <w:rFonts w:ascii="宋体" w:hAnsi="宋体" w:cs="宋体"/>
                <w:color w:val="auto"/>
                <w:kern w:val="1"/>
                <w:szCs w:val="21"/>
                <w:highlight w:val="none"/>
              </w:rPr>
            </w:pPr>
          </w:p>
        </w:tc>
        <w:tc>
          <w:tcPr>
            <w:tcW w:w="1650" w:type="dxa"/>
            <w:vAlign w:val="center"/>
          </w:tcPr>
          <w:p w14:paraId="4D42F706">
            <w:pPr>
              <w:widowControl/>
              <w:shd w:val="clear"/>
              <w:jc w:val="center"/>
              <w:textAlignment w:val="center"/>
              <w:rPr>
                <w:rFonts w:ascii="宋体" w:hAnsi="宋体" w:cs="宋体"/>
                <w:color w:val="auto"/>
                <w:kern w:val="0"/>
                <w:szCs w:val="21"/>
                <w:highlight w:val="none"/>
              </w:rPr>
            </w:pPr>
          </w:p>
        </w:tc>
        <w:tc>
          <w:tcPr>
            <w:tcW w:w="3049" w:type="dxa"/>
            <w:vAlign w:val="center"/>
          </w:tcPr>
          <w:p w14:paraId="1F993F75">
            <w:pPr>
              <w:widowControl/>
              <w:shd w:val="clear"/>
              <w:jc w:val="center"/>
              <w:textAlignment w:val="center"/>
              <w:rPr>
                <w:rFonts w:ascii="宋体" w:hAnsi="宋体" w:cs="宋体"/>
                <w:color w:val="auto"/>
                <w:kern w:val="0"/>
                <w:szCs w:val="21"/>
                <w:highlight w:val="none"/>
              </w:rPr>
            </w:pPr>
          </w:p>
        </w:tc>
        <w:tc>
          <w:tcPr>
            <w:tcW w:w="811" w:type="dxa"/>
            <w:vAlign w:val="center"/>
          </w:tcPr>
          <w:p w14:paraId="188B65FC">
            <w:pPr>
              <w:shd w:val="clear"/>
              <w:snapToGrid w:val="0"/>
              <w:spacing w:before="50" w:afterLines="50"/>
              <w:jc w:val="center"/>
              <w:rPr>
                <w:rFonts w:ascii="宋体" w:hAnsi="宋体" w:cs="宋体"/>
                <w:color w:val="auto"/>
                <w:szCs w:val="21"/>
                <w:highlight w:val="none"/>
              </w:rPr>
            </w:pPr>
          </w:p>
        </w:tc>
      </w:tr>
      <w:tr w14:paraId="58C83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695" w:type="dxa"/>
            <w:vAlign w:val="center"/>
          </w:tcPr>
          <w:p w14:paraId="75F2FD3A">
            <w:pPr>
              <w:widowControl/>
              <w:shd w:val="clear"/>
              <w:jc w:val="center"/>
              <w:textAlignment w:val="center"/>
              <w:rPr>
                <w:rFonts w:ascii="宋体" w:hAnsi="宋体" w:cs="宋体"/>
                <w:color w:val="auto"/>
                <w:kern w:val="0"/>
                <w:szCs w:val="21"/>
                <w:highlight w:val="none"/>
              </w:rPr>
            </w:pPr>
          </w:p>
        </w:tc>
        <w:tc>
          <w:tcPr>
            <w:tcW w:w="1650" w:type="dxa"/>
            <w:vAlign w:val="center"/>
          </w:tcPr>
          <w:p w14:paraId="28BFDC5E">
            <w:pPr>
              <w:widowControl/>
              <w:shd w:val="clear"/>
              <w:jc w:val="center"/>
              <w:textAlignment w:val="center"/>
              <w:rPr>
                <w:rFonts w:ascii="宋体" w:hAnsi="宋体" w:cs="宋体"/>
                <w:color w:val="auto"/>
                <w:szCs w:val="21"/>
                <w:highlight w:val="none"/>
              </w:rPr>
            </w:pPr>
          </w:p>
        </w:tc>
        <w:tc>
          <w:tcPr>
            <w:tcW w:w="960" w:type="dxa"/>
            <w:vAlign w:val="center"/>
          </w:tcPr>
          <w:p w14:paraId="6BA118C1">
            <w:pPr>
              <w:shd w:val="clear"/>
              <w:jc w:val="center"/>
              <w:rPr>
                <w:rFonts w:ascii="宋体" w:hAnsi="宋体" w:cs="宋体"/>
                <w:color w:val="auto"/>
                <w:kern w:val="1"/>
                <w:szCs w:val="21"/>
                <w:highlight w:val="none"/>
              </w:rPr>
            </w:pPr>
          </w:p>
        </w:tc>
        <w:tc>
          <w:tcPr>
            <w:tcW w:w="990" w:type="dxa"/>
            <w:vAlign w:val="center"/>
          </w:tcPr>
          <w:p w14:paraId="11D6DFA7">
            <w:pPr>
              <w:shd w:val="clear"/>
              <w:jc w:val="center"/>
              <w:rPr>
                <w:rFonts w:ascii="宋体" w:hAnsi="宋体" w:cs="宋体"/>
                <w:color w:val="auto"/>
                <w:kern w:val="1"/>
                <w:szCs w:val="21"/>
                <w:highlight w:val="none"/>
              </w:rPr>
            </w:pPr>
          </w:p>
        </w:tc>
        <w:tc>
          <w:tcPr>
            <w:tcW w:w="1650" w:type="dxa"/>
            <w:vAlign w:val="center"/>
          </w:tcPr>
          <w:p w14:paraId="63BF0824">
            <w:pPr>
              <w:widowControl/>
              <w:shd w:val="clear"/>
              <w:jc w:val="center"/>
              <w:textAlignment w:val="center"/>
              <w:rPr>
                <w:rFonts w:ascii="宋体" w:hAnsi="宋体" w:cs="宋体"/>
                <w:color w:val="auto"/>
                <w:kern w:val="0"/>
                <w:szCs w:val="21"/>
                <w:highlight w:val="none"/>
              </w:rPr>
            </w:pPr>
          </w:p>
        </w:tc>
        <w:tc>
          <w:tcPr>
            <w:tcW w:w="3049" w:type="dxa"/>
            <w:vAlign w:val="center"/>
          </w:tcPr>
          <w:p w14:paraId="5237D426">
            <w:pPr>
              <w:widowControl/>
              <w:shd w:val="clear"/>
              <w:jc w:val="center"/>
              <w:textAlignment w:val="center"/>
              <w:rPr>
                <w:rFonts w:ascii="宋体" w:hAnsi="宋体" w:cs="宋体"/>
                <w:color w:val="auto"/>
                <w:kern w:val="0"/>
                <w:szCs w:val="21"/>
                <w:highlight w:val="none"/>
              </w:rPr>
            </w:pPr>
          </w:p>
        </w:tc>
        <w:tc>
          <w:tcPr>
            <w:tcW w:w="811" w:type="dxa"/>
            <w:vAlign w:val="center"/>
          </w:tcPr>
          <w:p w14:paraId="6C00C405">
            <w:pPr>
              <w:shd w:val="clear"/>
              <w:snapToGrid w:val="0"/>
              <w:spacing w:before="50" w:afterLines="50"/>
              <w:jc w:val="center"/>
              <w:rPr>
                <w:rFonts w:ascii="宋体" w:hAnsi="宋体" w:cs="宋体"/>
                <w:color w:val="auto"/>
                <w:szCs w:val="21"/>
                <w:highlight w:val="none"/>
              </w:rPr>
            </w:pPr>
          </w:p>
        </w:tc>
      </w:tr>
      <w:tr w14:paraId="03B76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695" w:type="dxa"/>
            <w:vAlign w:val="center"/>
          </w:tcPr>
          <w:p w14:paraId="4927254C">
            <w:pPr>
              <w:widowControl/>
              <w:shd w:val="clear"/>
              <w:jc w:val="center"/>
              <w:textAlignment w:val="center"/>
              <w:rPr>
                <w:rFonts w:ascii="宋体" w:hAnsi="宋体" w:cs="宋体"/>
                <w:color w:val="auto"/>
                <w:kern w:val="0"/>
                <w:szCs w:val="21"/>
                <w:highlight w:val="none"/>
              </w:rPr>
            </w:pPr>
          </w:p>
        </w:tc>
        <w:tc>
          <w:tcPr>
            <w:tcW w:w="1650" w:type="dxa"/>
            <w:vAlign w:val="center"/>
          </w:tcPr>
          <w:p w14:paraId="468B114F">
            <w:pPr>
              <w:widowControl/>
              <w:shd w:val="clear"/>
              <w:jc w:val="center"/>
              <w:textAlignment w:val="center"/>
              <w:rPr>
                <w:rFonts w:ascii="宋体" w:hAnsi="宋体" w:cs="宋体"/>
                <w:color w:val="auto"/>
                <w:szCs w:val="21"/>
                <w:highlight w:val="none"/>
              </w:rPr>
            </w:pPr>
          </w:p>
        </w:tc>
        <w:tc>
          <w:tcPr>
            <w:tcW w:w="960" w:type="dxa"/>
            <w:vAlign w:val="center"/>
          </w:tcPr>
          <w:p w14:paraId="2F9AD500">
            <w:pPr>
              <w:shd w:val="clear"/>
              <w:jc w:val="center"/>
              <w:rPr>
                <w:rFonts w:ascii="宋体" w:hAnsi="宋体" w:cs="宋体"/>
                <w:color w:val="auto"/>
                <w:kern w:val="1"/>
                <w:szCs w:val="21"/>
                <w:highlight w:val="none"/>
              </w:rPr>
            </w:pPr>
          </w:p>
        </w:tc>
        <w:tc>
          <w:tcPr>
            <w:tcW w:w="990" w:type="dxa"/>
            <w:vAlign w:val="center"/>
          </w:tcPr>
          <w:p w14:paraId="462ED546">
            <w:pPr>
              <w:shd w:val="clear"/>
              <w:jc w:val="center"/>
              <w:rPr>
                <w:rFonts w:ascii="宋体" w:hAnsi="宋体" w:cs="宋体"/>
                <w:color w:val="auto"/>
                <w:kern w:val="1"/>
                <w:szCs w:val="21"/>
                <w:highlight w:val="none"/>
              </w:rPr>
            </w:pPr>
          </w:p>
        </w:tc>
        <w:tc>
          <w:tcPr>
            <w:tcW w:w="1650" w:type="dxa"/>
            <w:vAlign w:val="center"/>
          </w:tcPr>
          <w:p w14:paraId="23A287A1">
            <w:pPr>
              <w:widowControl/>
              <w:shd w:val="clear"/>
              <w:jc w:val="center"/>
              <w:textAlignment w:val="center"/>
              <w:rPr>
                <w:rFonts w:ascii="宋体" w:hAnsi="宋体" w:cs="宋体"/>
                <w:color w:val="auto"/>
                <w:kern w:val="0"/>
                <w:szCs w:val="21"/>
                <w:highlight w:val="none"/>
              </w:rPr>
            </w:pPr>
          </w:p>
        </w:tc>
        <w:tc>
          <w:tcPr>
            <w:tcW w:w="3049" w:type="dxa"/>
            <w:vAlign w:val="center"/>
          </w:tcPr>
          <w:p w14:paraId="63E25F5D">
            <w:pPr>
              <w:widowControl/>
              <w:shd w:val="clear"/>
              <w:jc w:val="center"/>
              <w:textAlignment w:val="center"/>
              <w:rPr>
                <w:rFonts w:ascii="宋体" w:hAnsi="宋体" w:cs="宋体"/>
                <w:color w:val="auto"/>
                <w:kern w:val="0"/>
                <w:szCs w:val="21"/>
                <w:highlight w:val="none"/>
              </w:rPr>
            </w:pPr>
          </w:p>
        </w:tc>
        <w:tc>
          <w:tcPr>
            <w:tcW w:w="811" w:type="dxa"/>
            <w:vAlign w:val="center"/>
          </w:tcPr>
          <w:p w14:paraId="2E6680EC">
            <w:pPr>
              <w:shd w:val="clear"/>
              <w:snapToGrid w:val="0"/>
              <w:spacing w:before="50" w:afterLines="50"/>
              <w:jc w:val="center"/>
              <w:rPr>
                <w:rFonts w:ascii="宋体" w:hAnsi="宋体" w:cs="宋体"/>
                <w:color w:val="auto"/>
                <w:szCs w:val="21"/>
                <w:highlight w:val="none"/>
              </w:rPr>
            </w:pPr>
          </w:p>
        </w:tc>
      </w:tr>
    </w:tbl>
    <w:p w14:paraId="72C1F3E4">
      <w:pPr>
        <w:pStyle w:val="16"/>
        <w:spacing w:line="380" w:lineRule="exact"/>
        <w:ind w:firstLine="0" w:firstLineChars="0"/>
        <w:rPr>
          <w:rFonts w:hint="eastAsia"/>
          <w:b w:val="0"/>
          <w:bCs w:val="0"/>
          <w:color w:val="auto"/>
          <w:sz w:val="21"/>
          <w:szCs w:val="21"/>
          <w:highlight w:val="none"/>
        </w:rPr>
      </w:pPr>
      <w:r>
        <w:rPr>
          <w:rFonts w:hint="eastAsia"/>
          <w:b w:val="0"/>
          <w:bCs w:val="0"/>
          <w:color w:val="auto"/>
          <w:sz w:val="21"/>
          <w:szCs w:val="21"/>
          <w:highlight w:val="none"/>
        </w:rPr>
        <w:t>注：</w:t>
      </w:r>
    </w:p>
    <w:p w14:paraId="05F39762">
      <w:pPr>
        <w:pStyle w:val="16"/>
        <w:spacing w:line="380" w:lineRule="exact"/>
        <w:ind w:firstLine="0" w:firstLineChars="0"/>
        <w:rPr>
          <w:rFonts w:hint="eastAsia"/>
          <w:b w:val="0"/>
          <w:bCs w:val="0"/>
          <w:color w:val="auto"/>
          <w:sz w:val="21"/>
          <w:szCs w:val="21"/>
          <w:highlight w:val="none"/>
        </w:rPr>
      </w:pPr>
      <w:r>
        <w:rPr>
          <w:rFonts w:hint="eastAsia"/>
          <w:b w:val="0"/>
          <w:bCs w:val="0"/>
          <w:color w:val="auto"/>
          <w:sz w:val="21"/>
          <w:szCs w:val="21"/>
          <w:highlight w:val="none"/>
        </w:rPr>
        <w:t>1.在填写时，如本表格不适合供应商的实际情况，可根据本表格式自行制表填写。</w:t>
      </w:r>
    </w:p>
    <w:p w14:paraId="1B65381A">
      <w:pPr>
        <w:pStyle w:val="16"/>
        <w:spacing w:line="380" w:lineRule="exact"/>
        <w:ind w:firstLine="0" w:firstLineChars="0"/>
        <w:rPr>
          <w:rFonts w:hint="eastAsia"/>
          <w:b w:val="0"/>
          <w:bCs w:val="0"/>
          <w:color w:val="auto"/>
          <w:sz w:val="21"/>
          <w:szCs w:val="21"/>
          <w:highlight w:val="none"/>
        </w:rPr>
      </w:pPr>
      <w:r>
        <w:rPr>
          <w:rFonts w:hint="eastAsia"/>
          <w:b w:val="0"/>
          <w:bCs w:val="0"/>
          <w:color w:val="auto"/>
          <w:sz w:val="21"/>
          <w:szCs w:val="21"/>
          <w:highlight w:val="none"/>
        </w:rPr>
        <w:t>2.</w:t>
      </w:r>
      <w:r>
        <w:rPr>
          <w:rFonts w:hint="eastAsia"/>
          <w:b w:val="0"/>
          <w:bCs w:val="0"/>
          <w:color w:val="auto"/>
          <w:sz w:val="21"/>
          <w:szCs w:val="21"/>
          <w:highlight w:val="none"/>
          <w:lang w:eastAsia="zh-CN"/>
        </w:rPr>
        <w:t>供应商</w:t>
      </w:r>
      <w:r>
        <w:rPr>
          <w:rFonts w:hint="eastAsia"/>
          <w:b w:val="0"/>
          <w:bCs w:val="0"/>
          <w:color w:val="auto"/>
          <w:sz w:val="21"/>
          <w:szCs w:val="21"/>
          <w:highlight w:val="none"/>
        </w:rPr>
        <w:t>应当附本表所列证书的复印件并加盖</w:t>
      </w:r>
      <w:r>
        <w:rPr>
          <w:rFonts w:hint="eastAsia"/>
          <w:b w:val="0"/>
          <w:bCs w:val="0"/>
          <w:color w:val="auto"/>
          <w:sz w:val="21"/>
          <w:szCs w:val="21"/>
          <w:highlight w:val="none"/>
          <w:lang w:val="en-US" w:eastAsia="zh-CN"/>
        </w:rPr>
        <w:t>供应商</w:t>
      </w:r>
      <w:r>
        <w:rPr>
          <w:rFonts w:hint="eastAsia"/>
          <w:b w:val="0"/>
          <w:bCs w:val="0"/>
          <w:color w:val="auto"/>
          <w:sz w:val="21"/>
          <w:szCs w:val="21"/>
          <w:highlight w:val="none"/>
        </w:rPr>
        <w:t>公章。</w:t>
      </w:r>
    </w:p>
    <w:p w14:paraId="56D9AF69">
      <w:pPr>
        <w:snapToGrid w:val="0"/>
        <w:spacing w:before="50" w:after="50" w:line="400" w:lineRule="exact"/>
        <w:ind w:right="-817" w:rightChars="-389"/>
        <w:rPr>
          <w:rFonts w:ascii="宋体" w:hAnsi="宋体"/>
          <w:bCs/>
          <w:color w:val="auto"/>
          <w:highlight w:val="none"/>
        </w:rPr>
      </w:pPr>
    </w:p>
    <w:p w14:paraId="672E0355">
      <w:pPr>
        <w:snapToGrid w:val="0"/>
        <w:spacing w:before="50" w:after="50" w:line="320" w:lineRule="exact"/>
        <w:ind w:right="-817" w:rightChars="-389"/>
        <w:rPr>
          <w:rFonts w:ascii="宋体" w:hAnsi="宋体"/>
          <w:color w:val="auto"/>
          <w:szCs w:val="21"/>
          <w:highlight w:val="none"/>
        </w:rPr>
      </w:pPr>
    </w:p>
    <w:p w14:paraId="08DA06BD">
      <w:pPr>
        <w:rPr>
          <w:color w:val="auto"/>
          <w:highlight w:val="none"/>
        </w:rPr>
      </w:pPr>
    </w:p>
    <w:p w14:paraId="54B47F42">
      <w:pPr>
        <w:spacing w:line="400" w:lineRule="exact"/>
        <w:ind w:left="6090" w:leftChars="2900" w:right="592" w:rightChars="282" w:firstLine="2" w:firstLineChars="1"/>
        <w:jc w:val="left"/>
        <w:rPr>
          <w:rFonts w:ascii="宋体" w:hAnsi="宋体"/>
          <w:bCs/>
          <w:color w:val="auto"/>
          <w:highlight w:val="none"/>
        </w:rPr>
      </w:pPr>
      <w:r>
        <w:rPr>
          <w:rFonts w:hint="eastAsia" w:ascii="宋体" w:hAnsi="宋体"/>
          <w:bCs/>
          <w:color w:val="auto"/>
          <w:highlight w:val="none"/>
        </w:rPr>
        <w:t>供应商（盖章）：</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p>
    <w:p w14:paraId="236DC261">
      <w:pPr>
        <w:snapToGrid w:val="0"/>
        <w:spacing w:before="50" w:after="50" w:line="350" w:lineRule="exact"/>
        <w:ind w:right="-817" w:rightChars="-389" w:firstLine="6090" w:firstLineChars="2900"/>
        <w:jc w:val="left"/>
        <w:rPr>
          <w:color w:val="auto"/>
          <w:highlight w:val="none"/>
        </w:rPr>
      </w:pPr>
      <w:r>
        <w:rPr>
          <w:rFonts w:hint="eastAsia" w:ascii="宋体" w:hAnsi="宋体"/>
          <w:bCs/>
          <w:color w:val="auto"/>
          <w:highlight w:val="none"/>
        </w:rPr>
        <w:t>日期：</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p>
    <w:p w14:paraId="12F2F54E">
      <w:pPr>
        <w:pStyle w:val="103"/>
        <w:rPr>
          <w:rFonts w:ascii="宋体" w:hAnsi="宋体" w:cs="宋体"/>
          <w:color w:val="auto"/>
          <w:sz w:val="21"/>
          <w:szCs w:val="21"/>
          <w:highlight w:val="none"/>
        </w:rPr>
      </w:pPr>
    </w:p>
    <w:p w14:paraId="5E618505">
      <w:pPr>
        <w:pStyle w:val="103"/>
        <w:rPr>
          <w:rFonts w:ascii="宋体" w:hAnsi="宋体" w:cs="宋体"/>
          <w:color w:val="auto"/>
          <w:sz w:val="21"/>
          <w:szCs w:val="21"/>
          <w:highlight w:val="none"/>
        </w:rPr>
      </w:pPr>
    </w:p>
    <w:bookmarkEnd w:id="50"/>
    <w:bookmarkEnd w:id="51"/>
    <w:bookmarkEnd w:id="52"/>
    <w:bookmarkEnd w:id="53"/>
    <w:p w14:paraId="58A66425">
      <w:pPr>
        <w:spacing w:line="320" w:lineRule="exact"/>
        <w:jc w:val="left"/>
        <w:rPr>
          <w:color w:val="auto"/>
          <w:highlight w:val="none"/>
        </w:rPr>
      </w:pPr>
    </w:p>
    <w:p w14:paraId="61AB99C6">
      <w:pPr>
        <w:jc w:val="left"/>
        <w:rPr>
          <w:rFonts w:hint="eastAsia" w:ascii="宋体" w:hAnsi="宋体"/>
          <w:b/>
          <w:bCs/>
          <w:color w:val="auto"/>
          <w:sz w:val="36"/>
          <w:szCs w:val="36"/>
          <w:highlight w:val="none"/>
        </w:rPr>
      </w:pPr>
    </w:p>
    <w:p w14:paraId="7B586675">
      <w:pPr>
        <w:jc w:val="left"/>
        <w:rPr>
          <w:rFonts w:hint="eastAsia" w:ascii="宋体" w:hAnsi="宋体"/>
          <w:b/>
          <w:bCs/>
          <w:color w:val="auto"/>
          <w:sz w:val="36"/>
          <w:szCs w:val="36"/>
          <w:highlight w:val="none"/>
        </w:rPr>
      </w:pPr>
    </w:p>
    <w:p w14:paraId="1CAE653A">
      <w:pPr>
        <w:jc w:val="left"/>
        <w:rPr>
          <w:rFonts w:hint="eastAsia" w:ascii="宋体" w:hAnsi="宋体"/>
          <w:b/>
          <w:bCs/>
          <w:color w:val="auto"/>
          <w:sz w:val="36"/>
          <w:szCs w:val="36"/>
          <w:highlight w:val="none"/>
        </w:rPr>
      </w:pPr>
    </w:p>
    <w:p w14:paraId="18835352">
      <w:pPr>
        <w:jc w:val="left"/>
        <w:rPr>
          <w:rFonts w:hint="eastAsia" w:ascii="宋体" w:hAnsi="宋体"/>
          <w:b/>
          <w:bCs/>
          <w:color w:val="auto"/>
          <w:sz w:val="36"/>
          <w:szCs w:val="36"/>
          <w:highlight w:val="none"/>
        </w:rPr>
      </w:pPr>
    </w:p>
    <w:p w14:paraId="4997C7AF">
      <w:pPr>
        <w:jc w:val="left"/>
        <w:rPr>
          <w:rFonts w:hint="eastAsia" w:ascii="宋体" w:hAnsi="宋体"/>
          <w:b/>
          <w:bCs/>
          <w:color w:val="auto"/>
          <w:sz w:val="36"/>
          <w:szCs w:val="36"/>
          <w:highlight w:val="none"/>
        </w:rPr>
      </w:pPr>
    </w:p>
    <w:p w14:paraId="48A61209">
      <w:pPr>
        <w:jc w:val="left"/>
        <w:rPr>
          <w:rFonts w:hint="eastAsia" w:ascii="宋体" w:hAnsi="宋体"/>
          <w:b/>
          <w:bCs/>
          <w:color w:val="auto"/>
          <w:sz w:val="36"/>
          <w:szCs w:val="36"/>
          <w:highlight w:val="none"/>
        </w:rPr>
      </w:pPr>
    </w:p>
    <w:p w14:paraId="7F9CFCBF">
      <w:pPr>
        <w:jc w:val="left"/>
        <w:rPr>
          <w:rFonts w:hint="eastAsia" w:ascii="宋体" w:hAnsi="宋体"/>
          <w:b/>
          <w:bCs/>
          <w:color w:val="auto"/>
          <w:sz w:val="36"/>
          <w:szCs w:val="36"/>
          <w:highlight w:val="none"/>
        </w:rPr>
      </w:pPr>
    </w:p>
    <w:p w14:paraId="01C4E46E">
      <w:pPr>
        <w:jc w:val="left"/>
        <w:rPr>
          <w:rFonts w:hint="eastAsia" w:ascii="宋体" w:hAnsi="宋体"/>
          <w:b/>
          <w:bCs/>
          <w:color w:val="auto"/>
          <w:sz w:val="36"/>
          <w:szCs w:val="36"/>
          <w:highlight w:val="none"/>
        </w:rPr>
      </w:pPr>
    </w:p>
    <w:p w14:paraId="19C1FCC1">
      <w:pPr>
        <w:jc w:val="left"/>
        <w:rPr>
          <w:rFonts w:hint="eastAsia" w:ascii="宋体" w:hAnsi="宋体"/>
          <w:b/>
          <w:bCs/>
          <w:color w:val="auto"/>
          <w:sz w:val="36"/>
          <w:szCs w:val="36"/>
          <w:highlight w:val="none"/>
        </w:rPr>
      </w:pPr>
    </w:p>
    <w:p w14:paraId="2EB2F18B">
      <w:pPr>
        <w:pStyle w:val="36"/>
        <w:rPr>
          <w:rFonts w:hint="eastAsia" w:hAnsi="宋体"/>
          <w:color w:val="auto"/>
          <w:highlight w:val="none"/>
        </w:rPr>
      </w:pPr>
    </w:p>
    <w:p w14:paraId="4CDB0833">
      <w:pPr>
        <w:rPr>
          <w:rFonts w:hint="eastAsia" w:hAnsi="宋体"/>
          <w:color w:val="FF0000"/>
          <w:highlight w:val="none"/>
        </w:rPr>
      </w:pPr>
    </w:p>
    <w:p w14:paraId="4A02B12A">
      <w:pPr>
        <w:jc w:val="left"/>
        <w:rPr>
          <w:rFonts w:ascii="宋体" w:hAnsi="宋体"/>
          <w:b/>
          <w:bCs/>
          <w:color w:val="auto"/>
          <w:sz w:val="36"/>
          <w:szCs w:val="36"/>
          <w:highlight w:val="green"/>
        </w:rPr>
      </w:pPr>
      <w:r>
        <w:rPr>
          <w:rFonts w:hint="eastAsia" w:ascii="宋体" w:hAnsi="宋体"/>
          <w:b/>
          <w:bCs/>
          <w:color w:val="auto"/>
          <w:sz w:val="36"/>
          <w:szCs w:val="36"/>
          <w:highlight w:val="none"/>
        </w:rPr>
        <w:t>三、报价文件</w:t>
      </w:r>
    </w:p>
    <w:p w14:paraId="3F1E4BBF">
      <w:pPr>
        <w:jc w:val="center"/>
        <w:rPr>
          <w:rFonts w:ascii="仿宋" w:hAnsi="仿宋" w:eastAsia="仿宋"/>
          <w:b/>
          <w:bCs/>
          <w:color w:val="auto"/>
          <w:sz w:val="30"/>
          <w:szCs w:val="30"/>
        </w:rPr>
      </w:pPr>
      <w:r>
        <w:rPr>
          <w:rFonts w:hint="eastAsia" w:ascii="仿宋" w:hAnsi="仿宋" w:eastAsia="仿宋"/>
          <w:b/>
          <w:bCs/>
          <w:color w:val="auto"/>
          <w:sz w:val="32"/>
          <w:szCs w:val="32"/>
        </w:rPr>
        <w:t>报价明细表</w:t>
      </w:r>
      <w:r>
        <w:rPr>
          <w:rFonts w:hint="eastAsia" w:ascii="仿宋" w:hAnsi="仿宋" w:eastAsia="仿宋"/>
          <w:color w:val="auto"/>
          <w:sz w:val="24"/>
        </w:rPr>
        <w:t>(格式</w:t>
      </w:r>
      <w:r>
        <w:rPr>
          <w:rFonts w:ascii="仿宋" w:hAnsi="仿宋" w:eastAsia="仿宋"/>
          <w:color w:val="auto"/>
          <w:sz w:val="24"/>
        </w:rPr>
        <w:t>)</w:t>
      </w:r>
    </w:p>
    <w:p w14:paraId="4E79888D">
      <w:pPr>
        <w:rPr>
          <w:color w:val="auto"/>
        </w:rPr>
      </w:pPr>
    </w:p>
    <w:p w14:paraId="54C47E5E">
      <w:pPr>
        <w:spacing w:line="400" w:lineRule="exact"/>
        <w:jc w:val="left"/>
        <w:rPr>
          <w:rFonts w:ascii="宋体" w:hAnsi="宋体"/>
          <w:color w:val="auto"/>
          <w:szCs w:val="21"/>
        </w:rPr>
      </w:pPr>
      <w:r>
        <w:rPr>
          <w:rFonts w:hint="eastAsia" w:ascii="宋体" w:hAnsi="宋体"/>
          <w:color w:val="auto"/>
          <w:szCs w:val="21"/>
        </w:rPr>
        <w:t>项目编号：</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14:paraId="569820A7">
      <w:pPr>
        <w:spacing w:line="400" w:lineRule="exact"/>
        <w:jc w:val="left"/>
        <w:rPr>
          <w:rFonts w:ascii="宋体" w:hAnsi="宋体"/>
          <w:color w:val="auto"/>
          <w:szCs w:val="21"/>
          <w:u w:val="single"/>
        </w:rPr>
      </w:pPr>
      <w:r>
        <w:rPr>
          <w:rFonts w:hint="eastAsia" w:ascii="宋体" w:hAnsi="宋体"/>
          <w:color w:val="auto"/>
          <w:szCs w:val="21"/>
        </w:rPr>
        <w:t>项目名称：</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tbl>
      <w:tblPr>
        <w:tblStyle w:val="39"/>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822"/>
        <w:gridCol w:w="3378"/>
        <w:gridCol w:w="1386"/>
      </w:tblGrid>
      <w:tr w14:paraId="111F2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9" w:type="dxa"/>
            <w:vAlign w:val="center"/>
          </w:tcPr>
          <w:p w14:paraId="3739A019">
            <w:pPr>
              <w:widowControl/>
              <w:jc w:val="center"/>
              <w:rPr>
                <w:rFonts w:ascii="宋体" w:hAnsi="宋体" w:cs="宋体"/>
                <w:b/>
                <w:color w:val="auto"/>
                <w:kern w:val="0"/>
                <w:sz w:val="22"/>
                <w:szCs w:val="22"/>
              </w:rPr>
            </w:pPr>
            <w:r>
              <w:rPr>
                <w:rFonts w:hint="eastAsia" w:ascii="宋体" w:hAnsi="宋体" w:cs="宋体"/>
                <w:b/>
                <w:color w:val="auto"/>
                <w:kern w:val="0"/>
                <w:sz w:val="22"/>
                <w:szCs w:val="22"/>
              </w:rPr>
              <w:t>序号</w:t>
            </w:r>
          </w:p>
        </w:tc>
        <w:tc>
          <w:tcPr>
            <w:tcW w:w="3822" w:type="dxa"/>
            <w:vAlign w:val="center"/>
          </w:tcPr>
          <w:p w14:paraId="7F2987E2">
            <w:pPr>
              <w:widowControl/>
              <w:jc w:val="center"/>
              <w:rPr>
                <w:rFonts w:ascii="宋体" w:hAnsi="宋体" w:cs="宋体"/>
                <w:b/>
                <w:color w:val="auto"/>
                <w:kern w:val="0"/>
                <w:sz w:val="22"/>
                <w:szCs w:val="22"/>
              </w:rPr>
            </w:pPr>
            <w:r>
              <w:rPr>
                <w:rFonts w:hint="eastAsia" w:ascii="宋体" w:hAnsi="宋体" w:cs="宋体"/>
                <w:b/>
                <w:color w:val="auto"/>
                <w:kern w:val="0"/>
                <w:sz w:val="22"/>
                <w:szCs w:val="22"/>
              </w:rPr>
              <w:t>服务内容</w:t>
            </w:r>
          </w:p>
        </w:tc>
        <w:tc>
          <w:tcPr>
            <w:tcW w:w="3378" w:type="dxa"/>
            <w:vAlign w:val="center"/>
          </w:tcPr>
          <w:p w14:paraId="489ED1F9">
            <w:pPr>
              <w:widowControl/>
              <w:jc w:val="center"/>
              <w:rPr>
                <w:rFonts w:ascii="宋体" w:hAnsi="宋体" w:cs="宋体"/>
                <w:b/>
                <w:color w:val="auto"/>
                <w:kern w:val="0"/>
                <w:szCs w:val="21"/>
              </w:rPr>
            </w:pPr>
            <w:r>
              <w:rPr>
                <w:rFonts w:hint="eastAsia" w:ascii="宋体" w:hAnsi="宋体" w:cs="宋体"/>
                <w:b/>
                <w:color w:val="auto"/>
                <w:kern w:val="0"/>
                <w:szCs w:val="21"/>
              </w:rPr>
              <w:t>报价</w:t>
            </w:r>
          </w:p>
        </w:tc>
        <w:tc>
          <w:tcPr>
            <w:tcW w:w="1386" w:type="dxa"/>
            <w:vAlign w:val="center"/>
          </w:tcPr>
          <w:p w14:paraId="3BF710E4">
            <w:pPr>
              <w:widowControl/>
              <w:jc w:val="center"/>
              <w:rPr>
                <w:rFonts w:ascii="宋体" w:hAnsi="宋体" w:cs="宋体"/>
                <w:b/>
                <w:color w:val="auto"/>
                <w:kern w:val="0"/>
                <w:szCs w:val="21"/>
              </w:rPr>
            </w:pPr>
            <w:r>
              <w:rPr>
                <w:rFonts w:hint="eastAsia" w:ascii="宋体" w:hAnsi="宋体" w:cs="宋体"/>
                <w:b/>
                <w:color w:val="auto"/>
                <w:kern w:val="0"/>
                <w:szCs w:val="21"/>
              </w:rPr>
              <w:t>备注</w:t>
            </w:r>
          </w:p>
        </w:tc>
      </w:tr>
      <w:tr w14:paraId="726CD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709" w:type="dxa"/>
            <w:vAlign w:val="center"/>
          </w:tcPr>
          <w:p w14:paraId="0606F41C">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822" w:type="dxa"/>
            <w:vAlign w:val="center"/>
          </w:tcPr>
          <w:p w14:paraId="6A9C0F7A">
            <w:pPr>
              <w:widowControl/>
              <w:jc w:val="center"/>
              <w:rPr>
                <w:rFonts w:ascii="宋体" w:hAnsi="宋体"/>
                <w:bCs/>
                <w:color w:val="auto"/>
              </w:rPr>
            </w:pPr>
            <w:r>
              <w:rPr>
                <w:rFonts w:hint="eastAsia" w:ascii="宋体" w:hAnsi="宋体"/>
                <w:color w:val="auto"/>
                <w:szCs w:val="21"/>
                <w:highlight w:val="none"/>
                <w:lang w:val="en-US" w:eastAsia="zh-CN"/>
              </w:rPr>
              <w:t>灵山县人民检察院采购通信运营商服务项目</w:t>
            </w:r>
          </w:p>
        </w:tc>
        <w:tc>
          <w:tcPr>
            <w:tcW w:w="3378" w:type="dxa"/>
            <w:vAlign w:val="center"/>
          </w:tcPr>
          <w:p w14:paraId="5414ECC9">
            <w:pPr>
              <w:widowControl/>
              <w:spacing w:line="500" w:lineRule="exact"/>
              <w:jc w:val="center"/>
              <w:rPr>
                <w:rFonts w:ascii="宋体" w:hAnsi="宋体" w:cs="宋体"/>
                <w:color w:val="auto"/>
                <w:kern w:val="0"/>
                <w:szCs w:val="21"/>
                <w:u w:val="single"/>
              </w:rPr>
            </w:pPr>
            <w:r>
              <w:rPr>
                <w:rFonts w:hint="eastAsia" w:ascii="宋体" w:hAnsi="宋体" w:cs="宋体"/>
                <w:color w:val="auto"/>
                <w:kern w:val="0"/>
                <w:szCs w:val="21"/>
              </w:rPr>
              <w:t>大写：</w:t>
            </w:r>
            <w:r>
              <w:rPr>
                <w:rFonts w:hint="eastAsia" w:ascii="宋体" w:hAnsi="宋体" w:cs="宋体"/>
                <w:color w:val="auto"/>
                <w:kern w:val="0"/>
                <w:szCs w:val="21"/>
                <w:u w:val="single"/>
              </w:rPr>
              <w:t xml:space="preserve">                   元整</w:t>
            </w:r>
          </w:p>
          <w:p w14:paraId="676CD84E">
            <w:pPr>
              <w:widowControl/>
              <w:spacing w:line="500" w:lineRule="exact"/>
              <w:rPr>
                <w:rFonts w:ascii="宋体" w:hAnsi="宋体" w:cs="宋体"/>
                <w:color w:val="auto"/>
                <w:kern w:val="0"/>
                <w:szCs w:val="21"/>
                <w:u w:val="single"/>
              </w:rPr>
            </w:pPr>
            <w:r>
              <w:rPr>
                <w:rFonts w:hint="eastAsia" w:ascii="宋体" w:hAnsi="宋体" w:cs="宋体"/>
                <w:color w:val="auto"/>
                <w:kern w:val="0"/>
                <w:szCs w:val="21"/>
              </w:rPr>
              <w:t>小写：</w:t>
            </w:r>
            <w:r>
              <w:rPr>
                <w:rFonts w:hint="eastAsia" w:ascii="宋体" w:hAnsi="宋体" w:cs="宋体"/>
                <w:color w:val="auto"/>
                <w:kern w:val="0"/>
                <w:szCs w:val="21"/>
                <w:u w:val="single"/>
              </w:rPr>
              <w:t xml:space="preserve">￥          </w:t>
            </w:r>
            <w:r>
              <w:rPr>
                <w:rFonts w:ascii="宋体" w:hAnsi="宋体" w:cs="宋体"/>
                <w:color w:val="auto"/>
                <w:kern w:val="0"/>
                <w:szCs w:val="21"/>
                <w:u w:val="single"/>
              </w:rPr>
              <w:t xml:space="preserve"> </w:t>
            </w:r>
            <w:r>
              <w:rPr>
                <w:rFonts w:hint="eastAsia" w:ascii="宋体" w:hAnsi="宋体" w:cs="宋体"/>
                <w:color w:val="auto"/>
                <w:kern w:val="0"/>
                <w:szCs w:val="21"/>
                <w:u w:val="single"/>
              </w:rPr>
              <w:t xml:space="preserve">          </w:t>
            </w:r>
          </w:p>
        </w:tc>
        <w:tc>
          <w:tcPr>
            <w:tcW w:w="1386" w:type="dxa"/>
            <w:vAlign w:val="center"/>
          </w:tcPr>
          <w:p w14:paraId="2832AEE4">
            <w:pPr>
              <w:widowControl/>
              <w:jc w:val="center"/>
              <w:rPr>
                <w:rFonts w:ascii="宋体" w:hAnsi="宋体" w:cs="宋体"/>
                <w:color w:val="auto"/>
                <w:kern w:val="0"/>
                <w:szCs w:val="21"/>
              </w:rPr>
            </w:pPr>
          </w:p>
        </w:tc>
      </w:tr>
    </w:tbl>
    <w:p w14:paraId="07BE6B62">
      <w:pPr>
        <w:spacing w:line="440" w:lineRule="exact"/>
        <w:rPr>
          <w:rFonts w:hint="eastAsia" w:ascii="宋体" w:hAnsi="宋体"/>
          <w:color w:val="auto"/>
          <w:szCs w:val="21"/>
        </w:rPr>
      </w:pPr>
    </w:p>
    <w:p w14:paraId="1F1BFD07">
      <w:pPr>
        <w:spacing w:line="440" w:lineRule="exact"/>
        <w:rPr>
          <w:rFonts w:ascii="宋体" w:hAnsi="宋体"/>
          <w:color w:val="auto"/>
          <w:szCs w:val="21"/>
        </w:rPr>
      </w:pPr>
      <w:r>
        <w:rPr>
          <w:rFonts w:hint="eastAsia" w:ascii="宋体" w:hAnsi="宋体"/>
          <w:color w:val="auto"/>
          <w:szCs w:val="21"/>
        </w:rPr>
        <w:t>注：所有价格均用人民币表示，单位为元，精确到个数位。</w:t>
      </w:r>
    </w:p>
    <w:p w14:paraId="4B32ADD6">
      <w:pPr>
        <w:pStyle w:val="22"/>
        <w:spacing w:before="50" w:after="50" w:line="360" w:lineRule="exact"/>
        <w:ind w:firstLine="420"/>
        <w:rPr>
          <w:color w:val="auto"/>
        </w:rPr>
      </w:pPr>
      <w:r>
        <w:rPr>
          <w:rFonts w:hint="eastAsia" w:ascii="宋体" w:hAnsi="宋体"/>
          <w:color w:val="auto"/>
          <w:szCs w:val="21"/>
        </w:rPr>
        <w:t xml:space="preserve">   </w:t>
      </w:r>
    </w:p>
    <w:p w14:paraId="5EB6C1F0">
      <w:pPr>
        <w:rPr>
          <w:color w:val="auto"/>
        </w:rPr>
      </w:pPr>
    </w:p>
    <w:p w14:paraId="040223EA">
      <w:pPr>
        <w:rPr>
          <w:color w:val="auto"/>
        </w:rPr>
      </w:pPr>
    </w:p>
    <w:p w14:paraId="51E9CA5D">
      <w:pPr>
        <w:rPr>
          <w:color w:val="auto"/>
        </w:rPr>
      </w:pPr>
    </w:p>
    <w:p w14:paraId="1EA9711D">
      <w:pPr>
        <w:pStyle w:val="22"/>
        <w:spacing w:line="440" w:lineRule="exact"/>
        <w:ind w:firstLine="3675" w:firstLineChars="1750"/>
        <w:rPr>
          <w:rFonts w:hAnsi="宋体"/>
          <w:color w:val="auto"/>
          <w:u w:val="single"/>
        </w:rPr>
      </w:pPr>
      <w:r>
        <w:rPr>
          <w:rFonts w:hint="eastAsia" w:hAnsi="宋体"/>
          <w:color w:val="auto"/>
        </w:rPr>
        <w:t>供应商（盖章）：</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p>
    <w:p w14:paraId="3E7D0EC9">
      <w:pPr>
        <w:spacing w:line="440" w:lineRule="exact"/>
        <w:ind w:firstLine="3675" w:firstLineChars="1750"/>
        <w:rPr>
          <w:rFonts w:ascii="宋体" w:hAnsi="宋体"/>
          <w:color w:val="auto"/>
          <w:szCs w:val="21"/>
        </w:rPr>
      </w:pPr>
      <w:r>
        <w:rPr>
          <w:rFonts w:hint="eastAsia" w:hAnsi="宋体"/>
          <w:color w:val="auto"/>
        </w:rPr>
        <w:t>日期：</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日</w:t>
      </w:r>
    </w:p>
    <w:p w14:paraId="7574A7DE">
      <w:pPr>
        <w:pStyle w:val="36"/>
        <w:rPr>
          <w:color w:val="auto"/>
        </w:rPr>
      </w:pPr>
    </w:p>
    <w:sectPr>
      <w:headerReference r:id="rId5" w:type="default"/>
      <w:footerReference r:id="rId6" w:type="default"/>
      <w:pgSz w:w="11906" w:h="16838"/>
      <w:pgMar w:top="936" w:right="991" w:bottom="1135" w:left="993"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03DA161-C9CF-48A0-B22E-13CA0C107810}"/>
  </w:font>
  <w:font w:name="黑体">
    <w:panose1 w:val="02010609060101010101"/>
    <w:charset w:val="86"/>
    <w:family w:val="auto"/>
    <w:pitch w:val="default"/>
    <w:sig w:usb0="800002BF" w:usb1="38CF7CFA" w:usb2="00000016" w:usb3="00000000" w:csb0="00040001" w:csb1="00000000"/>
    <w:embedRegular r:id="rId2" w:fontKey="{A7978EE0-0713-451C-BB08-06B5F5596E7D}"/>
  </w:font>
  <w:font w:name="Courier New">
    <w:panose1 w:val="02070309020205020404"/>
    <w:charset w:val="01"/>
    <w:family w:val="modern"/>
    <w:pitch w:val="default"/>
    <w:sig w:usb0="E0002EFF" w:usb1="C0007843" w:usb2="00000009" w:usb3="00000000" w:csb0="400001FF" w:csb1="FFFF0000"/>
    <w:embedRegular r:id="rId3" w:fontKey="{8291E99C-9481-46E3-B158-158F873F7A7C}"/>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B9991AB3-923F-44FC-8C26-A00958A4DE3F}"/>
  </w:font>
  <w:font w:name="仿宋_GB2312">
    <w:panose1 w:val="02010609030101010101"/>
    <w:charset w:val="86"/>
    <w:family w:val="modern"/>
    <w:pitch w:val="default"/>
    <w:sig w:usb0="00000001" w:usb1="080E0000" w:usb2="00000000" w:usb3="00000000" w:csb0="00040000" w:csb1="00000000"/>
    <w:embedRegular r:id="rId5" w:fontKey="{B2BAD4E6-9900-4E11-8C68-1B4BC7AFBE48}"/>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embedRegular r:id="rId6" w:fontKey="{AF9935CF-4FA2-472E-B6B7-E80C51094B28}"/>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embedRegular r:id="rId7" w:fontKey="{91FFE317-A3E5-44A0-AE94-C41D08A89AD1}"/>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embedRegular r:id="rId8" w:fontKey="{420921A6-8981-49ED-BF4A-D681A65843C2}"/>
  </w:font>
  <w:font w:name="方正小标宋_GBK">
    <w:panose1 w:val="03000509000000000000"/>
    <w:charset w:val="86"/>
    <w:family w:val="script"/>
    <w:pitch w:val="default"/>
    <w:sig w:usb0="00000001" w:usb1="080E0000" w:usb2="00000000" w:usb3="00000000" w:csb0="00040000" w:csb1="00000000"/>
    <w:embedRegular r:id="rId9" w:fontKey="{77BD1D5D-DD33-46E0-9302-B696DB286C64}"/>
  </w:font>
  <w:font w:name="Arial Unicode MS">
    <w:panose1 w:val="020B0604020202020204"/>
    <w:charset w:val="86"/>
    <w:family w:val="swiss"/>
    <w:pitch w:val="default"/>
    <w:sig w:usb0="FFFFFFFF" w:usb1="E9FFFFFF" w:usb2="0000003F" w:usb3="00000000" w:csb0="603F01FF" w:csb1="FFFF0000"/>
    <w:embedRegular r:id="rId10" w:fontKey="{8986FCAE-30E9-4307-BDF5-D2BCAC2BBE8F}"/>
  </w:font>
  <w:font w:name="Helvetica">
    <w:altName w:val="Arial"/>
    <w:panose1 w:val="020B0604020202020204"/>
    <w:charset w:val="00"/>
    <w:family w:val="swiss"/>
    <w:pitch w:val="default"/>
    <w:sig w:usb0="00000000" w:usb1="00000000" w:usb2="00000000" w:usb3="00000000" w:csb0="00000000" w:csb1="00000000"/>
    <w:embedRegular r:id="rId11" w:fontKey="{DCB4F37F-8055-4A9E-9987-6606D8F53B7B}"/>
  </w:font>
  <w:font w:name="华文中宋">
    <w:panose1 w:val="02010600040101010101"/>
    <w:charset w:val="86"/>
    <w:family w:val="auto"/>
    <w:pitch w:val="default"/>
    <w:sig w:usb0="00000287" w:usb1="080F0000" w:usb2="00000000" w:usb3="00000000" w:csb0="0004009F" w:csb1="DFD70000"/>
    <w:embedRegular r:id="rId12" w:fontKey="{F55AD92A-A0AF-40C2-A817-686FFFD13D71}"/>
  </w:font>
  <w:font w:name="Adobe 仿宋 Std R">
    <w:altName w:val="仿宋"/>
    <w:panose1 w:val="02020400000000000000"/>
    <w:charset w:val="86"/>
    <w:family w:val="roman"/>
    <w:pitch w:val="default"/>
    <w:sig w:usb0="00000000" w:usb1="00000000" w:usb2="00000016" w:usb3="00000000" w:csb0="00060007" w:csb1="00000000"/>
    <w:embedRegular r:id="rId13" w:fontKey="{9D7E4150-92CC-4055-8D93-0094F90E218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761BC">
    <w:pPr>
      <w:pStyle w:val="2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F00BFB">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8F00BFB">
                    <w:pPr>
                      <w:pStyle w:val="27"/>
                    </w:pPr>
                    <w:r>
                      <w:fldChar w:fldCharType="begin"/>
                    </w:r>
                    <w:r>
                      <w:instrText xml:space="preserve"> PAGE  \* MERGEFORMAT </w:instrText>
                    </w:r>
                    <w:r>
                      <w:fldChar w:fldCharType="separate"/>
                    </w:r>
                    <w:r>
                      <w:t>1</w:t>
                    </w:r>
                    <w:r>
                      <w:fldChar w:fldCharType="end"/>
                    </w:r>
                  </w:p>
                </w:txbxContent>
              </v:textbox>
            </v:shape>
          </w:pict>
        </mc:Fallback>
      </mc:AlternateContent>
    </w:r>
  </w:p>
  <w:p w14:paraId="4E005B9B">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FA25A">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3360278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qXm5zwAAAAUBAAAPAAAAAAAAAAEAIAAAACIAAABkcnMvZG93bnJldi54&#10;bWxQSwECFAAUAAAACACHTuJAf1mLBgMCAAAEBAAADgAAAAAAAAABACAAAAAeAQAAZHJzL2Uyb0Rv&#10;Yy54bWxQSwUGAAAAAAYABgBZAQAAkwUAAAAA&#10;">
              <v:fill on="f" focussize="0,0"/>
              <v:stroke on="f"/>
              <v:imagedata o:title=""/>
              <o:lock v:ext="edit" aspectratio="f"/>
              <v:textbox inset="0mm,0mm,0mm,0mm" style="mso-fit-shape-to-text:t;">
                <w:txbxContent>
                  <w:p w14:paraId="3360278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B6581">
    <w:pPr>
      <w:pStyle w:val="27"/>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5607"/>
                          </w:sdtPr>
                          <w:sdtContent>
                            <w:p w14:paraId="20707188">
                              <w:pPr>
                                <w:pStyle w:val="27"/>
                                <w:jc w:val="center"/>
                              </w:pPr>
                              <w:r>
                                <w:fldChar w:fldCharType="begin"/>
                              </w:r>
                              <w:r>
                                <w:instrText xml:space="preserve">PAGE   \* MERGEFORMAT</w:instrText>
                              </w:r>
                              <w:r>
                                <w:fldChar w:fldCharType="separate"/>
                              </w:r>
                              <w:r>
                                <w:t>2</w:t>
                              </w:r>
                              <w:r>
                                <w:fldChar w:fldCharType="end"/>
                              </w:r>
                            </w:p>
                          </w:sdtContent>
                        </w:sdt>
                        <w:p w14:paraId="132A9825"/>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sdt>
                    <w:sdtPr>
                      <w:id w:val="147475607"/>
                    </w:sdtPr>
                    <w:sdtContent>
                      <w:p w14:paraId="20707188">
                        <w:pPr>
                          <w:pStyle w:val="27"/>
                          <w:jc w:val="center"/>
                        </w:pPr>
                        <w:r>
                          <w:fldChar w:fldCharType="begin"/>
                        </w:r>
                        <w:r>
                          <w:instrText xml:space="preserve">PAGE   \* MERGEFORMAT</w:instrText>
                        </w:r>
                        <w:r>
                          <w:fldChar w:fldCharType="separate"/>
                        </w:r>
                        <w:r>
                          <w:t>2</w:t>
                        </w:r>
                        <w:r>
                          <w:fldChar w:fldCharType="end"/>
                        </w:r>
                      </w:p>
                    </w:sdtContent>
                  </w:sdt>
                  <w:p w14:paraId="132A9825"/>
                </w:txbxContent>
              </v:textbox>
            </v:shape>
          </w:pict>
        </mc:Fallback>
      </mc:AlternateContent>
    </w:r>
  </w:p>
  <w:p w14:paraId="709A7499">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C9A1A">
    <w:pPr>
      <w:pStyle w:val="28"/>
      <w:rPr>
        <w:rFonts w:hint="eastAsia"/>
        <w:lang w:eastAsia="zh-CN"/>
      </w:rPr>
    </w:pPr>
    <w:r>
      <w:rPr>
        <w:rFonts w:hint="eastAsia"/>
      </w:rPr>
      <w:t xml:space="preserve">    </w:t>
    </w:r>
    <w:r>
      <w:rPr>
        <w:rFonts w:hint="eastAsia" w:ascii="宋体" w:hAnsi="宋体"/>
        <w:color w:val="auto"/>
        <w:szCs w:val="21"/>
        <w:highlight w:val="none"/>
        <w:lang w:val="en-US" w:eastAsia="zh-CN"/>
      </w:rPr>
      <w:t>灵山县人民检察院采购通信运营商服务项目</w:t>
    </w:r>
    <w:r>
      <w:rPr>
        <w:rFonts w:hint="eastAsia"/>
        <w:lang w:eastAsia="zh-CN"/>
      </w:rPr>
      <w:t>(QZZC2025-C3-990027-QZSZ)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chineseCountingThousand"/>
      <w:pStyle w:val="20"/>
      <w:suff w:val="nothing"/>
      <w:lvlText w:val="第%1章"/>
      <w:lvlJc w:val="left"/>
      <w:pPr>
        <w:ind w:left="142" w:firstLine="0"/>
      </w:pPr>
      <w:rPr>
        <w:rFonts w:hint="eastAsia" w:ascii="仿宋_GB2312" w:eastAsia="仿宋_GB2312"/>
        <w:sz w:val="44"/>
      </w:rPr>
    </w:lvl>
    <w:lvl w:ilvl="1" w:tentative="0">
      <w:start w:val="1"/>
      <w:numFmt w:val="none"/>
      <w:suff w:val="nothing"/>
      <w:lvlText w:val=""/>
      <w:lvlJc w:val="left"/>
      <w:pPr>
        <w:ind w:left="142" w:firstLine="0"/>
      </w:pPr>
      <w:rPr>
        <w:rFonts w:hint="eastAsia"/>
      </w:rPr>
    </w:lvl>
    <w:lvl w:ilvl="2" w:tentative="0">
      <w:start w:val="1"/>
      <w:numFmt w:val="none"/>
      <w:suff w:val="nothing"/>
      <w:lvlText w:val=""/>
      <w:lvlJc w:val="left"/>
      <w:pPr>
        <w:ind w:left="142" w:firstLine="0"/>
      </w:pPr>
      <w:rPr>
        <w:rFonts w:hint="eastAsia"/>
      </w:rPr>
    </w:lvl>
    <w:lvl w:ilvl="3" w:tentative="0">
      <w:start w:val="1"/>
      <w:numFmt w:val="none"/>
      <w:suff w:val="nothing"/>
      <w:lvlText w:val=""/>
      <w:lvlJc w:val="left"/>
      <w:pPr>
        <w:ind w:left="142" w:firstLine="0"/>
      </w:pPr>
      <w:rPr>
        <w:rFonts w:hint="eastAsia"/>
      </w:rPr>
    </w:lvl>
    <w:lvl w:ilvl="4" w:tentative="0">
      <w:start w:val="1"/>
      <w:numFmt w:val="none"/>
      <w:pStyle w:val="6"/>
      <w:suff w:val="nothing"/>
      <w:lvlText w:val=""/>
      <w:lvlJc w:val="left"/>
      <w:pPr>
        <w:ind w:left="142" w:firstLine="0"/>
      </w:pPr>
      <w:rPr>
        <w:rFonts w:hint="eastAsia"/>
      </w:rPr>
    </w:lvl>
    <w:lvl w:ilvl="5" w:tentative="0">
      <w:start w:val="1"/>
      <w:numFmt w:val="none"/>
      <w:pStyle w:val="8"/>
      <w:suff w:val="nothing"/>
      <w:lvlText w:val=""/>
      <w:lvlJc w:val="left"/>
      <w:pPr>
        <w:ind w:left="142" w:firstLine="0"/>
      </w:pPr>
      <w:rPr>
        <w:rFonts w:hint="eastAsia"/>
      </w:rPr>
    </w:lvl>
    <w:lvl w:ilvl="6" w:tentative="0">
      <w:start w:val="1"/>
      <w:numFmt w:val="none"/>
      <w:pStyle w:val="9"/>
      <w:suff w:val="nothing"/>
      <w:lvlText w:val=""/>
      <w:lvlJc w:val="left"/>
      <w:pPr>
        <w:ind w:left="142" w:firstLine="0"/>
      </w:pPr>
      <w:rPr>
        <w:rFonts w:hint="eastAsia"/>
      </w:rPr>
    </w:lvl>
    <w:lvl w:ilvl="7" w:tentative="0">
      <w:start w:val="1"/>
      <w:numFmt w:val="none"/>
      <w:pStyle w:val="10"/>
      <w:suff w:val="nothing"/>
      <w:lvlText w:val=""/>
      <w:lvlJc w:val="left"/>
      <w:pPr>
        <w:ind w:left="142" w:firstLine="0"/>
      </w:pPr>
      <w:rPr>
        <w:rFonts w:hint="eastAsia"/>
      </w:rPr>
    </w:lvl>
    <w:lvl w:ilvl="8" w:tentative="0">
      <w:start w:val="1"/>
      <w:numFmt w:val="none"/>
      <w:pStyle w:val="11"/>
      <w:suff w:val="nothing"/>
      <w:lvlText w:val=""/>
      <w:lvlJc w:val="left"/>
      <w:pPr>
        <w:ind w:left="142"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wMzA2Yzg4MjlmNzAzMDI4YTZiY2EzYmY1NGJlOTMifQ=="/>
  </w:docVars>
  <w:rsids>
    <w:rsidRoot w:val="00172A27"/>
    <w:rsid w:val="0000046D"/>
    <w:rsid w:val="000009A4"/>
    <w:rsid w:val="0000182C"/>
    <w:rsid w:val="00001C30"/>
    <w:rsid w:val="00001F66"/>
    <w:rsid w:val="00002715"/>
    <w:rsid w:val="0000296D"/>
    <w:rsid w:val="00002E66"/>
    <w:rsid w:val="00003781"/>
    <w:rsid w:val="00003F3C"/>
    <w:rsid w:val="0000486E"/>
    <w:rsid w:val="00004CB0"/>
    <w:rsid w:val="00004CDE"/>
    <w:rsid w:val="00005328"/>
    <w:rsid w:val="00007E2F"/>
    <w:rsid w:val="00007E51"/>
    <w:rsid w:val="000104B5"/>
    <w:rsid w:val="00010E05"/>
    <w:rsid w:val="00012061"/>
    <w:rsid w:val="000123EC"/>
    <w:rsid w:val="000125C2"/>
    <w:rsid w:val="00013AC8"/>
    <w:rsid w:val="00013C7F"/>
    <w:rsid w:val="00014132"/>
    <w:rsid w:val="00014488"/>
    <w:rsid w:val="000149E9"/>
    <w:rsid w:val="00016092"/>
    <w:rsid w:val="00016829"/>
    <w:rsid w:val="00017A2B"/>
    <w:rsid w:val="00020517"/>
    <w:rsid w:val="000207E1"/>
    <w:rsid w:val="00020DBA"/>
    <w:rsid w:val="00021054"/>
    <w:rsid w:val="000216CC"/>
    <w:rsid w:val="00021A62"/>
    <w:rsid w:val="00022909"/>
    <w:rsid w:val="00022CE2"/>
    <w:rsid w:val="00023813"/>
    <w:rsid w:val="000244C1"/>
    <w:rsid w:val="000248E5"/>
    <w:rsid w:val="00025985"/>
    <w:rsid w:val="00025AC0"/>
    <w:rsid w:val="00027018"/>
    <w:rsid w:val="000272D2"/>
    <w:rsid w:val="0002754E"/>
    <w:rsid w:val="00027BD3"/>
    <w:rsid w:val="0003177E"/>
    <w:rsid w:val="00032229"/>
    <w:rsid w:val="00032A59"/>
    <w:rsid w:val="00032B1F"/>
    <w:rsid w:val="00032F50"/>
    <w:rsid w:val="00033214"/>
    <w:rsid w:val="000344F4"/>
    <w:rsid w:val="0003479C"/>
    <w:rsid w:val="00034B7D"/>
    <w:rsid w:val="00035002"/>
    <w:rsid w:val="0003509E"/>
    <w:rsid w:val="00036EC4"/>
    <w:rsid w:val="00037318"/>
    <w:rsid w:val="00037EEA"/>
    <w:rsid w:val="000400F8"/>
    <w:rsid w:val="0004027B"/>
    <w:rsid w:val="00040DCA"/>
    <w:rsid w:val="000417D5"/>
    <w:rsid w:val="000419B7"/>
    <w:rsid w:val="00041EAA"/>
    <w:rsid w:val="00041FD1"/>
    <w:rsid w:val="00042DEF"/>
    <w:rsid w:val="00044162"/>
    <w:rsid w:val="00044278"/>
    <w:rsid w:val="000445D1"/>
    <w:rsid w:val="000448E0"/>
    <w:rsid w:val="00045285"/>
    <w:rsid w:val="0004535A"/>
    <w:rsid w:val="00045CF3"/>
    <w:rsid w:val="00045D3B"/>
    <w:rsid w:val="00046ED2"/>
    <w:rsid w:val="00050908"/>
    <w:rsid w:val="00050B4D"/>
    <w:rsid w:val="00051B41"/>
    <w:rsid w:val="000521BA"/>
    <w:rsid w:val="00052C3B"/>
    <w:rsid w:val="00053067"/>
    <w:rsid w:val="000530C2"/>
    <w:rsid w:val="00053FFD"/>
    <w:rsid w:val="00054058"/>
    <w:rsid w:val="000548EF"/>
    <w:rsid w:val="00054C4F"/>
    <w:rsid w:val="00054D61"/>
    <w:rsid w:val="00054F2A"/>
    <w:rsid w:val="00055319"/>
    <w:rsid w:val="00055AA6"/>
    <w:rsid w:val="0005758A"/>
    <w:rsid w:val="000576C1"/>
    <w:rsid w:val="00060064"/>
    <w:rsid w:val="0006170C"/>
    <w:rsid w:val="00061972"/>
    <w:rsid w:val="000619FC"/>
    <w:rsid w:val="00061AC4"/>
    <w:rsid w:val="0006223A"/>
    <w:rsid w:val="00063151"/>
    <w:rsid w:val="00064127"/>
    <w:rsid w:val="00064B46"/>
    <w:rsid w:val="0006699C"/>
    <w:rsid w:val="000670F3"/>
    <w:rsid w:val="000675EC"/>
    <w:rsid w:val="00067C97"/>
    <w:rsid w:val="000700B4"/>
    <w:rsid w:val="000707DE"/>
    <w:rsid w:val="000709DB"/>
    <w:rsid w:val="000714E8"/>
    <w:rsid w:val="00071DBC"/>
    <w:rsid w:val="00072665"/>
    <w:rsid w:val="0007297B"/>
    <w:rsid w:val="00072ABB"/>
    <w:rsid w:val="00074159"/>
    <w:rsid w:val="000749B7"/>
    <w:rsid w:val="000753D2"/>
    <w:rsid w:val="00075494"/>
    <w:rsid w:val="0007550C"/>
    <w:rsid w:val="00075C45"/>
    <w:rsid w:val="00076CDB"/>
    <w:rsid w:val="00077B75"/>
    <w:rsid w:val="00077E54"/>
    <w:rsid w:val="000813F4"/>
    <w:rsid w:val="000817C6"/>
    <w:rsid w:val="00081921"/>
    <w:rsid w:val="00081A1B"/>
    <w:rsid w:val="00082980"/>
    <w:rsid w:val="00083D28"/>
    <w:rsid w:val="00083D58"/>
    <w:rsid w:val="00084EA9"/>
    <w:rsid w:val="00084EC7"/>
    <w:rsid w:val="00085936"/>
    <w:rsid w:val="00085C49"/>
    <w:rsid w:val="00085CBC"/>
    <w:rsid w:val="00085EEB"/>
    <w:rsid w:val="000867B0"/>
    <w:rsid w:val="00086B70"/>
    <w:rsid w:val="00087668"/>
    <w:rsid w:val="000904A2"/>
    <w:rsid w:val="00090AF0"/>
    <w:rsid w:val="000910C5"/>
    <w:rsid w:val="00092839"/>
    <w:rsid w:val="00093C1A"/>
    <w:rsid w:val="00093E79"/>
    <w:rsid w:val="00093F41"/>
    <w:rsid w:val="00094441"/>
    <w:rsid w:val="00094BC6"/>
    <w:rsid w:val="000953A5"/>
    <w:rsid w:val="00096670"/>
    <w:rsid w:val="00096B4A"/>
    <w:rsid w:val="00096DE8"/>
    <w:rsid w:val="00097C9E"/>
    <w:rsid w:val="000A0911"/>
    <w:rsid w:val="000A124F"/>
    <w:rsid w:val="000A139A"/>
    <w:rsid w:val="000A2431"/>
    <w:rsid w:val="000A2A30"/>
    <w:rsid w:val="000A358F"/>
    <w:rsid w:val="000A38A0"/>
    <w:rsid w:val="000A3C64"/>
    <w:rsid w:val="000A4362"/>
    <w:rsid w:val="000A5274"/>
    <w:rsid w:val="000A61B8"/>
    <w:rsid w:val="000A62BD"/>
    <w:rsid w:val="000A6603"/>
    <w:rsid w:val="000A679A"/>
    <w:rsid w:val="000A6A7F"/>
    <w:rsid w:val="000A6F98"/>
    <w:rsid w:val="000A74E0"/>
    <w:rsid w:val="000A74F6"/>
    <w:rsid w:val="000A7B98"/>
    <w:rsid w:val="000B1427"/>
    <w:rsid w:val="000B1905"/>
    <w:rsid w:val="000B1CCA"/>
    <w:rsid w:val="000B200B"/>
    <w:rsid w:val="000B3976"/>
    <w:rsid w:val="000B3C2D"/>
    <w:rsid w:val="000B470D"/>
    <w:rsid w:val="000B5395"/>
    <w:rsid w:val="000B62CB"/>
    <w:rsid w:val="000B6350"/>
    <w:rsid w:val="000B678F"/>
    <w:rsid w:val="000B6FEF"/>
    <w:rsid w:val="000B7F9A"/>
    <w:rsid w:val="000C0328"/>
    <w:rsid w:val="000C03D4"/>
    <w:rsid w:val="000C0D86"/>
    <w:rsid w:val="000C1621"/>
    <w:rsid w:val="000C1CD7"/>
    <w:rsid w:val="000C2778"/>
    <w:rsid w:val="000C2784"/>
    <w:rsid w:val="000C32AE"/>
    <w:rsid w:val="000C3380"/>
    <w:rsid w:val="000C4807"/>
    <w:rsid w:val="000C4C6A"/>
    <w:rsid w:val="000C5751"/>
    <w:rsid w:val="000C57F9"/>
    <w:rsid w:val="000C598C"/>
    <w:rsid w:val="000C618E"/>
    <w:rsid w:val="000C6342"/>
    <w:rsid w:val="000C6CE1"/>
    <w:rsid w:val="000C7B9D"/>
    <w:rsid w:val="000D02E9"/>
    <w:rsid w:val="000D1274"/>
    <w:rsid w:val="000D1597"/>
    <w:rsid w:val="000D16A7"/>
    <w:rsid w:val="000D1C6A"/>
    <w:rsid w:val="000D1F8D"/>
    <w:rsid w:val="000D22BD"/>
    <w:rsid w:val="000D26E7"/>
    <w:rsid w:val="000D53F2"/>
    <w:rsid w:val="000D5748"/>
    <w:rsid w:val="000D5C8A"/>
    <w:rsid w:val="000D6C9D"/>
    <w:rsid w:val="000D78E6"/>
    <w:rsid w:val="000E0487"/>
    <w:rsid w:val="000E088E"/>
    <w:rsid w:val="000E232F"/>
    <w:rsid w:val="000E285B"/>
    <w:rsid w:val="000E2DB0"/>
    <w:rsid w:val="000E348C"/>
    <w:rsid w:val="000E4D22"/>
    <w:rsid w:val="000E545D"/>
    <w:rsid w:val="000F0150"/>
    <w:rsid w:val="000F03FE"/>
    <w:rsid w:val="000F152C"/>
    <w:rsid w:val="000F17C9"/>
    <w:rsid w:val="000F3668"/>
    <w:rsid w:val="000F383E"/>
    <w:rsid w:val="000F38CF"/>
    <w:rsid w:val="000F3F16"/>
    <w:rsid w:val="000F449F"/>
    <w:rsid w:val="000F48C9"/>
    <w:rsid w:val="000F6024"/>
    <w:rsid w:val="00100B14"/>
    <w:rsid w:val="00100EB7"/>
    <w:rsid w:val="0010174C"/>
    <w:rsid w:val="0010201F"/>
    <w:rsid w:val="0010254F"/>
    <w:rsid w:val="00102B73"/>
    <w:rsid w:val="00102C51"/>
    <w:rsid w:val="00103216"/>
    <w:rsid w:val="0010330D"/>
    <w:rsid w:val="001039BF"/>
    <w:rsid w:val="00103CB4"/>
    <w:rsid w:val="00103D6B"/>
    <w:rsid w:val="00107F42"/>
    <w:rsid w:val="00110401"/>
    <w:rsid w:val="00110E22"/>
    <w:rsid w:val="001110F1"/>
    <w:rsid w:val="0011195C"/>
    <w:rsid w:val="00112E30"/>
    <w:rsid w:val="001138CB"/>
    <w:rsid w:val="00115CAC"/>
    <w:rsid w:val="001160DE"/>
    <w:rsid w:val="00116718"/>
    <w:rsid w:val="00116FC8"/>
    <w:rsid w:val="00117835"/>
    <w:rsid w:val="0012024C"/>
    <w:rsid w:val="00120493"/>
    <w:rsid w:val="00120DFA"/>
    <w:rsid w:val="00121726"/>
    <w:rsid w:val="001218FE"/>
    <w:rsid w:val="00121CC1"/>
    <w:rsid w:val="001221BE"/>
    <w:rsid w:val="00123679"/>
    <w:rsid w:val="001236BF"/>
    <w:rsid w:val="001236EB"/>
    <w:rsid w:val="00123ACC"/>
    <w:rsid w:val="00124792"/>
    <w:rsid w:val="00124CEA"/>
    <w:rsid w:val="00124CF0"/>
    <w:rsid w:val="00125726"/>
    <w:rsid w:val="001258B7"/>
    <w:rsid w:val="001267FF"/>
    <w:rsid w:val="00127F9D"/>
    <w:rsid w:val="0013084E"/>
    <w:rsid w:val="001315D8"/>
    <w:rsid w:val="00131845"/>
    <w:rsid w:val="00132B8C"/>
    <w:rsid w:val="0013360D"/>
    <w:rsid w:val="001339B4"/>
    <w:rsid w:val="00133E41"/>
    <w:rsid w:val="00133E7C"/>
    <w:rsid w:val="00134D7F"/>
    <w:rsid w:val="00134F05"/>
    <w:rsid w:val="00134F65"/>
    <w:rsid w:val="0013526C"/>
    <w:rsid w:val="001356B6"/>
    <w:rsid w:val="0013661A"/>
    <w:rsid w:val="00136E07"/>
    <w:rsid w:val="00136F43"/>
    <w:rsid w:val="001372D1"/>
    <w:rsid w:val="001374A2"/>
    <w:rsid w:val="00141121"/>
    <w:rsid w:val="001429D7"/>
    <w:rsid w:val="00143437"/>
    <w:rsid w:val="00143891"/>
    <w:rsid w:val="00145073"/>
    <w:rsid w:val="0014515E"/>
    <w:rsid w:val="0014559E"/>
    <w:rsid w:val="00145749"/>
    <w:rsid w:val="00145EF0"/>
    <w:rsid w:val="001462D6"/>
    <w:rsid w:val="001464A7"/>
    <w:rsid w:val="00147344"/>
    <w:rsid w:val="001477F2"/>
    <w:rsid w:val="0015059D"/>
    <w:rsid w:val="00151322"/>
    <w:rsid w:val="00151A22"/>
    <w:rsid w:val="00152576"/>
    <w:rsid w:val="00152C66"/>
    <w:rsid w:val="00153A5A"/>
    <w:rsid w:val="00153EDA"/>
    <w:rsid w:val="001547CA"/>
    <w:rsid w:val="00154C02"/>
    <w:rsid w:val="00154C69"/>
    <w:rsid w:val="0015529D"/>
    <w:rsid w:val="00156328"/>
    <w:rsid w:val="00156678"/>
    <w:rsid w:val="00156E9D"/>
    <w:rsid w:val="001573B4"/>
    <w:rsid w:val="00157B9D"/>
    <w:rsid w:val="00157E30"/>
    <w:rsid w:val="001600BF"/>
    <w:rsid w:val="001601A2"/>
    <w:rsid w:val="00160295"/>
    <w:rsid w:val="001607B6"/>
    <w:rsid w:val="001625C2"/>
    <w:rsid w:val="00162969"/>
    <w:rsid w:val="00162E86"/>
    <w:rsid w:val="00163D73"/>
    <w:rsid w:val="00163D88"/>
    <w:rsid w:val="00164096"/>
    <w:rsid w:val="0016529E"/>
    <w:rsid w:val="00165B1C"/>
    <w:rsid w:val="00166036"/>
    <w:rsid w:val="001662BD"/>
    <w:rsid w:val="001675A5"/>
    <w:rsid w:val="00170111"/>
    <w:rsid w:val="00170697"/>
    <w:rsid w:val="00171C1A"/>
    <w:rsid w:val="00172708"/>
    <w:rsid w:val="001727B0"/>
    <w:rsid w:val="00172A27"/>
    <w:rsid w:val="00172E97"/>
    <w:rsid w:val="00173260"/>
    <w:rsid w:val="00173C43"/>
    <w:rsid w:val="00174BEA"/>
    <w:rsid w:val="0017537B"/>
    <w:rsid w:val="001759CF"/>
    <w:rsid w:val="00175B5D"/>
    <w:rsid w:val="00176197"/>
    <w:rsid w:val="00176986"/>
    <w:rsid w:val="00176B7D"/>
    <w:rsid w:val="00177FB1"/>
    <w:rsid w:val="001809EC"/>
    <w:rsid w:val="00180D02"/>
    <w:rsid w:val="00181809"/>
    <w:rsid w:val="00182FF5"/>
    <w:rsid w:val="0018316B"/>
    <w:rsid w:val="001837AA"/>
    <w:rsid w:val="00183BC0"/>
    <w:rsid w:val="0018456A"/>
    <w:rsid w:val="00184681"/>
    <w:rsid w:val="001847DB"/>
    <w:rsid w:val="00185C46"/>
    <w:rsid w:val="00185D1E"/>
    <w:rsid w:val="00185D2D"/>
    <w:rsid w:val="00185EF5"/>
    <w:rsid w:val="00185F81"/>
    <w:rsid w:val="001863BC"/>
    <w:rsid w:val="0018652D"/>
    <w:rsid w:val="00186AA0"/>
    <w:rsid w:val="00187828"/>
    <w:rsid w:val="00187EAA"/>
    <w:rsid w:val="00190B5F"/>
    <w:rsid w:val="001912D2"/>
    <w:rsid w:val="00191575"/>
    <w:rsid w:val="00191DE6"/>
    <w:rsid w:val="00191FD8"/>
    <w:rsid w:val="0019224F"/>
    <w:rsid w:val="0019227A"/>
    <w:rsid w:val="001923BA"/>
    <w:rsid w:val="0019338C"/>
    <w:rsid w:val="00194C01"/>
    <w:rsid w:val="00196AD9"/>
    <w:rsid w:val="00197F91"/>
    <w:rsid w:val="001A0381"/>
    <w:rsid w:val="001A04B7"/>
    <w:rsid w:val="001A10F0"/>
    <w:rsid w:val="001A24D5"/>
    <w:rsid w:val="001A2637"/>
    <w:rsid w:val="001A270B"/>
    <w:rsid w:val="001A2CE9"/>
    <w:rsid w:val="001A37A7"/>
    <w:rsid w:val="001A397E"/>
    <w:rsid w:val="001A3D56"/>
    <w:rsid w:val="001A3E22"/>
    <w:rsid w:val="001A4A03"/>
    <w:rsid w:val="001A4DEE"/>
    <w:rsid w:val="001A51A4"/>
    <w:rsid w:val="001A52EC"/>
    <w:rsid w:val="001A592E"/>
    <w:rsid w:val="001A5B3D"/>
    <w:rsid w:val="001A608D"/>
    <w:rsid w:val="001A64AB"/>
    <w:rsid w:val="001A69D0"/>
    <w:rsid w:val="001A7510"/>
    <w:rsid w:val="001A79FC"/>
    <w:rsid w:val="001B0FFF"/>
    <w:rsid w:val="001B1422"/>
    <w:rsid w:val="001B1780"/>
    <w:rsid w:val="001B2789"/>
    <w:rsid w:val="001B3396"/>
    <w:rsid w:val="001B45AC"/>
    <w:rsid w:val="001B4641"/>
    <w:rsid w:val="001B49B9"/>
    <w:rsid w:val="001B4AC9"/>
    <w:rsid w:val="001B53CE"/>
    <w:rsid w:val="001B5555"/>
    <w:rsid w:val="001B5A4E"/>
    <w:rsid w:val="001B621A"/>
    <w:rsid w:val="001B639B"/>
    <w:rsid w:val="001B66C9"/>
    <w:rsid w:val="001B7226"/>
    <w:rsid w:val="001B79CA"/>
    <w:rsid w:val="001C006C"/>
    <w:rsid w:val="001C046C"/>
    <w:rsid w:val="001C0792"/>
    <w:rsid w:val="001C111E"/>
    <w:rsid w:val="001C1954"/>
    <w:rsid w:val="001C1CB6"/>
    <w:rsid w:val="001C2637"/>
    <w:rsid w:val="001C2856"/>
    <w:rsid w:val="001C36F2"/>
    <w:rsid w:val="001C37B8"/>
    <w:rsid w:val="001C3997"/>
    <w:rsid w:val="001C4006"/>
    <w:rsid w:val="001C4264"/>
    <w:rsid w:val="001C5049"/>
    <w:rsid w:val="001C5A88"/>
    <w:rsid w:val="001C5F33"/>
    <w:rsid w:val="001D131F"/>
    <w:rsid w:val="001D145B"/>
    <w:rsid w:val="001D1E0C"/>
    <w:rsid w:val="001D2BC7"/>
    <w:rsid w:val="001D32DF"/>
    <w:rsid w:val="001D3347"/>
    <w:rsid w:val="001D342C"/>
    <w:rsid w:val="001D3D7A"/>
    <w:rsid w:val="001D3D91"/>
    <w:rsid w:val="001D3FE6"/>
    <w:rsid w:val="001D426E"/>
    <w:rsid w:val="001D47A2"/>
    <w:rsid w:val="001D4CB2"/>
    <w:rsid w:val="001D5364"/>
    <w:rsid w:val="001D542E"/>
    <w:rsid w:val="001D5AB1"/>
    <w:rsid w:val="001D6B41"/>
    <w:rsid w:val="001D6B43"/>
    <w:rsid w:val="001D6C9C"/>
    <w:rsid w:val="001D7C0A"/>
    <w:rsid w:val="001E135A"/>
    <w:rsid w:val="001E1B96"/>
    <w:rsid w:val="001E3151"/>
    <w:rsid w:val="001E33E7"/>
    <w:rsid w:val="001E3A70"/>
    <w:rsid w:val="001E4160"/>
    <w:rsid w:val="001E4638"/>
    <w:rsid w:val="001E4649"/>
    <w:rsid w:val="001E4806"/>
    <w:rsid w:val="001E4F61"/>
    <w:rsid w:val="001E5228"/>
    <w:rsid w:val="001E56BE"/>
    <w:rsid w:val="001E5D7F"/>
    <w:rsid w:val="001E606C"/>
    <w:rsid w:val="001E6E0F"/>
    <w:rsid w:val="001E7383"/>
    <w:rsid w:val="001E7A45"/>
    <w:rsid w:val="001F0090"/>
    <w:rsid w:val="001F01FC"/>
    <w:rsid w:val="001F145B"/>
    <w:rsid w:val="001F1B44"/>
    <w:rsid w:val="001F220E"/>
    <w:rsid w:val="001F299F"/>
    <w:rsid w:val="001F409D"/>
    <w:rsid w:val="001F4364"/>
    <w:rsid w:val="001F4B03"/>
    <w:rsid w:val="001F53DC"/>
    <w:rsid w:val="001F612B"/>
    <w:rsid w:val="001F69C1"/>
    <w:rsid w:val="001F7194"/>
    <w:rsid w:val="001F78C9"/>
    <w:rsid w:val="00200210"/>
    <w:rsid w:val="002005D7"/>
    <w:rsid w:val="00200C07"/>
    <w:rsid w:val="00201D62"/>
    <w:rsid w:val="002030D5"/>
    <w:rsid w:val="00203236"/>
    <w:rsid w:val="00203374"/>
    <w:rsid w:val="002047A7"/>
    <w:rsid w:val="00204832"/>
    <w:rsid w:val="00205192"/>
    <w:rsid w:val="002069C4"/>
    <w:rsid w:val="00207574"/>
    <w:rsid w:val="00207788"/>
    <w:rsid w:val="00207BB0"/>
    <w:rsid w:val="00210236"/>
    <w:rsid w:val="00210822"/>
    <w:rsid w:val="00210837"/>
    <w:rsid w:val="00210B9B"/>
    <w:rsid w:val="002119E2"/>
    <w:rsid w:val="00213134"/>
    <w:rsid w:val="00213C7B"/>
    <w:rsid w:val="00213CE3"/>
    <w:rsid w:val="00214AE1"/>
    <w:rsid w:val="00215B9B"/>
    <w:rsid w:val="00215DE3"/>
    <w:rsid w:val="0021617D"/>
    <w:rsid w:val="00216288"/>
    <w:rsid w:val="002168F3"/>
    <w:rsid w:val="00216ACD"/>
    <w:rsid w:val="00217785"/>
    <w:rsid w:val="00217AA5"/>
    <w:rsid w:val="00220B21"/>
    <w:rsid w:val="00220BFA"/>
    <w:rsid w:val="00220CA4"/>
    <w:rsid w:val="00221ADA"/>
    <w:rsid w:val="00221C35"/>
    <w:rsid w:val="00221E2F"/>
    <w:rsid w:val="00223AA0"/>
    <w:rsid w:val="00223AE2"/>
    <w:rsid w:val="00223DA7"/>
    <w:rsid w:val="002255D4"/>
    <w:rsid w:val="00225CAB"/>
    <w:rsid w:val="002262D7"/>
    <w:rsid w:val="002263C7"/>
    <w:rsid w:val="0022681A"/>
    <w:rsid w:val="00226A6D"/>
    <w:rsid w:val="00226C7E"/>
    <w:rsid w:val="00226F54"/>
    <w:rsid w:val="00230B9C"/>
    <w:rsid w:val="0023120C"/>
    <w:rsid w:val="002313E0"/>
    <w:rsid w:val="002313FE"/>
    <w:rsid w:val="002314F8"/>
    <w:rsid w:val="002323C0"/>
    <w:rsid w:val="00232AAB"/>
    <w:rsid w:val="00232BF8"/>
    <w:rsid w:val="0023312F"/>
    <w:rsid w:val="00233272"/>
    <w:rsid w:val="002332E7"/>
    <w:rsid w:val="00235CBD"/>
    <w:rsid w:val="00235F11"/>
    <w:rsid w:val="00235F5D"/>
    <w:rsid w:val="00236110"/>
    <w:rsid w:val="00236A1E"/>
    <w:rsid w:val="0023765F"/>
    <w:rsid w:val="00240C76"/>
    <w:rsid w:val="002420BD"/>
    <w:rsid w:val="002428DE"/>
    <w:rsid w:val="00244795"/>
    <w:rsid w:val="00244A39"/>
    <w:rsid w:val="00244F4D"/>
    <w:rsid w:val="00245C72"/>
    <w:rsid w:val="002460FA"/>
    <w:rsid w:val="00246576"/>
    <w:rsid w:val="00247748"/>
    <w:rsid w:val="00247F10"/>
    <w:rsid w:val="00247FE9"/>
    <w:rsid w:val="00250620"/>
    <w:rsid w:val="002518C7"/>
    <w:rsid w:val="00251E58"/>
    <w:rsid w:val="00253905"/>
    <w:rsid w:val="00253AB5"/>
    <w:rsid w:val="00253B1F"/>
    <w:rsid w:val="00253BF2"/>
    <w:rsid w:val="00254615"/>
    <w:rsid w:val="00254CE6"/>
    <w:rsid w:val="00254EAD"/>
    <w:rsid w:val="002554CD"/>
    <w:rsid w:val="00255AD8"/>
    <w:rsid w:val="00256102"/>
    <w:rsid w:val="00256160"/>
    <w:rsid w:val="00256BBA"/>
    <w:rsid w:val="00257F6D"/>
    <w:rsid w:val="00260023"/>
    <w:rsid w:val="0026021A"/>
    <w:rsid w:val="00260547"/>
    <w:rsid w:val="00260C1C"/>
    <w:rsid w:val="002617CC"/>
    <w:rsid w:val="0026186B"/>
    <w:rsid w:val="00261A0E"/>
    <w:rsid w:val="002625CB"/>
    <w:rsid w:val="00263DEF"/>
    <w:rsid w:val="00263F53"/>
    <w:rsid w:val="00264009"/>
    <w:rsid w:val="00264B45"/>
    <w:rsid w:val="002652AD"/>
    <w:rsid w:val="00266004"/>
    <w:rsid w:val="00267D9A"/>
    <w:rsid w:val="00270584"/>
    <w:rsid w:val="00270EA2"/>
    <w:rsid w:val="00271121"/>
    <w:rsid w:val="00272DFC"/>
    <w:rsid w:val="00275E57"/>
    <w:rsid w:val="0027616F"/>
    <w:rsid w:val="00276544"/>
    <w:rsid w:val="002767BF"/>
    <w:rsid w:val="00276976"/>
    <w:rsid w:val="00280525"/>
    <w:rsid w:val="00280656"/>
    <w:rsid w:val="00280870"/>
    <w:rsid w:val="002833C1"/>
    <w:rsid w:val="00284030"/>
    <w:rsid w:val="002846C4"/>
    <w:rsid w:val="00284927"/>
    <w:rsid w:val="00284BF6"/>
    <w:rsid w:val="00284C89"/>
    <w:rsid w:val="0028576F"/>
    <w:rsid w:val="00286B67"/>
    <w:rsid w:val="00287246"/>
    <w:rsid w:val="002906BB"/>
    <w:rsid w:val="00290940"/>
    <w:rsid w:val="00290E68"/>
    <w:rsid w:val="002910C9"/>
    <w:rsid w:val="00291975"/>
    <w:rsid w:val="00291DAD"/>
    <w:rsid w:val="00292529"/>
    <w:rsid w:val="00293C98"/>
    <w:rsid w:val="00293EC9"/>
    <w:rsid w:val="00294080"/>
    <w:rsid w:val="00294418"/>
    <w:rsid w:val="00294552"/>
    <w:rsid w:val="00294950"/>
    <w:rsid w:val="00295227"/>
    <w:rsid w:val="00295F39"/>
    <w:rsid w:val="00295F45"/>
    <w:rsid w:val="00296775"/>
    <w:rsid w:val="00296DDD"/>
    <w:rsid w:val="00297942"/>
    <w:rsid w:val="00297DE3"/>
    <w:rsid w:val="002A0ED2"/>
    <w:rsid w:val="002A135C"/>
    <w:rsid w:val="002A181B"/>
    <w:rsid w:val="002A1BC6"/>
    <w:rsid w:val="002A267D"/>
    <w:rsid w:val="002A270F"/>
    <w:rsid w:val="002A2B15"/>
    <w:rsid w:val="002A2B1E"/>
    <w:rsid w:val="002A323D"/>
    <w:rsid w:val="002A40F2"/>
    <w:rsid w:val="002A4A6F"/>
    <w:rsid w:val="002A5325"/>
    <w:rsid w:val="002A724F"/>
    <w:rsid w:val="002A7B53"/>
    <w:rsid w:val="002B05B1"/>
    <w:rsid w:val="002B0C56"/>
    <w:rsid w:val="002B128E"/>
    <w:rsid w:val="002B1B6D"/>
    <w:rsid w:val="002B213F"/>
    <w:rsid w:val="002B278C"/>
    <w:rsid w:val="002B2D48"/>
    <w:rsid w:val="002B4C67"/>
    <w:rsid w:val="002B4F5A"/>
    <w:rsid w:val="002B5256"/>
    <w:rsid w:val="002B56E3"/>
    <w:rsid w:val="002B5792"/>
    <w:rsid w:val="002B6DF3"/>
    <w:rsid w:val="002B7809"/>
    <w:rsid w:val="002C0FD0"/>
    <w:rsid w:val="002C2AE1"/>
    <w:rsid w:val="002C35C5"/>
    <w:rsid w:val="002C37C7"/>
    <w:rsid w:val="002C3950"/>
    <w:rsid w:val="002C3E69"/>
    <w:rsid w:val="002C4303"/>
    <w:rsid w:val="002C4472"/>
    <w:rsid w:val="002C5B91"/>
    <w:rsid w:val="002C6C98"/>
    <w:rsid w:val="002C6F15"/>
    <w:rsid w:val="002D00D0"/>
    <w:rsid w:val="002D00D7"/>
    <w:rsid w:val="002D04B3"/>
    <w:rsid w:val="002D0A76"/>
    <w:rsid w:val="002D12D5"/>
    <w:rsid w:val="002D19C8"/>
    <w:rsid w:val="002D25AB"/>
    <w:rsid w:val="002D2CFB"/>
    <w:rsid w:val="002D3C69"/>
    <w:rsid w:val="002D4074"/>
    <w:rsid w:val="002D4855"/>
    <w:rsid w:val="002D4F1C"/>
    <w:rsid w:val="002D5561"/>
    <w:rsid w:val="002D5749"/>
    <w:rsid w:val="002D681C"/>
    <w:rsid w:val="002D750B"/>
    <w:rsid w:val="002D7B35"/>
    <w:rsid w:val="002D7B63"/>
    <w:rsid w:val="002E0070"/>
    <w:rsid w:val="002E08D4"/>
    <w:rsid w:val="002E0964"/>
    <w:rsid w:val="002E0DD0"/>
    <w:rsid w:val="002E0E77"/>
    <w:rsid w:val="002E1625"/>
    <w:rsid w:val="002E30CD"/>
    <w:rsid w:val="002E334E"/>
    <w:rsid w:val="002E33C3"/>
    <w:rsid w:val="002E3AE8"/>
    <w:rsid w:val="002E3FFE"/>
    <w:rsid w:val="002E4E50"/>
    <w:rsid w:val="002E53D0"/>
    <w:rsid w:val="002E5625"/>
    <w:rsid w:val="002E5931"/>
    <w:rsid w:val="002E5C58"/>
    <w:rsid w:val="002E6A86"/>
    <w:rsid w:val="002E6E46"/>
    <w:rsid w:val="002E7D58"/>
    <w:rsid w:val="002F00FE"/>
    <w:rsid w:val="002F0609"/>
    <w:rsid w:val="002F1457"/>
    <w:rsid w:val="002F1614"/>
    <w:rsid w:val="002F17EB"/>
    <w:rsid w:val="002F1947"/>
    <w:rsid w:val="002F1B84"/>
    <w:rsid w:val="002F1D85"/>
    <w:rsid w:val="002F25D7"/>
    <w:rsid w:val="002F284C"/>
    <w:rsid w:val="002F2B81"/>
    <w:rsid w:val="002F3352"/>
    <w:rsid w:val="002F36AE"/>
    <w:rsid w:val="002F4DAB"/>
    <w:rsid w:val="002F5103"/>
    <w:rsid w:val="002F5779"/>
    <w:rsid w:val="002F5C8F"/>
    <w:rsid w:val="002F703B"/>
    <w:rsid w:val="0030040F"/>
    <w:rsid w:val="00301558"/>
    <w:rsid w:val="003023C6"/>
    <w:rsid w:val="00302CF7"/>
    <w:rsid w:val="00302D27"/>
    <w:rsid w:val="00302E1C"/>
    <w:rsid w:val="00303D3C"/>
    <w:rsid w:val="0030429A"/>
    <w:rsid w:val="003052AB"/>
    <w:rsid w:val="00305F0B"/>
    <w:rsid w:val="003060C4"/>
    <w:rsid w:val="0030668D"/>
    <w:rsid w:val="003069D9"/>
    <w:rsid w:val="00307BA1"/>
    <w:rsid w:val="003100DF"/>
    <w:rsid w:val="00311611"/>
    <w:rsid w:val="00311B0A"/>
    <w:rsid w:val="003137D4"/>
    <w:rsid w:val="00314227"/>
    <w:rsid w:val="00314DBA"/>
    <w:rsid w:val="00314EFA"/>
    <w:rsid w:val="00315AB3"/>
    <w:rsid w:val="0031608D"/>
    <w:rsid w:val="003164A3"/>
    <w:rsid w:val="00317A63"/>
    <w:rsid w:val="00317BA9"/>
    <w:rsid w:val="003200AE"/>
    <w:rsid w:val="0032034B"/>
    <w:rsid w:val="00320397"/>
    <w:rsid w:val="00320BF6"/>
    <w:rsid w:val="00320EFA"/>
    <w:rsid w:val="00321E23"/>
    <w:rsid w:val="0032215C"/>
    <w:rsid w:val="00322259"/>
    <w:rsid w:val="00322312"/>
    <w:rsid w:val="003255F1"/>
    <w:rsid w:val="00325789"/>
    <w:rsid w:val="00325A5A"/>
    <w:rsid w:val="00325A89"/>
    <w:rsid w:val="00326A2E"/>
    <w:rsid w:val="003272E3"/>
    <w:rsid w:val="00327843"/>
    <w:rsid w:val="00327CF0"/>
    <w:rsid w:val="00330325"/>
    <w:rsid w:val="00331922"/>
    <w:rsid w:val="00331AFB"/>
    <w:rsid w:val="0033295D"/>
    <w:rsid w:val="00332B79"/>
    <w:rsid w:val="00333CAB"/>
    <w:rsid w:val="00333D3B"/>
    <w:rsid w:val="00334C5E"/>
    <w:rsid w:val="00336AC2"/>
    <w:rsid w:val="00336FD3"/>
    <w:rsid w:val="00337B76"/>
    <w:rsid w:val="00337BB7"/>
    <w:rsid w:val="00337C26"/>
    <w:rsid w:val="00341DE7"/>
    <w:rsid w:val="003430E1"/>
    <w:rsid w:val="00345199"/>
    <w:rsid w:val="003451FE"/>
    <w:rsid w:val="003462BA"/>
    <w:rsid w:val="00346B52"/>
    <w:rsid w:val="00346C19"/>
    <w:rsid w:val="00346E53"/>
    <w:rsid w:val="003471EA"/>
    <w:rsid w:val="0034781A"/>
    <w:rsid w:val="00350096"/>
    <w:rsid w:val="00350421"/>
    <w:rsid w:val="0035042D"/>
    <w:rsid w:val="00350759"/>
    <w:rsid w:val="0035088B"/>
    <w:rsid w:val="00350FBD"/>
    <w:rsid w:val="003510DF"/>
    <w:rsid w:val="003511E3"/>
    <w:rsid w:val="0035181E"/>
    <w:rsid w:val="00352162"/>
    <w:rsid w:val="0035252E"/>
    <w:rsid w:val="00353C02"/>
    <w:rsid w:val="00353F48"/>
    <w:rsid w:val="0035422F"/>
    <w:rsid w:val="00354301"/>
    <w:rsid w:val="003544A3"/>
    <w:rsid w:val="00354632"/>
    <w:rsid w:val="00354AC8"/>
    <w:rsid w:val="0035571F"/>
    <w:rsid w:val="00355FB1"/>
    <w:rsid w:val="003560A3"/>
    <w:rsid w:val="00356A1A"/>
    <w:rsid w:val="00357768"/>
    <w:rsid w:val="003579C1"/>
    <w:rsid w:val="00357A6C"/>
    <w:rsid w:val="00360B24"/>
    <w:rsid w:val="00360B88"/>
    <w:rsid w:val="00361478"/>
    <w:rsid w:val="003621B0"/>
    <w:rsid w:val="00363105"/>
    <w:rsid w:val="00363317"/>
    <w:rsid w:val="00363BEF"/>
    <w:rsid w:val="00365288"/>
    <w:rsid w:val="00366C33"/>
    <w:rsid w:val="0036705C"/>
    <w:rsid w:val="003673C9"/>
    <w:rsid w:val="00370782"/>
    <w:rsid w:val="003735E7"/>
    <w:rsid w:val="003737B0"/>
    <w:rsid w:val="003743F8"/>
    <w:rsid w:val="00374B13"/>
    <w:rsid w:val="00374FC1"/>
    <w:rsid w:val="003756A2"/>
    <w:rsid w:val="0037677A"/>
    <w:rsid w:val="00376DED"/>
    <w:rsid w:val="003774A0"/>
    <w:rsid w:val="0037767D"/>
    <w:rsid w:val="003810DB"/>
    <w:rsid w:val="00381624"/>
    <w:rsid w:val="003816C1"/>
    <w:rsid w:val="00381985"/>
    <w:rsid w:val="00382571"/>
    <w:rsid w:val="0038489B"/>
    <w:rsid w:val="003849B0"/>
    <w:rsid w:val="003857D9"/>
    <w:rsid w:val="003862DF"/>
    <w:rsid w:val="003863BE"/>
    <w:rsid w:val="00386566"/>
    <w:rsid w:val="00386647"/>
    <w:rsid w:val="00386A94"/>
    <w:rsid w:val="00387330"/>
    <w:rsid w:val="003876FF"/>
    <w:rsid w:val="00392FC0"/>
    <w:rsid w:val="003942E8"/>
    <w:rsid w:val="00394ECF"/>
    <w:rsid w:val="003955B2"/>
    <w:rsid w:val="00395890"/>
    <w:rsid w:val="003959A5"/>
    <w:rsid w:val="00395F26"/>
    <w:rsid w:val="00395FAA"/>
    <w:rsid w:val="00397827"/>
    <w:rsid w:val="003A063A"/>
    <w:rsid w:val="003A0B73"/>
    <w:rsid w:val="003A104E"/>
    <w:rsid w:val="003A13C4"/>
    <w:rsid w:val="003A2DD9"/>
    <w:rsid w:val="003A32F3"/>
    <w:rsid w:val="003A3817"/>
    <w:rsid w:val="003A384F"/>
    <w:rsid w:val="003A3985"/>
    <w:rsid w:val="003A50D9"/>
    <w:rsid w:val="003A543D"/>
    <w:rsid w:val="003A62CE"/>
    <w:rsid w:val="003A7AC8"/>
    <w:rsid w:val="003A7CFF"/>
    <w:rsid w:val="003B01F4"/>
    <w:rsid w:val="003B06DA"/>
    <w:rsid w:val="003B16AA"/>
    <w:rsid w:val="003B188F"/>
    <w:rsid w:val="003B1BEC"/>
    <w:rsid w:val="003B1D0C"/>
    <w:rsid w:val="003B2BA8"/>
    <w:rsid w:val="003B2DEE"/>
    <w:rsid w:val="003B3AF7"/>
    <w:rsid w:val="003B4180"/>
    <w:rsid w:val="003B4356"/>
    <w:rsid w:val="003B449D"/>
    <w:rsid w:val="003B453B"/>
    <w:rsid w:val="003B481F"/>
    <w:rsid w:val="003B536B"/>
    <w:rsid w:val="003B71F0"/>
    <w:rsid w:val="003B7A06"/>
    <w:rsid w:val="003B7BF7"/>
    <w:rsid w:val="003C15D0"/>
    <w:rsid w:val="003C2435"/>
    <w:rsid w:val="003C2CE0"/>
    <w:rsid w:val="003C2F76"/>
    <w:rsid w:val="003C4C71"/>
    <w:rsid w:val="003C4DC7"/>
    <w:rsid w:val="003C5558"/>
    <w:rsid w:val="003C738A"/>
    <w:rsid w:val="003D06B5"/>
    <w:rsid w:val="003D1898"/>
    <w:rsid w:val="003D1F0B"/>
    <w:rsid w:val="003D22D7"/>
    <w:rsid w:val="003D3096"/>
    <w:rsid w:val="003D3994"/>
    <w:rsid w:val="003D3D95"/>
    <w:rsid w:val="003D3EC0"/>
    <w:rsid w:val="003D519A"/>
    <w:rsid w:val="003D73AB"/>
    <w:rsid w:val="003D7CDF"/>
    <w:rsid w:val="003D7CEB"/>
    <w:rsid w:val="003E00AC"/>
    <w:rsid w:val="003E095B"/>
    <w:rsid w:val="003E0FA5"/>
    <w:rsid w:val="003E1840"/>
    <w:rsid w:val="003E1962"/>
    <w:rsid w:val="003E1E97"/>
    <w:rsid w:val="003E2F30"/>
    <w:rsid w:val="003E30A3"/>
    <w:rsid w:val="003E39C3"/>
    <w:rsid w:val="003E3D24"/>
    <w:rsid w:val="003E414B"/>
    <w:rsid w:val="003E431F"/>
    <w:rsid w:val="003E5349"/>
    <w:rsid w:val="003E5810"/>
    <w:rsid w:val="003E5A25"/>
    <w:rsid w:val="003E5D32"/>
    <w:rsid w:val="003E607E"/>
    <w:rsid w:val="003E691B"/>
    <w:rsid w:val="003E6E97"/>
    <w:rsid w:val="003E778E"/>
    <w:rsid w:val="003E78F0"/>
    <w:rsid w:val="003E79D7"/>
    <w:rsid w:val="003E7F3F"/>
    <w:rsid w:val="003F0FAD"/>
    <w:rsid w:val="003F0FC1"/>
    <w:rsid w:val="003F1894"/>
    <w:rsid w:val="003F1C77"/>
    <w:rsid w:val="003F3898"/>
    <w:rsid w:val="003F3A1B"/>
    <w:rsid w:val="003F3D0B"/>
    <w:rsid w:val="003F3E3F"/>
    <w:rsid w:val="003F42B8"/>
    <w:rsid w:val="003F4E50"/>
    <w:rsid w:val="003F4EDF"/>
    <w:rsid w:val="003F572D"/>
    <w:rsid w:val="003F5758"/>
    <w:rsid w:val="003F5D0D"/>
    <w:rsid w:val="003F6A41"/>
    <w:rsid w:val="003F6B54"/>
    <w:rsid w:val="003F6CAD"/>
    <w:rsid w:val="003F7235"/>
    <w:rsid w:val="004003FD"/>
    <w:rsid w:val="00402496"/>
    <w:rsid w:val="00402A13"/>
    <w:rsid w:val="0040368D"/>
    <w:rsid w:val="00403A8C"/>
    <w:rsid w:val="0040409E"/>
    <w:rsid w:val="004049EE"/>
    <w:rsid w:val="00404D01"/>
    <w:rsid w:val="00404D50"/>
    <w:rsid w:val="00404ECC"/>
    <w:rsid w:val="004051A6"/>
    <w:rsid w:val="0040652E"/>
    <w:rsid w:val="004071FD"/>
    <w:rsid w:val="0040738B"/>
    <w:rsid w:val="0041009D"/>
    <w:rsid w:val="004112F1"/>
    <w:rsid w:val="00411E8B"/>
    <w:rsid w:val="004122FB"/>
    <w:rsid w:val="0041282D"/>
    <w:rsid w:val="00412F73"/>
    <w:rsid w:val="00413F7A"/>
    <w:rsid w:val="004143DC"/>
    <w:rsid w:val="004147E2"/>
    <w:rsid w:val="00414CF4"/>
    <w:rsid w:val="00416802"/>
    <w:rsid w:val="00416812"/>
    <w:rsid w:val="00416BBD"/>
    <w:rsid w:val="00416D0A"/>
    <w:rsid w:val="00417112"/>
    <w:rsid w:val="00417637"/>
    <w:rsid w:val="00420B78"/>
    <w:rsid w:val="00420E3D"/>
    <w:rsid w:val="0042141A"/>
    <w:rsid w:val="00421E05"/>
    <w:rsid w:val="00422223"/>
    <w:rsid w:val="00422AB4"/>
    <w:rsid w:val="00422E58"/>
    <w:rsid w:val="0042311F"/>
    <w:rsid w:val="004234EC"/>
    <w:rsid w:val="004235E3"/>
    <w:rsid w:val="00423606"/>
    <w:rsid w:val="00424647"/>
    <w:rsid w:val="00424703"/>
    <w:rsid w:val="00424934"/>
    <w:rsid w:val="00425C37"/>
    <w:rsid w:val="0042603F"/>
    <w:rsid w:val="004261BD"/>
    <w:rsid w:val="004274AD"/>
    <w:rsid w:val="00427703"/>
    <w:rsid w:val="00430C76"/>
    <w:rsid w:val="00430F20"/>
    <w:rsid w:val="00431332"/>
    <w:rsid w:val="00431CF2"/>
    <w:rsid w:val="00431D90"/>
    <w:rsid w:val="00431E46"/>
    <w:rsid w:val="004329FE"/>
    <w:rsid w:val="00432A04"/>
    <w:rsid w:val="0043402A"/>
    <w:rsid w:val="00434769"/>
    <w:rsid w:val="0043518D"/>
    <w:rsid w:val="004351DE"/>
    <w:rsid w:val="00436611"/>
    <w:rsid w:val="00437A2F"/>
    <w:rsid w:val="00437D58"/>
    <w:rsid w:val="00440164"/>
    <w:rsid w:val="004405EC"/>
    <w:rsid w:val="00440E18"/>
    <w:rsid w:val="004426B7"/>
    <w:rsid w:val="00442FF5"/>
    <w:rsid w:val="00443834"/>
    <w:rsid w:val="00444140"/>
    <w:rsid w:val="00444ACC"/>
    <w:rsid w:val="00444B3E"/>
    <w:rsid w:val="00445234"/>
    <w:rsid w:val="00446DAE"/>
    <w:rsid w:val="00446E47"/>
    <w:rsid w:val="004476FB"/>
    <w:rsid w:val="00447854"/>
    <w:rsid w:val="00447B58"/>
    <w:rsid w:val="00450013"/>
    <w:rsid w:val="00450709"/>
    <w:rsid w:val="004508C5"/>
    <w:rsid w:val="00450A8E"/>
    <w:rsid w:val="00450C55"/>
    <w:rsid w:val="004514E0"/>
    <w:rsid w:val="004516ED"/>
    <w:rsid w:val="004531AD"/>
    <w:rsid w:val="004532BB"/>
    <w:rsid w:val="004534D6"/>
    <w:rsid w:val="00453696"/>
    <w:rsid w:val="0045377E"/>
    <w:rsid w:val="00453CE9"/>
    <w:rsid w:val="004540DE"/>
    <w:rsid w:val="00454961"/>
    <w:rsid w:val="004551EE"/>
    <w:rsid w:val="00455682"/>
    <w:rsid w:val="00455922"/>
    <w:rsid w:val="00456610"/>
    <w:rsid w:val="00456BE9"/>
    <w:rsid w:val="00460061"/>
    <w:rsid w:val="004603B8"/>
    <w:rsid w:val="004610FB"/>
    <w:rsid w:val="00461667"/>
    <w:rsid w:val="00461CAB"/>
    <w:rsid w:val="00463040"/>
    <w:rsid w:val="00463317"/>
    <w:rsid w:val="00463E66"/>
    <w:rsid w:val="00463FE3"/>
    <w:rsid w:val="0046562A"/>
    <w:rsid w:val="00465DDA"/>
    <w:rsid w:val="00465E8B"/>
    <w:rsid w:val="0046640E"/>
    <w:rsid w:val="004665CA"/>
    <w:rsid w:val="00467256"/>
    <w:rsid w:val="00467674"/>
    <w:rsid w:val="00467A24"/>
    <w:rsid w:val="00470652"/>
    <w:rsid w:val="00470A24"/>
    <w:rsid w:val="0047201A"/>
    <w:rsid w:val="004729B4"/>
    <w:rsid w:val="0047427E"/>
    <w:rsid w:val="004742C1"/>
    <w:rsid w:val="00475FDF"/>
    <w:rsid w:val="00477289"/>
    <w:rsid w:val="00477456"/>
    <w:rsid w:val="00477793"/>
    <w:rsid w:val="00477A00"/>
    <w:rsid w:val="00480059"/>
    <w:rsid w:val="00480DC1"/>
    <w:rsid w:val="00480DE2"/>
    <w:rsid w:val="00481480"/>
    <w:rsid w:val="00481D6F"/>
    <w:rsid w:val="00482162"/>
    <w:rsid w:val="0048291E"/>
    <w:rsid w:val="00482A59"/>
    <w:rsid w:val="00483652"/>
    <w:rsid w:val="00483666"/>
    <w:rsid w:val="004843A9"/>
    <w:rsid w:val="0048472A"/>
    <w:rsid w:val="00484B49"/>
    <w:rsid w:val="00484D59"/>
    <w:rsid w:val="00485526"/>
    <w:rsid w:val="00485B21"/>
    <w:rsid w:val="00485F07"/>
    <w:rsid w:val="00486428"/>
    <w:rsid w:val="00486503"/>
    <w:rsid w:val="004866D8"/>
    <w:rsid w:val="00486987"/>
    <w:rsid w:val="00487537"/>
    <w:rsid w:val="00491CDE"/>
    <w:rsid w:val="00491EB1"/>
    <w:rsid w:val="00492566"/>
    <w:rsid w:val="00492C10"/>
    <w:rsid w:val="00492E53"/>
    <w:rsid w:val="004931AE"/>
    <w:rsid w:val="004933FA"/>
    <w:rsid w:val="004935EE"/>
    <w:rsid w:val="00493F1E"/>
    <w:rsid w:val="00493F29"/>
    <w:rsid w:val="00494354"/>
    <w:rsid w:val="00494902"/>
    <w:rsid w:val="00494E82"/>
    <w:rsid w:val="00495886"/>
    <w:rsid w:val="00496444"/>
    <w:rsid w:val="0049662F"/>
    <w:rsid w:val="00496E76"/>
    <w:rsid w:val="00497018"/>
    <w:rsid w:val="00497A39"/>
    <w:rsid w:val="004A0666"/>
    <w:rsid w:val="004A19F6"/>
    <w:rsid w:val="004A1CF8"/>
    <w:rsid w:val="004A1F56"/>
    <w:rsid w:val="004A259D"/>
    <w:rsid w:val="004A2E1F"/>
    <w:rsid w:val="004A3892"/>
    <w:rsid w:val="004A487F"/>
    <w:rsid w:val="004A4B9D"/>
    <w:rsid w:val="004A4CA4"/>
    <w:rsid w:val="004A54AA"/>
    <w:rsid w:val="004A6F45"/>
    <w:rsid w:val="004A7062"/>
    <w:rsid w:val="004A78CA"/>
    <w:rsid w:val="004B02A4"/>
    <w:rsid w:val="004B0356"/>
    <w:rsid w:val="004B06C5"/>
    <w:rsid w:val="004B0916"/>
    <w:rsid w:val="004B1C66"/>
    <w:rsid w:val="004B1FAC"/>
    <w:rsid w:val="004B2291"/>
    <w:rsid w:val="004B2624"/>
    <w:rsid w:val="004B2A6A"/>
    <w:rsid w:val="004B2E7D"/>
    <w:rsid w:val="004B317D"/>
    <w:rsid w:val="004B40A3"/>
    <w:rsid w:val="004B4463"/>
    <w:rsid w:val="004B4B08"/>
    <w:rsid w:val="004B53FF"/>
    <w:rsid w:val="004B6418"/>
    <w:rsid w:val="004B666A"/>
    <w:rsid w:val="004B6989"/>
    <w:rsid w:val="004B763D"/>
    <w:rsid w:val="004C0192"/>
    <w:rsid w:val="004C04BD"/>
    <w:rsid w:val="004C0E2B"/>
    <w:rsid w:val="004C1270"/>
    <w:rsid w:val="004C1B57"/>
    <w:rsid w:val="004C1E9C"/>
    <w:rsid w:val="004C36A9"/>
    <w:rsid w:val="004C497E"/>
    <w:rsid w:val="004C4AD3"/>
    <w:rsid w:val="004C53C4"/>
    <w:rsid w:val="004C5844"/>
    <w:rsid w:val="004C6AD2"/>
    <w:rsid w:val="004C7513"/>
    <w:rsid w:val="004C782F"/>
    <w:rsid w:val="004D00C0"/>
    <w:rsid w:val="004D01EE"/>
    <w:rsid w:val="004D0448"/>
    <w:rsid w:val="004D0BA0"/>
    <w:rsid w:val="004D0BD0"/>
    <w:rsid w:val="004D1D79"/>
    <w:rsid w:val="004D34C3"/>
    <w:rsid w:val="004D45C4"/>
    <w:rsid w:val="004D4841"/>
    <w:rsid w:val="004D487B"/>
    <w:rsid w:val="004D4D09"/>
    <w:rsid w:val="004D5792"/>
    <w:rsid w:val="004D6A43"/>
    <w:rsid w:val="004D7C59"/>
    <w:rsid w:val="004E0137"/>
    <w:rsid w:val="004E02E5"/>
    <w:rsid w:val="004E15D4"/>
    <w:rsid w:val="004E16F7"/>
    <w:rsid w:val="004E2127"/>
    <w:rsid w:val="004E296C"/>
    <w:rsid w:val="004E2AE2"/>
    <w:rsid w:val="004E33F3"/>
    <w:rsid w:val="004E3597"/>
    <w:rsid w:val="004E3A28"/>
    <w:rsid w:val="004E3C34"/>
    <w:rsid w:val="004E3CE1"/>
    <w:rsid w:val="004E3FF1"/>
    <w:rsid w:val="004E41E2"/>
    <w:rsid w:val="004E55B7"/>
    <w:rsid w:val="004E56D9"/>
    <w:rsid w:val="004E5DCB"/>
    <w:rsid w:val="004E637C"/>
    <w:rsid w:val="004E662F"/>
    <w:rsid w:val="004E725F"/>
    <w:rsid w:val="004E75BB"/>
    <w:rsid w:val="004E790B"/>
    <w:rsid w:val="004E798E"/>
    <w:rsid w:val="004E7D1F"/>
    <w:rsid w:val="004F0307"/>
    <w:rsid w:val="004F057A"/>
    <w:rsid w:val="004F0C75"/>
    <w:rsid w:val="004F1517"/>
    <w:rsid w:val="004F1523"/>
    <w:rsid w:val="004F1EF0"/>
    <w:rsid w:val="004F2892"/>
    <w:rsid w:val="004F29DC"/>
    <w:rsid w:val="004F362E"/>
    <w:rsid w:val="004F3ECB"/>
    <w:rsid w:val="004F45A5"/>
    <w:rsid w:val="004F49AE"/>
    <w:rsid w:val="004F4D44"/>
    <w:rsid w:val="004F6534"/>
    <w:rsid w:val="004F6880"/>
    <w:rsid w:val="004F6EB3"/>
    <w:rsid w:val="004F6FCA"/>
    <w:rsid w:val="004F7453"/>
    <w:rsid w:val="004F78BC"/>
    <w:rsid w:val="005005A1"/>
    <w:rsid w:val="00501299"/>
    <w:rsid w:val="0050150A"/>
    <w:rsid w:val="005017CC"/>
    <w:rsid w:val="00501BFD"/>
    <w:rsid w:val="005027F1"/>
    <w:rsid w:val="00502B48"/>
    <w:rsid w:val="00503DD2"/>
    <w:rsid w:val="005048DA"/>
    <w:rsid w:val="00504C15"/>
    <w:rsid w:val="00505537"/>
    <w:rsid w:val="00506C1E"/>
    <w:rsid w:val="00506CCD"/>
    <w:rsid w:val="0050717B"/>
    <w:rsid w:val="00507647"/>
    <w:rsid w:val="0051007E"/>
    <w:rsid w:val="00510BB6"/>
    <w:rsid w:val="00511D79"/>
    <w:rsid w:val="00512B4C"/>
    <w:rsid w:val="0051432D"/>
    <w:rsid w:val="005154AD"/>
    <w:rsid w:val="00515628"/>
    <w:rsid w:val="00515BE6"/>
    <w:rsid w:val="005160F6"/>
    <w:rsid w:val="00516D87"/>
    <w:rsid w:val="005173B6"/>
    <w:rsid w:val="00520280"/>
    <w:rsid w:val="00520497"/>
    <w:rsid w:val="00520520"/>
    <w:rsid w:val="00520CEA"/>
    <w:rsid w:val="005213D0"/>
    <w:rsid w:val="00521423"/>
    <w:rsid w:val="005229B8"/>
    <w:rsid w:val="00523135"/>
    <w:rsid w:val="0052318E"/>
    <w:rsid w:val="00523C54"/>
    <w:rsid w:val="00524020"/>
    <w:rsid w:val="0052466B"/>
    <w:rsid w:val="005248DE"/>
    <w:rsid w:val="00525D3A"/>
    <w:rsid w:val="005262E7"/>
    <w:rsid w:val="00526A26"/>
    <w:rsid w:val="0053207B"/>
    <w:rsid w:val="00532381"/>
    <w:rsid w:val="005323FA"/>
    <w:rsid w:val="0053380D"/>
    <w:rsid w:val="00533837"/>
    <w:rsid w:val="005342AD"/>
    <w:rsid w:val="00534688"/>
    <w:rsid w:val="00534A8F"/>
    <w:rsid w:val="00535A75"/>
    <w:rsid w:val="0053617F"/>
    <w:rsid w:val="0053654A"/>
    <w:rsid w:val="00536689"/>
    <w:rsid w:val="00536855"/>
    <w:rsid w:val="00536872"/>
    <w:rsid w:val="00536D50"/>
    <w:rsid w:val="00536D89"/>
    <w:rsid w:val="00536F4A"/>
    <w:rsid w:val="00537C9C"/>
    <w:rsid w:val="0054163B"/>
    <w:rsid w:val="00541E60"/>
    <w:rsid w:val="00542B31"/>
    <w:rsid w:val="00545239"/>
    <w:rsid w:val="005454E5"/>
    <w:rsid w:val="00547244"/>
    <w:rsid w:val="0055098D"/>
    <w:rsid w:val="00550B24"/>
    <w:rsid w:val="00550FD2"/>
    <w:rsid w:val="005513B4"/>
    <w:rsid w:val="00552031"/>
    <w:rsid w:val="005528E7"/>
    <w:rsid w:val="00553018"/>
    <w:rsid w:val="0055382B"/>
    <w:rsid w:val="0055412E"/>
    <w:rsid w:val="0055419D"/>
    <w:rsid w:val="00554866"/>
    <w:rsid w:val="0055491D"/>
    <w:rsid w:val="00554B9E"/>
    <w:rsid w:val="0055583F"/>
    <w:rsid w:val="00555B53"/>
    <w:rsid w:val="00557ED9"/>
    <w:rsid w:val="005601C1"/>
    <w:rsid w:val="005603EF"/>
    <w:rsid w:val="00560A56"/>
    <w:rsid w:val="00560B40"/>
    <w:rsid w:val="00560CD8"/>
    <w:rsid w:val="005611CE"/>
    <w:rsid w:val="00561575"/>
    <w:rsid w:val="0056201F"/>
    <w:rsid w:val="005627B1"/>
    <w:rsid w:val="005631C0"/>
    <w:rsid w:val="0056408D"/>
    <w:rsid w:val="005651D0"/>
    <w:rsid w:val="00565220"/>
    <w:rsid w:val="00565370"/>
    <w:rsid w:val="00565470"/>
    <w:rsid w:val="0056586E"/>
    <w:rsid w:val="005658E3"/>
    <w:rsid w:val="00566941"/>
    <w:rsid w:val="00566DB4"/>
    <w:rsid w:val="005670F9"/>
    <w:rsid w:val="005672F2"/>
    <w:rsid w:val="005678DE"/>
    <w:rsid w:val="0056793E"/>
    <w:rsid w:val="00567C83"/>
    <w:rsid w:val="005700B8"/>
    <w:rsid w:val="0057024B"/>
    <w:rsid w:val="00570292"/>
    <w:rsid w:val="0057092B"/>
    <w:rsid w:val="0057110F"/>
    <w:rsid w:val="00571B2A"/>
    <w:rsid w:val="00571FC5"/>
    <w:rsid w:val="00572145"/>
    <w:rsid w:val="00572CE9"/>
    <w:rsid w:val="00573A2D"/>
    <w:rsid w:val="005749DA"/>
    <w:rsid w:val="0057769E"/>
    <w:rsid w:val="005805B7"/>
    <w:rsid w:val="00580751"/>
    <w:rsid w:val="005812C5"/>
    <w:rsid w:val="00581990"/>
    <w:rsid w:val="0058223C"/>
    <w:rsid w:val="0058260F"/>
    <w:rsid w:val="00583EF1"/>
    <w:rsid w:val="005865CB"/>
    <w:rsid w:val="00586784"/>
    <w:rsid w:val="00586C4A"/>
    <w:rsid w:val="005871CB"/>
    <w:rsid w:val="00587424"/>
    <w:rsid w:val="005878DB"/>
    <w:rsid w:val="00587E29"/>
    <w:rsid w:val="00590967"/>
    <w:rsid w:val="005927A5"/>
    <w:rsid w:val="005936F6"/>
    <w:rsid w:val="00593785"/>
    <w:rsid w:val="005938A2"/>
    <w:rsid w:val="005940FD"/>
    <w:rsid w:val="00595AA4"/>
    <w:rsid w:val="00595B4C"/>
    <w:rsid w:val="0059666A"/>
    <w:rsid w:val="00596851"/>
    <w:rsid w:val="00597444"/>
    <w:rsid w:val="005A00B5"/>
    <w:rsid w:val="005A08EF"/>
    <w:rsid w:val="005A0AC7"/>
    <w:rsid w:val="005A0E6F"/>
    <w:rsid w:val="005A1051"/>
    <w:rsid w:val="005A16C7"/>
    <w:rsid w:val="005A299D"/>
    <w:rsid w:val="005A3906"/>
    <w:rsid w:val="005A3AC4"/>
    <w:rsid w:val="005A4B7F"/>
    <w:rsid w:val="005A5AC3"/>
    <w:rsid w:val="005A5B4C"/>
    <w:rsid w:val="005A5BE3"/>
    <w:rsid w:val="005A691E"/>
    <w:rsid w:val="005A6A43"/>
    <w:rsid w:val="005A6F87"/>
    <w:rsid w:val="005A70AD"/>
    <w:rsid w:val="005A797A"/>
    <w:rsid w:val="005B0BD6"/>
    <w:rsid w:val="005B13FA"/>
    <w:rsid w:val="005B197A"/>
    <w:rsid w:val="005B201E"/>
    <w:rsid w:val="005B23DC"/>
    <w:rsid w:val="005B2ADA"/>
    <w:rsid w:val="005B321C"/>
    <w:rsid w:val="005B35AB"/>
    <w:rsid w:val="005B37F7"/>
    <w:rsid w:val="005B4362"/>
    <w:rsid w:val="005B535B"/>
    <w:rsid w:val="005B59CB"/>
    <w:rsid w:val="005B5DAB"/>
    <w:rsid w:val="005B6794"/>
    <w:rsid w:val="005B6827"/>
    <w:rsid w:val="005B775D"/>
    <w:rsid w:val="005B790D"/>
    <w:rsid w:val="005C0C8C"/>
    <w:rsid w:val="005C1213"/>
    <w:rsid w:val="005C1661"/>
    <w:rsid w:val="005C17AA"/>
    <w:rsid w:val="005C27A6"/>
    <w:rsid w:val="005C3507"/>
    <w:rsid w:val="005C373C"/>
    <w:rsid w:val="005C3DFA"/>
    <w:rsid w:val="005C4574"/>
    <w:rsid w:val="005C4AFE"/>
    <w:rsid w:val="005C5AC6"/>
    <w:rsid w:val="005C5F92"/>
    <w:rsid w:val="005C684D"/>
    <w:rsid w:val="005C6997"/>
    <w:rsid w:val="005C7210"/>
    <w:rsid w:val="005C784C"/>
    <w:rsid w:val="005C79C9"/>
    <w:rsid w:val="005C7AFE"/>
    <w:rsid w:val="005D02BA"/>
    <w:rsid w:val="005D0A54"/>
    <w:rsid w:val="005D0B56"/>
    <w:rsid w:val="005D10E6"/>
    <w:rsid w:val="005D1294"/>
    <w:rsid w:val="005D25F9"/>
    <w:rsid w:val="005D3885"/>
    <w:rsid w:val="005D3F38"/>
    <w:rsid w:val="005D500D"/>
    <w:rsid w:val="005D51FF"/>
    <w:rsid w:val="005D55D6"/>
    <w:rsid w:val="005D5CE7"/>
    <w:rsid w:val="005D6D4B"/>
    <w:rsid w:val="005D70FE"/>
    <w:rsid w:val="005E11B5"/>
    <w:rsid w:val="005E2AFF"/>
    <w:rsid w:val="005E2E57"/>
    <w:rsid w:val="005E3430"/>
    <w:rsid w:val="005E396E"/>
    <w:rsid w:val="005E477F"/>
    <w:rsid w:val="005E4D25"/>
    <w:rsid w:val="005E4DCC"/>
    <w:rsid w:val="005E5151"/>
    <w:rsid w:val="005E5BA1"/>
    <w:rsid w:val="005E5F08"/>
    <w:rsid w:val="005E658F"/>
    <w:rsid w:val="005E73BB"/>
    <w:rsid w:val="005E7885"/>
    <w:rsid w:val="005F0613"/>
    <w:rsid w:val="005F0850"/>
    <w:rsid w:val="005F0F9C"/>
    <w:rsid w:val="005F101C"/>
    <w:rsid w:val="005F12E1"/>
    <w:rsid w:val="005F1F1F"/>
    <w:rsid w:val="005F1F64"/>
    <w:rsid w:val="005F21AB"/>
    <w:rsid w:val="005F29AA"/>
    <w:rsid w:val="005F2E3B"/>
    <w:rsid w:val="005F38B1"/>
    <w:rsid w:val="005F3B90"/>
    <w:rsid w:val="005F3BC1"/>
    <w:rsid w:val="005F4276"/>
    <w:rsid w:val="005F4746"/>
    <w:rsid w:val="005F4C6B"/>
    <w:rsid w:val="005F4CCA"/>
    <w:rsid w:val="005F50F3"/>
    <w:rsid w:val="005F55C1"/>
    <w:rsid w:val="005F5C1E"/>
    <w:rsid w:val="005F5EAC"/>
    <w:rsid w:val="005F5FB6"/>
    <w:rsid w:val="005F61AE"/>
    <w:rsid w:val="005F6F92"/>
    <w:rsid w:val="005F7C3B"/>
    <w:rsid w:val="005F7E8D"/>
    <w:rsid w:val="00600398"/>
    <w:rsid w:val="00600DCD"/>
    <w:rsid w:val="0060129B"/>
    <w:rsid w:val="006017EB"/>
    <w:rsid w:val="006020AC"/>
    <w:rsid w:val="006026C2"/>
    <w:rsid w:val="00602E24"/>
    <w:rsid w:val="00602E6A"/>
    <w:rsid w:val="006046C8"/>
    <w:rsid w:val="00604E35"/>
    <w:rsid w:val="0060528E"/>
    <w:rsid w:val="006072E7"/>
    <w:rsid w:val="0061131E"/>
    <w:rsid w:val="00611B2A"/>
    <w:rsid w:val="006122AE"/>
    <w:rsid w:val="006130AE"/>
    <w:rsid w:val="00613CB7"/>
    <w:rsid w:val="00613E1F"/>
    <w:rsid w:val="0061448D"/>
    <w:rsid w:val="00614C4F"/>
    <w:rsid w:val="00614DC7"/>
    <w:rsid w:val="00615AA2"/>
    <w:rsid w:val="00616395"/>
    <w:rsid w:val="0062044E"/>
    <w:rsid w:val="00620606"/>
    <w:rsid w:val="00620639"/>
    <w:rsid w:val="00620EE7"/>
    <w:rsid w:val="00621018"/>
    <w:rsid w:val="0062169F"/>
    <w:rsid w:val="00621D10"/>
    <w:rsid w:val="00623A30"/>
    <w:rsid w:val="00623DA7"/>
    <w:rsid w:val="006248E6"/>
    <w:rsid w:val="00624EC6"/>
    <w:rsid w:val="0062534F"/>
    <w:rsid w:val="0062625A"/>
    <w:rsid w:val="00626E73"/>
    <w:rsid w:val="006270FF"/>
    <w:rsid w:val="006279E4"/>
    <w:rsid w:val="00627E13"/>
    <w:rsid w:val="00630222"/>
    <w:rsid w:val="00630459"/>
    <w:rsid w:val="00630F6F"/>
    <w:rsid w:val="00631505"/>
    <w:rsid w:val="00632245"/>
    <w:rsid w:val="0063225C"/>
    <w:rsid w:val="00632301"/>
    <w:rsid w:val="006327BB"/>
    <w:rsid w:val="006335EF"/>
    <w:rsid w:val="006348C2"/>
    <w:rsid w:val="00634A4C"/>
    <w:rsid w:val="00634DE6"/>
    <w:rsid w:val="006372BF"/>
    <w:rsid w:val="00637322"/>
    <w:rsid w:val="00637434"/>
    <w:rsid w:val="0063785D"/>
    <w:rsid w:val="0064076F"/>
    <w:rsid w:val="00640A1C"/>
    <w:rsid w:val="00640CA8"/>
    <w:rsid w:val="006418E5"/>
    <w:rsid w:val="006421EA"/>
    <w:rsid w:val="00642772"/>
    <w:rsid w:val="00642ED3"/>
    <w:rsid w:val="006439AE"/>
    <w:rsid w:val="006446BC"/>
    <w:rsid w:val="0064578A"/>
    <w:rsid w:val="00645953"/>
    <w:rsid w:val="00646614"/>
    <w:rsid w:val="00646BC6"/>
    <w:rsid w:val="00646D03"/>
    <w:rsid w:val="00651109"/>
    <w:rsid w:val="006517A0"/>
    <w:rsid w:val="00651A1C"/>
    <w:rsid w:val="0065304D"/>
    <w:rsid w:val="00653283"/>
    <w:rsid w:val="006536AF"/>
    <w:rsid w:val="00654230"/>
    <w:rsid w:val="00655371"/>
    <w:rsid w:val="00655DFD"/>
    <w:rsid w:val="006562D8"/>
    <w:rsid w:val="006568A3"/>
    <w:rsid w:val="00656B88"/>
    <w:rsid w:val="00657332"/>
    <w:rsid w:val="00657A01"/>
    <w:rsid w:val="00657C33"/>
    <w:rsid w:val="006605F9"/>
    <w:rsid w:val="00660999"/>
    <w:rsid w:val="00661E42"/>
    <w:rsid w:val="006620E0"/>
    <w:rsid w:val="00664805"/>
    <w:rsid w:val="00664B10"/>
    <w:rsid w:val="00664E88"/>
    <w:rsid w:val="006650D3"/>
    <w:rsid w:val="006653B3"/>
    <w:rsid w:val="006654A9"/>
    <w:rsid w:val="00665A41"/>
    <w:rsid w:val="006667E1"/>
    <w:rsid w:val="00670317"/>
    <w:rsid w:val="006707F6"/>
    <w:rsid w:val="0067093E"/>
    <w:rsid w:val="006713AB"/>
    <w:rsid w:val="00671976"/>
    <w:rsid w:val="00672890"/>
    <w:rsid w:val="00672B19"/>
    <w:rsid w:val="0067455D"/>
    <w:rsid w:val="0067474A"/>
    <w:rsid w:val="00674A59"/>
    <w:rsid w:val="00675260"/>
    <w:rsid w:val="006761E3"/>
    <w:rsid w:val="0067646D"/>
    <w:rsid w:val="0067650E"/>
    <w:rsid w:val="00676E14"/>
    <w:rsid w:val="00676F2E"/>
    <w:rsid w:val="00677896"/>
    <w:rsid w:val="00677AAE"/>
    <w:rsid w:val="00677ABE"/>
    <w:rsid w:val="00677DB8"/>
    <w:rsid w:val="00680FCC"/>
    <w:rsid w:val="006811FF"/>
    <w:rsid w:val="00681B16"/>
    <w:rsid w:val="00682287"/>
    <w:rsid w:val="006822B5"/>
    <w:rsid w:val="0068317C"/>
    <w:rsid w:val="006832D6"/>
    <w:rsid w:val="00683CE9"/>
    <w:rsid w:val="006845A4"/>
    <w:rsid w:val="00684DB1"/>
    <w:rsid w:val="006872CF"/>
    <w:rsid w:val="0069127B"/>
    <w:rsid w:val="006914EA"/>
    <w:rsid w:val="00691B91"/>
    <w:rsid w:val="006928AC"/>
    <w:rsid w:val="00692BB2"/>
    <w:rsid w:val="00692BFF"/>
    <w:rsid w:val="00693091"/>
    <w:rsid w:val="006948AC"/>
    <w:rsid w:val="00694D39"/>
    <w:rsid w:val="006953CA"/>
    <w:rsid w:val="006954EC"/>
    <w:rsid w:val="006955A9"/>
    <w:rsid w:val="006959D6"/>
    <w:rsid w:val="00695EC8"/>
    <w:rsid w:val="00696909"/>
    <w:rsid w:val="00697114"/>
    <w:rsid w:val="00697BC6"/>
    <w:rsid w:val="006A1B84"/>
    <w:rsid w:val="006A1FEF"/>
    <w:rsid w:val="006A27C2"/>
    <w:rsid w:val="006A2EBD"/>
    <w:rsid w:val="006A3009"/>
    <w:rsid w:val="006A3E7B"/>
    <w:rsid w:val="006A4D9B"/>
    <w:rsid w:val="006A5155"/>
    <w:rsid w:val="006A54E2"/>
    <w:rsid w:val="006A6950"/>
    <w:rsid w:val="006A7210"/>
    <w:rsid w:val="006A757D"/>
    <w:rsid w:val="006A7B32"/>
    <w:rsid w:val="006B002A"/>
    <w:rsid w:val="006B130C"/>
    <w:rsid w:val="006B308F"/>
    <w:rsid w:val="006B32C8"/>
    <w:rsid w:val="006B3A46"/>
    <w:rsid w:val="006B5301"/>
    <w:rsid w:val="006B698B"/>
    <w:rsid w:val="006B7C2C"/>
    <w:rsid w:val="006C1A19"/>
    <w:rsid w:val="006C221E"/>
    <w:rsid w:val="006C34B4"/>
    <w:rsid w:val="006C376B"/>
    <w:rsid w:val="006C4319"/>
    <w:rsid w:val="006C440B"/>
    <w:rsid w:val="006C453C"/>
    <w:rsid w:val="006C45C7"/>
    <w:rsid w:val="006C4BC0"/>
    <w:rsid w:val="006C50E7"/>
    <w:rsid w:val="006C5C73"/>
    <w:rsid w:val="006C5DC3"/>
    <w:rsid w:val="006C616B"/>
    <w:rsid w:val="006C63FB"/>
    <w:rsid w:val="006C6A46"/>
    <w:rsid w:val="006C6D72"/>
    <w:rsid w:val="006C7447"/>
    <w:rsid w:val="006C7ACB"/>
    <w:rsid w:val="006D0115"/>
    <w:rsid w:val="006D03DF"/>
    <w:rsid w:val="006D12E3"/>
    <w:rsid w:val="006D1327"/>
    <w:rsid w:val="006D1F03"/>
    <w:rsid w:val="006D2971"/>
    <w:rsid w:val="006D4A4A"/>
    <w:rsid w:val="006D4ADB"/>
    <w:rsid w:val="006D4D36"/>
    <w:rsid w:val="006D6E79"/>
    <w:rsid w:val="006D7DC0"/>
    <w:rsid w:val="006D7DEA"/>
    <w:rsid w:val="006E017B"/>
    <w:rsid w:val="006E06A9"/>
    <w:rsid w:val="006E0888"/>
    <w:rsid w:val="006E097F"/>
    <w:rsid w:val="006E0E4A"/>
    <w:rsid w:val="006E1778"/>
    <w:rsid w:val="006E1795"/>
    <w:rsid w:val="006E17B0"/>
    <w:rsid w:val="006E1A8C"/>
    <w:rsid w:val="006E1C39"/>
    <w:rsid w:val="006E1E63"/>
    <w:rsid w:val="006E2595"/>
    <w:rsid w:val="006E2694"/>
    <w:rsid w:val="006E2A1F"/>
    <w:rsid w:val="006E2A78"/>
    <w:rsid w:val="006E4ED0"/>
    <w:rsid w:val="006E53A0"/>
    <w:rsid w:val="006E5500"/>
    <w:rsid w:val="006E58AF"/>
    <w:rsid w:val="006E5D0E"/>
    <w:rsid w:val="006E608C"/>
    <w:rsid w:val="006E6261"/>
    <w:rsid w:val="006E6540"/>
    <w:rsid w:val="006E65F8"/>
    <w:rsid w:val="006E6843"/>
    <w:rsid w:val="006E6AC7"/>
    <w:rsid w:val="006E6B4F"/>
    <w:rsid w:val="006E6DD4"/>
    <w:rsid w:val="006E7651"/>
    <w:rsid w:val="006E7C40"/>
    <w:rsid w:val="006E7F60"/>
    <w:rsid w:val="006F0181"/>
    <w:rsid w:val="006F03E3"/>
    <w:rsid w:val="006F0660"/>
    <w:rsid w:val="006F0A1F"/>
    <w:rsid w:val="006F0EA8"/>
    <w:rsid w:val="006F0F5F"/>
    <w:rsid w:val="006F150D"/>
    <w:rsid w:val="006F1654"/>
    <w:rsid w:val="006F222F"/>
    <w:rsid w:val="006F26F3"/>
    <w:rsid w:val="006F2CF3"/>
    <w:rsid w:val="006F3059"/>
    <w:rsid w:val="006F3A64"/>
    <w:rsid w:val="006F5987"/>
    <w:rsid w:val="006F5F1A"/>
    <w:rsid w:val="006F6C67"/>
    <w:rsid w:val="006F6EB9"/>
    <w:rsid w:val="006F7078"/>
    <w:rsid w:val="00700222"/>
    <w:rsid w:val="0070040B"/>
    <w:rsid w:val="007008C7"/>
    <w:rsid w:val="007008D0"/>
    <w:rsid w:val="00701188"/>
    <w:rsid w:val="0070137E"/>
    <w:rsid w:val="0070287D"/>
    <w:rsid w:val="00702DB9"/>
    <w:rsid w:val="00702E2E"/>
    <w:rsid w:val="00703F39"/>
    <w:rsid w:val="00704B8B"/>
    <w:rsid w:val="00705942"/>
    <w:rsid w:val="00705AB2"/>
    <w:rsid w:val="0070619A"/>
    <w:rsid w:val="0070678A"/>
    <w:rsid w:val="00707173"/>
    <w:rsid w:val="00707607"/>
    <w:rsid w:val="0071055F"/>
    <w:rsid w:val="0071095F"/>
    <w:rsid w:val="007118EB"/>
    <w:rsid w:val="00712C57"/>
    <w:rsid w:val="007136CC"/>
    <w:rsid w:val="00713902"/>
    <w:rsid w:val="00713B9A"/>
    <w:rsid w:val="00714281"/>
    <w:rsid w:val="00714BEF"/>
    <w:rsid w:val="007157C8"/>
    <w:rsid w:val="007161CE"/>
    <w:rsid w:val="00716B38"/>
    <w:rsid w:val="00717EE2"/>
    <w:rsid w:val="0072159A"/>
    <w:rsid w:val="00721BEF"/>
    <w:rsid w:val="00722055"/>
    <w:rsid w:val="007228F2"/>
    <w:rsid w:val="00722C23"/>
    <w:rsid w:val="007246ED"/>
    <w:rsid w:val="00725A8D"/>
    <w:rsid w:val="00727851"/>
    <w:rsid w:val="00727B18"/>
    <w:rsid w:val="00727D5D"/>
    <w:rsid w:val="00727FA5"/>
    <w:rsid w:val="007314A9"/>
    <w:rsid w:val="007318E5"/>
    <w:rsid w:val="00732369"/>
    <w:rsid w:val="00732EA3"/>
    <w:rsid w:val="00733157"/>
    <w:rsid w:val="007333F4"/>
    <w:rsid w:val="00733EE3"/>
    <w:rsid w:val="00733F89"/>
    <w:rsid w:val="00734A03"/>
    <w:rsid w:val="007350F7"/>
    <w:rsid w:val="007372F4"/>
    <w:rsid w:val="00737FDC"/>
    <w:rsid w:val="007400AC"/>
    <w:rsid w:val="0074036B"/>
    <w:rsid w:val="007406F0"/>
    <w:rsid w:val="0074189A"/>
    <w:rsid w:val="00741BAA"/>
    <w:rsid w:val="00741E2A"/>
    <w:rsid w:val="007421DB"/>
    <w:rsid w:val="0074274E"/>
    <w:rsid w:val="00744BA5"/>
    <w:rsid w:val="00744E09"/>
    <w:rsid w:val="00745567"/>
    <w:rsid w:val="00745D02"/>
    <w:rsid w:val="00745F54"/>
    <w:rsid w:val="007461D4"/>
    <w:rsid w:val="007463A4"/>
    <w:rsid w:val="00746C32"/>
    <w:rsid w:val="00747802"/>
    <w:rsid w:val="00747E9F"/>
    <w:rsid w:val="00747F86"/>
    <w:rsid w:val="00750184"/>
    <w:rsid w:val="007520CE"/>
    <w:rsid w:val="00752414"/>
    <w:rsid w:val="00752573"/>
    <w:rsid w:val="007548EC"/>
    <w:rsid w:val="00754B63"/>
    <w:rsid w:val="00756180"/>
    <w:rsid w:val="00756636"/>
    <w:rsid w:val="007566F3"/>
    <w:rsid w:val="00756BC6"/>
    <w:rsid w:val="00756F23"/>
    <w:rsid w:val="00760777"/>
    <w:rsid w:val="00762B3F"/>
    <w:rsid w:val="00762B7E"/>
    <w:rsid w:val="007637A9"/>
    <w:rsid w:val="00763B8B"/>
    <w:rsid w:val="0076417B"/>
    <w:rsid w:val="00764C92"/>
    <w:rsid w:val="007651DB"/>
    <w:rsid w:val="0076552A"/>
    <w:rsid w:val="00765ED1"/>
    <w:rsid w:val="007674EC"/>
    <w:rsid w:val="00770158"/>
    <w:rsid w:val="00770B56"/>
    <w:rsid w:val="00770EC4"/>
    <w:rsid w:val="007710A5"/>
    <w:rsid w:val="00771615"/>
    <w:rsid w:val="007717BF"/>
    <w:rsid w:val="0077225D"/>
    <w:rsid w:val="00772E28"/>
    <w:rsid w:val="007734C9"/>
    <w:rsid w:val="007736D0"/>
    <w:rsid w:val="007737B8"/>
    <w:rsid w:val="0077463A"/>
    <w:rsid w:val="00776341"/>
    <w:rsid w:val="00776BC9"/>
    <w:rsid w:val="00777325"/>
    <w:rsid w:val="0077753D"/>
    <w:rsid w:val="0077786E"/>
    <w:rsid w:val="00777E53"/>
    <w:rsid w:val="007801E4"/>
    <w:rsid w:val="00780A67"/>
    <w:rsid w:val="00780A9A"/>
    <w:rsid w:val="00780AC7"/>
    <w:rsid w:val="00780AE8"/>
    <w:rsid w:val="00781105"/>
    <w:rsid w:val="007816AC"/>
    <w:rsid w:val="007823ED"/>
    <w:rsid w:val="007839AA"/>
    <w:rsid w:val="00783C5E"/>
    <w:rsid w:val="00784784"/>
    <w:rsid w:val="0078491B"/>
    <w:rsid w:val="00784D14"/>
    <w:rsid w:val="00784F1D"/>
    <w:rsid w:val="00787636"/>
    <w:rsid w:val="007906B4"/>
    <w:rsid w:val="00790975"/>
    <w:rsid w:val="007916AA"/>
    <w:rsid w:val="007919DB"/>
    <w:rsid w:val="00791A91"/>
    <w:rsid w:val="007929EE"/>
    <w:rsid w:val="00792E68"/>
    <w:rsid w:val="007930CD"/>
    <w:rsid w:val="00794302"/>
    <w:rsid w:val="0079532A"/>
    <w:rsid w:val="007957DD"/>
    <w:rsid w:val="00795D00"/>
    <w:rsid w:val="0079678C"/>
    <w:rsid w:val="007972C6"/>
    <w:rsid w:val="00797A09"/>
    <w:rsid w:val="00797CE7"/>
    <w:rsid w:val="007A0950"/>
    <w:rsid w:val="007A2429"/>
    <w:rsid w:val="007A27C4"/>
    <w:rsid w:val="007A34D9"/>
    <w:rsid w:val="007A3771"/>
    <w:rsid w:val="007A39B7"/>
    <w:rsid w:val="007A3A5D"/>
    <w:rsid w:val="007A41EC"/>
    <w:rsid w:val="007A5446"/>
    <w:rsid w:val="007A5863"/>
    <w:rsid w:val="007A5F29"/>
    <w:rsid w:val="007A6883"/>
    <w:rsid w:val="007A6D85"/>
    <w:rsid w:val="007A6E92"/>
    <w:rsid w:val="007A7F00"/>
    <w:rsid w:val="007B1015"/>
    <w:rsid w:val="007B1A5C"/>
    <w:rsid w:val="007B1F05"/>
    <w:rsid w:val="007B3AB0"/>
    <w:rsid w:val="007B433E"/>
    <w:rsid w:val="007B4961"/>
    <w:rsid w:val="007B4AB9"/>
    <w:rsid w:val="007B5BF6"/>
    <w:rsid w:val="007B5C2D"/>
    <w:rsid w:val="007B7058"/>
    <w:rsid w:val="007B709A"/>
    <w:rsid w:val="007B74E0"/>
    <w:rsid w:val="007B785D"/>
    <w:rsid w:val="007C164A"/>
    <w:rsid w:val="007C236F"/>
    <w:rsid w:val="007C24AA"/>
    <w:rsid w:val="007C2738"/>
    <w:rsid w:val="007C2746"/>
    <w:rsid w:val="007C2BCF"/>
    <w:rsid w:val="007C3645"/>
    <w:rsid w:val="007C429E"/>
    <w:rsid w:val="007C445E"/>
    <w:rsid w:val="007C4B10"/>
    <w:rsid w:val="007C56A9"/>
    <w:rsid w:val="007C5785"/>
    <w:rsid w:val="007C627E"/>
    <w:rsid w:val="007C6C74"/>
    <w:rsid w:val="007D0A66"/>
    <w:rsid w:val="007D2842"/>
    <w:rsid w:val="007D3061"/>
    <w:rsid w:val="007D376D"/>
    <w:rsid w:val="007D3BA1"/>
    <w:rsid w:val="007D401F"/>
    <w:rsid w:val="007D4F2C"/>
    <w:rsid w:val="007D5151"/>
    <w:rsid w:val="007D6F47"/>
    <w:rsid w:val="007D7383"/>
    <w:rsid w:val="007D7E2A"/>
    <w:rsid w:val="007E00C8"/>
    <w:rsid w:val="007E1113"/>
    <w:rsid w:val="007E1347"/>
    <w:rsid w:val="007E155F"/>
    <w:rsid w:val="007E1BDD"/>
    <w:rsid w:val="007E1CEA"/>
    <w:rsid w:val="007E20BA"/>
    <w:rsid w:val="007E28AC"/>
    <w:rsid w:val="007E2928"/>
    <w:rsid w:val="007E2C07"/>
    <w:rsid w:val="007E3151"/>
    <w:rsid w:val="007E3350"/>
    <w:rsid w:val="007E3ABE"/>
    <w:rsid w:val="007E455D"/>
    <w:rsid w:val="007E467A"/>
    <w:rsid w:val="007E4CB1"/>
    <w:rsid w:val="007E51A5"/>
    <w:rsid w:val="007E5E3C"/>
    <w:rsid w:val="007E65BE"/>
    <w:rsid w:val="007E69AB"/>
    <w:rsid w:val="007F042F"/>
    <w:rsid w:val="007F0A0A"/>
    <w:rsid w:val="007F1727"/>
    <w:rsid w:val="007F1E8C"/>
    <w:rsid w:val="007F248C"/>
    <w:rsid w:val="007F3C2C"/>
    <w:rsid w:val="007F441B"/>
    <w:rsid w:val="007F5555"/>
    <w:rsid w:val="007F5AD1"/>
    <w:rsid w:val="007F6A57"/>
    <w:rsid w:val="007F6BBF"/>
    <w:rsid w:val="007F6EAA"/>
    <w:rsid w:val="007F782D"/>
    <w:rsid w:val="00800575"/>
    <w:rsid w:val="00801CCA"/>
    <w:rsid w:val="00802783"/>
    <w:rsid w:val="0080290B"/>
    <w:rsid w:val="0080417F"/>
    <w:rsid w:val="008043A1"/>
    <w:rsid w:val="008045E4"/>
    <w:rsid w:val="008051C9"/>
    <w:rsid w:val="00806D25"/>
    <w:rsid w:val="008110DA"/>
    <w:rsid w:val="0081135B"/>
    <w:rsid w:val="00811AA7"/>
    <w:rsid w:val="00811DAF"/>
    <w:rsid w:val="0081210A"/>
    <w:rsid w:val="0081304C"/>
    <w:rsid w:val="00813373"/>
    <w:rsid w:val="0081353E"/>
    <w:rsid w:val="0081363A"/>
    <w:rsid w:val="00814CE6"/>
    <w:rsid w:val="0081696A"/>
    <w:rsid w:val="00816EBB"/>
    <w:rsid w:val="00817642"/>
    <w:rsid w:val="00821D78"/>
    <w:rsid w:val="0082313D"/>
    <w:rsid w:val="00823153"/>
    <w:rsid w:val="008235A6"/>
    <w:rsid w:val="00823E72"/>
    <w:rsid w:val="00824186"/>
    <w:rsid w:val="008248CE"/>
    <w:rsid w:val="00824C2F"/>
    <w:rsid w:val="00826265"/>
    <w:rsid w:val="00826288"/>
    <w:rsid w:val="00826980"/>
    <w:rsid w:val="00826AD7"/>
    <w:rsid w:val="008277D5"/>
    <w:rsid w:val="008301CA"/>
    <w:rsid w:val="008303D2"/>
    <w:rsid w:val="008313D1"/>
    <w:rsid w:val="008325BF"/>
    <w:rsid w:val="00832658"/>
    <w:rsid w:val="00832E14"/>
    <w:rsid w:val="00833150"/>
    <w:rsid w:val="00834231"/>
    <w:rsid w:val="008344B3"/>
    <w:rsid w:val="00834CEE"/>
    <w:rsid w:val="00834EA0"/>
    <w:rsid w:val="00836163"/>
    <w:rsid w:val="008368E9"/>
    <w:rsid w:val="008369C3"/>
    <w:rsid w:val="00837134"/>
    <w:rsid w:val="0083735B"/>
    <w:rsid w:val="008377B6"/>
    <w:rsid w:val="0083787C"/>
    <w:rsid w:val="008378CA"/>
    <w:rsid w:val="00840131"/>
    <w:rsid w:val="008403BF"/>
    <w:rsid w:val="00840A7D"/>
    <w:rsid w:val="00841D48"/>
    <w:rsid w:val="0084355E"/>
    <w:rsid w:val="00844042"/>
    <w:rsid w:val="0084528D"/>
    <w:rsid w:val="00845C10"/>
    <w:rsid w:val="008464F6"/>
    <w:rsid w:val="00846FC6"/>
    <w:rsid w:val="0084736E"/>
    <w:rsid w:val="00847BDD"/>
    <w:rsid w:val="00850C01"/>
    <w:rsid w:val="00851BBA"/>
    <w:rsid w:val="0085254F"/>
    <w:rsid w:val="00852DE2"/>
    <w:rsid w:val="008540D0"/>
    <w:rsid w:val="00854918"/>
    <w:rsid w:val="008553AA"/>
    <w:rsid w:val="00856DFA"/>
    <w:rsid w:val="00857B23"/>
    <w:rsid w:val="0086027E"/>
    <w:rsid w:val="008603B7"/>
    <w:rsid w:val="00861681"/>
    <w:rsid w:val="00861B04"/>
    <w:rsid w:val="00862432"/>
    <w:rsid w:val="00863552"/>
    <w:rsid w:val="00863A44"/>
    <w:rsid w:val="00864042"/>
    <w:rsid w:val="00864B06"/>
    <w:rsid w:val="00865BC3"/>
    <w:rsid w:val="0086628D"/>
    <w:rsid w:val="0086762E"/>
    <w:rsid w:val="00867691"/>
    <w:rsid w:val="00867E3B"/>
    <w:rsid w:val="00870161"/>
    <w:rsid w:val="00870708"/>
    <w:rsid w:val="008707B8"/>
    <w:rsid w:val="00871C82"/>
    <w:rsid w:val="00871DC4"/>
    <w:rsid w:val="008723AE"/>
    <w:rsid w:val="008726D6"/>
    <w:rsid w:val="008732ED"/>
    <w:rsid w:val="008733D7"/>
    <w:rsid w:val="008737F3"/>
    <w:rsid w:val="00873938"/>
    <w:rsid w:val="00873A79"/>
    <w:rsid w:val="00874A02"/>
    <w:rsid w:val="00874D4F"/>
    <w:rsid w:val="008755B8"/>
    <w:rsid w:val="00875AAC"/>
    <w:rsid w:val="00875D0E"/>
    <w:rsid w:val="00875EFD"/>
    <w:rsid w:val="00876641"/>
    <w:rsid w:val="008771EE"/>
    <w:rsid w:val="0087737B"/>
    <w:rsid w:val="00880E16"/>
    <w:rsid w:val="00880F2B"/>
    <w:rsid w:val="00881330"/>
    <w:rsid w:val="008817D2"/>
    <w:rsid w:val="00881C8C"/>
    <w:rsid w:val="00882464"/>
    <w:rsid w:val="00882833"/>
    <w:rsid w:val="00882FC1"/>
    <w:rsid w:val="00883CEE"/>
    <w:rsid w:val="00883D25"/>
    <w:rsid w:val="008842C2"/>
    <w:rsid w:val="00884A53"/>
    <w:rsid w:val="00884E17"/>
    <w:rsid w:val="0088507D"/>
    <w:rsid w:val="008853ED"/>
    <w:rsid w:val="0088545D"/>
    <w:rsid w:val="00885EAC"/>
    <w:rsid w:val="00885F21"/>
    <w:rsid w:val="008860D2"/>
    <w:rsid w:val="0088628D"/>
    <w:rsid w:val="008863A2"/>
    <w:rsid w:val="00887DF6"/>
    <w:rsid w:val="00890810"/>
    <w:rsid w:val="00890C62"/>
    <w:rsid w:val="00891E31"/>
    <w:rsid w:val="00892ADB"/>
    <w:rsid w:val="008933B8"/>
    <w:rsid w:val="0089360E"/>
    <w:rsid w:val="00893671"/>
    <w:rsid w:val="00893ACE"/>
    <w:rsid w:val="00893D30"/>
    <w:rsid w:val="00894B07"/>
    <w:rsid w:val="00894D05"/>
    <w:rsid w:val="0089507F"/>
    <w:rsid w:val="00896C03"/>
    <w:rsid w:val="00896EFD"/>
    <w:rsid w:val="00897F5D"/>
    <w:rsid w:val="008A01B8"/>
    <w:rsid w:val="008A0F38"/>
    <w:rsid w:val="008A1BF8"/>
    <w:rsid w:val="008A1E13"/>
    <w:rsid w:val="008A353B"/>
    <w:rsid w:val="008A54E7"/>
    <w:rsid w:val="008A55CE"/>
    <w:rsid w:val="008A5BDF"/>
    <w:rsid w:val="008A6BAF"/>
    <w:rsid w:val="008A6F28"/>
    <w:rsid w:val="008A7640"/>
    <w:rsid w:val="008A7E44"/>
    <w:rsid w:val="008B08A8"/>
    <w:rsid w:val="008B0934"/>
    <w:rsid w:val="008B09E4"/>
    <w:rsid w:val="008B10CB"/>
    <w:rsid w:val="008B17E9"/>
    <w:rsid w:val="008B1FA5"/>
    <w:rsid w:val="008B2BA3"/>
    <w:rsid w:val="008B3133"/>
    <w:rsid w:val="008B33AC"/>
    <w:rsid w:val="008B3900"/>
    <w:rsid w:val="008B3CB6"/>
    <w:rsid w:val="008B4B66"/>
    <w:rsid w:val="008B562D"/>
    <w:rsid w:val="008B643D"/>
    <w:rsid w:val="008B69BE"/>
    <w:rsid w:val="008B6CA7"/>
    <w:rsid w:val="008B7868"/>
    <w:rsid w:val="008B7DFC"/>
    <w:rsid w:val="008C021D"/>
    <w:rsid w:val="008C0654"/>
    <w:rsid w:val="008C0853"/>
    <w:rsid w:val="008C0948"/>
    <w:rsid w:val="008C2088"/>
    <w:rsid w:val="008C3975"/>
    <w:rsid w:val="008C47BA"/>
    <w:rsid w:val="008C5185"/>
    <w:rsid w:val="008C55CB"/>
    <w:rsid w:val="008C55EB"/>
    <w:rsid w:val="008C67E5"/>
    <w:rsid w:val="008C6C0B"/>
    <w:rsid w:val="008D0819"/>
    <w:rsid w:val="008D0859"/>
    <w:rsid w:val="008D0EF4"/>
    <w:rsid w:val="008D14CF"/>
    <w:rsid w:val="008D297A"/>
    <w:rsid w:val="008D2B08"/>
    <w:rsid w:val="008D35B1"/>
    <w:rsid w:val="008D39D3"/>
    <w:rsid w:val="008D4205"/>
    <w:rsid w:val="008D49C9"/>
    <w:rsid w:val="008D6020"/>
    <w:rsid w:val="008D63E9"/>
    <w:rsid w:val="008D6BBC"/>
    <w:rsid w:val="008D742C"/>
    <w:rsid w:val="008D7455"/>
    <w:rsid w:val="008D74D0"/>
    <w:rsid w:val="008D74EB"/>
    <w:rsid w:val="008D7BCB"/>
    <w:rsid w:val="008E0C42"/>
    <w:rsid w:val="008E15EA"/>
    <w:rsid w:val="008E1B5A"/>
    <w:rsid w:val="008E2F74"/>
    <w:rsid w:val="008E3532"/>
    <w:rsid w:val="008E3E3E"/>
    <w:rsid w:val="008E4681"/>
    <w:rsid w:val="008E4FC0"/>
    <w:rsid w:val="008E5216"/>
    <w:rsid w:val="008E68A7"/>
    <w:rsid w:val="008E728C"/>
    <w:rsid w:val="008E7327"/>
    <w:rsid w:val="008E78BF"/>
    <w:rsid w:val="008F03CC"/>
    <w:rsid w:val="008F066D"/>
    <w:rsid w:val="008F087E"/>
    <w:rsid w:val="008F189D"/>
    <w:rsid w:val="008F1B54"/>
    <w:rsid w:val="008F255D"/>
    <w:rsid w:val="008F2853"/>
    <w:rsid w:val="008F3209"/>
    <w:rsid w:val="008F3A03"/>
    <w:rsid w:val="008F3FDD"/>
    <w:rsid w:val="008F5F92"/>
    <w:rsid w:val="008F702F"/>
    <w:rsid w:val="008F70E1"/>
    <w:rsid w:val="008F735D"/>
    <w:rsid w:val="008F78C0"/>
    <w:rsid w:val="009012A5"/>
    <w:rsid w:val="00901A8A"/>
    <w:rsid w:val="0090208D"/>
    <w:rsid w:val="009024C4"/>
    <w:rsid w:val="00902603"/>
    <w:rsid w:val="0090316E"/>
    <w:rsid w:val="009032CC"/>
    <w:rsid w:val="0090353B"/>
    <w:rsid w:val="009040EB"/>
    <w:rsid w:val="009045E3"/>
    <w:rsid w:val="0090627F"/>
    <w:rsid w:val="0090766A"/>
    <w:rsid w:val="00907B64"/>
    <w:rsid w:val="009101A1"/>
    <w:rsid w:val="0091055F"/>
    <w:rsid w:val="009115D6"/>
    <w:rsid w:val="00911B31"/>
    <w:rsid w:val="00912148"/>
    <w:rsid w:val="00912AAC"/>
    <w:rsid w:val="00913442"/>
    <w:rsid w:val="00913C5A"/>
    <w:rsid w:val="00913CB2"/>
    <w:rsid w:val="00913E0F"/>
    <w:rsid w:val="00915D22"/>
    <w:rsid w:val="00915ECE"/>
    <w:rsid w:val="0091610D"/>
    <w:rsid w:val="009163AD"/>
    <w:rsid w:val="009166B8"/>
    <w:rsid w:val="00916EFB"/>
    <w:rsid w:val="00920771"/>
    <w:rsid w:val="009209BD"/>
    <w:rsid w:val="009212C2"/>
    <w:rsid w:val="00921361"/>
    <w:rsid w:val="0092191C"/>
    <w:rsid w:val="00922464"/>
    <w:rsid w:val="00923600"/>
    <w:rsid w:val="0092394D"/>
    <w:rsid w:val="009239BF"/>
    <w:rsid w:val="00923AC1"/>
    <w:rsid w:val="00923BAC"/>
    <w:rsid w:val="00923E7D"/>
    <w:rsid w:val="00925FA1"/>
    <w:rsid w:val="00926019"/>
    <w:rsid w:val="00926A42"/>
    <w:rsid w:val="009276B1"/>
    <w:rsid w:val="009303CF"/>
    <w:rsid w:val="00930F58"/>
    <w:rsid w:val="00932182"/>
    <w:rsid w:val="00932A54"/>
    <w:rsid w:val="00932C21"/>
    <w:rsid w:val="00933057"/>
    <w:rsid w:val="009333DA"/>
    <w:rsid w:val="0093379B"/>
    <w:rsid w:val="00933B5D"/>
    <w:rsid w:val="00933BE8"/>
    <w:rsid w:val="00933CA9"/>
    <w:rsid w:val="00934CDB"/>
    <w:rsid w:val="00937046"/>
    <w:rsid w:val="009370FF"/>
    <w:rsid w:val="009375FD"/>
    <w:rsid w:val="00937911"/>
    <w:rsid w:val="00937B5D"/>
    <w:rsid w:val="00941CE3"/>
    <w:rsid w:val="00941D08"/>
    <w:rsid w:val="009421F9"/>
    <w:rsid w:val="009425DC"/>
    <w:rsid w:val="00942B91"/>
    <w:rsid w:val="00943A37"/>
    <w:rsid w:val="00944258"/>
    <w:rsid w:val="00944518"/>
    <w:rsid w:val="00944F09"/>
    <w:rsid w:val="0094537C"/>
    <w:rsid w:val="009453F9"/>
    <w:rsid w:val="00945899"/>
    <w:rsid w:val="009460D9"/>
    <w:rsid w:val="00946B3E"/>
    <w:rsid w:val="00946D21"/>
    <w:rsid w:val="009474A0"/>
    <w:rsid w:val="00950865"/>
    <w:rsid w:val="00950BB6"/>
    <w:rsid w:val="00950C35"/>
    <w:rsid w:val="00951444"/>
    <w:rsid w:val="0095152B"/>
    <w:rsid w:val="00951816"/>
    <w:rsid w:val="00952517"/>
    <w:rsid w:val="0095273E"/>
    <w:rsid w:val="00952A67"/>
    <w:rsid w:val="00952C40"/>
    <w:rsid w:val="00953589"/>
    <w:rsid w:val="009535F6"/>
    <w:rsid w:val="00953A15"/>
    <w:rsid w:val="00954DB3"/>
    <w:rsid w:val="00955755"/>
    <w:rsid w:val="00956091"/>
    <w:rsid w:val="009564B0"/>
    <w:rsid w:val="00957D5A"/>
    <w:rsid w:val="0096023A"/>
    <w:rsid w:val="009602F2"/>
    <w:rsid w:val="00960379"/>
    <w:rsid w:val="0096139B"/>
    <w:rsid w:val="00961AFF"/>
    <w:rsid w:val="0096394B"/>
    <w:rsid w:val="009640D3"/>
    <w:rsid w:val="00964D5A"/>
    <w:rsid w:val="00965C2C"/>
    <w:rsid w:val="00966078"/>
    <w:rsid w:val="00966CA6"/>
    <w:rsid w:val="00970C34"/>
    <w:rsid w:val="0097102C"/>
    <w:rsid w:val="00972702"/>
    <w:rsid w:val="0097275B"/>
    <w:rsid w:val="0097285E"/>
    <w:rsid w:val="00972AFF"/>
    <w:rsid w:val="00972EBA"/>
    <w:rsid w:val="00973519"/>
    <w:rsid w:val="00973A11"/>
    <w:rsid w:val="0097578C"/>
    <w:rsid w:val="00975B95"/>
    <w:rsid w:val="00976F30"/>
    <w:rsid w:val="00976F92"/>
    <w:rsid w:val="00977A76"/>
    <w:rsid w:val="00980019"/>
    <w:rsid w:val="009804CB"/>
    <w:rsid w:val="009806F1"/>
    <w:rsid w:val="00980C8D"/>
    <w:rsid w:val="009811F7"/>
    <w:rsid w:val="0098154C"/>
    <w:rsid w:val="0098199C"/>
    <w:rsid w:val="00983CFE"/>
    <w:rsid w:val="009842DC"/>
    <w:rsid w:val="0098438F"/>
    <w:rsid w:val="00984EEA"/>
    <w:rsid w:val="00984FC0"/>
    <w:rsid w:val="0098554F"/>
    <w:rsid w:val="009855AE"/>
    <w:rsid w:val="00985CD1"/>
    <w:rsid w:val="00986287"/>
    <w:rsid w:val="009875FA"/>
    <w:rsid w:val="0098764F"/>
    <w:rsid w:val="0098784D"/>
    <w:rsid w:val="009878CD"/>
    <w:rsid w:val="00987C93"/>
    <w:rsid w:val="00987EA5"/>
    <w:rsid w:val="0099021E"/>
    <w:rsid w:val="009909C3"/>
    <w:rsid w:val="00991216"/>
    <w:rsid w:val="00991349"/>
    <w:rsid w:val="00991354"/>
    <w:rsid w:val="009913D2"/>
    <w:rsid w:val="00991A65"/>
    <w:rsid w:val="009924AE"/>
    <w:rsid w:val="009935C1"/>
    <w:rsid w:val="00993943"/>
    <w:rsid w:val="00994035"/>
    <w:rsid w:val="0099441A"/>
    <w:rsid w:val="0099476D"/>
    <w:rsid w:val="0099566A"/>
    <w:rsid w:val="00996724"/>
    <w:rsid w:val="00996779"/>
    <w:rsid w:val="009A0607"/>
    <w:rsid w:val="009A1A23"/>
    <w:rsid w:val="009A357E"/>
    <w:rsid w:val="009A368D"/>
    <w:rsid w:val="009A3C7B"/>
    <w:rsid w:val="009A3D96"/>
    <w:rsid w:val="009A3E02"/>
    <w:rsid w:val="009A4829"/>
    <w:rsid w:val="009A4ACF"/>
    <w:rsid w:val="009A621B"/>
    <w:rsid w:val="009A6ECD"/>
    <w:rsid w:val="009A6EFC"/>
    <w:rsid w:val="009A7672"/>
    <w:rsid w:val="009A7E33"/>
    <w:rsid w:val="009B11D0"/>
    <w:rsid w:val="009B13CF"/>
    <w:rsid w:val="009B16B7"/>
    <w:rsid w:val="009B21D3"/>
    <w:rsid w:val="009B2D7F"/>
    <w:rsid w:val="009B2E9F"/>
    <w:rsid w:val="009B414C"/>
    <w:rsid w:val="009B498F"/>
    <w:rsid w:val="009B4D6E"/>
    <w:rsid w:val="009B53E1"/>
    <w:rsid w:val="009B5586"/>
    <w:rsid w:val="009B5934"/>
    <w:rsid w:val="009B6EEB"/>
    <w:rsid w:val="009B7205"/>
    <w:rsid w:val="009B72F3"/>
    <w:rsid w:val="009B7639"/>
    <w:rsid w:val="009C0449"/>
    <w:rsid w:val="009C04C6"/>
    <w:rsid w:val="009C06A2"/>
    <w:rsid w:val="009C0C34"/>
    <w:rsid w:val="009C0E53"/>
    <w:rsid w:val="009C14DE"/>
    <w:rsid w:val="009C20F0"/>
    <w:rsid w:val="009C336E"/>
    <w:rsid w:val="009C3DE4"/>
    <w:rsid w:val="009C49F0"/>
    <w:rsid w:val="009C4C7E"/>
    <w:rsid w:val="009C517F"/>
    <w:rsid w:val="009C5240"/>
    <w:rsid w:val="009C566F"/>
    <w:rsid w:val="009C56FC"/>
    <w:rsid w:val="009C5ABE"/>
    <w:rsid w:val="009C6600"/>
    <w:rsid w:val="009C72E1"/>
    <w:rsid w:val="009C7776"/>
    <w:rsid w:val="009D02B7"/>
    <w:rsid w:val="009D2726"/>
    <w:rsid w:val="009D2834"/>
    <w:rsid w:val="009D2AE9"/>
    <w:rsid w:val="009D4FAE"/>
    <w:rsid w:val="009D7292"/>
    <w:rsid w:val="009E0B58"/>
    <w:rsid w:val="009E147D"/>
    <w:rsid w:val="009E1650"/>
    <w:rsid w:val="009E1BC1"/>
    <w:rsid w:val="009E1BF4"/>
    <w:rsid w:val="009E1F8D"/>
    <w:rsid w:val="009E21C8"/>
    <w:rsid w:val="009E27AA"/>
    <w:rsid w:val="009E3247"/>
    <w:rsid w:val="009E431F"/>
    <w:rsid w:val="009E47C1"/>
    <w:rsid w:val="009E4F4F"/>
    <w:rsid w:val="009E501C"/>
    <w:rsid w:val="009E521F"/>
    <w:rsid w:val="009E55ED"/>
    <w:rsid w:val="009E56E2"/>
    <w:rsid w:val="009E5CBF"/>
    <w:rsid w:val="009E621E"/>
    <w:rsid w:val="009E654F"/>
    <w:rsid w:val="009E6BBC"/>
    <w:rsid w:val="009F0826"/>
    <w:rsid w:val="009F15A7"/>
    <w:rsid w:val="009F1638"/>
    <w:rsid w:val="009F19E1"/>
    <w:rsid w:val="009F287D"/>
    <w:rsid w:val="009F3454"/>
    <w:rsid w:val="009F3BBB"/>
    <w:rsid w:val="009F44FF"/>
    <w:rsid w:val="009F50E1"/>
    <w:rsid w:val="009F57EC"/>
    <w:rsid w:val="009F6076"/>
    <w:rsid w:val="009F68AA"/>
    <w:rsid w:val="009F695B"/>
    <w:rsid w:val="009F6F83"/>
    <w:rsid w:val="00A0011F"/>
    <w:rsid w:val="00A00A2A"/>
    <w:rsid w:val="00A02DDE"/>
    <w:rsid w:val="00A0317A"/>
    <w:rsid w:val="00A035A2"/>
    <w:rsid w:val="00A0362D"/>
    <w:rsid w:val="00A037BD"/>
    <w:rsid w:val="00A0384A"/>
    <w:rsid w:val="00A03C44"/>
    <w:rsid w:val="00A041E4"/>
    <w:rsid w:val="00A045F2"/>
    <w:rsid w:val="00A04DE7"/>
    <w:rsid w:val="00A07345"/>
    <w:rsid w:val="00A07D1C"/>
    <w:rsid w:val="00A109BD"/>
    <w:rsid w:val="00A112F0"/>
    <w:rsid w:val="00A11ABC"/>
    <w:rsid w:val="00A11DD5"/>
    <w:rsid w:val="00A1544B"/>
    <w:rsid w:val="00A1659E"/>
    <w:rsid w:val="00A16FAC"/>
    <w:rsid w:val="00A170BB"/>
    <w:rsid w:val="00A178A9"/>
    <w:rsid w:val="00A17D48"/>
    <w:rsid w:val="00A20927"/>
    <w:rsid w:val="00A210BD"/>
    <w:rsid w:val="00A21479"/>
    <w:rsid w:val="00A21640"/>
    <w:rsid w:val="00A21747"/>
    <w:rsid w:val="00A2188E"/>
    <w:rsid w:val="00A224F8"/>
    <w:rsid w:val="00A22832"/>
    <w:rsid w:val="00A22AB4"/>
    <w:rsid w:val="00A22C2F"/>
    <w:rsid w:val="00A23FB0"/>
    <w:rsid w:val="00A251F4"/>
    <w:rsid w:val="00A26652"/>
    <w:rsid w:val="00A26A82"/>
    <w:rsid w:val="00A26AC9"/>
    <w:rsid w:val="00A2773A"/>
    <w:rsid w:val="00A277E4"/>
    <w:rsid w:val="00A27A5F"/>
    <w:rsid w:val="00A301C7"/>
    <w:rsid w:val="00A30AB2"/>
    <w:rsid w:val="00A316DF"/>
    <w:rsid w:val="00A323E5"/>
    <w:rsid w:val="00A32B87"/>
    <w:rsid w:val="00A33D5E"/>
    <w:rsid w:val="00A3441A"/>
    <w:rsid w:val="00A34B0C"/>
    <w:rsid w:val="00A35996"/>
    <w:rsid w:val="00A35E78"/>
    <w:rsid w:val="00A363C8"/>
    <w:rsid w:val="00A36D83"/>
    <w:rsid w:val="00A37422"/>
    <w:rsid w:val="00A37478"/>
    <w:rsid w:val="00A37922"/>
    <w:rsid w:val="00A4023F"/>
    <w:rsid w:val="00A4043C"/>
    <w:rsid w:val="00A41276"/>
    <w:rsid w:val="00A4136F"/>
    <w:rsid w:val="00A41873"/>
    <w:rsid w:val="00A41B6D"/>
    <w:rsid w:val="00A41F5A"/>
    <w:rsid w:val="00A421B9"/>
    <w:rsid w:val="00A42493"/>
    <w:rsid w:val="00A43592"/>
    <w:rsid w:val="00A43F1F"/>
    <w:rsid w:val="00A43FBB"/>
    <w:rsid w:val="00A515B4"/>
    <w:rsid w:val="00A52F63"/>
    <w:rsid w:val="00A5436E"/>
    <w:rsid w:val="00A54D38"/>
    <w:rsid w:val="00A550AE"/>
    <w:rsid w:val="00A5544C"/>
    <w:rsid w:val="00A559C9"/>
    <w:rsid w:val="00A564D4"/>
    <w:rsid w:val="00A56BA0"/>
    <w:rsid w:val="00A57F14"/>
    <w:rsid w:val="00A600ED"/>
    <w:rsid w:val="00A6080C"/>
    <w:rsid w:val="00A61E0B"/>
    <w:rsid w:val="00A623BD"/>
    <w:rsid w:val="00A62A82"/>
    <w:rsid w:val="00A6368B"/>
    <w:rsid w:val="00A63B46"/>
    <w:rsid w:val="00A64D8F"/>
    <w:rsid w:val="00A65040"/>
    <w:rsid w:val="00A651BE"/>
    <w:rsid w:val="00A65512"/>
    <w:rsid w:val="00A66666"/>
    <w:rsid w:val="00A677E0"/>
    <w:rsid w:val="00A67840"/>
    <w:rsid w:val="00A67966"/>
    <w:rsid w:val="00A70383"/>
    <w:rsid w:val="00A719AE"/>
    <w:rsid w:val="00A72220"/>
    <w:rsid w:val="00A727DD"/>
    <w:rsid w:val="00A72E23"/>
    <w:rsid w:val="00A734B1"/>
    <w:rsid w:val="00A74588"/>
    <w:rsid w:val="00A749FC"/>
    <w:rsid w:val="00A7515C"/>
    <w:rsid w:val="00A75216"/>
    <w:rsid w:val="00A75999"/>
    <w:rsid w:val="00A75A90"/>
    <w:rsid w:val="00A76523"/>
    <w:rsid w:val="00A767C9"/>
    <w:rsid w:val="00A7699E"/>
    <w:rsid w:val="00A769AD"/>
    <w:rsid w:val="00A76DAA"/>
    <w:rsid w:val="00A80636"/>
    <w:rsid w:val="00A806CF"/>
    <w:rsid w:val="00A80866"/>
    <w:rsid w:val="00A8105D"/>
    <w:rsid w:val="00A824FE"/>
    <w:rsid w:val="00A82727"/>
    <w:rsid w:val="00A834FB"/>
    <w:rsid w:val="00A836CB"/>
    <w:rsid w:val="00A850D2"/>
    <w:rsid w:val="00A856A7"/>
    <w:rsid w:val="00A85A0F"/>
    <w:rsid w:val="00A85E75"/>
    <w:rsid w:val="00A86002"/>
    <w:rsid w:val="00A86104"/>
    <w:rsid w:val="00A86836"/>
    <w:rsid w:val="00A8687B"/>
    <w:rsid w:val="00A87773"/>
    <w:rsid w:val="00A877E2"/>
    <w:rsid w:val="00A87C20"/>
    <w:rsid w:val="00A918BA"/>
    <w:rsid w:val="00A92ACF"/>
    <w:rsid w:val="00A92CE3"/>
    <w:rsid w:val="00A93317"/>
    <w:rsid w:val="00A9390F"/>
    <w:rsid w:val="00A93F88"/>
    <w:rsid w:val="00A94055"/>
    <w:rsid w:val="00A94056"/>
    <w:rsid w:val="00A94A3B"/>
    <w:rsid w:val="00A94B5C"/>
    <w:rsid w:val="00A9529C"/>
    <w:rsid w:val="00A9558D"/>
    <w:rsid w:val="00A9577C"/>
    <w:rsid w:val="00A964CC"/>
    <w:rsid w:val="00A964D0"/>
    <w:rsid w:val="00A96E07"/>
    <w:rsid w:val="00A97928"/>
    <w:rsid w:val="00A97D17"/>
    <w:rsid w:val="00AA038F"/>
    <w:rsid w:val="00AA0EB9"/>
    <w:rsid w:val="00AA13A3"/>
    <w:rsid w:val="00AA18FB"/>
    <w:rsid w:val="00AA1FD0"/>
    <w:rsid w:val="00AA2C69"/>
    <w:rsid w:val="00AA32CE"/>
    <w:rsid w:val="00AA3660"/>
    <w:rsid w:val="00AA382B"/>
    <w:rsid w:val="00AA4549"/>
    <w:rsid w:val="00AA4601"/>
    <w:rsid w:val="00AA4DAB"/>
    <w:rsid w:val="00AA4E66"/>
    <w:rsid w:val="00AA63EB"/>
    <w:rsid w:val="00AA6F19"/>
    <w:rsid w:val="00AA7073"/>
    <w:rsid w:val="00AB0120"/>
    <w:rsid w:val="00AB02DB"/>
    <w:rsid w:val="00AB0B13"/>
    <w:rsid w:val="00AB0C37"/>
    <w:rsid w:val="00AB0E61"/>
    <w:rsid w:val="00AB106D"/>
    <w:rsid w:val="00AB1D9F"/>
    <w:rsid w:val="00AB2094"/>
    <w:rsid w:val="00AB26E6"/>
    <w:rsid w:val="00AB499B"/>
    <w:rsid w:val="00AB4E90"/>
    <w:rsid w:val="00AB4FF3"/>
    <w:rsid w:val="00AB51E5"/>
    <w:rsid w:val="00AB53FB"/>
    <w:rsid w:val="00AB5B43"/>
    <w:rsid w:val="00AB5DC4"/>
    <w:rsid w:val="00AB6092"/>
    <w:rsid w:val="00AB636C"/>
    <w:rsid w:val="00AB6716"/>
    <w:rsid w:val="00AB69AA"/>
    <w:rsid w:val="00AB6ADF"/>
    <w:rsid w:val="00AB6ED5"/>
    <w:rsid w:val="00AB6F6D"/>
    <w:rsid w:val="00AB769C"/>
    <w:rsid w:val="00AC052D"/>
    <w:rsid w:val="00AC0E21"/>
    <w:rsid w:val="00AC2F81"/>
    <w:rsid w:val="00AC3332"/>
    <w:rsid w:val="00AC35F0"/>
    <w:rsid w:val="00AC3ADF"/>
    <w:rsid w:val="00AC3EF5"/>
    <w:rsid w:val="00AC48F4"/>
    <w:rsid w:val="00AC4E89"/>
    <w:rsid w:val="00AC5317"/>
    <w:rsid w:val="00AC551F"/>
    <w:rsid w:val="00AC5EF6"/>
    <w:rsid w:val="00AC6E1C"/>
    <w:rsid w:val="00AC7E2C"/>
    <w:rsid w:val="00AD0218"/>
    <w:rsid w:val="00AD07F8"/>
    <w:rsid w:val="00AD0E73"/>
    <w:rsid w:val="00AD0F7B"/>
    <w:rsid w:val="00AD1F9D"/>
    <w:rsid w:val="00AD36A2"/>
    <w:rsid w:val="00AD3A1E"/>
    <w:rsid w:val="00AD3CEC"/>
    <w:rsid w:val="00AD45C8"/>
    <w:rsid w:val="00AD4F49"/>
    <w:rsid w:val="00AD53C8"/>
    <w:rsid w:val="00AD5E9A"/>
    <w:rsid w:val="00AD66DB"/>
    <w:rsid w:val="00AD6AA9"/>
    <w:rsid w:val="00AD6D1F"/>
    <w:rsid w:val="00AD6EF8"/>
    <w:rsid w:val="00AE02E2"/>
    <w:rsid w:val="00AE0B1E"/>
    <w:rsid w:val="00AE233C"/>
    <w:rsid w:val="00AE2434"/>
    <w:rsid w:val="00AE26DB"/>
    <w:rsid w:val="00AE51FE"/>
    <w:rsid w:val="00AE5313"/>
    <w:rsid w:val="00AE6A54"/>
    <w:rsid w:val="00AE720B"/>
    <w:rsid w:val="00AE786D"/>
    <w:rsid w:val="00AE7F27"/>
    <w:rsid w:val="00AF0BFB"/>
    <w:rsid w:val="00AF3D70"/>
    <w:rsid w:val="00AF439D"/>
    <w:rsid w:val="00AF44B7"/>
    <w:rsid w:val="00AF52C6"/>
    <w:rsid w:val="00AF5978"/>
    <w:rsid w:val="00AF5A60"/>
    <w:rsid w:val="00AF73EA"/>
    <w:rsid w:val="00B006CD"/>
    <w:rsid w:val="00B00CD6"/>
    <w:rsid w:val="00B00FD2"/>
    <w:rsid w:val="00B016E4"/>
    <w:rsid w:val="00B0227F"/>
    <w:rsid w:val="00B0293B"/>
    <w:rsid w:val="00B0344F"/>
    <w:rsid w:val="00B059A7"/>
    <w:rsid w:val="00B05BCF"/>
    <w:rsid w:val="00B061BF"/>
    <w:rsid w:val="00B06780"/>
    <w:rsid w:val="00B067C4"/>
    <w:rsid w:val="00B06DC0"/>
    <w:rsid w:val="00B073F1"/>
    <w:rsid w:val="00B07B9A"/>
    <w:rsid w:val="00B07DEC"/>
    <w:rsid w:val="00B07FEE"/>
    <w:rsid w:val="00B102FC"/>
    <w:rsid w:val="00B10A34"/>
    <w:rsid w:val="00B110F4"/>
    <w:rsid w:val="00B11FA0"/>
    <w:rsid w:val="00B121E6"/>
    <w:rsid w:val="00B125D5"/>
    <w:rsid w:val="00B131C6"/>
    <w:rsid w:val="00B13596"/>
    <w:rsid w:val="00B156D1"/>
    <w:rsid w:val="00B16429"/>
    <w:rsid w:val="00B16808"/>
    <w:rsid w:val="00B169A4"/>
    <w:rsid w:val="00B16D9A"/>
    <w:rsid w:val="00B20176"/>
    <w:rsid w:val="00B2055C"/>
    <w:rsid w:val="00B207D8"/>
    <w:rsid w:val="00B20C48"/>
    <w:rsid w:val="00B20D3C"/>
    <w:rsid w:val="00B21940"/>
    <w:rsid w:val="00B21C7D"/>
    <w:rsid w:val="00B22A72"/>
    <w:rsid w:val="00B234E6"/>
    <w:rsid w:val="00B24083"/>
    <w:rsid w:val="00B240A5"/>
    <w:rsid w:val="00B24F20"/>
    <w:rsid w:val="00B25DD6"/>
    <w:rsid w:val="00B26209"/>
    <w:rsid w:val="00B27215"/>
    <w:rsid w:val="00B27EA2"/>
    <w:rsid w:val="00B319A4"/>
    <w:rsid w:val="00B3204F"/>
    <w:rsid w:val="00B32984"/>
    <w:rsid w:val="00B32EB6"/>
    <w:rsid w:val="00B337CA"/>
    <w:rsid w:val="00B33E86"/>
    <w:rsid w:val="00B3428E"/>
    <w:rsid w:val="00B34686"/>
    <w:rsid w:val="00B349AC"/>
    <w:rsid w:val="00B362E1"/>
    <w:rsid w:val="00B36577"/>
    <w:rsid w:val="00B36ED3"/>
    <w:rsid w:val="00B40001"/>
    <w:rsid w:val="00B400DB"/>
    <w:rsid w:val="00B42F2E"/>
    <w:rsid w:val="00B43466"/>
    <w:rsid w:val="00B43B96"/>
    <w:rsid w:val="00B449D1"/>
    <w:rsid w:val="00B4541F"/>
    <w:rsid w:val="00B45583"/>
    <w:rsid w:val="00B45B7A"/>
    <w:rsid w:val="00B46195"/>
    <w:rsid w:val="00B46B6A"/>
    <w:rsid w:val="00B46D80"/>
    <w:rsid w:val="00B47314"/>
    <w:rsid w:val="00B47CDE"/>
    <w:rsid w:val="00B51292"/>
    <w:rsid w:val="00B53257"/>
    <w:rsid w:val="00B53617"/>
    <w:rsid w:val="00B53B68"/>
    <w:rsid w:val="00B53D02"/>
    <w:rsid w:val="00B5450A"/>
    <w:rsid w:val="00B54600"/>
    <w:rsid w:val="00B56587"/>
    <w:rsid w:val="00B56594"/>
    <w:rsid w:val="00B56A88"/>
    <w:rsid w:val="00B5708C"/>
    <w:rsid w:val="00B57E4B"/>
    <w:rsid w:val="00B6023B"/>
    <w:rsid w:val="00B60FCB"/>
    <w:rsid w:val="00B6173C"/>
    <w:rsid w:val="00B61D17"/>
    <w:rsid w:val="00B63EE9"/>
    <w:rsid w:val="00B64E8F"/>
    <w:rsid w:val="00B6559F"/>
    <w:rsid w:val="00B6597A"/>
    <w:rsid w:val="00B65E65"/>
    <w:rsid w:val="00B66127"/>
    <w:rsid w:val="00B6617F"/>
    <w:rsid w:val="00B667EB"/>
    <w:rsid w:val="00B67071"/>
    <w:rsid w:val="00B6719C"/>
    <w:rsid w:val="00B67E4B"/>
    <w:rsid w:val="00B70A84"/>
    <w:rsid w:val="00B70CB1"/>
    <w:rsid w:val="00B71787"/>
    <w:rsid w:val="00B71C39"/>
    <w:rsid w:val="00B721F6"/>
    <w:rsid w:val="00B731BB"/>
    <w:rsid w:val="00B734ED"/>
    <w:rsid w:val="00B73712"/>
    <w:rsid w:val="00B74202"/>
    <w:rsid w:val="00B74418"/>
    <w:rsid w:val="00B75816"/>
    <w:rsid w:val="00B759C0"/>
    <w:rsid w:val="00B80651"/>
    <w:rsid w:val="00B82170"/>
    <w:rsid w:val="00B825D9"/>
    <w:rsid w:val="00B82842"/>
    <w:rsid w:val="00B84431"/>
    <w:rsid w:val="00B853F9"/>
    <w:rsid w:val="00B85425"/>
    <w:rsid w:val="00B85762"/>
    <w:rsid w:val="00B85D59"/>
    <w:rsid w:val="00B86B25"/>
    <w:rsid w:val="00B86F02"/>
    <w:rsid w:val="00B87693"/>
    <w:rsid w:val="00B87DB4"/>
    <w:rsid w:val="00B904E4"/>
    <w:rsid w:val="00B905FC"/>
    <w:rsid w:val="00B90FE8"/>
    <w:rsid w:val="00B917A8"/>
    <w:rsid w:val="00B9204F"/>
    <w:rsid w:val="00B929CE"/>
    <w:rsid w:val="00B92FCF"/>
    <w:rsid w:val="00B9444D"/>
    <w:rsid w:val="00B945FE"/>
    <w:rsid w:val="00B95A48"/>
    <w:rsid w:val="00B970A4"/>
    <w:rsid w:val="00B97855"/>
    <w:rsid w:val="00B97ECD"/>
    <w:rsid w:val="00BA061F"/>
    <w:rsid w:val="00BA079A"/>
    <w:rsid w:val="00BA277F"/>
    <w:rsid w:val="00BA2D7D"/>
    <w:rsid w:val="00BA3C8B"/>
    <w:rsid w:val="00BA4155"/>
    <w:rsid w:val="00BA4378"/>
    <w:rsid w:val="00BA5587"/>
    <w:rsid w:val="00BA6434"/>
    <w:rsid w:val="00BA66EA"/>
    <w:rsid w:val="00BA7346"/>
    <w:rsid w:val="00BA7BCA"/>
    <w:rsid w:val="00BA7D14"/>
    <w:rsid w:val="00BA7FD6"/>
    <w:rsid w:val="00BB030E"/>
    <w:rsid w:val="00BB0428"/>
    <w:rsid w:val="00BB05E7"/>
    <w:rsid w:val="00BB0621"/>
    <w:rsid w:val="00BB0DE4"/>
    <w:rsid w:val="00BB1E00"/>
    <w:rsid w:val="00BB1E03"/>
    <w:rsid w:val="00BB2FE2"/>
    <w:rsid w:val="00BB30CF"/>
    <w:rsid w:val="00BB4421"/>
    <w:rsid w:val="00BB4887"/>
    <w:rsid w:val="00BB55ED"/>
    <w:rsid w:val="00BB5721"/>
    <w:rsid w:val="00BC11E2"/>
    <w:rsid w:val="00BC1DCC"/>
    <w:rsid w:val="00BC26C0"/>
    <w:rsid w:val="00BC2FDB"/>
    <w:rsid w:val="00BC3B23"/>
    <w:rsid w:val="00BC42AF"/>
    <w:rsid w:val="00BC4471"/>
    <w:rsid w:val="00BC4A30"/>
    <w:rsid w:val="00BC4A90"/>
    <w:rsid w:val="00BC5334"/>
    <w:rsid w:val="00BC6026"/>
    <w:rsid w:val="00BC6061"/>
    <w:rsid w:val="00BC6A12"/>
    <w:rsid w:val="00BC7A84"/>
    <w:rsid w:val="00BC7CF4"/>
    <w:rsid w:val="00BC7F3D"/>
    <w:rsid w:val="00BD0F58"/>
    <w:rsid w:val="00BD13D8"/>
    <w:rsid w:val="00BD1CE5"/>
    <w:rsid w:val="00BD2860"/>
    <w:rsid w:val="00BD327A"/>
    <w:rsid w:val="00BD349B"/>
    <w:rsid w:val="00BD398B"/>
    <w:rsid w:val="00BD3A56"/>
    <w:rsid w:val="00BD5A3D"/>
    <w:rsid w:val="00BD61A8"/>
    <w:rsid w:val="00BD6459"/>
    <w:rsid w:val="00BD6714"/>
    <w:rsid w:val="00BD6DF0"/>
    <w:rsid w:val="00BD745F"/>
    <w:rsid w:val="00BE1064"/>
    <w:rsid w:val="00BE14F4"/>
    <w:rsid w:val="00BE1820"/>
    <w:rsid w:val="00BE1D76"/>
    <w:rsid w:val="00BE1D92"/>
    <w:rsid w:val="00BE2C6C"/>
    <w:rsid w:val="00BE3CD6"/>
    <w:rsid w:val="00BE5BC1"/>
    <w:rsid w:val="00BE62F1"/>
    <w:rsid w:val="00BE63A7"/>
    <w:rsid w:val="00BE6828"/>
    <w:rsid w:val="00BE77EC"/>
    <w:rsid w:val="00BF03F1"/>
    <w:rsid w:val="00BF053B"/>
    <w:rsid w:val="00BF199C"/>
    <w:rsid w:val="00BF1BF2"/>
    <w:rsid w:val="00BF1D61"/>
    <w:rsid w:val="00BF218A"/>
    <w:rsid w:val="00BF2D94"/>
    <w:rsid w:val="00BF3303"/>
    <w:rsid w:val="00BF3D6F"/>
    <w:rsid w:val="00BF477A"/>
    <w:rsid w:val="00BF5FBB"/>
    <w:rsid w:val="00BF68E0"/>
    <w:rsid w:val="00BF7334"/>
    <w:rsid w:val="00C003AB"/>
    <w:rsid w:val="00C0083B"/>
    <w:rsid w:val="00C012D5"/>
    <w:rsid w:val="00C013C5"/>
    <w:rsid w:val="00C01588"/>
    <w:rsid w:val="00C02AFC"/>
    <w:rsid w:val="00C043FD"/>
    <w:rsid w:val="00C0478B"/>
    <w:rsid w:val="00C047D6"/>
    <w:rsid w:val="00C0489F"/>
    <w:rsid w:val="00C05234"/>
    <w:rsid w:val="00C052D3"/>
    <w:rsid w:val="00C055CF"/>
    <w:rsid w:val="00C06502"/>
    <w:rsid w:val="00C065DD"/>
    <w:rsid w:val="00C06A90"/>
    <w:rsid w:val="00C06B2A"/>
    <w:rsid w:val="00C07078"/>
    <w:rsid w:val="00C0767A"/>
    <w:rsid w:val="00C1042D"/>
    <w:rsid w:val="00C1162A"/>
    <w:rsid w:val="00C11A89"/>
    <w:rsid w:val="00C121C1"/>
    <w:rsid w:val="00C1223E"/>
    <w:rsid w:val="00C131FF"/>
    <w:rsid w:val="00C135C4"/>
    <w:rsid w:val="00C13D55"/>
    <w:rsid w:val="00C15836"/>
    <w:rsid w:val="00C15EF3"/>
    <w:rsid w:val="00C165F6"/>
    <w:rsid w:val="00C171A0"/>
    <w:rsid w:val="00C1789C"/>
    <w:rsid w:val="00C17E85"/>
    <w:rsid w:val="00C20A03"/>
    <w:rsid w:val="00C20DED"/>
    <w:rsid w:val="00C2199F"/>
    <w:rsid w:val="00C21AFE"/>
    <w:rsid w:val="00C2243A"/>
    <w:rsid w:val="00C22E37"/>
    <w:rsid w:val="00C2370D"/>
    <w:rsid w:val="00C24249"/>
    <w:rsid w:val="00C2518F"/>
    <w:rsid w:val="00C253DA"/>
    <w:rsid w:val="00C2627F"/>
    <w:rsid w:val="00C26FDC"/>
    <w:rsid w:val="00C27B79"/>
    <w:rsid w:val="00C3079D"/>
    <w:rsid w:val="00C310A9"/>
    <w:rsid w:val="00C31837"/>
    <w:rsid w:val="00C31A2D"/>
    <w:rsid w:val="00C320FB"/>
    <w:rsid w:val="00C32173"/>
    <w:rsid w:val="00C322EE"/>
    <w:rsid w:val="00C328BF"/>
    <w:rsid w:val="00C3378A"/>
    <w:rsid w:val="00C34A03"/>
    <w:rsid w:val="00C34F6E"/>
    <w:rsid w:val="00C34FEB"/>
    <w:rsid w:val="00C357FE"/>
    <w:rsid w:val="00C364E8"/>
    <w:rsid w:val="00C378AD"/>
    <w:rsid w:val="00C404FA"/>
    <w:rsid w:val="00C40861"/>
    <w:rsid w:val="00C4131C"/>
    <w:rsid w:val="00C421C7"/>
    <w:rsid w:val="00C42572"/>
    <w:rsid w:val="00C42630"/>
    <w:rsid w:val="00C426F8"/>
    <w:rsid w:val="00C4350F"/>
    <w:rsid w:val="00C43B95"/>
    <w:rsid w:val="00C43D50"/>
    <w:rsid w:val="00C43F65"/>
    <w:rsid w:val="00C469E4"/>
    <w:rsid w:val="00C46BE6"/>
    <w:rsid w:val="00C47D80"/>
    <w:rsid w:val="00C47EC1"/>
    <w:rsid w:val="00C50EBA"/>
    <w:rsid w:val="00C5116C"/>
    <w:rsid w:val="00C5301F"/>
    <w:rsid w:val="00C5349E"/>
    <w:rsid w:val="00C537E0"/>
    <w:rsid w:val="00C538F8"/>
    <w:rsid w:val="00C53E0C"/>
    <w:rsid w:val="00C53FC9"/>
    <w:rsid w:val="00C55058"/>
    <w:rsid w:val="00C55175"/>
    <w:rsid w:val="00C552A6"/>
    <w:rsid w:val="00C559BF"/>
    <w:rsid w:val="00C55BC4"/>
    <w:rsid w:val="00C5730F"/>
    <w:rsid w:val="00C60154"/>
    <w:rsid w:val="00C60A1A"/>
    <w:rsid w:val="00C613D2"/>
    <w:rsid w:val="00C617BA"/>
    <w:rsid w:val="00C62A9D"/>
    <w:rsid w:val="00C633F7"/>
    <w:rsid w:val="00C63707"/>
    <w:rsid w:val="00C63825"/>
    <w:rsid w:val="00C64525"/>
    <w:rsid w:val="00C64E9E"/>
    <w:rsid w:val="00C658FB"/>
    <w:rsid w:val="00C6643E"/>
    <w:rsid w:val="00C66E4B"/>
    <w:rsid w:val="00C67CF0"/>
    <w:rsid w:val="00C700F2"/>
    <w:rsid w:val="00C710F6"/>
    <w:rsid w:val="00C712D9"/>
    <w:rsid w:val="00C7156E"/>
    <w:rsid w:val="00C71599"/>
    <w:rsid w:val="00C71DA3"/>
    <w:rsid w:val="00C72940"/>
    <w:rsid w:val="00C737C9"/>
    <w:rsid w:val="00C744B1"/>
    <w:rsid w:val="00C74E7A"/>
    <w:rsid w:val="00C7568D"/>
    <w:rsid w:val="00C75698"/>
    <w:rsid w:val="00C75E2D"/>
    <w:rsid w:val="00C76659"/>
    <w:rsid w:val="00C76E2C"/>
    <w:rsid w:val="00C80780"/>
    <w:rsid w:val="00C80796"/>
    <w:rsid w:val="00C80907"/>
    <w:rsid w:val="00C81AF4"/>
    <w:rsid w:val="00C8201C"/>
    <w:rsid w:val="00C8246F"/>
    <w:rsid w:val="00C82E23"/>
    <w:rsid w:val="00C837F9"/>
    <w:rsid w:val="00C84457"/>
    <w:rsid w:val="00C85E21"/>
    <w:rsid w:val="00C86421"/>
    <w:rsid w:val="00C86F99"/>
    <w:rsid w:val="00C87547"/>
    <w:rsid w:val="00C9049F"/>
    <w:rsid w:val="00C905E1"/>
    <w:rsid w:val="00C90800"/>
    <w:rsid w:val="00C91E8C"/>
    <w:rsid w:val="00C93360"/>
    <w:rsid w:val="00C934A7"/>
    <w:rsid w:val="00C94599"/>
    <w:rsid w:val="00C9600E"/>
    <w:rsid w:val="00C9767C"/>
    <w:rsid w:val="00C97F01"/>
    <w:rsid w:val="00CA052C"/>
    <w:rsid w:val="00CA098E"/>
    <w:rsid w:val="00CA0A19"/>
    <w:rsid w:val="00CA0F7C"/>
    <w:rsid w:val="00CA2649"/>
    <w:rsid w:val="00CA278C"/>
    <w:rsid w:val="00CA2991"/>
    <w:rsid w:val="00CA361D"/>
    <w:rsid w:val="00CA4A2B"/>
    <w:rsid w:val="00CA4A3D"/>
    <w:rsid w:val="00CA5D42"/>
    <w:rsid w:val="00CA79E2"/>
    <w:rsid w:val="00CB0504"/>
    <w:rsid w:val="00CB1515"/>
    <w:rsid w:val="00CB164B"/>
    <w:rsid w:val="00CB1F8E"/>
    <w:rsid w:val="00CB270E"/>
    <w:rsid w:val="00CB2FBE"/>
    <w:rsid w:val="00CB33F8"/>
    <w:rsid w:val="00CB462C"/>
    <w:rsid w:val="00CB484E"/>
    <w:rsid w:val="00CB5900"/>
    <w:rsid w:val="00CB6031"/>
    <w:rsid w:val="00CB6519"/>
    <w:rsid w:val="00CB67D0"/>
    <w:rsid w:val="00CB6878"/>
    <w:rsid w:val="00CB70BD"/>
    <w:rsid w:val="00CC03BA"/>
    <w:rsid w:val="00CC08A0"/>
    <w:rsid w:val="00CC1386"/>
    <w:rsid w:val="00CC172C"/>
    <w:rsid w:val="00CC199B"/>
    <w:rsid w:val="00CC3AF2"/>
    <w:rsid w:val="00CC404B"/>
    <w:rsid w:val="00CC495D"/>
    <w:rsid w:val="00CC4A4E"/>
    <w:rsid w:val="00CC5721"/>
    <w:rsid w:val="00CC5C0B"/>
    <w:rsid w:val="00CC6292"/>
    <w:rsid w:val="00CC72CB"/>
    <w:rsid w:val="00CC7355"/>
    <w:rsid w:val="00CC79EA"/>
    <w:rsid w:val="00CD06C6"/>
    <w:rsid w:val="00CD0947"/>
    <w:rsid w:val="00CD0B5F"/>
    <w:rsid w:val="00CD10BC"/>
    <w:rsid w:val="00CD115F"/>
    <w:rsid w:val="00CD153C"/>
    <w:rsid w:val="00CD1705"/>
    <w:rsid w:val="00CD1A26"/>
    <w:rsid w:val="00CD2219"/>
    <w:rsid w:val="00CD2DFE"/>
    <w:rsid w:val="00CD48D4"/>
    <w:rsid w:val="00CD4E71"/>
    <w:rsid w:val="00CD6A2E"/>
    <w:rsid w:val="00CD6F4C"/>
    <w:rsid w:val="00CD7A82"/>
    <w:rsid w:val="00CE031A"/>
    <w:rsid w:val="00CE05F5"/>
    <w:rsid w:val="00CE0A30"/>
    <w:rsid w:val="00CE1DFF"/>
    <w:rsid w:val="00CE1F7F"/>
    <w:rsid w:val="00CE32F8"/>
    <w:rsid w:val="00CE3300"/>
    <w:rsid w:val="00CE390B"/>
    <w:rsid w:val="00CE4129"/>
    <w:rsid w:val="00CE4C9D"/>
    <w:rsid w:val="00CE4EA4"/>
    <w:rsid w:val="00CE50C4"/>
    <w:rsid w:val="00CE575F"/>
    <w:rsid w:val="00CE57DE"/>
    <w:rsid w:val="00CE647F"/>
    <w:rsid w:val="00CE66BB"/>
    <w:rsid w:val="00CE696A"/>
    <w:rsid w:val="00CE69DB"/>
    <w:rsid w:val="00CE6A2A"/>
    <w:rsid w:val="00CE6A53"/>
    <w:rsid w:val="00CE71EF"/>
    <w:rsid w:val="00CE73AD"/>
    <w:rsid w:val="00CE75F6"/>
    <w:rsid w:val="00CF038A"/>
    <w:rsid w:val="00CF065A"/>
    <w:rsid w:val="00CF127D"/>
    <w:rsid w:val="00CF181B"/>
    <w:rsid w:val="00CF23B9"/>
    <w:rsid w:val="00CF35E8"/>
    <w:rsid w:val="00CF3EC8"/>
    <w:rsid w:val="00CF4189"/>
    <w:rsid w:val="00CF4402"/>
    <w:rsid w:val="00CF4569"/>
    <w:rsid w:val="00CF4888"/>
    <w:rsid w:val="00CF4F70"/>
    <w:rsid w:val="00CF60EC"/>
    <w:rsid w:val="00CF7E56"/>
    <w:rsid w:val="00D00492"/>
    <w:rsid w:val="00D00AA3"/>
    <w:rsid w:val="00D01014"/>
    <w:rsid w:val="00D018A0"/>
    <w:rsid w:val="00D01D34"/>
    <w:rsid w:val="00D02699"/>
    <w:rsid w:val="00D03D7B"/>
    <w:rsid w:val="00D04071"/>
    <w:rsid w:val="00D04157"/>
    <w:rsid w:val="00D0433D"/>
    <w:rsid w:val="00D046D6"/>
    <w:rsid w:val="00D0490A"/>
    <w:rsid w:val="00D05068"/>
    <w:rsid w:val="00D05B1B"/>
    <w:rsid w:val="00D068E3"/>
    <w:rsid w:val="00D0764C"/>
    <w:rsid w:val="00D07F60"/>
    <w:rsid w:val="00D1088D"/>
    <w:rsid w:val="00D11238"/>
    <w:rsid w:val="00D11D67"/>
    <w:rsid w:val="00D12A0D"/>
    <w:rsid w:val="00D12D17"/>
    <w:rsid w:val="00D12D91"/>
    <w:rsid w:val="00D135A5"/>
    <w:rsid w:val="00D1388C"/>
    <w:rsid w:val="00D13D54"/>
    <w:rsid w:val="00D13E42"/>
    <w:rsid w:val="00D145D4"/>
    <w:rsid w:val="00D15EEA"/>
    <w:rsid w:val="00D20BA9"/>
    <w:rsid w:val="00D224E7"/>
    <w:rsid w:val="00D22FB3"/>
    <w:rsid w:val="00D236C2"/>
    <w:rsid w:val="00D23814"/>
    <w:rsid w:val="00D251AB"/>
    <w:rsid w:val="00D25292"/>
    <w:rsid w:val="00D25507"/>
    <w:rsid w:val="00D256E5"/>
    <w:rsid w:val="00D25A2C"/>
    <w:rsid w:val="00D26E1C"/>
    <w:rsid w:val="00D274D2"/>
    <w:rsid w:val="00D2786B"/>
    <w:rsid w:val="00D3122B"/>
    <w:rsid w:val="00D31B75"/>
    <w:rsid w:val="00D3201B"/>
    <w:rsid w:val="00D33326"/>
    <w:rsid w:val="00D347E9"/>
    <w:rsid w:val="00D34D53"/>
    <w:rsid w:val="00D34F0D"/>
    <w:rsid w:val="00D3532B"/>
    <w:rsid w:val="00D35A2B"/>
    <w:rsid w:val="00D36388"/>
    <w:rsid w:val="00D364BC"/>
    <w:rsid w:val="00D37712"/>
    <w:rsid w:val="00D37D94"/>
    <w:rsid w:val="00D401FA"/>
    <w:rsid w:val="00D407CC"/>
    <w:rsid w:val="00D40919"/>
    <w:rsid w:val="00D41146"/>
    <w:rsid w:val="00D417DB"/>
    <w:rsid w:val="00D42794"/>
    <w:rsid w:val="00D42ADB"/>
    <w:rsid w:val="00D42CDC"/>
    <w:rsid w:val="00D43F32"/>
    <w:rsid w:val="00D44575"/>
    <w:rsid w:val="00D44D89"/>
    <w:rsid w:val="00D44DCE"/>
    <w:rsid w:val="00D453A1"/>
    <w:rsid w:val="00D46546"/>
    <w:rsid w:val="00D46A00"/>
    <w:rsid w:val="00D46D25"/>
    <w:rsid w:val="00D516D3"/>
    <w:rsid w:val="00D517B4"/>
    <w:rsid w:val="00D518D2"/>
    <w:rsid w:val="00D52AB6"/>
    <w:rsid w:val="00D52D4B"/>
    <w:rsid w:val="00D5360A"/>
    <w:rsid w:val="00D53D03"/>
    <w:rsid w:val="00D540AB"/>
    <w:rsid w:val="00D54A42"/>
    <w:rsid w:val="00D56598"/>
    <w:rsid w:val="00D56C08"/>
    <w:rsid w:val="00D5764E"/>
    <w:rsid w:val="00D577D1"/>
    <w:rsid w:val="00D57A67"/>
    <w:rsid w:val="00D61112"/>
    <w:rsid w:val="00D62347"/>
    <w:rsid w:val="00D64D10"/>
    <w:rsid w:val="00D65856"/>
    <w:rsid w:val="00D66903"/>
    <w:rsid w:val="00D67422"/>
    <w:rsid w:val="00D70A0F"/>
    <w:rsid w:val="00D719E8"/>
    <w:rsid w:val="00D71AFB"/>
    <w:rsid w:val="00D723DA"/>
    <w:rsid w:val="00D7255C"/>
    <w:rsid w:val="00D72856"/>
    <w:rsid w:val="00D72E86"/>
    <w:rsid w:val="00D74166"/>
    <w:rsid w:val="00D74F8F"/>
    <w:rsid w:val="00D75373"/>
    <w:rsid w:val="00D764A3"/>
    <w:rsid w:val="00D76BB7"/>
    <w:rsid w:val="00D80F3A"/>
    <w:rsid w:val="00D82839"/>
    <w:rsid w:val="00D82BCE"/>
    <w:rsid w:val="00D82DA2"/>
    <w:rsid w:val="00D82E48"/>
    <w:rsid w:val="00D83DCA"/>
    <w:rsid w:val="00D844AB"/>
    <w:rsid w:val="00D851BB"/>
    <w:rsid w:val="00D8521D"/>
    <w:rsid w:val="00D861C2"/>
    <w:rsid w:val="00D86267"/>
    <w:rsid w:val="00D86582"/>
    <w:rsid w:val="00D86B73"/>
    <w:rsid w:val="00D87574"/>
    <w:rsid w:val="00D87C5D"/>
    <w:rsid w:val="00D90DA0"/>
    <w:rsid w:val="00D935C4"/>
    <w:rsid w:val="00D9579F"/>
    <w:rsid w:val="00D95979"/>
    <w:rsid w:val="00D95C97"/>
    <w:rsid w:val="00D96CC2"/>
    <w:rsid w:val="00D97057"/>
    <w:rsid w:val="00D97559"/>
    <w:rsid w:val="00DA0229"/>
    <w:rsid w:val="00DA0897"/>
    <w:rsid w:val="00DA0A99"/>
    <w:rsid w:val="00DA15D2"/>
    <w:rsid w:val="00DA27B9"/>
    <w:rsid w:val="00DA29D1"/>
    <w:rsid w:val="00DA30D8"/>
    <w:rsid w:val="00DA3C65"/>
    <w:rsid w:val="00DA3CE0"/>
    <w:rsid w:val="00DA4E66"/>
    <w:rsid w:val="00DA4FA3"/>
    <w:rsid w:val="00DA68E6"/>
    <w:rsid w:val="00DA6975"/>
    <w:rsid w:val="00DA6AC1"/>
    <w:rsid w:val="00DA7461"/>
    <w:rsid w:val="00DA77FA"/>
    <w:rsid w:val="00DA7D1C"/>
    <w:rsid w:val="00DB0022"/>
    <w:rsid w:val="00DB127E"/>
    <w:rsid w:val="00DB139B"/>
    <w:rsid w:val="00DB1C28"/>
    <w:rsid w:val="00DB2AAD"/>
    <w:rsid w:val="00DB3094"/>
    <w:rsid w:val="00DB3431"/>
    <w:rsid w:val="00DB3972"/>
    <w:rsid w:val="00DB3F40"/>
    <w:rsid w:val="00DB61C7"/>
    <w:rsid w:val="00DB6EF7"/>
    <w:rsid w:val="00DB763F"/>
    <w:rsid w:val="00DB7B4A"/>
    <w:rsid w:val="00DC0A31"/>
    <w:rsid w:val="00DC10CC"/>
    <w:rsid w:val="00DC215E"/>
    <w:rsid w:val="00DC2824"/>
    <w:rsid w:val="00DC2B34"/>
    <w:rsid w:val="00DC2B56"/>
    <w:rsid w:val="00DC33C3"/>
    <w:rsid w:val="00DC3963"/>
    <w:rsid w:val="00DC3CAC"/>
    <w:rsid w:val="00DC44A5"/>
    <w:rsid w:val="00DC5976"/>
    <w:rsid w:val="00DC61C5"/>
    <w:rsid w:val="00DC667E"/>
    <w:rsid w:val="00DC69A0"/>
    <w:rsid w:val="00DC7DAF"/>
    <w:rsid w:val="00DD0713"/>
    <w:rsid w:val="00DD1090"/>
    <w:rsid w:val="00DD1520"/>
    <w:rsid w:val="00DD1903"/>
    <w:rsid w:val="00DD1A3B"/>
    <w:rsid w:val="00DD2065"/>
    <w:rsid w:val="00DD2BEC"/>
    <w:rsid w:val="00DD3051"/>
    <w:rsid w:val="00DD3A56"/>
    <w:rsid w:val="00DD456D"/>
    <w:rsid w:val="00DD46CA"/>
    <w:rsid w:val="00DD5605"/>
    <w:rsid w:val="00DD5716"/>
    <w:rsid w:val="00DD5FBC"/>
    <w:rsid w:val="00DD64AD"/>
    <w:rsid w:val="00DD6BDA"/>
    <w:rsid w:val="00DD707A"/>
    <w:rsid w:val="00DD776F"/>
    <w:rsid w:val="00DD7827"/>
    <w:rsid w:val="00DD7F79"/>
    <w:rsid w:val="00DE0573"/>
    <w:rsid w:val="00DE27E3"/>
    <w:rsid w:val="00DE2840"/>
    <w:rsid w:val="00DE2A9B"/>
    <w:rsid w:val="00DE348F"/>
    <w:rsid w:val="00DE3907"/>
    <w:rsid w:val="00DE3A0D"/>
    <w:rsid w:val="00DE42C0"/>
    <w:rsid w:val="00DE4ACE"/>
    <w:rsid w:val="00DE521C"/>
    <w:rsid w:val="00DE5D48"/>
    <w:rsid w:val="00DE643A"/>
    <w:rsid w:val="00DE6590"/>
    <w:rsid w:val="00DE65D9"/>
    <w:rsid w:val="00DE7AC1"/>
    <w:rsid w:val="00DF033F"/>
    <w:rsid w:val="00DF0ED4"/>
    <w:rsid w:val="00DF11F1"/>
    <w:rsid w:val="00DF1DBD"/>
    <w:rsid w:val="00DF2899"/>
    <w:rsid w:val="00DF3E05"/>
    <w:rsid w:val="00DF422F"/>
    <w:rsid w:val="00DF4557"/>
    <w:rsid w:val="00DF5A06"/>
    <w:rsid w:val="00DF60D3"/>
    <w:rsid w:val="00DF7072"/>
    <w:rsid w:val="00DF7320"/>
    <w:rsid w:val="00DF7897"/>
    <w:rsid w:val="00DF7F27"/>
    <w:rsid w:val="00E00686"/>
    <w:rsid w:val="00E02B92"/>
    <w:rsid w:val="00E03753"/>
    <w:rsid w:val="00E05A52"/>
    <w:rsid w:val="00E06F82"/>
    <w:rsid w:val="00E07ECB"/>
    <w:rsid w:val="00E10446"/>
    <w:rsid w:val="00E10AAD"/>
    <w:rsid w:val="00E114F8"/>
    <w:rsid w:val="00E11D41"/>
    <w:rsid w:val="00E11FEE"/>
    <w:rsid w:val="00E12DF9"/>
    <w:rsid w:val="00E13002"/>
    <w:rsid w:val="00E1364B"/>
    <w:rsid w:val="00E13963"/>
    <w:rsid w:val="00E13966"/>
    <w:rsid w:val="00E14140"/>
    <w:rsid w:val="00E144A9"/>
    <w:rsid w:val="00E14D66"/>
    <w:rsid w:val="00E16313"/>
    <w:rsid w:val="00E164B2"/>
    <w:rsid w:val="00E1744E"/>
    <w:rsid w:val="00E205A9"/>
    <w:rsid w:val="00E2071B"/>
    <w:rsid w:val="00E20754"/>
    <w:rsid w:val="00E21725"/>
    <w:rsid w:val="00E22196"/>
    <w:rsid w:val="00E229AE"/>
    <w:rsid w:val="00E23FA6"/>
    <w:rsid w:val="00E2459A"/>
    <w:rsid w:val="00E24871"/>
    <w:rsid w:val="00E24F99"/>
    <w:rsid w:val="00E25502"/>
    <w:rsid w:val="00E25653"/>
    <w:rsid w:val="00E257C1"/>
    <w:rsid w:val="00E25C8E"/>
    <w:rsid w:val="00E26760"/>
    <w:rsid w:val="00E27381"/>
    <w:rsid w:val="00E30406"/>
    <w:rsid w:val="00E30438"/>
    <w:rsid w:val="00E30BF9"/>
    <w:rsid w:val="00E313AD"/>
    <w:rsid w:val="00E31BD8"/>
    <w:rsid w:val="00E3246B"/>
    <w:rsid w:val="00E325D8"/>
    <w:rsid w:val="00E328FF"/>
    <w:rsid w:val="00E32961"/>
    <w:rsid w:val="00E32AD3"/>
    <w:rsid w:val="00E331B7"/>
    <w:rsid w:val="00E3365B"/>
    <w:rsid w:val="00E336E4"/>
    <w:rsid w:val="00E3400D"/>
    <w:rsid w:val="00E34436"/>
    <w:rsid w:val="00E34996"/>
    <w:rsid w:val="00E34CEB"/>
    <w:rsid w:val="00E3538C"/>
    <w:rsid w:val="00E35810"/>
    <w:rsid w:val="00E35F86"/>
    <w:rsid w:val="00E3648E"/>
    <w:rsid w:val="00E37263"/>
    <w:rsid w:val="00E374F7"/>
    <w:rsid w:val="00E37608"/>
    <w:rsid w:val="00E37751"/>
    <w:rsid w:val="00E37BDB"/>
    <w:rsid w:val="00E4079E"/>
    <w:rsid w:val="00E40D7F"/>
    <w:rsid w:val="00E41A03"/>
    <w:rsid w:val="00E41ABD"/>
    <w:rsid w:val="00E41E65"/>
    <w:rsid w:val="00E421CC"/>
    <w:rsid w:val="00E425E6"/>
    <w:rsid w:val="00E429EF"/>
    <w:rsid w:val="00E430DF"/>
    <w:rsid w:val="00E434F9"/>
    <w:rsid w:val="00E43CA1"/>
    <w:rsid w:val="00E44793"/>
    <w:rsid w:val="00E44950"/>
    <w:rsid w:val="00E44AD3"/>
    <w:rsid w:val="00E45377"/>
    <w:rsid w:val="00E45DC9"/>
    <w:rsid w:val="00E46EC3"/>
    <w:rsid w:val="00E47C67"/>
    <w:rsid w:val="00E514C7"/>
    <w:rsid w:val="00E5156F"/>
    <w:rsid w:val="00E51BC2"/>
    <w:rsid w:val="00E51E96"/>
    <w:rsid w:val="00E52404"/>
    <w:rsid w:val="00E52F36"/>
    <w:rsid w:val="00E544B6"/>
    <w:rsid w:val="00E545B0"/>
    <w:rsid w:val="00E54861"/>
    <w:rsid w:val="00E54AFA"/>
    <w:rsid w:val="00E5516A"/>
    <w:rsid w:val="00E55347"/>
    <w:rsid w:val="00E5556C"/>
    <w:rsid w:val="00E55890"/>
    <w:rsid w:val="00E55D8D"/>
    <w:rsid w:val="00E56A40"/>
    <w:rsid w:val="00E57667"/>
    <w:rsid w:val="00E600C0"/>
    <w:rsid w:val="00E603F8"/>
    <w:rsid w:val="00E60ED2"/>
    <w:rsid w:val="00E60FC4"/>
    <w:rsid w:val="00E615F5"/>
    <w:rsid w:val="00E62CB9"/>
    <w:rsid w:val="00E62CD8"/>
    <w:rsid w:val="00E64E53"/>
    <w:rsid w:val="00E65A41"/>
    <w:rsid w:val="00E6715F"/>
    <w:rsid w:val="00E673FD"/>
    <w:rsid w:val="00E70061"/>
    <w:rsid w:val="00E7096F"/>
    <w:rsid w:val="00E71682"/>
    <w:rsid w:val="00E720FC"/>
    <w:rsid w:val="00E72401"/>
    <w:rsid w:val="00E7271A"/>
    <w:rsid w:val="00E7376C"/>
    <w:rsid w:val="00E748B6"/>
    <w:rsid w:val="00E74950"/>
    <w:rsid w:val="00E751F9"/>
    <w:rsid w:val="00E753B5"/>
    <w:rsid w:val="00E7566B"/>
    <w:rsid w:val="00E75F11"/>
    <w:rsid w:val="00E7700B"/>
    <w:rsid w:val="00E77C6E"/>
    <w:rsid w:val="00E809EB"/>
    <w:rsid w:val="00E8501C"/>
    <w:rsid w:val="00E851A5"/>
    <w:rsid w:val="00E851AA"/>
    <w:rsid w:val="00E8576B"/>
    <w:rsid w:val="00E85A30"/>
    <w:rsid w:val="00E85FBE"/>
    <w:rsid w:val="00E86CBC"/>
    <w:rsid w:val="00E870AB"/>
    <w:rsid w:val="00E9082B"/>
    <w:rsid w:val="00E911CE"/>
    <w:rsid w:val="00E91664"/>
    <w:rsid w:val="00E91C0B"/>
    <w:rsid w:val="00E924C5"/>
    <w:rsid w:val="00E92AD8"/>
    <w:rsid w:val="00E92D29"/>
    <w:rsid w:val="00E92D44"/>
    <w:rsid w:val="00E9394D"/>
    <w:rsid w:val="00E94337"/>
    <w:rsid w:val="00E94965"/>
    <w:rsid w:val="00E94A5A"/>
    <w:rsid w:val="00E96BBA"/>
    <w:rsid w:val="00E973A0"/>
    <w:rsid w:val="00E975EF"/>
    <w:rsid w:val="00EA11FC"/>
    <w:rsid w:val="00EA1C42"/>
    <w:rsid w:val="00EA2324"/>
    <w:rsid w:val="00EA3529"/>
    <w:rsid w:val="00EA42DD"/>
    <w:rsid w:val="00EA49B8"/>
    <w:rsid w:val="00EA4A5A"/>
    <w:rsid w:val="00EA4F11"/>
    <w:rsid w:val="00EA5A37"/>
    <w:rsid w:val="00EA5F42"/>
    <w:rsid w:val="00EA61F1"/>
    <w:rsid w:val="00EA62A2"/>
    <w:rsid w:val="00EA655B"/>
    <w:rsid w:val="00EA68D6"/>
    <w:rsid w:val="00EA6C92"/>
    <w:rsid w:val="00EA7669"/>
    <w:rsid w:val="00EA7C44"/>
    <w:rsid w:val="00EB016A"/>
    <w:rsid w:val="00EB0C1A"/>
    <w:rsid w:val="00EB15FB"/>
    <w:rsid w:val="00EB1E31"/>
    <w:rsid w:val="00EB1EA2"/>
    <w:rsid w:val="00EB21C2"/>
    <w:rsid w:val="00EB26ED"/>
    <w:rsid w:val="00EB279C"/>
    <w:rsid w:val="00EB320E"/>
    <w:rsid w:val="00EB4FFB"/>
    <w:rsid w:val="00EB598D"/>
    <w:rsid w:val="00EB7271"/>
    <w:rsid w:val="00EC0FD6"/>
    <w:rsid w:val="00EC190C"/>
    <w:rsid w:val="00EC27BB"/>
    <w:rsid w:val="00EC31D1"/>
    <w:rsid w:val="00EC3C4B"/>
    <w:rsid w:val="00EC3CF5"/>
    <w:rsid w:val="00EC3E9E"/>
    <w:rsid w:val="00EC42C8"/>
    <w:rsid w:val="00EC5A7B"/>
    <w:rsid w:val="00EC5B60"/>
    <w:rsid w:val="00EC5EF1"/>
    <w:rsid w:val="00EC6072"/>
    <w:rsid w:val="00EC75EC"/>
    <w:rsid w:val="00EC798B"/>
    <w:rsid w:val="00ED046A"/>
    <w:rsid w:val="00ED145A"/>
    <w:rsid w:val="00ED183B"/>
    <w:rsid w:val="00ED2F0F"/>
    <w:rsid w:val="00ED3203"/>
    <w:rsid w:val="00ED337A"/>
    <w:rsid w:val="00ED367A"/>
    <w:rsid w:val="00ED4A83"/>
    <w:rsid w:val="00ED50C9"/>
    <w:rsid w:val="00ED603D"/>
    <w:rsid w:val="00ED6328"/>
    <w:rsid w:val="00ED6345"/>
    <w:rsid w:val="00ED672A"/>
    <w:rsid w:val="00ED6BF1"/>
    <w:rsid w:val="00ED6C96"/>
    <w:rsid w:val="00ED6FE7"/>
    <w:rsid w:val="00ED7570"/>
    <w:rsid w:val="00ED7918"/>
    <w:rsid w:val="00EE01BA"/>
    <w:rsid w:val="00EE0A61"/>
    <w:rsid w:val="00EE1534"/>
    <w:rsid w:val="00EE199A"/>
    <w:rsid w:val="00EE3AD2"/>
    <w:rsid w:val="00EE558E"/>
    <w:rsid w:val="00EE645F"/>
    <w:rsid w:val="00EE6918"/>
    <w:rsid w:val="00EF0047"/>
    <w:rsid w:val="00EF072D"/>
    <w:rsid w:val="00EF135F"/>
    <w:rsid w:val="00EF1B00"/>
    <w:rsid w:val="00EF375B"/>
    <w:rsid w:val="00EF38F2"/>
    <w:rsid w:val="00EF41B6"/>
    <w:rsid w:val="00EF4A7B"/>
    <w:rsid w:val="00EF5ED3"/>
    <w:rsid w:val="00EF64A3"/>
    <w:rsid w:val="00EF71EE"/>
    <w:rsid w:val="00EF74B5"/>
    <w:rsid w:val="00EF7825"/>
    <w:rsid w:val="00F0044E"/>
    <w:rsid w:val="00F009A6"/>
    <w:rsid w:val="00F010E9"/>
    <w:rsid w:val="00F01974"/>
    <w:rsid w:val="00F0290D"/>
    <w:rsid w:val="00F02F72"/>
    <w:rsid w:val="00F0307B"/>
    <w:rsid w:val="00F03948"/>
    <w:rsid w:val="00F04771"/>
    <w:rsid w:val="00F04F98"/>
    <w:rsid w:val="00F05675"/>
    <w:rsid w:val="00F056BB"/>
    <w:rsid w:val="00F05F14"/>
    <w:rsid w:val="00F06DFD"/>
    <w:rsid w:val="00F0752F"/>
    <w:rsid w:val="00F075A1"/>
    <w:rsid w:val="00F0765A"/>
    <w:rsid w:val="00F10236"/>
    <w:rsid w:val="00F104E3"/>
    <w:rsid w:val="00F10A6C"/>
    <w:rsid w:val="00F11344"/>
    <w:rsid w:val="00F11621"/>
    <w:rsid w:val="00F125FA"/>
    <w:rsid w:val="00F1277D"/>
    <w:rsid w:val="00F135D5"/>
    <w:rsid w:val="00F137C8"/>
    <w:rsid w:val="00F13836"/>
    <w:rsid w:val="00F13863"/>
    <w:rsid w:val="00F13B9C"/>
    <w:rsid w:val="00F14190"/>
    <w:rsid w:val="00F14494"/>
    <w:rsid w:val="00F158B8"/>
    <w:rsid w:val="00F15C0E"/>
    <w:rsid w:val="00F16015"/>
    <w:rsid w:val="00F16A50"/>
    <w:rsid w:val="00F16B55"/>
    <w:rsid w:val="00F17396"/>
    <w:rsid w:val="00F17C65"/>
    <w:rsid w:val="00F20046"/>
    <w:rsid w:val="00F21062"/>
    <w:rsid w:val="00F215A0"/>
    <w:rsid w:val="00F21E7C"/>
    <w:rsid w:val="00F22176"/>
    <w:rsid w:val="00F228D8"/>
    <w:rsid w:val="00F22F76"/>
    <w:rsid w:val="00F2317A"/>
    <w:rsid w:val="00F23C66"/>
    <w:rsid w:val="00F23D8D"/>
    <w:rsid w:val="00F23F7E"/>
    <w:rsid w:val="00F242DC"/>
    <w:rsid w:val="00F24BD1"/>
    <w:rsid w:val="00F260C9"/>
    <w:rsid w:val="00F2635F"/>
    <w:rsid w:val="00F27191"/>
    <w:rsid w:val="00F27404"/>
    <w:rsid w:val="00F278C4"/>
    <w:rsid w:val="00F27DA3"/>
    <w:rsid w:val="00F3085A"/>
    <w:rsid w:val="00F30905"/>
    <w:rsid w:val="00F314A2"/>
    <w:rsid w:val="00F32894"/>
    <w:rsid w:val="00F32A44"/>
    <w:rsid w:val="00F32F58"/>
    <w:rsid w:val="00F333B8"/>
    <w:rsid w:val="00F33A07"/>
    <w:rsid w:val="00F33B22"/>
    <w:rsid w:val="00F33B6F"/>
    <w:rsid w:val="00F340D3"/>
    <w:rsid w:val="00F34415"/>
    <w:rsid w:val="00F3478A"/>
    <w:rsid w:val="00F353BC"/>
    <w:rsid w:val="00F35686"/>
    <w:rsid w:val="00F3614C"/>
    <w:rsid w:val="00F3738D"/>
    <w:rsid w:val="00F37786"/>
    <w:rsid w:val="00F377DB"/>
    <w:rsid w:val="00F37E99"/>
    <w:rsid w:val="00F41035"/>
    <w:rsid w:val="00F4242E"/>
    <w:rsid w:val="00F424A3"/>
    <w:rsid w:val="00F42F6A"/>
    <w:rsid w:val="00F431B8"/>
    <w:rsid w:val="00F43CF7"/>
    <w:rsid w:val="00F443AD"/>
    <w:rsid w:val="00F44F27"/>
    <w:rsid w:val="00F45B92"/>
    <w:rsid w:val="00F45F1D"/>
    <w:rsid w:val="00F46401"/>
    <w:rsid w:val="00F471FD"/>
    <w:rsid w:val="00F4768E"/>
    <w:rsid w:val="00F503E0"/>
    <w:rsid w:val="00F5043D"/>
    <w:rsid w:val="00F50BCC"/>
    <w:rsid w:val="00F50C08"/>
    <w:rsid w:val="00F5159B"/>
    <w:rsid w:val="00F51E48"/>
    <w:rsid w:val="00F52AC0"/>
    <w:rsid w:val="00F52E2D"/>
    <w:rsid w:val="00F536BB"/>
    <w:rsid w:val="00F54084"/>
    <w:rsid w:val="00F5476D"/>
    <w:rsid w:val="00F549A1"/>
    <w:rsid w:val="00F5603F"/>
    <w:rsid w:val="00F57DA4"/>
    <w:rsid w:val="00F603F8"/>
    <w:rsid w:val="00F6062F"/>
    <w:rsid w:val="00F606A7"/>
    <w:rsid w:val="00F606C2"/>
    <w:rsid w:val="00F60B09"/>
    <w:rsid w:val="00F61877"/>
    <w:rsid w:val="00F61ACE"/>
    <w:rsid w:val="00F61D84"/>
    <w:rsid w:val="00F64888"/>
    <w:rsid w:val="00F65260"/>
    <w:rsid w:val="00F6612D"/>
    <w:rsid w:val="00F662BB"/>
    <w:rsid w:val="00F66A9E"/>
    <w:rsid w:val="00F67239"/>
    <w:rsid w:val="00F70762"/>
    <w:rsid w:val="00F70856"/>
    <w:rsid w:val="00F721CA"/>
    <w:rsid w:val="00F72655"/>
    <w:rsid w:val="00F737D7"/>
    <w:rsid w:val="00F73B9F"/>
    <w:rsid w:val="00F740A0"/>
    <w:rsid w:val="00F74801"/>
    <w:rsid w:val="00F74AE7"/>
    <w:rsid w:val="00F75BB0"/>
    <w:rsid w:val="00F76B6A"/>
    <w:rsid w:val="00F76BEA"/>
    <w:rsid w:val="00F76C17"/>
    <w:rsid w:val="00F80F83"/>
    <w:rsid w:val="00F81011"/>
    <w:rsid w:val="00F81AEE"/>
    <w:rsid w:val="00F81B08"/>
    <w:rsid w:val="00F81BDE"/>
    <w:rsid w:val="00F8258B"/>
    <w:rsid w:val="00F82614"/>
    <w:rsid w:val="00F826C1"/>
    <w:rsid w:val="00F828EE"/>
    <w:rsid w:val="00F82D78"/>
    <w:rsid w:val="00F8373D"/>
    <w:rsid w:val="00F83970"/>
    <w:rsid w:val="00F84018"/>
    <w:rsid w:val="00F84B5A"/>
    <w:rsid w:val="00F84B93"/>
    <w:rsid w:val="00F84D11"/>
    <w:rsid w:val="00F855B5"/>
    <w:rsid w:val="00F858B5"/>
    <w:rsid w:val="00F85FF6"/>
    <w:rsid w:val="00F868C1"/>
    <w:rsid w:val="00F87A66"/>
    <w:rsid w:val="00F87CBF"/>
    <w:rsid w:val="00F9230A"/>
    <w:rsid w:val="00F92626"/>
    <w:rsid w:val="00F92B52"/>
    <w:rsid w:val="00F93BBC"/>
    <w:rsid w:val="00F9442A"/>
    <w:rsid w:val="00F94F5F"/>
    <w:rsid w:val="00F958C2"/>
    <w:rsid w:val="00F95F56"/>
    <w:rsid w:val="00F96137"/>
    <w:rsid w:val="00F9644D"/>
    <w:rsid w:val="00F97296"/>
    <w:rsid w:val="00F979AC"/>
    <w:rsid w:val="00FA0BA0"/>
    <w:rsid w:val="00FA19C1"/>
    <w:rsid w:val="00FA25EE"/>
    <w:rsid w:val="00FA34D2"/>
    <w:rsid w:val="00FA3B86"/>
    <w:rsid w:val="00FA4969"/>
    <w:rsid w:val="00FA53D7"/>
    <w:rsid w:val="00FA58E1"/>
    <w:rsid w:val="00FA60BD"/>
    <w:rsid w:val="00FA6796"/>
    <w:rsid w:val="00FA6DDC"/>
    <w:rsid w:val="00FA7557"/>
    <w:rsid w:val="00FA7558"/>
    <w:rsid w:val="00FA774E"/>
    <w:rsid w:val="00FB1905"/>
    <w:rsid w:val="00FB1E74"/>
    <w:rsid w:val="00FB2347"/>
    <w:rsid w:val="00FB2D85"/>
    <w:rsid w:val="00FB3587"/>
    <w:rsid w:val="00FB3B2E"/>
    <w:rsid w:val="00FB3D97"/>
    <w:rsid w:val="00FB440B"/>
    <w:rsid w:val="00FB4510"/>
    <w:rsid w:val="00FB4A92"/>
    <w:rsid w:val="00FB56AF"/>
    <w:rsid w:val="00FB585F"/>
    <w:rsid w:val="00FB5AA2"/>
    <w:rsid w:val="00FB63BC"/>
    <w:rsid w:val="00FB6514"/>
    <w:rsid w:val="00FC05C0"/>
    <w:rsid w:val="00FC085D"/>
    <w:rsid w:val="00FC1CE1"/>
    <w:rsid w:val="00FC29E0"/>
    <w:rsid w:val="00FC2B13"/>
    <w:rsid w:val="00FC3E96"/>
    <w:rsid w:val="00FC5728"/>
    <w:rsid w:val="00FC572D"/>
    <w:rsid w:val="00FC6714"/>
    <w:rsid w:val="00FC6E87"/>
    <w:rsid w:val="00FC7EBB"/>
    <w:rsid w:val="00FC7F08"/>
    <w:rsid w:val="00FD0FD1"/>
    <w:rsid w:val="00FD106D"/>
    <w:rsid w:val="00FD13AA"/>
    <w:rsid w:val="00FD1975"/>
    <w:rsid w:val="00FD1A3D"/>
    <w:rsid w:val="00FD2191"/>
    <w:rsid w:val="00FD266B"/>
    <w:rsid w:val="00FD2B28"/>
    <w:rsid w:val="00FD2D33"/>
    <w:rsid w:val="00FD4710"/>
    <w:rsid w:val="00FD5B50"/>
    <w:rsid w:val="00FD63FC"/>
    <w:rsid w:val="00FE0670"/>
    <w:rsid w:val="00FE2147"/>
    <w:rsid w:val="00FE219D"/>
    <w:rsid w:val="00FE246F"/>
    <w:rsid w:val="00FE2620"/>
    <w:rsid w:val="00FE3864"/>
    <w:rsid w:val="00FE3E75"/>
    <w:rsid w:val="00FE4B0E"/>
    <w:rsid w:val="00FE4D6E"/>
    <w:rsid w:val="00FE6349"/>
    <w:rsid w:val="00FE7282"/>
    <w:rsid w:val="00FE7304"/>
    <w:rsid w:val="00FE78EF"/>
    <w:rsid w:val="00FE79B7"/>
    <w:rsid w:val="00FF0310"/>
    <w:rsid w:val="00FF11DA"/>
    <w:rsid w:val="00FF23DE"/>
    <w:rsid w:val="00FF2792"/>
    <w:rsid w:val="00FF3258"/>
    <w:rsid w:val="00FF38CF"/>
    <w:rsid w:val="00FF59D0"/>
    <w:rsid w:val="00FF7454"/>
    <w:rsid w:val="013C2BE8"/>
    <w:rsid w:val="013D4B1C"/>
    <w:rsid w:val="014B161B"/>
    <w:rsid w:val="01777BF4"/>
    <w:rsid w:val="01D55328"/>
    <w:rsid w:val="01FB5C4F"/>
    <w:rsid w:val="02355837"/>
    <w:rsid w:val="0256548E"/>
    <w:rsid w:val="02890D36"/>
    <w:rsid w:val="029370C7"/>
    <w:rsid w:val="0299635A"/>
    <w:rsid w:val="02FE014F"/>
    <w:rsid w:val="02FF41F8"/>
    <w:rsid w:val="0314419D"/>
    <w:rsid w:val="03593DC5"/>
    <w:rsid w:val="03D12F2D"/>
    <w:rsid w:val="0411355C"/>
    <w:rsid w:val="048D3A69"/>
    <w:rsid w:val="04A30FCF"/>
    <w:rsid w:val="04AE774F"/>
    <w:rsid w:val="04E24159"/>
    <w:rsid w:val="04E81B1A"/>
    <w:rsid w:val="05097AD0"/>
    <w:rsid w:val="058058AC"/>
    <w:rsid w:val="05CC0E93"/>
    <w:rsid w:val="062B6B7E"/>
    <w:rsid w:val="06443FD4"/>
    <w:rsid w:val="06C323B5"/>
    <w:rsid w:val="07277E4A"/>
    <w:rsid w:val="07303E30"/>
    <w:rsid w:val="078F32E1"/>
    <w:rsid w:val="08073E22"/>
    <w:rsid w:val="08822685"/>
    <w:rsid w:val="08E2076F"/>
    <w:rsid w:val="08F31FA8"/>
    <w:rsid w:val="08FA104A"/>
    <w:rsid w:val="08FA57C7"/>
    <w:rsid w:val="09246605"/>
    <w:rsid w:val="099E5960"/>
    <w:rsid w:val="09AA1547"/>
    <w:rsid w:val="0A765FB8"/>
    <w:rsid w:val="0A814349"/>
    <w:rsid w:val="0AF8308E"/>
    <w:rsid w:val="0B352404"/>
    <w:rsid w:val="0B5750BC"/>
    <w:rsid w:val="0BBA4214"/>
    <w:rsid w:val="0BBB1258"/>
    <w:rsid w:val="0BE05B27"/>
    <w:rsid w:val="0C4105DA"/>
    <w:rsid w:val="0C483CB5"/>
    <w:rsid w:val="0C5F0057"/>
    <w:rsid w:val="0C92510C"/>
    <w:rsid w:val="0CBD6B55"/>
    <w:rsid w:val="0CFB19FB"/>
    <w:rsid w:val="0D1D4BC1"/>
    <w:rsid w:val="0D675788"/>
    <w:rsid w:val="0D8D654B"/>
    <w:rsid w:val="0DA914DF"/>
    <w:rsid w:val="0E2370F0"/>
    <w:rsid w:val="0E263246"/>
    <w:rsid w:val="0E3015D7"/>
    <w:rsid w:val="0E3C50EF"/>
    <w:rsid w:val="0E6A02CB"/>
    <w:rsid w:val="0FD3569A"/>
    <w:rsid w:val="0FF22FB9"/>
    <w:rsid w:val="101500B2"/>
    <w:rsid w:val="10301D7B"/>
    <w:rsid w:val="10507C42"/>
    <w:rsid w:val="105A7962"/>
    <w:rsid w:val="109C3C4F"/>
    <w:rsid w:val="10B27FF1"/>
    <w:rsid w:val="10F17C33"/>
    <w:rsid w:val="114F5A7F"/>
    <w:rsid w:val="115C57C9"/>
    <w:rsid w:val="11F62C07"/>
    <w:rsid w:val="124F3295"/>
    <w:rsid w:val="12C56E3E"/>
    <w:rsid w:val="13737B75"/>
    <w:rsid w:val="13810E4C"/>
    <w:rsid w:val="13B43E61"/>
    <w:rsid w:val="144542CF"/>
    <w:rsid w:val="147719A1"/>
    <w:rsid w:val="148C1946"/>
    <w:rsid w:val="14B8240A"/>
    <w:rsid w:val="153E27FD"/>
    <w:rsid w:val="154C7218"/>
    <w:rsid w:val="16323F16"/>
    <w:rsid w:val="170A1F30"/>
    <w:rsid w:val="17707100"/>
    <w:rsid w:val="17853822"/>
    <w:rsid w:val="17E06C0C"/>
    <w:rsid w:val="18947263"/>
    <w:rsid w:val="190A4EF2"/>
    <w:rsid w:val="1965570E"/>
    <w:rsid w:val="196C5A40"/>
    <w:rsid w:val="19764D84"/>
    <w:rsid w:val="198463D0"/>
    <w:rsid w:val="19C2556A"/>
    <w:rsid w:val="19C41B53"/>
    <w:rsid w:val="19FE6FFE"/>
    <w:rsid w:val="1A121912"/>
    <w:rsid w:val="1A2608F3"/>
    <w:rsid w:val="1A336B23"/>
    <w:rsid w:val="1AF9516D"/>
    <w:rsid w:val="1BB15445"/>
    <w:rsid w:val="1BCD57AB"/>
    <w:rsid w:val="1C0E1A98"/>
    <w:rsid w:val="1C381E84"/>
    <w:rsid w:val="1C401746"/>
    <w:rsid w:val="1C490289"/>
    <w:rsid w:val="1C6F4FB4"/>
    <w:rsid w:val="1C8732D6"/>
    <w:rsid w:val="1C9C1B91"/>
    <w:rsid w:val="1CA6768D"/>
    <w:rsid w:val="1CDB5968"/>
    <w:rsid w:val="1D170C86"/>
    <w:rsid w:val="1D1F6145"/>
    <w:rsid w:val="1D54432D"/>
    <w:rsid w:val="1DB635C6"/>
    <w:rsid w:val="1E2D620F"/>
    <w:rsid w:val="1E422931"/>
    <w:rsid w:val="1E9C2BD2"/>
    <w:rsid w:val="1EB65B04"/>
    <w:rsid w:val="1F4B7FF0"/>
    <w:rsid w:val="1F5E4382"/>
    <w:rsid w:val="1F8F2FC4"/>
    <w:rsid w:val="20325EC0"/>
    <w:rsid w:val="20621846"/>
    <w:rsid w:val="20790DD5"/>
    <w:rsid w:val="208244E5"/>
    <w:rsid w:val="20D34741"/>
    <w:rsid w:val="21856355"/>
    <w:rsid w:val="218D2C68"/>
    <w:rsid w:val="21BD09EA"/>
    <w:rsid w:val="21C734F7"/>
    <w:rsid w:val="21D2510C"/>
    <w:rsid w:val="21DD430A"/>
    <w:rsid w:val="21F0363B"/>
    <w:rsid w:val="22B60C01"/>
    <w:rsid w:val="231879A1"/>
    <w:rsid w:val="239A46F7"/>
    <w:rsid w:val="2411343C"/>
    <w:rsid w:val="241C01AD"/>
    <w:rsid w:val="249F6523"/>
    <w:rsid w:val="24A65CC9"/>
    <w:rsid w:val="24B67467"/>
    <w:rsid w:val="24E3487F"/>
    <w:rsid w:val="25333A00"/>
    <w:rsid w:val="259E5CBD"/>
    <w:rsid w:val="25B84A72"/>
    <w:rsid w:val="2699467B"/>
    <w:rsid w:val="26B223D2"/>
    <w:rsid w:val="26B6478B"/>
    <w:rsid w:val="26C9119A"/>
    <w:rsid w:val="26CA35AD"/>
    <w:rsid w:val="27053567"/>
    <w:rsid w:val="27AD1BAF"/>
    <w:rsid w:val="27DC6979"/>
    <w:rsid w:val="28B1694E"/>
    <w:rsid w:val="28BC0562"/>
    <w:rsid w:val="29557225"/>
    <w:rsid w:val="296D0CD1"/>
    <w:rsid w:val="29747D10"/>
    <w:rsid w:val="29CF00B1"/>
    <w:rsid w:val="29F23B7C"/>
    <w:rsid w:val="29FA510A"/>
    <w:rsid w:val="2A2D713F"/>
    <w:rsid w:val="2A416914"/>
    <w:rsid w:val="2A423861"/>
    <w:rsid w:val="2A63541A"/>
    <w:rsid w:val="2A8F5EDF"/>
    <w:rsid w:val="2A922F77"/>
    <w:rsid w:val="2AA84B6D"/>
    <w:rsid w:val="2ABF0192"/>
    <w:rsid w:val="2AFB6893"/>
    <w:rsid w:val="2B4104F9"/>
    <w:rsid w:val="2B5D29A8"/>
    <w:rsid w:val="2B761974"/>
    <w:rsid w:val="2B937D0B"/>
    <w:rsid w:val="2CEB12F2"/>
    <w:rsid w:val="2D064E8A"/>
    <w:rsid w:val="2D964B2C"/>
    <w:rsid w:val="2DA55B88"/>
    <w:rsid w:val="2DFB24BE"/>
    <w:rsid w:val="2E1E06B9"/>
    <w:rsid w:val="2E896632"/>
    <w:rsid w:val="2EB61B31"/>
    <w:rsid w:val="2EBA484A"/>
    <w:rsid w:val="2EF8259B"/>
    <w:rsid w:val="2F054512"/>
    <w:rsid w:val="2F064E19"/>
    <w:rsid w:val="2F2954D5"/>
    <w:rsid w:val="2F665BC2"/>
    <w:rsid w:val="2F9959A7"/>
    <w:rsid w:val="2FDE4A00"/>
    <w:rsid w:val="30A957E4"/>
    <w:rsid w:val="30C56DD2"/>
    <w:rsid w:val="30F93D0C"/>
    <w:rsid w:val="31791FF8"/>
    <w:rsid w:val="31843689"/>
    <w:rsid w:val="3198766B"/>
    <w:rsid w:val="319D0DD6"/>
    <w:rsid w:val="32222C57"/>
    <w:rsid w:val="3293788C"/>
    <w:rsid w:val="32974479"/>
    <w:rsid w:val="32DE1F01"/>
    <w:rsid w:val="32E870DF"/>
    <w:rsid w:val="331630E9"/>
    <w:rsid w:val="335F6FD7"/>
    <w:rsid w:val="338A1331"/>
    <w:rsid w:val="33B771C8"/>
    <w:rsid w:val="34C131AF"/>
    <w:rsid w:val="34E34080"/>
    <w:rsid w:val="34E87C04"/>
    <w:rsid w:val="351475A7"/>
    <w:rsid w:val="35476355"/>
    <w:rsid w:val="356928AF"/>
    <w:rsid w:val="3579545F"/>
    <w:rsid w:val="35D579E0"/>
    <w:rsid w:val="35DB17EF"/>
    <w:rsid w:val="35E35887"/>
    <w:rsid w:val="36013D27"/>
    <w:rsid w:val="36025D97"/>
    <w:rsid w:val="367A16E4"/>
    <w:rsid w:val="36DB3EF8"/>
    <w:rsid w:val="36E47B9D"/>
    <w:rsid w:val="36F01AF3"/>
    <w:rsid w:val="37110C64"/>
    <w:rsid w:val="3859271F"/>
    <w:rsid w:val="38733E42"/>
    <w:rsid w:val="389E43A6"/>
    <w:rsid w:val="38B82E6B"/>
    <w:rsid w:val="38C2712E"/>
    <w:rsid w:val="38E70CD8"/>
    <w:rsid w:val="38FE128F"/>
    <w:rsid w:val="39072347"/>
    <w:rsid w:val="39676026"/>
    <w:rsid w:val="39A62C24"/>
    <w:rsid w:val="39DF7ECE"/>
    <w:rsid w:val="3A29797A"/>
    <w:rsid w:val="3A341FAE"/>
    <w:rsid w:val="3A3E409C"/>
    <w:rsid w:val="3A5B7D04"/>
    <w:rsid w:val="3AC53AEC"/>
    <w:rsid w:val="3B1D351E"/>
    <w:rsid w:val="3B2575DE"/>
    <w:rsid w:val="3B365BA1"/>
    <w:rsid w:val="3B6E0E96"/>
    <w:rsid w:val="3B9B3666"/>
    <w:rsid w:val="3C027649"/>
    <w:rsid w:val="3C682428"/>
    <w:rsid w:val="3D417B8C"/>
    <w:rsid w:val="3D4402AC"/>
    <w:rsid w:val="3D4C5F1D"/>
    <w:rsid w:val="3D4F4006"/>
    <w:rsid w:val="3D932E36"/>
    <w:rsid w:val="3DB325F4"/>
    <w:rsid w:val="3DEB2C72"/>
    <w:rsid w:val="3E1A5671"/>
    <w:rsid w:val="3E667CEF"/>
    <w:rsid w:val="3E7C130A"/>
    <w:rsid w:val="3ED34AA0"/>
    <w:rsid w:val="3EF73899"/>
    <w:rsid w:val="3F1161E7"/>
    <w:rsid w:val="3F14056A"/>
    <w:rsid w:val="3F2A54AE"/>
    <w:rsid w:val="3F6E789D"/>
    <w:rsid w:val="3FD01BE5"/>
    <w:rsid w:val="3FE04FF8"/>
    <w:rsid w:val="3FED2FEE"/>
    <w:rsid w:val="3FF948DF"/>
    <w:rsid w:val="40245A27"/>
    <w:rsid w:val="404E5B71"/>
    <w:rsid w:val="40B118C6"/>
    <w:rsid w:val="40EB11DB"/>
    <w:rsid w:val="412874F2"/>
    <w:rsid w:val="41456493"/>
    <w:rsid w:val="41D045A0"/>
    <w:rsid w:val="42014C57"/>
    <w:rsid w:val="42161379"/>
    <w:rsid w:val="42323CE4"/>
    <w:rsid w:val="424122DE"/>
    <w:rsid w:val="424C5CAA"/>
    <w:rsid w:val="42512785"/>
    <w:rsid w:val="4253281B"/>
    <w:rsid w:val="42AF6075"/>
    <w:rsid w:val="42CF43AB"/>
    <w:rsid w:val="42EE6E5E"/>
    <w:rsid w:val="43204EC2"/>
    <w:rsid w:val="43B618D1"/>
    <w:rsid w:val="43C845C3"/>
    <w:rsid w:val="444E6B40"/>
    <w:rsid w:val="44707CD3"/>
    <w:rsid w:val="44DA4046"/>
    <w:rsid w:val="44E01002"/>
    <w:rsid w:val="45123FBD"/>
    <w:rsid w:val="45885AA6"/>
    <w:rsid w:val="458E433B"/>
    <w:rsid w:val="45BA7B32"/>
    <w:rsid w:val="45CF5A88"/>
    <w:rsid w:val="46737A24"/>
    <w:rsid w:val="46CA0433"/>
    <w:rsid w:val="47995A97"/>
    <w:rsid w:val="47B93D99"/>
    <w:rsid w:val="47C92275"/>
    <w:rsid w:val="4828470F"/>
    <w:rsid w:val="48516FB5"/>
    <w:rsid w:val="488D35E3"/>
    <w:rsid w:val="48A57EC2"/>
    <w:rsid w:val="48B459D5"/>
    <w:rsid w:val="48FF5A97"/>
    <w:rsid w:val="493337A9"/>
    <w:rsid w:val="493D1724"/>
    <w:rsid w:val="49497D40"/>
    <w:rsid w:val="4A9216E3"/>
    <w:rsid w:val="4AE820F1"/>
    <w:rsid w:val="4B691C1A"/>
    <w:rsid w:val="4B794A95"/>
    <w:rsid w:val="4BC52E28"/>
    <w:rsid w:val="4CDC33F8"/>
    <w:rsid w:val="4CDC3E37"/>
    <w:rsid w:val="4D951248"/>
    <w:rsid w:val="4DF7294E"/>
    <w:rsid w:val="4E2F2816"/>
    <w:rsid w:val="4E634927"/>
    <w:rsid w:val="4E734FE6"/>
    <w:rsid w:val="4EE259CC"/>
    <w:rsid w:val="4F096709"/>
    <w:rsid w:val="4F105D44"/>
    <w:rsid w:val="4F355850"/>
    <w:rsid w:val="4F5C4B3F"/>
    <w:rsid w:val="4F8B14B0"/>
    <w:rsid w:val="4FB671CF"/>
    <w:rsid w:val="4FC136F4"/>
    <w:rsid w:val="4FE92F20"/>
    <w:rsid w:val="4FEE276A"/>
    <w:rsid w:val="4FFD7F4B"/>
    <w:rsid w:val="501F5F01"/>
    <w:rsid w:val="508C0176"/>
    <w:rsid w:val="50BF05A8"/>
    <w:rsid w:val="52077FA0"/>
    <w:rsid w:val="52901792"/>
    <w:rsid w:val="52F61E27"/>
    <w:rsid w:val="532A449A"/>
    <w:rsid w:val="533119AC"/>
    <w:rsid w:val="537528BC"/>
    <w:rsid w:val="53EB4DFF"/>
    <w:rsid w:val="54400018"/>
    <w:rsid w:val="545C6276"/>
    <w:rsid w:val="54C77D84"/>
    <w:rsid w:val="54DD6AF9"/>
    <w:rsid w:val="54EA382C"/>
    <w:rsid w:val="54EE740C"/>
    <w:rsid w:val="5537272A"/>
    <w:rsid w:val="556C60B3"/>
    <w:rsid w:val="557918C1"/>
    <w:rsid w:val="561A74D1"/>
    <w:rsid w:val="562E04CB"/>
    <w:rsid w:val="56493E35"/>
    <w:rsid w:val="57283E0B"/>
    <w:rsid w:val="574A1DC1"/>
    <w:rsid w:val="57C00B06"/>
    <w:rsid w:val="57CC0FC7"/>
    <w:rsid w:val="57D142CB"/>
    <w:rsid w:val="58021570"/>
    <w:rsid w:val="580E5197"/>
    <w:rsid w:val="5831455A"/>
    <w:rsid w:val="583302DE"/>
    <w:rsid w:val="5863030F"/>
    <w:rsid w:val="58B07A56"/>
    <w:rsid w:val="58E55967"/>
    <w:rsid w:val="5906339C"/>
    <w:rsid w:val="5915699E"/>
    <w:rsid w:val="592616D2"/>
    <w:rsid w:val="59341B00"/>
    <w:rsid w:val="594971F2"/>
    <w:rsid w:val="59BA6914"/>
    <w:rsid w:val="59DE0E81"/>
    <w:rsid w:val="59F55223"/>
    <w:rsid w:val="59FF35B4"/>
    <w:rsid w:val="5A04705D"/>
    <w:rsid w:val="5A056964"/>
    <w:rsid w:val="5A166E71"/>
    <w:rsid w:val="5AA12DA0"/>
    <w:rsid w:val="5AA601F5"/>
    <w:rsid w:val="5AA77DC2"/>
    <w:rsid w:val="5AE470AA"/>
    <w:rsid w:val="5B301727"/>
    <w:rsid w:val="5B417E2A"/>
    <w:rsid w:val="5B5A5DEF"/>
    <w:rsid w:val="5B6339F0"/>
    <w:rsid w:val="5B7C7236"/>
    <w:rsid w:val="5BC56904"/>
    <w:rsid w:val="5C0A6E8C"/>
    <w:rsid w:val="5C303574"/>
    <w:rsid w:val="5CAE15E3"/>
    <w:rsid w:val="5CCA3A2A"/>
    <w:rsid w:val="5CEC2D02"/>
    <w:rsid w:val="5D2353DA"/>
    <w:rsid w:val="5D345E60"/>
    <w:rsid w:val="5D6C156B"/>
    <w:rsid w:val="5D8F31C2"/>
    <w:rsid w:val="5DF034C7"/>
    <w:rsid w:val="5E1E7C25"/>
    <w:rsid w:val="5E364A4E"/>
    <w:rsid w:val="5EBC3A41"/>
    <w:rsid w:val="5EFD567F"/>
    <w:rsid w:val="5F6D531F"/>
    <w:rsid w:val="5FA83496"/>
    <w:rsid w:val="5FAE2505"/>
    <w:rsid w:val="5FB53DC3"/>
    <w:rsid w:val="5FE00EBE"/>
    <w:rsid w:val="60056797"/>
    <w:rsid w:val="604B177D"/>
    <w:rsid w:val="60CB61F9"/>
    <w:rsid w:val="61094D40"/>
    <w:rsid w:val="613872F0"/>
    <w:rsid w:val="614172DE"/>
    <w:rsid w:val="6160574F"/>
    <w:rsid w:val="6171096B"/>
    <w:rsid w:val="62447F52"/>
    <w:rsid w:val="62E35058"/>
    <w:rsid w:val="62ED5A7A"/>
    <w:rsid w:val="636A546F"/>
    <w:rsid w:val="63AD6B42"/>
    <w:rsid w:val="6424573C"/>
    <w:rsid w:val="642A353F"/>
    <w:rsid w:val="64B660F0"/>
    <w:rsid w:val="64E55418"/>
    <w:rsid w:val="6511265D"/>
    <w:rsid w:val="651C4271"/>
    <w:rsid w:val="65A93AD5"/>
    <w:rsid w:val="65C23FA5"/>
    <w:rsid w:val="661A55F3"/>
    <w:rsid w:val="662B3EC2"/>
    <w:rsid w:val="66374320"/>
    <w:rsid w:val="6676066F"/>
    <w:rsid w:val="66B25BAB"/>
    <w:rsid w:val="66DB4C41"/>
    <w:rsid w:val="67601415"/>
    <w:rsid w:val="678A56CC"/>
    <w:rsid w:val="67AA4617"/>
    <w:rsid w:val="67DD2D7C"/>
    <w:rsid w:val="67FF0980"/>
    <w:rsid w:val="6808013C"/>
    <w:rsid w:val="6837444B"/>
    <w:rsid w:val="68490BA5"/>
    <w:rsid w:val="6872092B"/>
    <w:rsid w:val="68A320F0"/>
    <w:rsid w:val="68C10A03"/>
    <w:rsid w:val="68CE61F8"/>
    <w:rsid w:val="691702F9"/>
    <w:rsid w:val="692E7F1E"/>
    <w:rsid w:val="693D5649"/>
    <w:rsid w:val="69430A4C"/>
    <w:rsid w:val="69836A41"/>
    <w:rsid w:val="699423CB"/>
    <w:rsid w:val="6A242849"/>
    <w:rsid w:val="6A3D4E61"/>
    <w:rsid w:val="6A4F0509"/>
    <w:rsid w:val="6ADF78E5"/>
    <w:rsid w:val="6B0B3C2C"/>
    <w:rsid w:val="6B6D3E7B"/>
    <w:rsid w:val="6B7874F8"/>
    <w:rsid w:val="6B8D0D02"/>
    <w:rsid w:val="6C1E3F43"/>
    <w:rsid w:val="6C7C2B89"/>
    <w:rsid w:val="6CB30AE5"/>
    <w:rsid w:val="6E92338D"/>
    <w:rsid w:val="6EA50F15"/>
    <w:rsid w:val="6EF03395"/>
    <w:rsid w:val="6F1218C9"/>
    <w:rsid w:val="6F35142D"/>
    <w:rsid w:val="6FE10C9C"/>
    <w:rsid w:val="70257F20"/>
    <w:rsid w:val="70280FCA"/>
    <w:rsid w:val="70375E28"/>
    <w:rsid w:val="705404D0"/>
    <w:rsid w:val="70593DDE"/>
    <w:rsid w:val="70707D6D"/>
    <w:rsid w:val="70DF5DB7"/>
    <w:rsid w:val="70FF1FB5"/>
    <w:rsid w:val="71134033"/>
    <w:rsid w:val="711D1701"/>
    <w:rsid w:val="714C76AF"/>
    <w:rsid w:val="714D2E86"/>
    <w:rsid w:val="716360A0"/>
    <w:rsid w:val="72401A80"/>
    <w:rsid w:val="726A7902"/>
    <w:rsid w:val="727B7434"/>
    <w:rsid w:val="7298562B"/>
    <w:rsid w:val="72C41788"/>
    <w:rsid w:val="72CA2166"/>
    <w:rsid w:val="72D46DF2"/>
    <w:rsid w:val="73047240"/>
    <w:rsid w:val="730C3D48"/>
    <w:rsid w:val="736C596F"/>
    <w:rsid w:val="739A5FC5"/>
    <w:rsid w:val="74125278"/>
    <w:rsid w:val="744A3547"/>
    <w:rsid w:val="744C5512"/>
    <w:rsid w:val="7474619D"/>
    <w:rsid w:val="74BE2F50"/>
    <w:rsid w:val="75435570"/>
    <w:rsid w:val="75EA4FE2"/>
    <w:rsid w:val="76087494"/>
    <w:rsid w:val="760D033A"/>
    <w:rsid w:val="765E373E"/>
    <w:rsid w:val="76912AA8"/>
    <w:rsid w:val="76936197"/>
    <w:rsid w:val="76CA7A83"/>
    <w:rsid w:val="77195548"/>
    <w:rsid w:val="78350042"/>
    <w:rsid w:val="78E8332F"/>
    <w:rsid w:val="7A2D6D03"/>
    <w:rsid w:val="7A5D7171"/>
    <w:rsid w:val="7A604F75"/>
    <w:rsid w:val="7AF244C2"/>
    <w:rsid w:val="7B362F29"/>
    <w:rsid w:val="7B373A95"/>
    <w:rsid w:val="7B3922D8"/>
    <w:rsid w:val="7C2B1938"/>
    <w:rsid w:val="7C8313D5"/>
    <w:rsid w:val="7CB1637A"/>
    <w:rsid w:val="7CD82575"/>
    <w:rsid w:val="7D033D2B"/>
    <w:rsid w:val="7D0564AB"/>
    <w:rsid w:val="7D5052A6"/>
    <w:rsid w:val="7DCC1E6A"/>
    <w:rsid w:val="7DE50961"/>
    <w:rsid w:val="7E782CAB"/>
    <w:rsid w:val="7E813419"/>
    <w:rsid w:val="7F0204F0"/>
    <w:rsid w:val="7F106C3A"/>
    <w:rsid w:val="7FAF1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iPriority="99" w:semiHidden="0"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2"/>
    <w:qFormat/>
    <w:uiPriority w:val="9"/>
    <w:pPr>
      <w:keepNext/>
      <w:keepLines/>
      <w:spacing w:before="340" w:after="330" w:line="578" w:lineRule="auto"/>
      <w:jc w:val="center"/>
      <w:outlineLvl w:val="0"/>
    </w:pPr>
    <w:rPr>
      <w:rFonts w:eastAsia="仿宋_GB2312"/>
      <w:b/>
      <w:bCs/>
      <w:kern w:val="44"/>
      <w:sz w:val="44"/>
      <w:szCs w:val="44"/>
    </w:rPr>
  </w:style>
  <w:style w:type="paragraph" w:styleId="3">
    <w:name w:val="heading 2"/>
    <w:basedOn w:val="1"/>
    <w:next w:val="1"/>
    <w:link w:val="86"/>
    <w:qFormat/>
    <w:uiPriority w:val="9"/>
    <w:pPr>
      <w:keepNext/>
      <w:keepLines/>
      <w:spacing w:before="260" w:after="260" w:line="400" w:lineRule="exact"/>
      <w:outlineLvl w:val="1"/>
    </w:pPr>
    <w:rPr>
      <w:rFonts w:ascii="Arial" w:hAnsi="Arial" w:eastAsia="黑体"/>
      <w:b/>
      <w:bCs/>
      <w:sz w:val="24"/>
      <w:szCs w:val="32"/>
    </w:rPr>
  </w:style>
  <w:style w:type="paragraph" w:styleId="4">
    <w:name w:val="heading 3"/>
    <w:basedOn w:val="1"/>
    <w:next w:val="1"/>
    <w:link w:val="62"/>
    <w:qFormat/>
    <w:uiPriority w:val="9"/>
    <w:pPr>
      <w:keepNext/>
      <w:keepLines/>
      <w:spacing w:before="260" w:after="260" w:line="416" w:lineRule="auto"/>
      <w:outlineLvl w:val="2"/>
    </w:pPr>
    <w:rPr>
      <w:b/>
      <w:bCs/>
      <w:sz w:val="32"/>
      <w:szCs w:val="32"/>
    </w:rPr>
  </w:style>
  <w:style w:type="paragraph" w:styleId="5">
    <w:name w:val="heading 4"/>
    <w:basedOn w:val="1"/>
    <w:next w:val="1"/>
    <w:link w:val="12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7"/>
    <w:link w:val="130"/>
    <w:qFormat/>
    <w:uiPriority w:val="9"/>
    <w:pPr>
      <w:keepNext/>
      <w:keepLines/>
      <w:numPr>
        <w:ilvl w:val="4"/>
        <w:numId w:val="1"/>
      </w:numPr>
      <w:spacing w:before="280" w:after="290" w:line="376" w:lineRule="auto"/>
      <w:outlineLvl w:val="4"/>
    </w:pPr>
    <w:rPr>
      <w:b/>
      <w:sz w:val="28"/>
    </w:rPr>
  </w:style>
  <w:style w:type="paragraph" w:styleId="8">
    <w:name w:val="heading 6"/>
    <w:basedOn w:val="1"/>
    <w:next w:val="7"/>
    <w:link w:val="131"/>
    <w:qFormat/>
    <w:uiPriority w:val="9"/>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132"/>
    <w:qFormat/>
    <w:uiPriority w:val="9"/>
    <w:pPr>
      <w:keepNext/>
      <w:keepLines/>
      <w:numPr>
        <w:ilvl w:val="6"/>
        <w:numId w:val="1"/>
      </w:numPr>
      <w:spacing w:before="240" w:after="64" w:line="320" w:lineRule="auto"/>
      <w:outlineLvl w:val="6"/>
    </w:pPr>
    <w:rPr>
      <w:b/>
      <w:sz w:val="24"/>
    </w:rPr>
  </w:style>
  <w:style w:type="paragraph" w:styleId="10">
    <w:name w:val="heading 8"/>
    <w:basedOn w:val="1"/>
    <w:next w:val="7"/>
    <w:link w:val="133"/>
    <w:qFormat/>
    <w:uiPriority w:val="9"/>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134"/>
    <w:qFormat/>
    <w:uiPriority w:val="9"/>
    <w:pPr>
      <w:keepNext/>
      <w:keepLines/>
      <w:numPr>
        <w:ilvl w:val="8"/>
        <w:numId w:val="1"/>
      </w:numPr>
      <w:spacing w:before="240" w:after="64" w:line="320" w:lineRule="auto"/>
      <w:outlineLvl w:val="8"/>
    </w:pPr>
    <w:rPr>
      <w:rFonts w:ascii="Arial" w:hAnsi="Arial" w:eastAsia="黑体"/>
    </w:rPr>
  </w:style>
  <w:style w:type="character" w:default="1" w:styleId="41">
    <w:name w:val="Default Paragraph Font"/>
    <w:unhideWhenUsed/>
    <w:qFormat/>
    <w:uiPriority w:val="1"/>
  </w:style>
  <w:style w:type="table" w:default="1" w:styleId="39">
    <w:name w:val="Normal Table"/>
    <w:unhideWhenUsed/>
    <w:qFormat/>
    <w:uiPriority w:val="99"/>
    <w:tblPr>
      <w:tblCellMar>
        <w:top w:w="0" w:type="dxa"/>
        <w:left w:w="108" w:type="dxa"/>
        <w:bottom w:w="0" w:type="dxa"/>
        <w:right w:w="108" w:type="dxa"/>
      </w:tblCellMar>
    </w:tblPr>
  </w:style>
  <w:style w:type="paragraph" w:styleId="7">
    <w:name w:val="Normal Indent"/>
    <w:basedOn w:val="1"/>
    <w:link w:val="60"/>
    <w:qFormat/>
    <w:uiPriority w:val="0"/>
    <w:pPr>
      <w:ind w:firstLine="420"/>
    </w:pPr>
    <w:rPr>
      <w:szCs w:val="20"/>
    </w:rPr>
  </w:style>
  <w:style w:type="paragraph" w:styleId="12">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3">
    <w:name w:val="caption"/>
    <w:basedOn w:val="1"/>
    <w:next w:val="1"/>
    <w:qFormat/>
    <w:uiPriority w:val="35"/>
    <w:pPr>
      <w:spacing w:before="152" w:after="160"/>
    </w:pPr>
    <w:rPr>
      <w:rFonts w:ascii="Arial" w:hAnsi="Arial" w:eastAsia="黑体" w:cs="Arial"/>
      <w:sz w:val="20"/>
      <w:szCs w:val="20"/>
    </w:rPr>
  </w:style>
  <w:style w:type="paragraph" w:styleId="14">
    <w:name w:val="Document Map"/>
    <w:basedOn w:val="1"/>
    <w:link w:val="136"/>
    <w:qFormat/>
    <w:uiPriority w:val="99"/>
    <w:pPr>
      <w:shd w:val="clear" w:color="auto" w:fill="000080"/>
    </w:pPr>
  </w:style>
  <w:style w:type="paragraph" w:styleId="15">
    <w:name w:val="annotation text"/>
    <w:basedOn w:val="1"/>
    <w:link w:val="76"/>
    <w:qFormat/>
    <w:uiPriority w:val="99"/>
    <w:pPr>
      <w:jc w:val="left"/>
    </w:pPr>
  </w:style>
  <w:style w:type="paragraph" w:styleId="16">
    <w:name w:val="Body Text 3"/>
    <w:basedOn w:val="1"/>
    <w:qFormat/>
    <w:uiPriority w:val="0"/>
    <w:pPr>
      <w:spacing w:line="500" w:lineRule="exact"/>
    </w:pPr>
    <w:rPr>
      <w:b/>
      <w:bCs/>
      <w:sz w:val="24"/>
    </w:rPr>
  </w:style>
  <w:style w:type="paragraph" w:styleId="17">
    <w:name w:val="Body Text"/>
    <w:basedOn w:val="1"/>
    <w:next w:val="18"/>
    <w:link w:val="137"/>
    <w:qFormat/>
    <w:uiPriority w:val="0"/>
    <w:pPr>
      <w:spacing w:line="380" w:lineRule="exact"/>
    </w:pPr>
    <w:rPr>
      <w:sz w:val="24"/>
    </w:rPr>
  </w:style>
  <w:style w:type="paragraph" w:styleId="18">
    <w:name w:val="toc 2"/>
    <w:basedOn w:val="1"/>
    <w:next w:val="1"/>
    <w:qFormat/>
    <w:uiPriority w:val="0"/>
    <w:pPr>
      <w:ind w:left="200" w:leftChars="200"/>
    </w:pPr>
  </w:style>
  <w:style w:type="paragraph" w:styleId="19">
    <w:name w:val="Body Text Indent"/>
    <w:basedOn w:val="1"/>
    <w:next w:val="1"/>
    <w:link w:val="69"/>
    <w:qFormat/>
    <w:uiPriority w:val="0"/>
    <w:pPr>
      <w:ind w:firstLine="830" w:firstLineChars="352"/>
    </w:pPr>
    <w:rPr>
      <w:rFonts w:ascii="仿宋_GB2312" w:eastAsia="仿宋_GB2312"/>
      <w:sz w:val="32"/>
      <w:szCs w:val="20"/>
    </w:rPr>
  </w:style>
  <w:style w:type="paragraph" w:styleId="20">
    <w:name w:val="List Number 3"/>
    <w:basedOn w:val="1"/>
    <w:qFormat/>
    <w:uiPriority w:val="0"/>
    <w:pPr>
      <w:numPr>
        <w:ilvl w:val="0"/>
        <w:numId w:val="1"/>
      </w:numPr>
    </w:pPr>
  </w:style>
  <w:style w:type="paragraph" w:styleId="21">
    <w:name w:val="List 2"/>
    <w:basedOn w:val="1"/>
    <w:qFormat/>
    <w:uiPriority w:val="0"/>
    <w:pPr>
      <w:ind w:left="100" w:leftChars="200" w:hanging="200" w:hangingChars="200"/>
    </w:pPr>
    <w:rPr>
      <w:sz w:val="28"/>
    </w:rPr>
  </w:style>
  <w:style w:type="paragraph" w:styleId="22">
    <w:name w:val="Plain Text"/>
    <w:basedOn w:val="1"/>
    <w:next w:val="1"/>
    <w:link w:val="56"/>
    <w:qFormat/>
    <w:uiPriority w:val="0"/>
    <w:rPr>
      <w:rFonts w:ascii="宋体" w:hAnsi="Courier New" w:cs="Courier New"/>
      <w:szCs w:val="21"/>
    </w:rPr>
  </w:style>
  <w:style w:type="paragraph" w:styleId="23">
    <w:name w:val="Date"/>
    <w:basedOn w:val="1"/>
    <w:next w:val="1"/>
    <w:qFormat/>
    <w:uiPriority w:val="0"/>
    <w:pPr>
      <w:ind w:left="100" w:leftChars="2500"/>
    </w:pPr>
    <w:rPr>
      <w:rFonts w:ascii="宋体" w:hAnsi="Courier New" w:cs="Courier New"/>
      <w:szCs w:val="21"/>
    </w:rPr>
  </w:style>
  <w:style w:type="paragraph" w:styleId="24">
    <w:name w:val="Body Text Indent 2"/>
    <w:basedOn w:val="1"/>
    <w:qFormat/>
    <w:uiPriority w:val="0"/>
    <w:pPr>
      <w:ind w:firstLine="630"/>
    </w:pPr>
    <w:rPr>
      <w:sz w:val="32"/>
      <w:szCs w:val="20"/>
    </w:rPr>
  </w:style>
  <w:style w:type="paragraph" w:styleId="25">
    <w:name w:val="endnote text"/>
    <w:basedOn w:val="1"/>
    <w:qFormat/>
    <w:uiPriority w:val="0"/>
    <w:pPr>
      <w:snapToGrid w:val="0"/>
      <w:spacing w:line="480" w:lineRule="exact"/>
      <w:jc w:val="left"/>
    </w:pPr>
    <w:rPr>
      <w:rFonts w:ascii="微软雅黑" w:hAnsi="微软雅黑" w:eastAsia="微软雅黑"/>
      <w:kern w:val="0"/>
      <w:sz w:val="20"/>
      <w:szCs w:val="20"/>
    </w:rPr>
  </w:style>
  <w:style w:type="paragraph" w:styleId="26">
    <w:name w:val="Balloon Text"/>
    <w:basedOn w:val="1"/>
    <w:link w:val="75"/>
    <w:qFormat/>
    <w:uiPriority w:val="99"/>
    <w:rPr>
      <w:sz w:val="18"/>
      <w:szCs w:val="18"/>
      <w:lang w:val="zh-CN"/>
    </w:rPr>
  </w:style>
  <w:style w:type="paragraph" w:styleId="27">
    <w:name w:val="footer"/>
    <w:basedOn w:val="1"/>
    <w:link w:val="71"/>
    <w:qFormat/>
    <w:uiPriority w:val="99"/>
    <w:pPr>
      <w:tabs>
        <w:tab w:val="center" w:pos="4153"/>
        <w:tab w:val="right" w:pos="8306"/>
      </w:tabs>
      <w:snapToGrid w:val="0"/>
      <w:jc w:val="left"/>
    </w:pPr>
    <w:rPr>
      <w:sz w:val="18"/>
      <w:szCs w:val="18"/>
      <w:lang w:val="zh-CN"/>
    </w:rPr>
  </w:style>
  <w:style w:type="paragraph" w:styleId="28">
    <w:name w:val="header"/>
    <w:basedOn w:val="1"/>
    <w:link w:val="73"/>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Subtitle"/>
    <w:basedOn w:val="1"/>
    <w:next w:val="1"/>
    <w:link w:val="74"/>
    <w:qFormat/>
    <w:uiPriority w:val="0"/>
    <w:pPr>
      <w:spacing w:line="312" w:lineRule="auto"/>
      <w:ind w:left="200" w:leftChars="200"/>
      <w:jc w:val="left"/>
      <w:outlineLvl w:val="1"/>
    </w:pPr>
    <w:rPr>
      <w:rFonts w:ascii="Cambria" w:hAnsi="Cambria"/>
      <w:b/>
      <w:bCs/>
      <w:kern w:val="28"/>
      <w:sz w:val="28"/>
      <w:szCs w:val="32"/>
    </w:rPr>
  </w:style>
  <w:style w:type="paragraph" w:styleId="31">
    <w:name w:val="List"/>
    <w:basedOn w:val="1"/>
    <w:qFormat/>
    <w:uiPriority w:val="0"/>
    <w:pPr>
      <w:ind w:left="200" w:hanging="200" w:hangingChars="200"/>
    </w:pPr>
    <w:rPr>
      <w:sz w:val="28"/>
    </w:rPr>
  </w:style>
  <w:style w:type="paragraph" w:styleId="32">
    <w:name w:val="Body Text Indent 3"/>
    <w:basedOn w:val="1"/>
    <w:qFormat/>
    <w:uiPriority w:val="0"/>
    <w:pPr>
      <w:spacing w:after="120"/>
      <w:ind w:left="420" w:leftChars="200"/>
    </w:pPr>
    <w:rPr>
      <w:sz w:val="16"/>
      <w:szCs w:val="16"/>
    </w:rPr>
  </w:style>
  <w:style w:type="paragraph" w:styleId="33">
    <w:name w:val="Body Text 2"/>
    <w:basedOn w:val="1"/>
    <w:qFormat/>
    <w:uiPriority w:val="0"/>
    <w:pPr>
      <w:spacing w:after="120" w:line="480" w:lineRule="auto"/>
    </w:pPr>
  </w:style>
  <w:style w:type="paragraph" w:styleId="3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5">
    <w:name w:val="Normal (Web)"/>
    <w:basedOn w:val="1"/>
    <w:qFormat/>
    <w:uiPriority w:val="0"/>
    <w:pPr>
      <w:widowControl/>
      <w:spacing w:before="100" w:beforeAutospacing="1" w:after="100" w:afterAutospacing="1"/>
      <w:jc w:val="left"/>
    </w:pPr>
    <w:rPr>
      <w:rFonts w:ascii="宋体" w:hAnsi="宋体"/>
      <w:kern w:val="0"/>
      <w:sz w:val="24"/>
    </w:rPr>
  </w:style>
  <w:style w:type="paragraph" w:styleId="36">
    <w:name w:val="index 1"/>
    <w:basedOn w:val="1"/>
    <w:next w:val="1"/>
    <w:semiHidden/>
    <w:qFormat/>
    <w:uiPriority w:val="0"/>
    <w:pPr>
      <w:spacing w:line="400" w:lineRule="exact"/>
      <w:ind w:firstLine="420" w:firstLineChars="200"/>
    </w:pPr>
    <w:rPr>
      <w:rFonts w:ascii="宋体" w:hAnsi="Courier New"/>
      <w:b/>
      <w:szCs w:val="20"/>
    </w:rPr>
  </w:style>
  <w:style w:type="paragraph" w:styleId="37">
    <w:name w:val="annotation subject"/>
    <w:basedOn w:val="15"/>
    <w:next w:val="15"/>
    <w:link w:val="87"/>
    <w:qFormat/>
    <w:uiPriority w:val="0"/>
    <w:rPr>
      <w:b/>
      <w:bCs/>
    </w:rPr>
  </w:style>
  <w:style w:type="paragraph" w:styleId="38">
    <w:name w:val="Body Text First Indent"/>
    <w:basedOn w:val="17"/>
    <w:qFormat/>
    <w:uiPriority w:val="0"/>
    <w:pPr>
      <w:ind w:firstLine="420" w:firstLineChars="100"/>
    </w:pPr>
    <w:rPr>
      <w:rFonts w:ascii="宋体"/>
      <w:sz w:val="21"/>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rFonts w:ascii="Times New Roman" w:hAnsi="Times New Roman" w:eastAsia="宋体" w:cs="Times New Roman"/>
      <w:b/>
      <w:bCs/>
    </w:rPr>
  </w:style>
  <w:style w:type="character" w:styleId="43">
    <w:name w:val="page number"/>
    <w:qFormat/>
    <w:uiPriority w:val="0"/>
    <w:rPr>
      <w:rFonts w:ascii="Times New Roman" w:hAnsi="Times New Roman" w:eastAsia="宋体" w:cs="Times New Roman"/>
    </w:rPr>
  </w:style>
  <w:style w:type="character" w:styleId="44">
    <w:name w:val="FollowedHyperlink"/>
    <w:basedOn w:val="41"/>
    <w:unhideWhenUsed/>
    <w:qFormat/>
    <w:uiPriority w:val="99"/>
    <w:rPr>
      <w:color w:val="954F72" w:themeColor="followedHyperlink"/>
      <w:u w:val="single"/>
      <w14:textFill>
        <w14:solidFill>
          <w14:schemeClr w14:val="folHlink"/>
        </w14:solidFill>
      </w14:textFill>
    </w:rPr>
  </w:style>
  <w:style w:type="character" w:styleId="45">
    <w:name w:val="Emphasis"/>
    <w:qFormat/>
    <w:uiPriority w:val="0"/>
    <w:rPr>
      <w:rFonts w:ascii="Times New Roman" w:hAnsi="Times New Roman" w:eastAsia="宋体" w:cs="Times New Roman"/>
      <w:color w:val="CC0033"/>
    </w:rPr>
  </w:style>
  <w:style w:type="character" w:styleId="46">
    <w:name w:val="Hyperlink"/>
    <w:qFormat/>
    <w:uiPriority w:val="99"/>
    <w:rPr>
      <w:rFonts w:ascii="Times New Roman" w:hAnsi="Times New Roman" w:eastAsia="宋体" w:cs="Times New Roman"/>
      <w:color w:val="0000FF"/>
      <w:u w:val="single"/>
    </w:rPr>
  </w:style>
  <w:style w:type="character" w:styleId="47">
    <w:name w:val="annotation reference"/>
    <w:qFormat/>
    <w:uiPriority w:val="0"/>
    <w:rPr>
      <w:rFonts w:ascii="Times New Roman" w:hAnsi="Times New Roman" w:eastAsia="宋体" w:cs="Times New Roman"/>
      <w:sz w:val="21"/>
      <w:szCs w:val="21"/>
    </w:rPr>
  </w:style>
  <w:style w:type="character" w:styleId="48">
    <w:name w:val="HTML Sample"/>
    <w:basedOn w:val="41"/>
    <w:unhideWhenUsed/>
    <w:qFormat/>
    <w:uiPriority w:val="99"/>
    <w:rPr>
      <w:rFonts w:ascii="Courier New" w:hAnsi="Courier New"/>
    </w:rPr>
  </w:style>
  <w:style w:type="character" w:customStyle="1" w:styleId="49">
    <w:name w:val="font21"/>
    <w:qFormat/>
    <w:uiPriority w:val="0"/>
    <w:rPr>
      <w:rFonts w:hint="eastAsia" w:ascii="宋体" w:hAnsi="宋体" w:eastAsia="宋体" w:cs="宋体"/>
      <w:color w:val="000000"/>
      <w:sz w:val="20"/>
      <w:szCs w:val="20"/>
    </w:rPr>
  </w:style>
  <w:style w:type="character" w:customStyle="1" w:styleId="50">
    <w:name w:val="st1"/>
    <w:qFormat/>
    <w:uiPriority w:val="0"/>
    <w:rPr>
      <w:rFonts w:ascii="Times New Roman" w:hAnsi="Times New Roman" w:eastAsia="宋体" w:cs="Times New Roman"/>
    </w:rPr>
  </w:style>
  <w:style w:type="character" w:customStyle="1" w:styleId="51">
    <w:name w:val="标题 1 字符"/>
    <w:link w:val="2"/>
    <w:qFormat/>
    <w:uiPriority w:val="9"/>
    <w:rPr>
      <w:rFonts w:ascii="Times New Roman" w:hAnsi="Times New Roman" w:eastAsia="仿宋_GB2312" w:cs="Times New Roman"/>
      <w:b/>
      <w:bCs/>
      <w:kern w:val="44"/>
      <w:sz w:val="44"/>
      <w:szCs w:val="44"/>
      <w:lang w:val="en-US" w:eastAsia="zh-CN" w:bidi="ar-SA"/>
    </w:rPr>
  </w:style>
  <w:style w:type="character" w:customStyle="1" w:styleId="52">
    <w:name w:val="ca-2"/>
    <w:qFormat/>
    <w:uiPriority w:val="0"/>
    <w:rPr>
      <w:rFonts w:ascii="Times New Roman" w:hAnsi="Times New Roman" w:eastAsia="宋体" w:cs="Times New Roman"/>
    </w:rPr>
  </w:style>
  <w:style w:type="character" w:customStyle="1" w:styleId="53">
    <w:name w:val="H1 Char"/>
    <w:qFormat/>
    <w:uiPriority w:val="0"/>
    <w:rPr>
      <w:rFonts w:ascii="Times New Roman" w:hAnsi="Times New Roman" w:eastAsia="仿宋_GB2312" w:cs="Times New Roman"/>
      <w:b/>
      <w:bCs/>
      <w:kern w:val="44"/>
      <w:sz w:val="44"/>
      <w:szCs w:val="44"/>
      <w:lang w:val="en-US" w:eastAsia="zh-CN" w:bidi="ar-SA"/>
    </w:rPr>
  </w:style>
  <w:style w:type="character" w:customStyle="1" w:styleId="54">
    <w:name w:val="1ji Char"/>
    <w:link w:val="55"/>
    <w:qFormat/>
    <w:uiPriority w:val="0"/>
    <w:rPr>
      <w:rFonts w:ascii="宋体" w:hAnsi="宋体" w:eastAsia="仿宋_GB2312" w:cs="Times New Roman"/>
      <w:b/>
      <w:bCs/>
      <w:kern w:val="44"/>
      <w:sz w:val="36"/>
      <w:szCs w:val="44"/>
      <w:lang w:val="en-US" w:eastAsia="zh-CN" w:bidi="ar-SA"/>
    </w:rPr>
  </w:style>
  <w:style w:type="paragraph" w:customStyle="1" w:styleId="55">
    <w:name w:val="1ji"/>
    <w:basedOn w:val="2"/>
    <w:link w:val="54"/>
    <w:qFormat/>
    <w:uiPriority w:val="0"/>
    <w:pPr>
      <w:keepLines w:val="0"/>
      <w:widowControl/>
      <w:spacing w:before="0" w:after="0" w:line="240" w:lineRule="auto"/>
    </w:pPr>
    <w:rPr>
      <w:rFonts w:ascii="宋体" w:hAnsi="宋体"/>
      <w:sz w:val="36"/>
    </w:rPr>
  </w:style>
  <w:style w:type="character" w:customStyle="1" w:styleId="56">
    <w:name w:val="纯文本 字符"/>
    <w:link w:val="22"/>
    <w:qFormat/>
    <w:uiPriority w:val="0"/>
    <w:rPr>
      <w:rFonts w:ascii="宋体" w:hAnsi="Courier New" w:eastAsia="宋体" w:cs="Courier New"/>
      <w:kern w:val="2"/>
      <w:sz w:val="21"/>
      <w:szCs w:val="21"/>
      <w:lang w:val="en-US" w:eastAsia="zh-CN" w:bidi="ar-SA"/>
    </w:rPr>
  </w:style>
  <w:style w:type="character" w:customStyle="1" w:styleId="57">
    <w:name w:val="font41"/>
    <w:qFormat/>
    <w:uiPriority w:val="0"/>
    <w:rPr>
      <w:rFonts w:hint="default" w:ascii="Times New Roman" w:hAnsi="Times New Roman" w:eastAsia="宋体" w:cs="Times New Roman"/>
      <w:color w:val="000000"/>
      <w:sz w:val="20"/>
      <w:szCs w:val="20"/>
    </w:rPr>
  </w:style>
  <w:style w:type="character" w:customStyle="1" w:styleId="58">
    <w:name w:val="font31"/>
    <w:basedOn w:val="41"/>
    <w:qFormat/>
    <w:uiPriority w:val="0"/>
    <w:rPr>
      <w:rFonts w:hint="default" w:ascii="Times New Roman" w:hAnsi="Times New Roman" w:eastAsia="宋体" w:cs="Times New Roman"/>
      <w:color w:val="000000"/>
      <w:sz w:val="20"/>
      <w:szCs w:val="20"/>
    </w:rPr>
  </w:style>
  <w:style w:type="character" w:customStyle="1" w:styleId="59">
    <w:name w:val="apple-style-span"/>
    <w:qFormat/>
    <w:uiPriority w:val="0"/>
    <w:rPr>
      <w:rFonts w:ascii="Times New Roman" w:hAnsi="Times New Roman" w:eastAsia="宋体" w:cs="Times New Roman"/>
    </w:rPr>
  </w:style>
  <w:style w:type="character" w:customStyle="1" w:styleId="60">
    <w:name w:val="正文缩进 字符"/>
    <w:link w:val="7"/>
    <w:qFormat/>
    <w:uiPriority w:val="0"/>
    <w:rPr>
      <w:rFonts w:ascii="Times New Roman" w:hAnsi="Times New Roman" w:eastAsia="宋体" w:cs="Times New Roman"/>
      <w:kern w:val="2"/>
      <w:sz w:val="21"/>
      <w:lang w:val="en-US" w:eastAsia="zh-CN" w:bidi="ar-SA"/>
    </w:rPr>
  </w:style>
  <w:style w:type="character" w:customStyle="1" w:styleId="61">
    <w:name w:val="font51"/>
    <w:qFormat/>
    <w:uiPriority w:val="0"/>
    <w:rPr>
      <w:rFonts w:hint="default" w:ascii="Times New Roman" w:hAnsi="Times New Roman" w:eastAsia="宋体" w:cs="Times New Roman"/>
      <w:color w:val="000000"/>
      <w:sz w:val="20"/>
      <w:szCs w:val="20"/>
    </w:rPr>
  </w:style>
  <w:style w:type="character" w:customStyle="1" w:styleId="62">
    <w:name w:val="标题 3 字符"/>
    <w:link w:val="4"/>
    <w:qFormat/>
    <w:uiPriority w:val="9"/>
    <w:rPr>
      <w:rFonts w:ascii="Times New Roman" w:hAnsi="Times New Roman" w:eastAsia="宋体" w:cs="Times New Roman"/>
      <w:b/>
      <w:bCs/>
      <w:kern w:val="2"/>
      <w:sz w:val="32"/>
      <w:szCs w:val="32"/>
      <w:lang w:val="en-US" w:eastAsia="zh-CN" w:bidi="ar-SA"/>
    </w:rPr>
  </w:style>
  <w:style w:type="character" w:customStyle="1" w:styleId="63">
    <w:name w:val="apple-converted-space"/>
    <w:qFormat/>
    <w:uiPriority w:val="0"/>
    <w:rPr>
      <w:rFonts w:ascii="Times New Roman" w:hAnsi="Times New Roman" w:eastAsia="宋体" w:cs="Times New Roman"/>
    </w:rPr>
  </w:style>
  <w:style w:type="character" w:customStyle="1" w:styleId="64">
    <w:name w:val="Header Char"/>
    <w:qFormat/>
    <w:uiPriority w:val="0"/>
    <w:rPr>
      <w:rFonts w:ascii="Calibri" w:hAnsi="Calibri" w:eastAsia="宋体" w:cs="Times New Roman"/>
      <w:kern w:val="2"/>
      <w:sz w:val="18"/>
      <w:szCs w:val="18"/>
      <w:lang w:val="en-US" w:eastAsia="zh-CN" w:bidi="ar-SA"/>
    </w:rPr>
  </w:style>
  <w:style w:type="character" w:customStyle="1" w:styleId="65">
    <w:name w:val="Footer Char"/>
    <w:qFormat/>
    <w:uiPriority w:val="0"/>
    <w:rPr>
      <w:rFonts w:ascii="Calibri" w:hAnsi="Calibri" w:eastAsia="宋体" w:cs="Times New Roman"/>
      <w:kern w:val="2"/>
      <w:sz w:val="18"/>
      <w:szCs w:val="18"/>
      <w:lang w:val="en-US" w:eastAsia="zh-CN" w:bidi="ar-SA"/>
    </w:rPr>
  </w:style>
  <w:style w:type="character" w:customStyle="1" w:styleId="66">
    <w:name w:val="Plain Text Char"/>
    <w:qFormat/>
    <w:uiPriority w:val="0"/>
    <w:rPr>
      <w:rFonts w:ascii="宋体" w:hAnsi="Courier New" w:eastAsia="宋体" w:cs="Times New Roman"/>
      <w:lang w:bidi="ar-SA"/>
    </w:rPr>
  </w:style>
  <w:style w:type="character" w:customStyle="1" w:styleId="67">
    <w:name w:val="普通文字 Char Char3"/>
    <w:qFormat/>
    <w:uiPriority w:val="0"/>
    <w:rPr>
      <w:rFonts w:ascii="宋体" w:hAnsi="Times New Roman" w:eastAsia="宋体" w:cs="Courier New"/>
      <w:kern w:val="2"/>
      <w:sz w:val="21"/>
      <w:szCs w:val="21"/>
      <w:lang w:val="en-US" w:eastAsia="zh-CN" w:bidi="ar-SA"/>
    </w:rPr>
  </w:style>
  <w:style w:type="character" w:customStyle="1" w:styleId="68">
    <w:name w:val="样式 正文 +"/>
    <w:qFormat/>
    <w:uiPriority w:val="0"/>
    <w:rPr>
      <w:rFonts w:ascii="Times New Roman" w:hAnsi="Times New Roman" w:eastAsia="宋体" w:cs="Times New Roman"/>
      <w:kern w:val="0"/>
      <w:sz w:val="28"/>
    </w:rPr>
  </w:style>
  <w:style w:type="character" w:customStyle="1" w:styleId="69">
    <w:name w:val="正文文本缩进 字符"/>
    <w:link w:val="19"/>
    <w:qFormat/>
    <w:uiPriority w:val="0"/>
    <w:rPr>
      <w:rFonts w:ascii="仿宋_GB2312" w:hAnsi="Times New Roman" w:eastAsia="仿宋_GB2312" w:cs="Times New Roman"/>
      <w:kern w:val="2"/>
      <w:sz w:val="32"/>
      <w:lang w:val="en-US" w:eastAsia="zh-CN" w:bidi="ar-SA"/>
    </w:rPr>
  </w:style>
  <w:style w:type="character" w:customStyle="1" w:styleId="70">
    <w:name w:val="普通文字 Char Char2"/>
    <w:qFormat/>
    <w:uiPriority w:val="0"/>
    <w:rPr>
      <w:rFonts w:ascii="宋体" w:hAnsi="Courier New" w:eastAsia="宋体" w:cs="Times New Roman"/>
      <w:kern w:val="2"/>
      <w:sz w:val="21"/>
      <w:lang w:val="en-US" w:eastAsia="zh-CN" w:bidi="ar-SA"/>
    </w:rPr>
  </w:style>
  <w:style w:type="character" w:customStyle="1" w:styleId="71">
    <w:name w:val="页脚 字符"/>
    <w:link w:val="27"/>
    <w:qFormat/>
    <w:uiPriority w:val="99"/>
    <w:rPr>
      <w:rFonts w:ascii="Times New Roman" w:hAnsi="Times New Roman" w:eastAsia="宋体" w:cs="Times New Roman"/>
      <w:kern w:val="2"/>
      <w:sz w:val="18"/>
      <w:szCs w:val="18"/>
    </w:rPr>
  </w:style>
  <w:style w:type="character" w:customStyle="1" w:styleId="72">
    <w:name w:val="样式 宋体 小四"/>
    <w:qFormat/>
    <w:uiPriority w:val="0"/>
    <w:rPr>
      <w:rFonts w:ascii="宋体" w:hAnsi="宋体" w:eastAsia="宋体" w:cs="Times New Roman"/>
      <w:sz w:val="24"/>
    </w:rPr>
  </w:style>
  <w:style w:type="character" w:customStyle="1" w:styleId="73">
    <w:name w:val="页眉 字符"/>
    <w:link w:val="28"/>
    <w:qFormat/>
    <w:uiPriority w:val="99"/>
    <w:rPr>
      <w:rFonts w:ascii="Times New Roman" w:hAnsi="Times New Roman" w:eastAsia="宋体" w:cs="Times New Roman"/>
      <w:kern w:val="2"/>
      <w:sz w:val="18"/>
      <w:szCs w:val="18"/>
      <w:lang w:val="en-US" w:eastAsia="zh-CN" w:bidi="ar-SA"/>
    </w:rPr>
  </w:style>
  <w:style w:type="character" w:customStyle="1" w:styleId="74">
    <w:name w:val="副标题 字符"/>
    <w:link w:val="30"/>
    <w:qFormat/>
    <w:uiPriority w:val="0"/>
    <w:rPr>
      <w:rFonts w:ascii="Cambria" w:hAnsi="Cambria" w:eastAsia="宋体" w:cs="Times New Roman"/>
      <w:b/>
      <w:bCs/>
      <w:kern w:val="28"/>
      <w:sz w:val="28"/>
      <w:szCs w:val="32"/>
      <w:lang w:val="en-US" w:eastAsia="zh-CN" w:bidi="ar-SA"/>
    </w:rPr>
  </w:style>
  <w:style w:type="character" w:customStyle="1" w:styleId="75">
    <w:name w:val="批注框文本 字符"/>
    <w:link w:val="26"/>
    <w:qFormat/>
    <w:uiPriority w:val="99"/>
    <w:rPr>
      <w:rFonts w:ascii="Times New Roman" w:hAnsi="Times New Roman" w:eastAsia="宋体" w:cs="Times New Roman"/>
      <w:kern w:val="2"/>
      <w:sz w:val="18"/>
      <w:szCs w:val="18"/>
    </w:rPr>
  </w:style>
  <w:style w:type="character" w:customStyle="1" w:styleId="76">
    <w:name w:val="批注文字 字符"/>
    <w:link w:val="15"/>
    <w:qFormat/>
    <w:uiPriority w:val="99"/>
    <w:rPr>
      <w:rFonts w:ascii="Times New Roman" w:hAnsi="Times New Roman" w:eastAsia="宋体" w:cs="Times New Roman"/>
      <w:kern w:val="2"/>
      <w:sz w:val="21"/>
      <w:szCs w:val="24"/>
      <w:lang w:val="en-US" w:eastAsia="zh-CN" w:bidi="ar-SA"/>
    </w:rPr>
  </w:style>
  <w:style w:type="character" w:customStyle="1" w:styleId="77">
    <w:name w:val="Char Char7"/>
    <w:qFormat/>
    <w:uiPriority w:val="0"/>
    <w:rPr>
      <w:rFonts w:ascii="Times New Roman" w:hAnsi="Times New Roman" w:eastAsia="仿宋_GB2312" w:cs="Times New Roman"/>
      <w:b/>
      <w:bCs/>
      <w:kern w:val="44"/>
      <w:sz w:val="44"/>
      <w:szCs w:val="44"/>
      <w:lang w:val="en-US" w:eastAsia="zh-CN" w:bidi="ar-SA"/>
    </w:rPr>
  </w:style>
  <w:style w:type="character" w:customStyle="1" w:styleId="78">
    <w:name w:val="ca-1"/>
    <w:qFormat/>
    <w:uiPriority w:val="0"/>
    <w:rPr>
      <w:rFonts w:ascii="Times New Roman" w:hAnsi="Times New Roman" w:eastAsia="宋体" w:cs="Times New Roman"/>
    </w:rPr>
  </w:style>
  <w:style w:type="character" w:customStyle="1" w:styleId="79">
    <w:name w:val="正文360首行缩进 Char"/>
    <w:link w:val="80"/>
    <w:qFormat/>
    <w:uiPriority w:val="0"/>
    <w:rPr>
      <w:rFonts w:ascii="Times New Roman" w:hAnsi="Times New Roman" w:eastAsia="宋体" w:cs="Times New Roman"/>
      <w:sz w:val="24"/>
      <w:szCs w:val="24"/>
    </w:rPr>
  </w:style>
  <w:style w:type="paragraph" w:customStyle="1" w:styleId="80">
    <w:name w:val="正文360首行缩进"/>
    <w:basedOn w:val="1"/>
    <w:link w:val="79"/>
    <w:qFormat/>
    <w:uiPriority w:val="0"/>
    <w:pPr>
      <w:widowControl/>
      <w:spacing w:before="120" w:line="300" w:lineRule="auto"/>
      <w:ind w:firstLine="200"/>
      <w:jc w:val="left"/>
    </w:pPr>
    <w:rPr>
      <w:kern w:val="0"/>
      <w:sz w:val="24"/>
    </w:rPr>
  </w:style>
  <w:style w:type="character" w:customStyle="1" w:styleId="81">
    <w:name w:val="List Paragraph Char"/>
    <w:link w:val="82"/>
    <w:qFormat/>
    <w:locked/>
    <w:uiPriority w:val="0"/>
    <w:rPr>
      <w:rFonts w:ascii="宋体" w:hAnsi="宋体" w:cs="宋体"/>
      <w:sz w:val="24"/>
      <w:szCs w:val="24"/>
    </w:rPr>
  </w:style>
  <w:style w:type="paragraph" w:customStyle="1" w:styleId="82">
    <w:name w:val="列表段落1"/>
    <w:basedOn w:val="1"/>
    <w:link w:val="81"/>
    <w:qFormat/>
    <w:uiPriority w:val="0"/>
    <w:pPr>
      <w:widowControl/>
      <w:ind w:firstLine="420" w:firstLineChars="200"/>
      <w:jc w:val="left"/>
    </w:pPr>
    <w:rPr>
      <w:rFonts w:ascii="宋体" w:hAnsi="宋体"/>
      <w:kern w:val="0"/>
      <w:sz w:val="24"/>
      <w:lang w:val="zh-CN"/>
    </w:rPr>
  </w:style>
  <w:style w:type="character" w:customStyle="1" w:styleId="83">
    <w:name w:val="yyii"/>
    <w:qFormat/>
    <w:uiPriority w:val="0"/>
    <w:rPr>
      <w:rFonts w:ascii="Times New Roman" w:hAnsi="Times New Roman" w:eastAsia="宋体" w:cs="Times New Roman"/>
    </w:rPr>
  </w:style>
  <w:style w:type="character" w:customStyle="1" w:styleId="84">
    <w:name w:val="纯文本 Char1"/>
    <w:qFormat/>
    <w:uiPriority w:val="0"/>
    <w:rPr>
      <w:rFonts w:ascii="宋体" w:hAnsi="Courier New" w:eastAsia="宋体" w:cs="Times New Roman"/>
      <w:kern w:val="2"/>
      <w:sz w:val="21"/>
    </w:rPr>
  </w:style>
  <w:style w:type="character" w:customStyle="1" w:styleId="85">
    <w:name w:val="标题 1 Char1"/>
    <w:qFormat/>
    <w:uiPriority w:val="0"/>
    <w:rPr>
      <w:rFonts w:ascii="Times New Roman" w:hAnsi="Times New Roman" w:eastAsia="宋体" w:cs="Times New Roman"/>
      <w:b/>
      <w:bCs/>
      <w:kern w:val="44"/>
      <w:sz w:val="44"/>
      <w:szCs w:val="44"/>
    </w:rPr>
  </w:style>
  <w:style w:type="character" w:customStyle="1" w:styleId="86">
    <w:name w:val="标题 2 字符"/>
    <w:link w:val="3"/>
    <w:qFormat/>
    <w:uiPriority w:val="9"/>
    <w:rPr>
      <w:rFonts w:ascii="Arial" w:hAnsi="Arial" w:eastAsia="黑体"/>
      <w:b/>
      <w:bCs/>
      <w:kern w:val="2"/>
      <w:sz w:val="24"/>
      <w:szCs w:val="32"/>
    </w:rPr>
  </w:style>
  <w:style w:type="character" w:customStyle="1" w:styleId="87">
    <w:name w:val="批注主题 字符"/>
    <w:link w:val="37"/>
    <w:qFormat/>
    <w:uiPriority w:val="0"/>
    <w:rPr>
      <w:rFonts w:ascii="Times New Roman" w:hAnsi="Times New Roman" w:eastAsia="宋体" w:cs="Times New Roman"/>
      <w:b/>
      <w:bCs/>
      <w:kern w:val="2"/>
      <w:sz w:val="21"/>
      <w:szCs w:val="24"/>
      <w:lang w:val="en-US" w:eastAsia="zh-CN" w:bidi="ar-SA"/>
    </w:rPr>
  </w:style>
  <w:style w:type="paragraph" w:customStyle="1" w:styleId="88">
    <w:name w:val="目录 11"/>
    <w:basedOn w:val="1"/>
    <w:next w:val="1"/>
    <w:qFormat/>
    <w:uiPriority w:val="39"/>
  </w:style>
  <w:style w:type="paragraph" w:customStyle="1" w:styleId="89">
    <w:name w:val="目录 21"/>
    <w:basedOn w:val="1"/>
    <w:next w:val="1"/>
    <w:qFormat/>
    <w:uiPriority w:val="39"/>
    <w:pPr>
      <w:tabs>
        <w:tab w:val="right" w:leader="dot" w:pos="9402"/>
      </w:tabs>
      <w:ind w:left="718" w:leftChars="200" w:hanging="298" w:hangingChars="142"/>
    </w:pPr>
  </w:style>
  <w:style w:type="paragraph" w:customStyle="1" w:styleId="90">
    <w:name w:val="目录 31"/>
    <w:basedOn w:val="1"/>
    <w:next w:val="1"/>
    <w:qFormat/>
    <w:uiPriority w:val="39"/>
    <w:pPr>
      <w:ind w:left="840" w:leftChars="400"/>
    </w:pPr>
  </w:style>
  <w:style w:type="paragraph" w:customStyle="1" w:styleId="91">
    <w:name w:val="正文首行缩进1"/>
    <w:basedOn w:val="17"/>
    <w:qFormat/>
    <w:uiPriority w:val="0"/>
    <w:pPr>
      <w:spacing w:after="120" w:line="240" w:lineRule="auto"/>
      <w:ind w:firstLine="420" w:firstLineChars="100"/>
    </w:pPr>
    <w:rPr>
      <w:sz w:val="21"/>
    </w:rPr>
  </w:style>
  <w:style w:type="paragraph" w:customStyle="1" w:styleId="92">
    <w:name w:val="Char Char1 Char Char Char Char"/>
    <w:basedOn w:val="14"/>
    <w:qFormat/>
    <w:uiPriority w:val="0"/>
    <w:rPr>
      <w:rFonts w:ascii="Tahoma" w:hAnsi="Tahoma"/>
      <w:sz w:val="24"/>
    </w:rPr>
  </w:style>
  <w:style w:type="paragraph" w:customStyle="1" w:styleId="93">
    <w:name w:val="列出段落1"/>
    <w:basedOn w:val="1"/>
    <w:qFormat/>
    <w:uiPriority w:val="99"/>
    <w:pPr>
      <w:ind w:firstLine="420" w:firstLineChars="200"/>
    </w:pPr>
    <w:rPr>
      <w:rFonts w:ascii="Calibri" w:hAnsi="Calibri"/>
    </w:rPr>
  </w:style>
  <w:style w:type="paragraph" w:customStyle="1" w:styleId="94">
    <w:name w:val="Char Char Char1 Char"/>
    <w:basedOn w:val="14"/>
    <w:qFormat/>
    <w:uiPriority w:val="0"/>
  </w:style>
  <w:style w:type="paragraph" w:customStyle="1" w:styleId="95">
    <w:name w:val="pa-5"/>
    <w:basedOn w:val="1"/>
    <w:qFormat/>
    <w:uiPriority w:val="0"/>
    <w:pPr>
      <w:widowControl/>
      <w:spacing w:before="150" w:after="150"/>
      <w:jc w:val="left"/>
    </w:pPr>
    <w:rPr>
      <w:rFonts w:ascii="宋体" w:hAnsi="宋体" w:cs="宋体"/>
      <w:kern w:val="0"/>
      <w:sz w:val="24"/>
    </w:rPr>
  </w:style>
  <w:style w:type="paragraph" w:customStyle="1" w:styleId="96">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97">
    <w:name w:val="Char Char1 Char Char Char Char1"/>
    <w:basedOn w:val="14"/>
    <w:qFormat/>
    <w:uiPriority w:val="0"/>
    <w:rPr>
      <w:rFonts w:ascii="Tahoma" w:hAnsi="Tahoma"/>
      <w:sz w:val="24"/>
    </w:rPr>
  </w:style>
  <w:style w:type="paragraph" w:customStyle="1" w:styleId="98">
    <w:name w:val="_Style 35"/>
    <w:basedOn w:val="14"/>
    <w:qFormat/>
    <w:uiPriority w:val="0"/>
    <w:pPr>
      <w:widowControl/>
      <w:ind w:firstLine="454"/>
      <w:jc w:val="left"/>
    </w:pPr>
  </w:style>
  <w:style w:type="paragraph" w:customStyle="1" w:styleId="99">
    <w:name w:val="5 Char Char Char Char Char Char Char Char Char Char"/>
    <w:basedOn w:val="1"/>
    <w:qFormat/>
    <w:uiPriority w:val="0"/>
  </w:style>
  <w:style w:type="paragraph" w:customStyle="1" w:styleId="10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01">
    <w:name w:val="Char Char2 Char Char Char Char Char Char Char Char Char Char"/>
    <w:basedOn w:val="1"/>
    <w:qFormat/>
    <w:uiPriority w:val="0"/>
    <w:pPr>
      <w:tabs>
        <w:tab w:val="left" w:pos="360"/>
      </w:tabs>
      <w:spacing w:line="360" w:lineRule="auto"/>
      <w:ind w:left="482" w:firstLine="200" w:firstLineChars="200"/>
    </w:pPr>
  </w:style>
  <w:style w:type="paragraph" w:customStyle="1" w:styleId="102">
    <w:name w:val="默认段落字体 Para Char"/>
    <w:basedOn w:val="1"/>
    <w:qFormat/>
    <w:uiPriority w:val="0"/>
    <w:rPr>
      <w:szCs w:val="20"/>
    </w:rPr>
  </w:style>
  <w:style w:type="paragraph" w:customStyle="1" w:styleId="103">
    <w:name w:val="表格文字"/>
    <w:basedOn w:val="1"/>
    <w:qFormat/>
    <w:uiPriority w:val="0"/>
    <w:pPr>
      <w:spacing w:before="25" w:after="25"/>
      <w:jc w:val="left"/>
    </w:pPr>
    <w:rPr>
      <w:bCs/>
      <w:spacing w:val="10"/>
      <w:kern w:val="0"/>
      <w:sz w:val="24"/>
    </w:rPr>
  </w:style>
  <w:style w:type="paragraph" w:customStyle="1" w:styleId="104">
    <w:name w:val="_Style 7"/>
    <w:basedOn w:val="14"/>
    <w:qFormat/>
    <w:uiPriority w:val="0"/>
  </w:style>
  <w:style w:type="paragraph" w:customStyle="1" w:styleId="105">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6">
    <w:name w:val="默认段落字体 Para Char Char Char Char Char Char Char Char Char1 Char Char Char Char"/>
    <w:basedOn w:val="1"/>
    <w:qFormat/>
    <w:uiPriority w:val="0"/>
    <w:rPr>
      <w:rFonts w:ascii="Tahoma" w:hAnsi="Tahoma"/>
      <w:sz w:val="24"/>
      <w:szCs w:val="20"/>
    </w:rPr>
  </w:style>
  <w:style w:type="paragraph" w:customStyle="1" w:styleId="107">
    <w:name w:val="样式 标题 1 + 居中 段前: 0 磅 段后: 0 磅 行距: 固定值 30 磅"/>
    <w:basedOn w:val="2"/>
    <w:qFormat/>
    <w:uiPriority w:val="0"/>
    <w:pPr>
      <w:spacing w:before="0" w:after="0" w:line="600" w:lineRule="exact"/>
    </w:pPr>
    <w:rPr>
      <w:rFonts w:eastAsia="宋体" w:cs="宋体"/>
      <w:szCs w:val="20"/>
    </w:rPr>
  </w:style>
  <w:style w:type="paragraph" w:customStyle="1" w:styleId="108">
    <w:name w:val="样式 小四 行距: 1.5 倍行距"/>
    <w:basedOn w:val="1"/>
    <w:qFormat/>
    <w:uiPriority w:val="0"/>
    <w:pPr>
      <w:spacing w:line="360" w:lineRule="auto"/>
      <w:ind w:firstLine="480" w:firstLineChars="200"/>
    </w:pPr>
    <w:rPr>
      <w:rFonts w:cs="宋体"/>
      <w:sz w:val="24"/>
      <w:szCs w:val="20"/>
    </w:rPr>
  </w:style>
  <w:style w:type="paragraph" w:customStyle="1" w:styleId="109">
    <w:name w:val="p0"/>
    <w:basedOn w:val="1"/>
    <w:qFormat/>
    <w:uiPriority w:val="0"/>
    <w:pPr>
      <w:widowControl/>
    </w:pPr>
    <w:rPr>
      <w:rFonts w:ascii="宋体" w:hAnsi="宋体" w:cs="宋体"/>
      <w:kern w:val="0"/>
      <w:szCs w:val="21"/>
    </w:rPr>
  </w:style>
  <w:style w:type="paragraph" w:customStyle="1" w:styleId="110">
    <w:name w:val="Char Char Char Char Char Char Char Char Char Char Char Char"/>
    <w:basedOn w:val="1"/>
    <w:qFormat/>
    <w:uiPriority w:val="0"/>
    <w:pPr>
      <w:widowControl/>
      <w:spacing w:after="160" w:line="240" w:lineRule="exact"/>
      <w:jc w:val="left"/>
    </w:pPr>
  </w:style>
  <w:style w:type="paragraph" w:customStyle="1" w:styleId="111">
    <w:name w:val="Char Char Char1 Char1"/>
    <w:basedOn w:val="1"/>
    <w:qFormat/>
    <w:uiPriority w:val="0"/>
    <w:rPr>
      <w:rFonts w:ascii="Calibri" w:hAnsi="Calibri"/>
      <w:szCs w:val="22"/>
    </w:rPr>
  </w:style>
  <w:style w:type="paragraph" w:customStyle="1" w:styleId="112">
    <w:name w:val="Char Char Char Char Char Char Char"/>
    <w:basedOn w:val="1"/>
    <w:qFormat/>
    <w:uiPriority w:val="0"/>
  </w:style>
  <w:style w:type="paragraph" w:customStyle="1" w:styleId="113">
    <w:name w:val="文档正文"/>
    <w:basedOn w:val="1"/>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14">
    <w:name w:val="样式 正文2 + 仿宋 黑色 首行缩进:  2 字符"/>
    <w:basedOn w:val="1"/>
    <w:qFormat/>
    <w:uiPriority w:val="0"/>
    <w:pPr>
      <w:spacing w:line="360" w:lineRule="auto"/>
      <w:ind w:firstLine="480" w:firstLineChars="200"/>
    </w:pPr>
    <w:rPr>
      <w:rFonts w:ascii="仿宋" w:hAnsi="仿宋" w:eastAsia="仿宋" w:cs="宋体"/>
      <w:color w:val="000000"/>
      <w:sz w:val="24"/>
      <w:szCs w:val="20"/>
    </w:rPr>
  </w:style>
  <w:style w:type="paragraph" w:customStyle="1" w:styleId="115">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7">
    <w:name w:val="Char"/>
    <w:basedOn w:val="14"/>
    <w:qFormat/>
    <w:uiPriority w:val="0"/>
    <w:pPr>
      <w:widowControl/>
      <w:ind w:firstLine="454"/>
      <w:jc w:val="left"/>
    </w:pPr>
    <w:rPr>
      <w:rFonts w:ascii="Tahoma" w:hAnsi="Tahoma" w:cs="宋体"/>
      <w:kern w:val="0"/>
      <w:sz w:val="24"/>
      <w:szCs w:val="20"/>
    </w:rPr>
  </w:style>
  <w:style w:type="paragraph" w:customStyle="1" w:styleId="118">
    <w:name w:val="Char1"/>
    <w:basedOn w:val="14"/>
    <w:qFormat/>
    <w:uiPriority w:val="0"/>
    <w:pPr>
      <w:widowControl/>
      <w:ind w:firstLine="454"/>
      <w:jc w:val="left"/>
    </w:pPr>
    <w:rPr>
      <w:rFonts w:ascii="Tahoma" w:hAnsi="Tahoma" w:cs="宋体"/>
      <w:kern w:val="0"/>
      <w:sz w:val="24"/>
      <w:szCs w:val="20"/>
    </w:rPr>
  </w:style>
  <w:style w:type="paragraph" w:customStyle="1" w:styleId="119">
    <w:name w:val="1"/>
    <w:basedOn w:val="1"/>
    <w:next w:val="22"/>
    <w:qFormat/>
    <w:uiPriority w:val="0"/>
    <w:rPr>
      <w:rFonts w:ascii="宋体" w:hAnsi="Courier New"/>
      <w:szCs w:val="20"/>
    </w:rPr>
  </w:style>
  <w:style w:type="paragraph" w:customStyle="1" w:styleId="120">
    <w:name w:val="_Style 2"/>
    <w:basedOn w:val="1"/>
    <w:qFormat/>
    <w:uiPriority w:val="0"/>
    <w:pPr>
      <w:ind w:firstLine="420" w:firstLineChars="200"/>
    </w:pPr>
  </w:style>
  <w:style w:type="paragraph" w:customStyle="1" w:styleId="121">
    <w:name w:val="正文段"/>
    <w:basedOn w:val="1"/>
    <w:qFormat/>
    <w:uiPriority w:val="0"/>
    <w:pPr>
      <w:widowControl/>
      <w:snapToGrid w:val="0"/>
      <w:spacing w:after="156" w:afterLines="50"/>
      <w:ind w:firstLine="200" w:firstLineChars="200"/>
    </w:pPr>
    <w:rPr>
      <w:kern w:val="0"/>
      <w:sz w:val="24"/>
      <w:szCs w:val="20"/>
    </w:rPr>
  </w:style>
  <w:style w:type="paragraph" w:customStyle="1" w:styleId="122">
    <w:name w:val="列出段落"/>
    <w:basedOn w:val="1"/>
    <w:qFormat/>
    <w:uiPriority w:val="34"/>
    <w:pPr>
      <w:ind w:firstLine="420" w:firstLineChars="200"/>
    </w:pPr>
    <w:rPr>
      <w:rFonts w:ascii="Calibri" w:hAnsi="Calibri"/>
      <w:szCs w:val="22"/>
    </w:rPr>
  </w:style>
  <w:style w:type="paragraph" w:customStyle="1" w:styleId="123">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4">
    <w:name w:val="未处理的提及1"/>
    <w:basedOn w:val="41"/>
    <w:unhideWhenUsed/>
    <w:qFormat/>
    <w:uiPriority w:val="99"/>
    <w:rPr>
      <w:color w:val="605E5C"/>
      <w:shd w:val="clear" w:color="auto" w:fill="E1DFDD"/>
    </w:rPr>
  </w:style>
  <w:style w:type="character" w:customStyle="1" w:styleId="125">
    <w:name w:val="font81"/>
    <w:basedOn w:val="41"/>
    <w:qFormat/>
    <w:uiPriority w:val="0"/>
    <w:rPr>
      <w:rFonts w:hint="eastAsia" w:ascii="宋体" w:hAnsi="宋体" w:eastAsia="宋体" w:cs="宋体"/>
      <w:color w:val="000000"/>
      <w:sz w:val="18"/>
      <w:szCs w:val="18"/>
      <w:u w:val="none"/>
    </w:rPr>
  </w:style>
  <w:style w:type="paragraph" w:customStyle="1" w:styleId="126">
    <w:name w:val="列表段落2"/>
    <w:basedOn w:val="1"/>
    <w:qFormat/>
    <w:uiPriority w:val="34"/>
    <w:pPr>
      <w:ind w:firstLine="420" w:firstLineChars="200"/>
    </w:pPr>
  </w:style>
  <w:style w:type="character" w:customStyle="1" w:styleId="127">
    <w:name w:val="未处理的提及2"/>
    <w:basedOn w:val="41"/>
    <w:unhideWhenUsed/>
    <w:qFormat/>
    <w:uiPriority w:val="99"/>
    <w:rPr>
      <w:color w:val="605E5C"/>
      <w:shd w:val="clear" w:color="auto" w:fill="E1DFDD"/>
    </w:rPr>
  </w:style>
  <w:style w:type="character" w:customStyle="1" w:styleId="128">
    <w:name w:val="纯文本 字符1"/>
    <w:qFormat/>
    <w:uiPriority w:val="0"/>
    <w:rPr>
      <w:rFonts w:ascii="宋体" w:hAnsi="Courier New" w:eastAsia="宋体" w:cs="Courier New"/>
      <w:kern w:val="2"/>
      <w:sz w:val="21"/>
      <w:szCs w:val="21"/>
      <w:lang w:val="en-US" w:eastAsia="zh-CN" w:bidi="ar-SA"/>
    </w:rPr>
  </w:style>
  <w:style w:type="character" w:customStyle="1" w:styleId="129">
    <w:name w:val="标题 4 字符"/>
    <w:basedOn w:val="41"/>
    <w:link w:val="5"/>
    <w:qFormat/>
    <w:uiPriority w:val="9"/>
    <w:rPr>
      <w:rFonts w:asciiTheme="majorHAnsi" w:hAnsiTheme="majorHAnsi" w:eastAsiaTheme="majorEastAsia" w:cstheme="majorBidi"/>
      <w:b/>
      <w:bCs/>
      <w:kern w:val="2"/>
      <w:sz w:val="28"/>
      <w:szCs w:val="28"/>
    </w:rPr>
  </w:style>
  <w:style w:type="character" w:customStyle="1" w:styleId="130">
    <w:name w:val="标题 5 字符"/>
    <w:basedOn w:val="41"/>
    <w:link w:val="6"/>
    <w:qFormat/>
    <w:uiPriority w:val="9"/>
    <w:rPr>
      <w:b/>
      <w:kern w:val="2"/>
      <w:sz w:val="28"/>
      <w:szCs w:val="24"/>
    </w:rPr>
  </w:style>
  <w:style w:type="character" w:customStyle="1" w:styleId="131">
    <w:name w:val="标题 6 字符"/>
    <w:basedOn w:val="41"/>
    <w:link w:val="8"/>
    <w:qFormat/>
    <w:uiPriority w:val="9"/>
    <w:rPr>
      <w:rFonts w:ascii="Arial" w:hAnsi="Arial" w:eastAsia="黑体"/>
      <w:b/>
      <w:kern w:val="2"/>
      <w:sz w:val="24"/>
      <w:szCs w:val="24"/>
    </w:rPr>
  </w:style>
  <w:style w:type="character" w:customStyle="1" w:styleId="132">
    <w:name w:val="标题 7 字符"/>
    <w:basedOn w:val="41"/>
    <w:link w:val="9"/>
    <w:qFormat/>
    <w:uiPriority w:val="9"/>
    <w:rPr>
      <w:b/>
      <w:kern w:val="2"/>
      <w:sz w:val="24"/>
      <w:szCs w:val="24"/>
    </w:rPr>
  </w:style>
  <w:style w:type="character" w:customStyle="1" w:styleId="133">
    <w:name w:val="标题 8 字符"/>
    <w:basedOn w:val="41"/>
    <w:link w:val="10"/>
    <w:qFormat/>
    <w:uiPriority w:val="9"/>
    <w:rPr>
      <w:rFonts w:ascii="Arial" w:hAnsi="Arial" w:eastAsia="黑体"/>
      <w:kern w:val="2"/>
      <w:sz w:val="24"/>
      <w:szCs w:val="24"/>
    </w:rPr>
  </w:style>
  <w:style w:type="character" w:customStyle="1" w:styleId="134">
    <w:name w:val="标题 9 字符"/>
    <w:basedOn w:val="41"/>
    <w:link w:val="11"/>
    <w:qFormat/>
    <w:uiPriority w:val="9"/>
    <w:rPr>
      <w:rFonts w:ascii="Arial" w:hAnsi="Arial" w:eastAsia="黑体"/>
      <w:kern w:val="2"/>
      <w:sz w:val="21"/>
      <w:szCs w:val="24"/>
    </w:rPr>
  </w:style>
  <w:style w:type="paragraph" w:customStyle="1" w:styleId="135">
    <w:name w:val="TOC 71"/>
    <w:basedOn w:val="1"/>
    <w:next w:val="1"/>
    <w:unhideWhenUsed/>
    <w:qFormat/>
    <w:uiPriority w:val="39"/>
    <w:pPr>
      <w:spacing w:line="360" w:lineRule="auto"/>
      <w:ind w:left="1440" w:firstLine="200" w:firstLineChars="200"/>
      <w:jc w:val="left"/>
    </w:pPr>
    <w:rPr>
      <w:rFonts w:ascii="Calibri" w:hAnsi="Calibri"/>
      <w:sz w:val="18"/>
      <w:szCs w:val="18"/>
    </w:rPr>
  </w:style>
  <w:style w:type="character" w:customStyle="1" w:styleId="136">
    <w:name w:val="文档结构图 字符"/>
    <w:basedOn w:val="41"/>
    <w:link w:val="14"/>
    <w:qFormat/>
    <w:uiPriority w:val="99"/>
    <w:rPr>
      <w:kern w:val="2"/>
      <w:sz w:val="21"/>
      <w:szCs w:val="24"/>
      <w:shd w:val="clear" w:color="auto" w:fill="000080"/>
    </w:rPr>
  </w:style>
  <w:style w:type="character" w:customStyle="1" w:styleId="137">
    <w:name w:val="正文文本 字符"/>
    <w:basedOn w:val="41"/>
    <w:link w:val="17"/>
    <w:qFormat/>
    <w:uiPriority w:val="0"/>
    <w:rPr>
      <w:kern w:val="2"/>
      <w:sz w:val="24"/>
      <w:szCs w:val="24"/>
    </w:rPr>
  </w:style>
  <w:style w:type="paragraph" w:customStyle="1" w:styleId="138">
    <w:name w:val="TOC 51"/>
    <w:basedOn w:val="1"/>
    <w:next w:val="1"/>
    <w:unhideWhenUsed/>
    <w:qFormat/>
    <w:uiPriority w:val="39"/>
    <w:pPr>
      <w:spacing w:line="360" w:lineRule="auto"/>
      <w:ind w:left="960" w:firstLine="200" w:firstLineChars="200"/>
      <w:jc w:val="left"/>
    </w:pPr>
    <w:rPr>
      <w:rFonts w:ascii="Calibri" w:hAnsi="Calibri"/>
      <w:sz w:val="18"/>
      <w:szCs w:val="18"/>
    </w:rPr>
  </w:style>
  <w:style w:type="paragraph" w:customStyle="1" w:styleId="139">
    <w:name w:val="TOC 31"/>
    <w:basedOn w:val="1"/>
    <w:next w:val="1"/>
    <w:unhideWhenUsed/>
    <w:qFormat/>
    <w:uiPriority w:val="39"/>
    <w:pPr>
      <w:spacing w:line="360" w:lineRule="auto"/>
      <w:ind w:left="480" w:firstLine="200" w:firstLineChars="200"/>
      <w:jc w:val="left"/>
    </w:pPr>
    <w:rPr>
      <w:rFonts w:ascii="Calibri" w:hAnsi="Calibri"/>
      <w:i/>
      <w:iCs/>
      <w:sz w:val="20"/>
      <w:szCs w:val="20"/>
    </w:rPr>
  </w:style>
  <w:style w:type="paragraph" w:customStyle="1" w:styleId="140">
    <w:name w:val="TOC 81"/>
    <w:basedOn w:val="1"/>
    <w:next w:val="1"/>
    <w:unhideWhenUsed/>
    <w:qFormat/>
    <w:uiPriority w:val="39"/>
    <w:pPr>
      <w:spacing w:line="360" w:lineRule="auto"/>
      <w:ind w:left="1680" w:firstLine="200" w:firstLineChars="200"/>
      <w:jc w:val="left"/>
    </w:pPr>
    <w:rPr>
      <w:rFonts w:ascii="Calibri" w:hAnsi="Calibri"/>
      <w:sz w:val="18"/>
      <w:szCs w:val="18"/>
    </w:rPr>
  </w:style>
  <w:style w:type="paragraph" w:customStyle="1" w:styleId="141">
    <w:name w:val="TOC 41"/>
    <w:basedOn w:val="1"/>
    <w:next w:val="1"/>
    <w:unhideWhenUsed/>
    <w:qFormat/>
    <w:uiPriority w:val="39"/>
    <w:pPr>
      <w:spacing w:line="360" w:lineRule="auto"/>
      <w:ind w:left="720" w:firstLine="200" w:firstLineChars="200"/>
      <w:jc w:val="left"/>
    </w:pPr>
    <w:rPr>
      <w:rFonts w:ascii="Calibri" w:hAnsi="Calibri"/>
      <w:sz w:val="18"/>
      <w:szCs w:val="18"/>
    </w:rPr>
  </w:style>
  <w:style w:type="paragraph" w:customStyle="1" w:styleId="142">
    <w:name w:val="TOC 61"/>
    <w:basedOn w:val="1"/>
    <w:next w:val="1"/>
    <w:unhideWhenUsed/>
    <w:qFormat/>
    <w:uiPriority w:val="39"/>
    <w:pPr>
      <w:spacing w:line="360" w:lineRule="auto"/>
      <w:ind w:left="1200" w:firstLine="200" w:firstLineChars="200"/>
      <w:jc w:val="left"/>
    </w:pPr>
    <w:rPr>
      <w:rFonts w:ascii="Calibri" w:hAnsi="Calibri"/>
      <w:sz w:val="18"/>
      <w:szCs w:val="18"/>
    </w:rPr>
  </w:style>
  <w:style w:type="paragraph" w:customStyle="1" w:styleId="143">
    <w:name w:val="TOC 21"/>
    <w:basedOn w:val="1"/>
    <w:next w:val="1"/>
    <w:unhideWhenUsed/>
    <w:qFormat/>
    <w:uiPriority w:val="39"/>
    <w:pPr>
      <w:spacing w:line="360" w:lineRule="auto"/>
      <w:ind w:left="240" w:firstLine="200" w:firstLineChars="200"/>
      <w:jc w:val="left"/>
    </w:pPr>
    <w:rPr>
      <w:rFonts w:ascii="Calibri" w:hAnsi="Calibri"/>
      <w:smallCaps/>
      <w:sz w:val="20"/>
      <w:szCs w:val="20"/>
    </w:rPr>
  </w:style>
  <w:style w:type="paragraph" w:customStyle="1" w:styleId="144">
    <w:name w:val="TOC 91"/>
    <w:basedOn w:val="1"/>
    <w:next w:val="1"/>
    <w:unhideWhenUsed/>
    <w:qFormat/>
    <w:uiPriority w:val="39"/>
    <w:pPr>
      <w:spacing w:line="360" w:lineRule="auto"/>
      <w:ind w:left="1920" w:firstLine="200" w:firstLineChars="200"/>
      <w:jc w:val="left"/>
    </w:pPr>
    <w:rPr>
      <w:rFonts w:ascii="Calibri" w:hAnsi="Calibri"/>
      <w:sz w:val="18"/>
      <w:szCs w:val="18"/>
    </w:rPr>
  </w:style>
  <w:style w:type="table" w:customStyle="1" w:styleId="145">
    <w:name w:val="网格型1"/>
    <w:basedOn w:val="39"/>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6">
    <w:name w:val="正文文本 Char1"/>
    <w:basedOn w:val="41"/>
    <w:semiHidden/>
    <w:qFormat/>
    <w:uiPriority w:val="99"/>
    <w:rPr>
      <w:sz w:val="24"/>
    </w:rPr>
  </w:style>
  <w:style w:type="paragraph" w:customStyle="1" w:styleId="147">
    <w:name w:val="修订1"/>
    <w:hidden/>
    <w:unhideWhenUsed/>
    <w:qFormat/>
    <w:uiPriority w:val="99"/>
    <w:rPr>
      <w:rFonts w:ascii="Calibri" w:hAnsi="Calibri" w:eastAsia="宋体" w:cs="Times New Roman"/>
      <w:kern w:val="2"/>
      <w:sz w:val="24"/>
      <w:szCs w:val="22"/>
      <w:lang w:val="en-US" w:eastAsia="zh-CN" w:bidi="ar-SA"/>
    </w:rPr>
  </w:style>
  <w:style w:type="character" w:customStyle="1" w:styleId="148">
    <w:name w:val="占位符文本1"/>
    <w:semiHidden/>
    <w:qFormat/>
    <w:uiPriority w:val="99"/>
    <w:rPr>
      <w:color w:val="808080"/>
    </w:rPr>
  </w:style>
  <w:style w:type="paragraph" w:customStyle="1" w:styleId="149">
    <w:name w:val="WPSOffice手动目录 1"/>
    <w:qFormat/>
    <w:uiPriority w:val="0"/>
    <w:rPr>
      <w:rFonts w:ascii="Times New Roman" w:hAnsi="Times New Roman" w:eastAsia="宋体" w:cs="Times New Roman"/>
      <w:lang w:val="en-US" w:eastAsia="zh-CN" w:bidi="ar-SA"/>
    </w:rPr>
  </w:style>
  <w:style w:type="paragraph" w:customStyle="1" w:styleId="15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51">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152">
    <w:name w:val="font01"/>
    <w:basedOn w:val="41"/>
    <w:qFormat/>
    <w:uiPriority w:val="0"/>
    <w:rPr>
      <w:rFonts w:hint="eastAsia" w:ascii="宋体" w:hAnsi="宋体" w:eastAsia="宋体" w:cs="宋体"/>
      <w:color w:val="000000"/>
      <w:sz w:val="24"/>
      <w:szCs w:val="24"/>
      <w:u w:val="none"/>
    </w:rPr>
  </w:style>
  <w:style w:type="paragraph" w:customStyle="1" w:styleId="153">
    <w:name w:val="TOC 标题1"/>
    <w:basedOn w:val="2"/>
    <w:next w:val="1"/>
    <w:unhideWhenUsed/>
    <w:qFormat/>
    <w:uiPriority w:val="39"/>
    <w:pPr>
      <w:widowControl/>
      <w:spacing w:before="240" w:after="0" w:line="259" w:lineRule="auto"/>
      <w:jc w:val="left"/>
      <w:outlineLvl w:val="9"/>
    </w:pPr>
    <w:rPr>
      <w:rFonts w:ascii="Cambria" w:hAnsi="Cambria" w:eastAsia="宋体"/>
      <w:b w:val="0"/>
      <w:bCs w:val="0"/>
      <w:color w:val="365F91"/>
      <w:kern w:val="0"/>
      <w:sz w:val="32"/>
      <w:szCs w:val="32"/>
    </w:rPr>
  </w:style>
  <w:style w:type="paragraph" w:customStyle="1" w:styleId="154">
    <w:name w:val="List Paragraph"/>
    <w:basedOn w:val="1"/>
    <w:qFormat/>
    <w:uiPriority w:val="99"/>
    <w:pPr>
      <w:ind w:firstLine="420" w:firstLineChars="200"/>
    </w:pPr>
  </w:style>
  <w:style w:type="character" w:customStyle="1" w:styleId="155">
    <w:name w:val="Unresolved Mention"/>
    <w:basedOn w:val="41"/>
    <w:unhideWhenUsed/>
    <w:qFormat/>
    <w:uiPriority w:val="99"/>
    <w:rPr>
      <w:color w:val="605E5C"/>
      <w:shd w:val="clear" w:color="auto" w:fill="E1DFDD"/>
    </w:rPr>
  </w:style>
  <w:style w:type="character" w:customStyle="1" w:styleId="156">
    <w:name w:val="font61"/>
    <w:qFormat/>
    <w:uiPriority w:val="0"/>
    <w:rPr>
      <w:rFonts w:hint="eastAsia" w:ascii="宋体" w:hAnsi="宋体" w:eastAsia="宋体" w:cs="宋体"/>
      <w:color w:val="000000"/>
      <w:sz w:val="18"/>
      <w:szCs w:val="18"/>
      <w:u w:val="none"/>
    </w:rPr>
  </w:style>
  <w:style w:type="character" w:customStyle="1" w:styleId="157">
    <w:name w:val="font91"/>
    <w:qFormat/>
    <w:uiPriority w:val="0"/>
    <w:rPr>
      <w:rFonts w:hint="default" w:ascii="Times New Roman" w:hAnsi="Times New Roman" w:cs="Times New Roman"/>
      <w:color w:val="000000"/>
      <w:sz w:val="18"/>
      <w:szCs w:val="18"/>
      <w:u w:val="single"/>
    </w:rPr>
  </w:style>
  <w:style w:type="paragraph" w:customStyle="1" w:styleId="15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9">
    <w:name w:val="标题1.0"/>
    <w:basedOn w:val="1"/>
    <w:next w:val="1"/>
    <w:qFormat/>
    <w:uiPriority w:val="0"/>
    <w:pPr>
      <w:jc w:val="center"/>
      <w:outlineLvl w:val="0"/>
    </w:pPr>
    <w:rPr>
      <w:rFonts w:asciiTheme="minorEastAsia" w:hAnsiTheme="minorEastAsia" w:eastAsiaTheme="minorEastAsia" w:cstheme="minorBidi"/>
      <w:b/>
      <w:color w:val="0070C0"/>
      <w:sz w:val="36"/>
      <w:szCs w:val="36"/>
    </w:rPr>
  </w:style>
  <w:style w:type="paragraph" w:customStyle="1" w:styleId="160">
    <w:name w:val="正文-公1"/>
    <w:basedOn w:val="1"/>
    <w:qFormat/>
    <w:uiPriority w:val="0"/>
    <w:pPr>
      <w:ind w:firstLine="200" w:firstLineChars="200"/>
      <w:jc w:val="left"/>
    </w:pPr>
    <w:rPr>
      <w:rFonts w:eastAsia="仿宋_GB2312"/>
    </w:rPr>
  </w:style>
  <w:style w:type="table" w:customStyle="1" w:styleId="161">
    <w:name w:val="网格型2"/>
    <w:basedOn w:val="3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2">
    <w:name w:val="标题 1 Char"/>
    <w:link w:val="2"/>
    <w:qFormat/>
    <w:uiPriority w:val="0"/>
    <w:rPr>
      <w:b/>
      <w:kern w:val="44"/>
      <w:sz w:val="44"/>
    </w:rPr>
  </w:style>
  <w:style w:type="character" w:customStyle="1" w:styleId="163">
    <w:name w:val="font11"/>
    <w:basedOn w:val="41"/>
    <w:qFormat/>
    <w:uiPriority w:val="0"/>
    <w:rPr>
      <w:rFonts w:hint="eastAsia" w:ascii="宋体" w:hAnsi="宋体" w:eastAsia="宋体" w:cs="宋体"/>
      <w:color w:val="000000"/>
      <w:sz w:val="24"/>
      <w:szCs w:val="24"/>
      <w:u w:val="none"/>
    </w:rPr>
  </w:style>
  <w:style w:type="character" w:customStyle="1" w:styleId="164">
    <w:name w:val="15"/>
    <w:qFormat/>
    <w:uiPriority w:val="0"/>
    <w:rPr>
      <w:rFonts w:hint="default" w:ascii="Times New Roman" w:hAnsi="Times New Roman" w:cs="Times New Roman"/>
      <w:color w:val="0368A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43</Pages>
  <Words>23178</Words>
  <Characters>25077</Characters>
  <Lines>157</Lines>
  <Paragraphs>44</Paragraphs>
  <TotalTime>174</TotalTime>
  <ScaleCrop>false</ScaleCrop>
  <LinksUpToDate>false</LinksUpToDate>
  <CharactersWithSpaces>26676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2020-10-27T08:16:00Z</dcterms:created>
  <dc:creator>Huang Qian</dc:creator>
  <cp:lastModifiedBy>~猫~石榴</cp:lastModifiedBy>
  <cp:lastPrinted>2025-01-08T01:18:00Z</cp:lastPrinted>
  <dcterms:modified xsi:type="dcterms:W3CDTF">2025-02-05T06:25:15Z</dcterms:modified>
  <dc:title>竞争性谈判文件</dc:title>
  <cp:revision>635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C30BD200938C409480A6C7C2F6C60313_13</vt:lpwstr>
  </property>
  <property fmtid="{D5CDD505-2E9C-101B-9397-08002B2CF9AE}" pid="4" name="KSOTemplateDocerSaveRecord">
    <vt:lpwstr>eyJoZGlkIjoiMTM0NGFlOTE5YzM3NmI1Mjk3MTU1YWRiMjQ4ZDZiNGUiLCJ1c2VySWQiOiIxMzM5Mjk0NDEwIn0=</vt:lpwstr>
  </property>
</Properties>
</file>