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561F7">
      <w:pPr>
        <w:rPr>
          <w:color w:val="auto"/>
        </w:rPr>
      </w:pPr>
    </w:p>
    <w:p w14:paraId="163B2C48">
      <w:pPr>
        <w:rPr>
          <w:color w:val="auto"/>
        </w:rPr>
      </w:pPr>
    </w:p>
    <w:p w14:paraId="32A8E484">
      <w:pPr>
        <w:rPr>
          <w:color w:val="auto"/>
        </w:rPr>
      </w:pPr>
    </w:p>
    <w:p w14:paraId="33BDFAC6">
      <w:pPr>
        <w:rPr>
          <w:color w:val="auto"/>
        </w:rPr>
      </w:pPr>
    </w:p>
    <w:p w14:paraId="6FC207B9">
      <w:pPr>
        <w:spacing w:before="156" w:beforeLines="50" w:line="780" w:lineRule="exact"/>
        <w:jc w:val="center"/>
        <w:rPr>
          <w:rFonts w:hint="eastAsia" w:ascii="方正小标宋_GBK" w:hAnsi="黑体" w:eastAsia="方正小标宋_GBK"/>
          <w:b/>
          <w:color w:val="auto"/>
          <w:sz w:val="84"/>
          <w:szCs w:val="84"/>
        </w:rPr>
      </w:pPr>
      <w:r>
        <w:rPr>
          <w:rFonts w:hint="eastAsia" w:ascii="方正小标宋_GBK" w:hAnsi="黑体" w:eastAsia="方正小标宋_GBK"/>
          <w:b/>
          <w:color w:val="auto"/>
          <w:sz w:val="84"/>
          <w:szCs w:val="84"/>
        </w:rPr>
        <w:t>竞争性谈判采购文件</w:t>
      </w:r>
    </w:p>
    <w:p w14:paraId="7FDE38ED">
      <w:pPr>
        <w:rPr>
          <w:color w:val="auto"/>
        </w:rPr>
      </w:pPr>
    </w:p>
    <w:p w14:paraId="447731A5">
      <w:pPr>
        <w:rPr>
          <w:color w:val="auto"/>
        </w:rPr>
      </w:pPr>
    </w:p>
    <w:p w14:paraId="765508B9">
      <w:pPr>
        <w:rPr>
          <w:color w:val="auto"/>
        </w:rPr>
      </w:pPr>
    </w:p>
    <w:p w14:paraId="6F1B1395">
      <w:pPr>
        <w:rPr>
          <w:color w:val="auto"/>
        </w:rPr>
      </w:pPr>
    </w:p>
    <w:p w14:paraId="477D5B68">
      <w:pPr>
        <w:rPr>
          <w:color w:val="auto"/>
        </w:rPr>
      </w:pPr>
    </w:p>
    <w:p w14:paraId="4B08DA0E">
      <w:pPr>
        <w:rPr>
          <w:color w:val="auto"/>
        </w:rPr>
      </w:pPr>
    </w:p>
    <w:p w14:paraId="6355746D">
      <w:pPr>
        <w:rPr>
          <w:color w:val="auto"/>
        </w:rPr>
      </w:pPr>
    </w:p>
    <w:p w14:paraId="452E4C98">
      <w:pPr>
        <w:rPr>
          <w:color w:val="auto"/>
        </w:rPr>
      </w:pPr>
    </w:p>
    <w:p w14:paraId="49F3E03B">
      <w:pPr>
        <w:rPr>
          <w:color w:val="auto"/>
        </w:rPr>
      </w:pPr>
    </w:p>
    <w:p w14:paraId="5BD91F20">
      <w:pPr>
        <w:rPr>
          <w:color w:val="auto"/>
        </w:rPr>
      </w:pPr>
    </w:p>
    <w:p w14:paraId="08B1BA5C">
      <w:pPr>
        <w:rPr>
          <w:color w:val="auto"/>
        </w:rPr>
      </w:pPr>
    </w:p>
    <w:p w14:paraId="0A96DD52">
      <w:pPr>
        <w:rPr>
          <w:color w:val="auto"/>
        </w:rPr>
      </w:pPr>
    </w:p>
    <w:p w14:paraId="4907C960">
      <w:pPr>
        <w:spacing w:line="500" w:lineRule="exact"/>
        <w:ind w:left="2557" w:leftChars="608" w:hanging="1280" w:hangingChars="400"/>
        <w:rPr>
          <w:rFonts w:hint="eastAsia" w:ascii="方正小标宋_GBK" w:hAnsi="微软雅黑" w:eastAsia="方正小标宋_GBK"/>
          <w:color w:val="auto"/>
          <w:sz w:val="32"/>
          <w:szCs w:val="32"/>
          <w:lang w:eastAsia="zh-CN"/>
        </w:rPr>
      </w:pPr>
      <w:r>
        <w:rPr>
          <w:rFonts w:hint="eastAsia" w:ascii="方正小标宋_GBK" w:hAnsi="微软雅黑" w:eastAsia="方正小标宋_GBK"/>
          <w:color w:val="auto"/>
          <w:sz w:val="32"/>
          <w:szCs w:val="32"/>
        </w:rPr>
        <w:t>项目名称:</w:t>
      </w:r>
      <w:r>
        <w:rPr>
          <w:rFonts w:hint="eastAsia" w:ascii="方正小标宋_GBK" w:hAnsi="微软雅黑" w:eastAsia="方正小标宋_GBK"/>
          <w:color w:val="auto"/>
          <w:sz w:val="32"/>
          <w:szCs w:val="32"/>
          <w:lang w:eastAsia="zh-CN"/>
        </w:rPr>
        <w:t>2024年浦北县第二中学改善普通高中办学条件教学设备采购项目</w:t>
      </w:r>
    </w:p>
    <w:p w14:paraId="54852E4E">
      <w:pPr>
        <w:spacing w:line="500" w:lineRule="exact"/>
        <w:ind w:firstLine="1280" w:firstLineChars="400"/>
        <w:rPr>
          <w:rFonts w:hint="eastAsia" w:ascii="方正小标宋_GBK" w:hAnsi="微软雅黑" w:eastAsia="方正小标宋_GBK"/>
          <w:color w:val="auto"/>
          <w:sz w:val="32"/>
          <w:szCs w:val="32"/>
          <w:lang w:eastAsia="zh-CN"/>
        </w:rPr>
      </w:pPr>
      <w:r>
        <w:rPr>
          <w:rFonts w:hint="eastAsia" w:ascii="方正小标宋_GBK" w:hAnsi="微软雅黑" w:eastAsia="方正小标宋_GBK"/>
          <w:color w:val="auto"/>
          <w:sz w:val="32"/>
          <w:szCs w:val="32"/>
        </w:rPr>
        <w:t>项目编号:</w:t>
      </w:r>
      <w:r>
        <w:rPr>
          <w:rFonts w:hint="eastAsia" w:ascii="方正小标宋_GBK" w:hAnsi="微软雅黑" w:eastAsia="方正小标宋_GBK"/>
          <w:color w:val="auto"/>
          <w:sz w:val="32"/>
          <w:szCs w:val="32"/>
          <w:lang w:eastAsia="zh-CN"/>
        </w:rPr>
        <w:t xml:space="preserve"> QZZC2025-J1-220001-QZSZ</w:t>
      </w:r>
    </w:p>
    <w:p w14:paraId="60E37CEC">
      <w:pPr>
        <w:rPr>
          <w:color w:val="auto"/>
        </w:rPr>
      </w:pPr>
    </w:p>
    <w:p w14:paraId="2AACAF94">
      <w:pPr>
        <w:rPr>
          <w:color w:val="auto"/>
        </w:rPr>
      </w:pPr>
    </w:p>
    <w:p w14:paraId="1F7708CC">
      <w:pPr>
        <w:rPr>
          <w:color w:val="auto"/>
        </w:rPr>
      </w:pPr>
    </w:p>
    <w:p w14:paraId="35334790">
      <w:pPr>
        <w:rPr>
          <w:color w:val="auto"/>
        </w:rPr>
      </w:pPr>
    </w:p>
    <w:p w14:paraId="79B607B0">
      <w:pPr>
        <w:rPr>
          <w:color w:val="auto"/>
        </w:rPr>
      </w:pPr>
    </w:p>
    <w:p w14:paraId="0644A14D">
      <w:pPr>
        <w:rPr>
          <w:color w:val="auto"/>
        </w:rPr>
      </w:pPr>
    </w:p>
    <w:p w14:paraId="381DFB6B">
      <w:pPr>
        <w:rPr>
          <w:color w:val="auto"/>
        </w:rPr>
      </w:pPr>
    </w:p>
    <w:p w14:paraId="6A2B797D">
      <w:pPr>
        <w:rPr>
          <w:color w:val="auto"/>
        </w:rPr>
      </w:pPr>
    </w:p>
    <w:p w14:paraId="79E0EB05">
      <w:pPr>
        <w:rPr>
          <w:color w:val="auto"/>
        </w:rPr>
      </w:pPr>
    </w:p>
    <w:p w14:paraId="3AE93681">
      <w:pPr>
        <w:rPr>
          <w:color w:val="auto"/>
        </w:rPr>
      </w:pPr>
    </w:p>
    <w:p w14:paraId="371055DB">
      <w:pPr>
        <w:rPr>
          <w:color w:val="auto"/>
        </w:rPr>
      </w:pPr>
    </w:p>
    <w:p w14:paraId="5314F881">
      <w:pPr>
        <w:rPr>
          <w:color w:val="auto"/>
        </w:rPr>
      </w:pPr>
    </w:p>
    <w:p w14:paraId="76EDFF1F">
      <w:pPr>
        <w:rPr>
          <w:color w:val="auto"/>
        </w:rPr>
      </w:pPr>
    </w:p>
    <w:p w14:paraId="47F68CAF">
      <w:pPr>
        <w:rPr>
          <w:color w:val="auto"/>
        </w:rPr>
      </w:pPr>
    </w:p>
    <w:p w14:paraId="51F01DF8">
      <w:pPr>
        <w:rPr>
          <w:color w:val="auto"/>
        </w:rPr>
      </w:pPr>
    </w:p>
    <w:p w14:paraId="0EEFF6E5">
      <w:pPr>
        <w:rPr>
          <w:color w:val="auto"/>
        </w:rPr>
      </w:pPr>
    </w:p>
    <w:p w14:paraId="6A1B2EB8">
      <w:pPr>
        <w:rPr>
          <w:color w:val="auto"/>
        </w:rPr>
      </w:pPr>
    </w:p>
    <w:p w14:paraId="45DF679F">
      <w:pPr>
        <w:rPr>
          <w:color w:val="auto"/>
        </w:rPr>
      </w:pPr>
    </w:p>
    <w:p w14:paraId="20B9473C">
      <w:pPr>
        <w:spacing w:line="360" w:lineRule="exact"/>
        <w:jc w:val="center"/>
        <w:rPr>
          <w:rFonts w:hint="eastAsia" w:ascii="方正小标宋_GBK" w:hAnsi="微软雅黑" w:eastAsia="方正小标宋_GBK"/>
          <w:color w:val="auto"/>
          <w:sz w:val="32"/>
          <w:szCs w:val="32"/>
        </w:rPr>
      </w:pPr>
      <w:r>
        <w:rPr>
          <w:rFonts w:hint="eastAsia" w:ascii="方正小标宋_GBK" w:hAnsi="微软雅黑" w:eastAsia="方正小标宋_GBK"/>
          <w:color w:val="auto"/>
          <w:sz w:val="32"/>
          <w:szCs w:val="32"/>
        </w:rPr>
        <w:t>钦州市政府采购中心</w:t>
      </w:r>
    </w:p>
    <w:p w14:paraId="2057F3D9">
      <w:pPr>
        <w:tabs>
          <w:tab w:val="left" w:pos="360"/>
        </w:tabs>
        <w:spacing w:line="440" w:lineRule="exact"/>
        <w:jc w:val="center"/>
        <w:rPr>
          <w:rFonts w:hint="eastAsia" w:ascii="仿宋_GB2312" w:hAnsi="宋体" w:eastAsia="仿宋_GB2312"/>
          <w:color w:val="auto"/>
          <w:sz w:val="32"/>
          <w:szCs w:val="32"/>
        </w:rPr>
      </w:pPr>
      <w:r>
        <w:rPr>
          <w:rFonts w:hint="eastAsia" w:ascii="方正小标宋_GBK" w:hAnsi="微软雅黑" w:eastAsia="方正小标宋_GBK"/>
          <w:color w:val="auto"/>
          <w:sz w:val="32"/>
          <w:szCs w:val="32"/>
        </w:rPr>
        <w:t>202</w:t>
      </w:r>
      <w:r>
        <w:rPr>
          <w:rFonts w:hint="eastAsia" w:ascii="方正小标宋_GBK" w:hAnsi="微软雅黑" w:eastAsia="方正小标宋_GBK"/>
          <w:color w:val="auto"/>
          <w:sz w:val="32"/>
          <w:szCs w:val="32"/>
          <w:lang w:val="en-US" w:eastAsia="zh-CN"/>
        </w:rPr>
        <w:t>5</w:t>
      </w:r>
      <w:r>
        <w:rPr>
          <w:rFonts w:hint="eastAsia" w:ascii="方正小标宋_GBK" w:hAnsi="微软雅黑" w:eastAsia="方正小标宋_GBK"/>
          <w:color w:val="auto"/>
          <w:sz w:val="32"/>
          <w:szCs w:val="32"/>
        </w:rPr>
        <w:t>年</w:t>
      </w:r>
      <w:r>
        <w:rPr>
          <w:rFonts w:hint="eastAsia" w:ascii="方正小标宋_GBK" w:hAnsi="微软雅黑" w:eastAsia="方正小标宋_GBK"/>
          <w:color w:val="auto"/>
          <w:sz w:val="32"/>
          <w:szCs w:val="32"/>
          <w:lang w:val="en-US" w:eastAsia="zh-CN"/>
        </w:rPr>
        <w:t>1</w:t>
      </w:r>
      <w:r>
        <w:rPr>
          <w:rFonts w:hint="eastAsia" w:ascii="方正小标宋_GBK" w:hAnsi="微软雅黑" w:eastAsia="方正小标宋_GBK"/>
          <w:color w:val="auto"/>
          <w:sz w:val="32"/>
          <w:szCs w:val="32"/>
        </w:rPr>
        <w:t>月</w:t>
      </w:r>
    </w:p>
    <w:p w14:paraId="6A7267DD">
      <w:pPr>
        <w:rPr>
          <w:color w:val="auto"/>
        </w:rPr>
      </w:pPr>
    </w:p>
    <w:p w14:paraId="4B191217">
      <w:pPr>
        <w:rPr>
          <w:color w:val="auto"/>
        </w:rPr>
      </w:pPr>
    </w:p>
    <w:p w14:paraId="0271577A">
      <w:pPr>
        <w:spacing w:line="640" w:lineRule="exact"/>
        <w:jc w:val="center"/>
        <w:rPr>
          <w:rFonts w:hint="eastAsia" w:ascii="方正小标宋_GBK" w:hAnsi="宋体" w:eastAsia="方正小标宋_GBK"/>
          <w:b/>
          <w:color w:val="auto"/>
          <w:sz w:val="32"/>
          <w:szCs w:val="32"/>
        </w:rPr>
      </w:pPr>
      <w:r>
        <w:rPr>
          <w:rFonts w:hint="eastAsia" w:ascii="方正小标宋_GBK" w:hAnsi="宋体" w:eastAsia="方正小标宋_GBK"/>
          <w:b/>
          <w:color w:val="auto"/>
          <w:sz w:val="44"/>
          <w:szCs w:val="44"/>
        </w:rPr>
        <w:t>目   录</w:t>
      </w:r>
    </w:p>
    <w:p w14:paraId="3E96720E">
      <w:pPr>
        <w:rPr>
          <w:color w:val="auto"/>
        </w:rPr>
      </w:pPr>
    </w:p>
    <w:p w14:paraId="0B7F6E7C">
      <w:pPr>
        <w:pStyle w:val="27"/>
        <w:tabs>
          <w:tab w:val="right" w:leader="dot" w:pos="9514"/>
        </w:tabs>
        <w:spacing w:line="1000" w:lineRule="exact"/>
        <w:rPr>
          <w:rFonts w:hint="eastAsia" w:asciiTheme="minorHAnsi" w:hAnsiTheme="minorHAnsi" w:eastAsiaTheme="minorEastAsia" w:cstheme="minorBidi"/>
          <w:color w:val="auto"/>
          <w:sz w:val="28"/>
          <w:szCs w:val="28"/>
        </w:rPr>
      </w:pPr>
      <w:bookmarkStart w:id="0" w:name="_Toc354479497"/>
      <w:r>
        <w:rPr>
          <w:rFonts w:hint="eastAsia" w:ascii="方正小标宋_GBK" w:hAnsi="仿宋" w:eastAsia="方正小标宋_GBK"/>
          <w:b/>
          <w:color w:val="auto"/>
          <w:sz w:val="28"/>
          <w:szCs w:val="28"/>
        </w:rPr>
        <w:fldChar w:fldCharType="begin"/>
      </w:r>
      <w:r>
        <w:rPr>
          <w:rFonts w:hint="eastAsia" w:ascii="方正小标宋_GBK" w:hAnsi="仿宋" w:eastAsia="方正小标宋_GBK"/>
          <w:b/>
          <w:color w:val="auto"/>
          <w:sz w:val="28"/>
          <w:szCs w:val="28"/>
        </w:rPr>
        <w:instrText xml:space="preserve"> TOC \o "1-1" \h \z \u </w:instrText>
      </w:r>
      <w:r>
        <w:rPr>
          <w:rFonts w:hint="eastAsia" w:ascii="方正小标宋_GBK" w:hAnsi="仿宋" w:eastAsia="方正小标宋_GBK"/>
          <w:b/>
          <w:color w:val="auto"/>
          <w:sz w:val="28"/>
          <w:szCs w:val="28"/>
        </w:rPr>
        <w:fldChar w:fldCharType="separate"/>
      </w:r>
      <w:r>
        <w:rPr>
          <w:color w:val="auto"/>
        </w:rPr>
        <w:fldChar w:fldCharType="begin"/>
      </w:r>
      <w:r>
        <w:rPr>
          <w:color w:val="auto"/>
        </w:rPr>
        <w:instrText xml:space="preserve"> HYPERLINK \l "_Toc92355023" </w:instrText>
      </w:r>
      <w:r>
        <w:rPr>
          <w:color w:val="auto"/>
        </w:rPr>
        <w:fldChar w:fldCharType="separate"/>
      </w:r>
      <w:r>
        <w:rPr>
          <w:rStyle w:val="44"/>
          <w:rFonts w:ascii="方正小标宋_GBK" w:hAnsi="宋体" w:eastAsia="方正小标宋_GBK"/>
          <w:color w:val="auto"/>
          <w:sz w:val="28"/>
          <w:szCs w:val="28"/>
        </w:rPr>
        <w:t>第一章  竞争性谈判公告</w:t>
      </w:r>
      <w:r>
        <w:rPr>
          <w:color w:val="auto"/>
          <w:sz w:val="28"/>
          <w:szCs w:val="28"/>
        </w:rPr>
        <w:tab/>
      </w:r>
      <w:r>
        <w:rPr>
          <w:color w:val="auto"/>
          <w:sz w:val="28"/>
          <w:szCs w:val="28"/>
        </w:rPr>
        <w:fldChar w:fldCharType="begin"/>
      </w:r>
      <w:r>
        <w:rPr>
          <w:color w:val="auto"/>
          <w:sz w:val="28"/>
          <w:szCs w:val="28"/>
        </w:rPr>
        <w:instrText xml:space="preserve"> PAGEREF _Toc92355023 \h </w:instrText>
      </w:r>
      <w:r>
        <w:rPr>
          <w:color w:val="auto"/>
          <w:sz w:val="28"/>
          <w:szCs w:val="28"/>
        </w:rPr>
        <w:fldChar w:fldCharType="separate"/>
      </w:r>
      <w:r>
        <w:rPr>
          <w:color w:val="auto"/>
          <w:sz w:val="28"/>
          <w:szCs w:val="28"/>
        </w:rPr>
        <w:t>3</w:t>
      </w:r>
      <w:r>
        <w:rPr>
          <w:color w:val="auto"/>
          <w:sz w:val="28"/>
          <w:szCs w:val="28"/>
        </w:rPr>
        <w:fldChar w:fldCharType="end"/>
      </w:r>
      <w:r>
        <w:rPr>
          <w:color w:val="auto"/>
          <w:sz w:val="28"/>
          <w:szCs w:val="28"/>
        </w:rPr>
        <w:fldChar w:fldCharType="end"/>
      </w:r>
    </w:p>
    <w:p w14:paraId="38DBD90A">
      <w:pPr>
        <w:pStyle w:val="27"/>
        <w:tabs>
          <w:tab w:val="right" w:leader="dot" w:pos="9514"/>
        </w:tabs>
        <w:spacing w:line="1000" w:lineRule="exact"/>
        <w:rPr>
          <w:rFonts w:hint="eastAsia" w:asciiTheme="minorHAnsi" w:hAnsiTheme="minorHAnsi" w:eastAsiaTheme="minorEastAsia" w:cstheme="minorBidi"/>
          <w:color w:val="auto"/>
          <w:sz w:val="28"/>
          <w:szCs w:val="28"/>
        </w:rPr>
      </w:pPr>
      <w:r>
        <w:rPr>
          <w:color w:val="auto"/>
        </w:rPr>
        <w:fldChar w:fldCharType="begin"/>
      </w:r>
      <w:r>
        <w:rPr>
          <w:color w:val="auto"/>
        </w:rPr>
        <w:instrText xml:space="preserve"> HYPERLINK \l "_Toc92355024" </w:instrText>
      </w:r>
      <w:r>
        <w:rPr>
          <w:color w:val="auto"/>
        </w:rPr>
        <w:fldChar w:fldCharType="separate"/>
      </w:r>
      <w:r>
        <w:rPr>
          <w:rStyle w:val="44"/>
          <w:rFonts w:ascii="方正小标宋_GBK" w:hAnsi="宋体" w:eastAsia="方正小标宋_GBK"/>
          <w:color w:val="auto"/>
          <w:sz w:val="28"/>
          <w:szCs w:val="28"/>
        </w:rPr>
        <w:t>第二章  项目需求</w:t>
      </w:r>
      <w:r>
        <w:rPr>
          <w:color w:val="auto"/>
          <w:sz w:val="28"/>
          <w:szCs w:val="28"/>
        </w:rPr>
        <w:tab/>
      </w:r>
      <w:r>
        <w:rPr>
          <w:color w:val="auto"/>
          <w:sz w:val="28"/>
          <w:szCs w:val="28"/>
        </w:rPr>
        <w:fldChar w:fldCharType="begin"/>
      </w:r>
      <w:r>
        <w:rPr>
          <w:color w:val="auto"/>
          <w:sz w:val="28"/>
          <w:szCs w:val="28"/>
        </w:rPr>
        <w:instrText xml:space="preserve"> PAGEREF _Toc92355024 \h </w:instrText>
      </w:r>
      <w:r>
        <w:rPr>
          <w:color w:val="auto"/>
          <w:sz w:val="28"/>
          <w:szCs w:val="28"/>
        </w:rPr>
        <w:fldChar w:fldCharType="separate"/>
      </w:r>
      <w:r>
        <w:rPr>
          <w:color w:val="auto"/>
          <w:sz w:val="28"/>
          <w:szCs w:val="28"/>
        </w:rPr>
        <w:t>7</w:t>
      </w:r>
      <w:r>
        <w:rPr>
          <w:color w:val="auto"/>
          <w:sz w:val="28"/>
          <w:szCs w:val="28"/>
        </w:rPr>
        <w:fldChar w:fldCharType="end"/>
      </w:r>
      <w:r>
        <w:rPr>
          <w:color w:val="auto"/>
          <w:sz w:val="28"/>
          <w:szCs w:val="28"/>
        </w:rPr>
        <w:fldChar w:fldCharType="end"/>
      </w:r>
    </w:p>
    <w:p w14:paraId="704E73EF">
      <w:pPr>
        <w:pStyle w:val="27"/>
        <w:tabs>
          <w:tab w:val="right" w:leader="dot" w:pos="9514"/>
        </w:tabs>
        <w:spacing w:line="1000" w:lineRule="exact"/>
        <w:rPr>
          <w:rFonts w:hint="eastAsia" w:asciiTheme="minorHAnsi" w:hAnsiTheme="minorHAnsi" w:eastAsiaTheme="minorEastAsia" w:cstheme="minorBidi"/>
          <w:color w:val="auto"/>
          <w:sz w:val="28"/>
          <w:szCs w:val="28"/>
        </w:rPr>
      </w:pPr>
      <w:r>
        <w:rPr>
          <w:color w:val="auto"/>
        </w:rPr>
        <w:fldChar w:fldCharType="begin"/>
      </w:r>
      <w:r>
        <w:rPr>
          <w:color w:val="auto"/>
        </w:rPr>
        <w:instrText xml:space="preserve"> HYPERLINK \l "_Toc92355025" </w:instrText>
      </w:r>
      <w:r>
        <w:rPr>
          <w:color w:val="auto"/>
        </w:rPr>
        <w:fldChar w:fldCharType="separate"/>
      </w:r>
      <w:r>
        <w:rPr>
          <w:rStyle w:val="44"/>
          <w:rFonts w:ascii="方正小标宋简体" w:eastAsia="方正小标宋简体"/>
          <w:color w:val="auto"/>
          <w:sz w:val="28"/>
          <w:szCs w:val="28"/>
        </w:rPr>
        <w:t>第三章  供应商须知</w:t>
      </w:r>
      <w:r>
        <w:rPr>
          <w:color w:val="auto"/>
          <w:sz w:val="28"/>
          <w:szCs w:val="28"/>
        </w:rPr>
        <w:tab/>
      </w:r>
      <w:r>
        <w:rPr>
          <w:color w:val="auto"/>
          <w:sz w:val="28"/>
          <w:szCs w:val="28"/>
        </w:rPr>
        <w:fldChar w:fldCharType="begin"/>
      </w:r>
      <w:r>
        <w:rPr>
          <w:color w:val="auto"/>
          <w:sz w:val="28"/>
          <w:szCs w:val="28"/>
        </w:rPr>
        <w:instrText xml:space="preserve"> PAGEREF _Toc92355025 \h </w:instrText>
      </w:r>
      <w:r>
        <w:rPr>
          <w:color w:val="auto"/>
          <w:sz w:val="28"/>
          <w:szCs w:val="28"/>
        </w:rPr>
        <w:fldChar w:fldCharType="separate"/>
      </w:r>
      <w:r>
        <w:rPr>
          <w:color w:val="auto"/>
          <w:sz w:val="28"/>
          <w:szCs w:val="28"/>
        </w:rPr>
        <w:t>199</w:t>
      </w:r>
      <w:r>
        <w:rPr>
          <w:color w:val="auto"/>
          <w:sz w:val="28"/>
          <w:szCs w:val="28"/>
        </w:rPr>
        <w:fldChar w:fldCharType="end"/>
      </w:r>
      <w:r>
        <w:rPr>
          <w:color w:val="auto"/>
          <w:sz w:val="28"/>
          <w:szCs w:val="28"/>
        </w:rPr>
        <w:fldChar w:fldCharType="end"/>
      </w:r>
    </w:p>
    <w:p w14:paraId="32B7D9B6">
      <w:pPr>
        <w:pStyle w:val="27"/>
        <w:tabs>
          <w:tab w:val="right" w:leader="dot" w:pos="9514"/>
        </w:tabs>
        <w:spacing w:line="1000" w:lineRule="exact"/>
        <w:rPr>
          <w:rFonts w:hint="eastAsia" w:asciiTheme="minorHAnsi" w:hAnsiTheme="minorHAnsi" w:eastAsiaTheme="minorEastAsia" w:cstheme="minorBidi"/>
          <w:color w:val="auto"/>
          <w:sz w:val="28"/>
          <w:szCs w:val="28"/>
        </w:rPr>
      </w:pPr>
      <w:r>
        <w:rPr>
          <w:color w:val="auto"/>
        </w:rPr>
        <w:fldChar w:fldCharType="begin"/>
      </w:r>
      <w:r>
        <w:rPr>
          <w:color w:val="auto"/>
        </w:rPr>
        <w:instrText xml:space="preserve"> HYPERLINK \l "_Toc92355026" </w:instrText>
      </w:r>
      <w:r>
        <w:rPr>
          <w:color w:val="auto"/>
        </w:rPr>
        <w:fldChar w:fldCharType="separate"/>
      </w:r>
      <w:r>
        <w:rPr>
          <w:rStyle w:val="44"/>
          <w:rFonts w:ascii="方正小标宋_GBK" w:hAnsi="宋体" w:eastAsia="方正小标宋_GBK"/>
          <w:color w:val="auto"/>
          <w:sz w:val="28"/>
          <w:szCs w:val="28"/>
        </w:rPr>
        <w:t>第四章  评定标准及推荐原则</w:t>
      </w:r>
      <w:r>
        <w:rPr>
          <w:color w:val="auto"/>
          <w:sz w:val="28"/>
          <w:szCs w:val="28"/>
        </w:rPr>
        <w:tab/>
      </w:r>
      <w:r>
        <w:rPr>
          <w:color w:val="auto"/>
          <w:sz w:val="28"/>
          <w:szCs w:val="28"/>
        </w:rPr>
        <w:fldChar w:fldCharType="begin"/>
      </w:r>
      <w:r>
        <w:rPr>
          <w:color w:val="auto"/>
          <w:sz w:val="28"/>
          <w:szCs w:val="28"/>
        </w:rPr>
        <w:instrText xml:space="preserve"> PAGEREF _Toc92355026 \h </w:instrText>
      </w:r>
      <w:r>
        <w:rPr>
          <w:color w:val="auto"/>
          <w:sz w:val="28"/>
          <w:szCs w:val="28"/>
        </w:rPr>
        <w:fldChar w:fldCharType="separate"/>
      </w:r>
      <w:r>
        <w:rPr>
          <w:color w:val="auto"/>
          <w:sz w:val="28"/>
          <w:szCs w:val="28"/>
        </w:rPr>
        <w:t>211</w:t>
      </w:r>
      <w:r>
        <w:rPr>
          <w:color w:val="auto"/>
          <w:sz w:val="28"/>
          <w:szCs w:val="28"/>
        </w:rPr>
        <w:fldChar w:fldCharType="end"/>
      </w:r>
      <w:r>
        <w:rPr>
          <w:color w:val="auto"/>
          <w:sz w:val="28"/>
          <w:szCs w:val="28"/>
        </w:rPr>
        <w:fldChar w:fldCharType="end"/>
      </w:r>
    </w:p>
    <w:p w14:paraId="6B769A56">
      <w:pPr>
        <w:pStyle w:val="27"/>
        <w:tabs>
          <w:tab w:val="right" w:leader="dot" w:pos="9514"/>
        </w:tabs>
        <w:spacing w:line="1000" w:lineRule="exact"/>
        <w:rPr>
          <w:rFonts w:hint="eastAsia" w:asciiTheme="minorHAnsi" w:hAnsiTheme="minorHAnsi" w:eastAsiaTheme="minorEastAsia" w:cstheme="minorBidi"/>
          <w:color w:val="auto"/>
          <w:sz w:val="28"/>
          <w:szCs w:val="28"/>
        </w:rPr>
      </w:pPr>
      <w:r>
        <w:rPr>
          <w:color w:val="auto"/>
        </w:rPr>
        <w:fldChar w:fldCharType="begin"/>
      </w:r>
      <w:r>
        <w:rPr>
          <w:color w:val="auto"/>
        </w:rPr>
        <w:instrText xml:space="preserve"> HYPERLINK \l "_Toc92355027" </w:instrText>
      </w:r>
      <w:r>
        <w:rPr>
          <w:color w:val="auto"/>
        </w:rPr>
        <w:fldChar w:fldCharType="separate"/>
      </w:r>
      <w:r>
        <w:rPr>
          <w:rStyle w:val="44"/>
          <w:rFonts w:ascii="方正小标宋_GBK" w:eastAsia="方正小标宋_GBK"/>
          <w:color w:val="auto"/>
          <w:sz w:val="28"/>
          <w:szCs w:val="28"/>
        </w:rPr>
        <w:t>第五章  合同文本</w:t>
      </w:r>
      <w:r>
        <w:rPr>
          <w:color w:val="auto"/>
          <w:sz w:val="28"/>
          <w:szCs w:val="28"/>
        </w:rPr>
        <w:tab/>
      </w:r>
      <w:r>
        <w:rPr>
          <w:color w:val="auto"/>
          <w:sz w:val="28"/>
          <w:szCs w:val="28"/>
        </w:rPr>
        <w:fldChar w:fldCharType="begin"/>
      </w:r>
      <w:r>
        <w:rPr>
          <w:color w:val="auto"/>
          <w:sz w:val="28"/>
          <w:szCs w:val="28"/>
        </w:rPr>
        <w:instrText xml:space="preserve"> PAGEREF _Toc92355027 \h </w:instrText>
      </w:r>
      <w:r>
        <w:rPr>
          <w:color w:val="auto"/>
          <w:sz w:val="28"/>
          <w:szCs w:val="28"/>
        </w:rPr>
        <w:fldChar w:fldCharType="separate"/>
      </w:r>
      <w:r>
        <w:rPr>
          <w:color w:val="auto"/>
          <w:sz w:val="28"/>
          <w:szCs w:val="28"/>
        </w:rPr>
        <w:t>213</w:t>
      </w:r>
      <w:r>
        <w:rPr>
          <w:color w:val="auto"/>
          <w:sz w:val="28"/>
          <w:szCs w:val="28"/>
        </w:rPr>
        <w:fldChar w:fldCharType="end"/>
      </w:r>
      <w:r>
        <w:rPr>
          <w:color w:val="auto"/>
          <w:sz w:val="28"/>
          <w:szCs w:val="28"/>
        </w:rPr>
        <w:fldChar w:fldCharType="end"/>
      </w:r>
    </w:p>
    <w:p w14:paraId="29BC855A">
      <w:pPr>
        <w:pStyle w:val="27"/>
        <w:tabs>
          <w:tab w:val="right" w:leader="dot" w:pos="9514"/>
        </w:tabs>
        <w:spacing w:line="1000" w:lineRule="exact"/>
        <w:rPr>
          <w:rFonts w:hint="eastAsia" w:asciiTheme="minorHAnsi" w:hAnsiTheme="minorHAnsi" w:eastAsiaTheme="minorEastAsia" w:cstheme="minorBidi"/>
          <w:color w:val="auto"/>
          <w:sz w:val="28"/>
          <w:szCs w:val="28"/>
        </w:rPr>
      </w:pPr>
      <w:r>
        <w:rPr>
          <w:color w:val="auto"/>
        </w:rPr>
        <w:fldChar w:fldCharType="begin"/>
      </w:r>
      <w:r>
        <w:rPr>
          <w:color w:val="auto"/>
        </w:rPr>
        <w:instrText xml:space="preserve"> HYPERLINK \l "_Toc92355028" </w:instrText>
      </w:r>
      <w:r>
        <w:rPr>
          <w:color w:val="auto"/>
        </w:rPr>
        <w:fldChar w:fldCharType="separate"/>
      </w:r>
      <w:r>
        <w:rPr>
          <w:rStyle w:val="44"/>
          <w:rFonts w:ascii="方正小标宋_GBK" w:hAnsi="方正小标宋_GBK" w:eastAsia="方正小标宋_GBK"/>
          <w:color w:val="auto"/>
          <w:sz w:val="28"/>
          <w:szCs w:val="28"/>
        </w:rPr>
        <w:t>第六章  响应文件格式</w:t>
      </w:r>
      <w:r>
        <w:rPr>
          <w:color w:val="auto"/>
          <w:sz w:val="28"/>
          <w:szCs w:val="28"/>
        </w:rPr>
        <w:tab/>
      </w:r>
      <w:r>
        <w:rPr>
          <w:color w:val="auto"/>
          <w:sz w:val="28"/>
          <w:szCs w:val="28"/>
        </w:rPr>
        <w:fldChar w:fldCharType="begin"/>
      </w:r>
      <w:r>
        <w:rPr>
          <w:color w:val="auto"/>
          <w:sz w:val="28"/>
          <w:szCs w:val="28"/>
        </w:rPr>
        <w:instrText xml:space="preserve"> PAGEREF _Toc92355028 \h </w:instrText>
      </w:r>
      <w:r>
        <w:rPr>
          <w:color w:val="auto"/>
          <w:sz w:val="28"/>
          <w:szCs w:val="28"/>
        </w:rPr>
        <w:fldChar w:fldCharType="separate"/>
      </w:r>
      <w:r>
        <w:rPr>
          <w:color w:val="auto"/>
          <w:sz w:val="28"/>
          <w:szCs w:val="28"/>
        </w:rPr>
        <w:t>229</w:t>
      </w:r>
      <w:r>
        <w:rPr>
          <w:color w:val="auto"/>
          <w:sz w:val="28"/>
          <w:szCs w:val="28"/>
        </w:rPr>
        <w:fldChar w:fldCharType="end"/>
      </w:r>
      <w:r>
        <w:rPr>
          <w:color w:val="auto"/>
          <w:sz w:val="28"/>
          <w:szCs w:val="28"/>
        </w:rPr>
        <w:fldChar w:fldCharType="end"/>
      </w:r>
    </w:p>
    <w:p w14:paraId="2ADE0FA3">
      <w:pPr>
        <w:rPr>
          <w:color w:val="auto"/>
        </w:rPr>
        <w:sectPr>
          <w:footerReference r:id="rId5" w:type="first"/>
          <w:headerReference r:id="rId3" w:type="default"/>
          <w:footerReference r:id="rId4" w:type="default"/>
          <w:pgSz w:w="11906" w:h="16838"/>
          <w:pgMar w:top="936" w:right="1191" w:bottom="936" w:left="1191" w:header="851" w:footer="992" w:gutter="0"/>
          <w:pgNumType w:start="1"/>
          <w:cols w:space="720" w:num="1"/>
          <w:docGrid w:type="lines" w:linePitch="312" w:charSpace="0"/>
        </w:sectPr>
      </w:pPr>
      <w:r>
        <w:rPr>
          <w:rFonts w:hint="eastAsia"/>
          <w:color w:val="auto"/>
        </w:rPr>
        <w:fldChar w:fldCharType="end"/>
      </w:r>
      <w:bookmarkStart w:id="133" w:name="_GoBack"/>
      <w:bookmarkEnd w:id="133"/>
    </w:p>
    <w:p w14:paraId="71D691E4">
      <w:pPr>
        <w:rPr>
          <w:color w:val="auto"/>
        </w:rPr>
      </w:pPr>
    </w:p>
    <w:p w14:paraId="3594BB94">
      <w:pPr>
        <w:widowControl/>
        <w:jc w:val="left"/>
        <w:rPr>
          <w:color w:val="auto"/>
        </w:rPr>
      </w:pPr>
    </w:p>
    <w:p w14:paraId="61FD26E2">
      <w:pPr>
        <w:rPr>
          <w:color w:val="auto"/>
        </w:rPr>
      </w:pPr>
    </w:p>
    <w:p w14:paraId="4EE61B86">
      <w:pPr>
        <w:rPr>
          <w:color w:val="auto"/>
        </w:rPr>
      </w:pPr>
    </w:p>
    <w:p w14:paraId="7933489A">
      <w:pPr>
        <w:rPr>
          <w:color w:val="auto"/>
        </w:rPr>
      </w:pPr>
    </w:p>
    <w:p w14:paraId="5022F99A">
      <w:pPr>
        <w:rPr>
          <w:color w:val="auto"/>
        </w:rPr>
      </w:pPr>
    </w:p>
    <w:p w14:paraId="7FBAD49A">
      <w:pPr>
        <w:rPr>
          <w:color w:val="auto"/>
        </w:rPr>
      </w:pPr>
    </w:p>
    <w:p w14:paraId="619BBA05">
      <w:pPr>
        <w:rPr>
          <w:color w:val="auto"/>
        </w:rPr>
      </w:pPr>
    </w:p>
    <w:p w14:paraId="154B3DA8">
      <w:pPr>
        <w:rPr>
          <w:color w:val="auto"/>
        </w:rPr>
      </w:pPr>
    </w:p>
    <w:p w14:paraId="21A5A2CA">
      <w:pPr>
        <w:rPr>
          <w:color w:val="auto"/>
        </w:rPr>
      </w:pPr>
    </w:p>
    <w:p w14:paraId="25A7165C">
      <w:pPr>
        <w:rPr>
          <w:color w:val="auto"/>
        </w:rPr>
      </w:pPr>
    </w:p>
    <w:p w14:paraId="68B36242">
      <w:pPr>
        <w:rPr>
          <w:color w:val="auto"/>
        </w:rPr>
      </w:pPr>
    </w:p>
    <w:p w14:paraId="1B850BA4">
      <w:pPr>
        <w:rPr>
          <w:color w:val="auto"/>
        </w:rPr>
      </w:pPr>
    </w:p>
    <w:p w14:paraId="1DAF043B">
      <w:pPr>
        <w:rPr>
          <w:color w:val="auto"/>
        </w:rPr>
      </w:pPr>
    </w:p>
    <w:p w14:paraId="22D4C297">
      <w:pPr>
        <w:pStyle w:val="3"/>
        <w:spacing w:line="400" w:lineRule="exact"/>
        <w:rPr>
          <w:rFonts w:hint="eastAsia" w:ascii="方正小标宋_GBK" w:hAnsi="宋体" w:eastAsia="方正小标宋_GBK"/>
          <w:color w:val="auto"/>
        </w:rPr>
      </w:pPr>
      <w:bookmarkStart w:id="1" w:name="_Toc92355023"/>
      <w:r>
        <w:rPr>
          <w:rFonts w:hint="eastAsia" w:ascii="方正小标宋_GBK" w:hAnsi="宋体" w:eastAsia="方正小标宋_GBK"/>
          <w:color w:val="auto"/>
        </w:rPr>
        <w:t>第一章  竞争性谈判公告</w:t>
      </w:r>
      <w:bookmarkEnd w:id="0"/>
      <w:bookmarkEnd w:id="1"/>
    </w:p>
    <w:p w14:paraId="467B5673">
      <w:pPr>
        <w:spacing w:line="600" w:lineRule="exact"/>
        <w:jc w:val="center"/>
        <w:rPr>
          <w:color w:val="auto"/>
        </w:rPr>
      </w:pPr>
      <w:r>
        <w:rPr>
          <w:rFonts w:ascii="黑体" w:hAnsi="宋体" w:eastAsia="黑体"/>
          <w:b/>
          <w:color w:val="auto"/>
          <w:sz w:val="32"/>
          <w:szCs w:val="32"/>
        </w:rPr>
        <w:br w:type="page"/>
      </w:r>
    </w:p>
    <w:p w14:paraId="22294720">
      <w:pPr>
        <w:spacing w:line="600" w:lineRule="exact"/>
        <w:jc w:val="center"/>
        <w:rPr>
          <w:rFonts w:hint="eastAsia" w:ascii="方正小标宋_GBK" w:hAnsi="宋体" w:eastAsia="方正小标宋_GBK"/>
          <w:b/>
          <w:color w:val="auto"/>
          <w:sz w:val="34"/>
          <w:szCs w:val="34"/>
        </w:rPr>
      </w:pPr>
      <w:r>
        <w:rPr>
          <w:rFonts w:hint="eastAsia" w:ascii="方正小标宋_GBK" w:hAnsi="宋体" w:eastAsia="方正小标宋_GBK"/>
          <w:b/>
          <w:color w:val="auto"/>
          <w:sz w:val="34"/>
          <w:szCs w:val="34"/>
        </w:rPr>
        <w:t>钦州市政府采购中心关于</w:t>
      </w:r>
      <w:r>
        <w:rPr>
          <w:rFonts w:hint="eastAsia" w:ascii="方正小标宋_GBK" w:hAnsi="宋体" w:eastAsia="方正小标宋_GBK"/>
          <w:b/>
          <w:color w:val="auto"/>
          <w:sz w:val="34"/>
          <w:szCs w:val="34"/>
          <w:lang w:eastAsia="zh-CN"/>
        </w:rPr>
        <w:t>2024年浦北县第二中学改善普通高中办学条件教学设备采购项目</w:t>
      </w:r>
      <w:r>
        <w:rPr>
          <w:rFonts w:ascii="方正小标宋_GBK" w:hAnsi="宋体" w:eastAsia="方正小标宋_GBK"/>
          <w:b/>
          <w:color w:val="auto"/>
          <w:sz w:val="34"/>
          <w:szCs w:val="34"/>
        </w:rPr>
        <w:t>(</w:t>
      </w:r>
      <w:r>
        <w:rPr>
          <w:rFonts w:hint="eastAsia" w:ascii="方正小标宋_GBK" w:hAnsi="宋体" w:eastAsia="方正小标宋_GBK"/>
          <w:b/>
          <w:color w:val="auto"/>
          <w:sz w:val="34"/>
          <w:szCs w:val="34"/>
          <w:lang w:eastAsia="zh-CN"/>
        </w:rPr>
        <w:t xml:space="preserve"> QZZC2025-J1-220001-QZSZ</w:t>
      </w:r>
      <w:r>
        <w:rPr>
          <w:rFonts w:ascii="方正小标宋_GBK" w:hAnsi="宋体" w:eastAsia="方正小标宋_GBK"/>
          <w:b/>
          <w:color w:val="auto"/>
          <w:sz w:val="34"/>
          <w:szCs w:val="34"/>
        </w:rPr>
        <w:t>)</w:t>
      </w:r>
      <w:r>
        <w:rPr>
          <w:rFonts w:hint="eastAsia" w:ascii="方正小标宋_GBK" w:hAnsi="宋体" w:eastAsia="方正小标宋_GBK"/>
          <w:b/>
          <w:color w:val="auto"/>
          <w:sz w:val="34"/>
          <w:szCs w:val="34"/>
        </w:rPr>
        <w:t>的竞争性谈判公告</w:t>
      </w:r>
    </w:p>
    <w:p w14:paraId="4A9EBD27">
      <w:pPr>
        <w:pBdr>
          <w:top w:val="single" w:color="auto" w:sz="4" w:space="0"/>
          <w:left w:val="single" w:color="auto" w:sz="4" w:space="4"/>
          <w:bottom w:val="single" w:color="auto" w:sz="4" w:space="1"/>
          <w:right w:val="single" w:color="auto" w:sz="4" w:space="4"/>
        </w:pBdr>
        <w:spacing w:line="400" w:lineRule="exact"/>
        <w:rPr>
          <w:rFonts w:hint="eastAsia" w:ascii="方正小标宋简体" w:hAnsi="宋体" w:eastAsia="方正小标宋简体"/>
          <w:b/>
          <w:color w:val="auto"/>
          <w:sz w:val="32"/>
          <w:szCs w:val="32"/>
        </w:rPr>
      </w:pPr>
      <w:bookmarkStart w:id="2" w:name="_Toc38370138"/>
      <w:r>
        <w:rPr>
          <w:rFonts w:hint="eastAsia" w:ascii="宋体" w:hAnsi="宋体"/>
          <w:color w:val="auto"/>
          <w:szCs w:val="21"/>
        </w:rPr>
        <w:t>项目概况</w:t>
      </w:r>
    </w:p>
    <w:p w14:paraId="76756744">
      <w:pPr>
        <w:pBdr>
          <w:top w:val="single" w:color="auto" w:sz="4" w:space="0"/>
          <w:left w:val="single" w:color="auto" w:sz="4" w:space="4"/>
          <w:bottom w:val="single" w:color="auto" w:sz="4" w:space="1"/>
          <w:right w:val="single" w:color="auto" w:sz="4" w:space="4"/>
        </w:pBdr>
        <w:spacing w:line="400" w:lineRule="exact"/>
        <w:ind w:firstLine="420" w:firstLineChars="200"/>
        <w:rPr>
          <w:rFonts w:hint="eastAsia" w:ascii="宋体" w:hAnsi="宋体"/>
          <w:color w:val="auto"/>
          <w:szCs w:val="21"/>
        </w:rPr>
      </w:pPr>
      <w:r>
        <w:rPr>
          <w:rFonts w:hint="eastAsia" w:ascii="宋体" w:hAnsi="宋体"/>
          <w:color w:val="auto"/>
          <w:szCs w:val="21"/>
          <w:lang w:eastAsia="zh-CN"/>
        </w:rPr>
        <w:t>2024年浦北县第二中学改善普通高中办学条件教学设备采购项目</w:t>
      </w:r>
      <w:r>
        <w:rPr>
          <w:rFonts w:hint="eastAsia" w:ascii="宋体" w:hAnsi="宋体"/>
          <w:color w:val="auto"/>
          <w:szCs w:val="21"/>
        </w:rPr>
        <w:t>的潜在供应商应在广西政府采购云平台（https://www.gcy.zfcg.gxzf.gov.cn/）获取采购文件，并于202</w:t>
      </w:r>
      <w:r>
        <w:rPr>
          <w:rFonts w:hint="eastAsia" w:ascii="宋体" w:hAnsi="宋体"/>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1</w:t>
      </w:r>
      <w:r>
        <w:rPr>
          <w:rFonts w:hint="eastAsia" w:ascii="宋体" w:hAnsi="宋体"/>
          <w:bCs/>
          <w:color w:val="auto"/>
          <w:szCs w:val="21"/>
        </w:rPr>
        <w:t>月</w:t>
      </w:r>
      <w:r>
        <w:rPr>
          <w:rFonts w:hint="eastAsia" w:ascii="宋体" w:hAnsi="宋体"/>
          <w:bCs/>
          <w:color w:val="auto"/>
          <w:szCs w:val="21"/>
          <w:lang w:val="en-US" w:eastAsia="zh-CN"/>
        </w:rPr>
        <w:t>17</w:t>
      </w:r>
      <w:r>
        <w:rPr>
          <w:rFonts w:hint="eastAsia" w:ascii="宋体" w:hAnsi="宋体"/>
          <w:bCs/>
          <w:color w:val="auto"/>
          <w:szCs w:val="21"/>
        </w:rPr>
        <w:t>日</w:t>
      </w:r>
      <w:r>
        <w:rPr>
          <w:rFonts w:hint="eastAsia"/>
          <w:color w:val="auto"/>
          <w:lang w:val="en-US" w:eastAsia="zh-CN"/>
        </w:rPr>
        <w:t>10</w:t>
      </w:r>
      <w:r>
        <w:rPr>
          <w:color w:val="auto"/>
        </w:rPr>
        <w:t>:</w:t>
      </w:r>
      <w:r>
        <w:rPr>
          <w:rFonts w:hint="eastAsia"/>
          <w:color w:val="auto"/>
          <w:lang w:val="en-US" w:eastAsia="zh-CN"/>
        </w:rPr>
        <w:t>00</w:t>
      </w:r>
      <w:r>
        <w:rPr>
          <w:rFonts w:hint="eastAsia" w:ascii="宋体" w:hAnsi="宋体"/>
          <w:bCs/>
          <w:color w:val="auto"/>
          <w:szCs w:val="21"/>
        </w:rPr>
        <w:t>（北京时间）前提交响应</w:t>
      </w:r>
      <w:r>
        <w:rPr>
          <w:rFonts w:ascii="宋体" w:hAnsi="宋体"/>
          <w:bCs/>
          <w:color w:val="auto"/>
          <w:szCs w:val="21"/>
        </w:rPr>
        <w:t>文件</w:t>
      </w:r>
      <w:r>
        <w:rPr>
          <w:rFonts w:hint="eastAsia" w:ascii="宋体" w:hAnsi="宋体"/>
          <w:color w:val="auto"/>
          <w:szCs w:val="21"/>
        </w:rPr>
        <w:t>。</w:t>
      </w:r>
    </w:p>
    <w:bookmarkEnd w:id="2"/>
    <w:p w14:paraId="4A75D68A">
      <w:pPr>
        <w:spacing w:line="400" w:lineRule="exact"/>
        <w:rPr>
          <w:b/>
          <w:color w:val="auto"/>
        </w:rPr>
      </w:pPr>
      <w:bookmarkStart w:id="3" w:name="_Toc35393790"/>
      <w:bookmarkStart w:id="4" w:name="_Toc28359079"/>
      <w:bookmarkStart w:id="5" w:name="_Toc35393621"/>
      <w:bookmarkStart w:id="6" w:name="_Toc28359002"/>
      <w:bookmarkStart w:id="7" w:name="_Hlk24379207"/>
      <w:bookmarkStart w:id="8" w:name="_Toc38370146"/>
      <w:r>
        <w:rPr>
          <w:rFonts w:hint="eastAsia"/>
          <w:b/>
          <w:color w:val="auto"/>
        </w:rPr>
        <w:t>一、项目基本情况</w:t>
      </w:r>
      <w:bookmarkEnd w:id="3"/>
      <w:bookmarkEnd w:id="4"/>
      <w:bookmarkEnd w:id="5"/>
      <w:bookmarkEnd w:id="6"/>
    </w:p>
    <w:p w14:paraId="66B9551A">
      <w:pPr>
        <w:spacing w:line="400" w:lineRule="exact"/>
        <w:ind w:firstLine="420"/>
        <w:rPr>
          <w:rFonts w:hint="eastAsia" w:eastAsia="宋体"/>
          <w:color w:val="auto"/>
          <w:lang w:eastAsia="zh-CN"/>
        </w:rPr>
      </w:pPr>
      <w:r>
        <w:rPr>
          <w:rFonts w:hint="eastAsia"/>
          <w:color w:val="auto"/>
        </w:rPr>
        <w:t>项目编号：</w:t>
      </w:r>
      <w:r>
        <w:rPr>
          <w:rFonts w:hint="eastAsia"/>
          <w:color w:val="auto"/>
          <w:lang w:eastAsia="zh-CN"/>
        </w:rPr>
        <w:t xml:space="preserve"> QZZC2025-J1-220001-QZSZ</w:t>
      </w:r>
    </w:p>
    <w:p w14:paraId="4755A984">
      <w:pPr>
        <w:spacing w:line="400" w:lineRule="exact"/>
        <w:ind w:firstLine="420"/>
        <w:rPr>
          <w:rFonts w:hint="eastAsia" w:eastAsia="宋体"/>
          <w:color w:val="auto"/>
          <w:lang w:eastAsia="zh-CN"/>
        </w:rPr>
      </w:pPr>
      <w:r>
        <w:rPr>
          <w:rFonts w:hint="eastAsia"/>
          <w:color w:val="auto"/>
        </w:rPr>
        <w:t>项目名称：</w:t>
      </w:r>
      <w:r>
        <w:rPr>
          <w:rFonts w:hint="eastAsia"/>
          <w:color w:val="auto"/>
          <w:lang w:eastAsia="zh-CN"/>
        </w:rPr>
        <w:t>2024年浦北县第二中学改善普通高中办学条件教学设备采购项目</w:t>
      </w:r>
    </w:p>
    <w:bookmarkEnd w:id="7"/>
    <w:p w14:paraId="7BE3022B">
      <w:pPr>
        <w:spacing w:line="400" w:lineRule="exact"/>
        <w:ind w:firstLine="420"/>
        <w:rPr>
          <w:rFonts w:hint="default"/>
          <w:color w:val="auto"/>
          <w:lang w:val="en-US" w:eastAsia="zh-CN"/>
        </w:rPr>
      </w:pPr>
      <w:r>
        <w:rPr>
          <w:rFonts w:hint="eastAsia"/>
          <w:color w:val="auto"/>
        </w:rPr>
        <w:t>预算总金额(元</w:t>
      </w:r>
      <w:r>
        <w:rPr>
          <w:color w:val="auto"/>
        </w:rPr>
        <w:t>)</w:t>
      </w:r>
      <w:r>
        <w:rPr>
          <w:rFonts w:hint="eastAsia"/>
          <w:color w:val="auto"/>
        </w:rPr>
        <w:t>：</w:t>
      </w:r>
      <w:r>
        <w:rPr>
          <w:rFonts w:hint="eastAsia"/>
          <w:color w:val="auto"/>
          <w:lang w:val="en-US" w:eastAsia="zh-CN"/>
        </w:rPr>
        <w:t>1920000.00</w:t>
      </w:r>
    </w:p>
    <w:p w14:paraId="22577639">
      <w:pPr>
        <w:spacing w:line="400" w:lineRule="exact"/>
        <w:ind w:firstLine="420"/>
        <w:rPr>
          <w:color w:val="auto"/>
        </w:rPr>
      </w:pPr>
      <w:r>
        <w:rPr>
          <w:rFonts w:hint="eastAsia"/>
          <w:color w:val="auto"/>
        </w:rPr>
        <w:t>采购需求：</w:t>
      </w:r>
    </w:p>
    <w:p w14:paraId="1B5D1E82">
      <w:pPr>
        <w:spacing w:line="400" w:lineRule="exact"/>
        <w:rPr>
          <w:color w:val="auto"/>
        </w:rPr>
      </w:pPr>
    </w:p>
    <w:p w14:paraId="41A1D860">
      <w:pPr>
        <w:spacing w:line="400" w:lineRule="exact"/>
        <w:ind w:firstLine="420"/>
        <w:rPr>
          <w:color w:val="auto"/>
        </w:rPr>
      </w:pPr>
      <w:r>
        <w:rPr>
          <w:rFonts w:hint="eastAsia"/>
          <w:color w:val="auto"/>
        </w:rPr>
        <w:t>标项名称：</w:t>
      </w:r>
      <w:r>
        <w:rPr>
          <w:rFonts w:hint="eastAsia"/>
          <w:color w:val="auto"/>
          <w:lang w:eastAsia="zh-CN"/>
        </w:rPr>
        <w:t>2024年浦北县第二中学改善普通高中办学条件教学设备采购项目</w:t>
      </w:r>
    </w:p>
    <w:p w14:paraId="67E876CC">
      <w:pPr>
        <w:spacing w:line="400" w:lineRule="exact"/>
        <w:ind w:firstLine="420"/>
        <w:rPr>
          <w:color w:val="auto"/>
        </w:rPr>
      </w:pPr>
      <w:r>
        <w:rPr>
          <w:rFonts w:hint="eastAsia"/>
          <w:color w:val="auto"/>
        </w:rPr>
        <w:t>数量：1</w:t>
      </w:r>
    </w:p>
    <w:p w14:paraId="78363E31">
      <w:pPr>
        <w:spacing w:line="400" w:lineRule="exact"/>
        <w:ind w:firstLine="420"/>
        <w:rPr>
          <w:color w:val="auto"/>
        </w:rPr>
      </w:pPr>
      <w:r>
        <w:rPr>
          <w:rFonts w:hint="eastAsia"/>
          <w:color w:val="auto"/>
        </w:rPr>
        <w:t>预算金额(元</w:t>
      </w:r>
      <w:r>
        <w:rPr>
          <w:color w:val="auto"/>
        </w:rPr>
        <w:t>)</w:t>
      </w:r>
      <w:r>
        <w:rPr>
          <w:rFonts w:hint="eastAsia"/>
          <w:color w:val="auto"/>
        </w:rPr>
        <w:t>：</w:t>
      </w:r>
      <w:r>
        <w:rPr>
          <w:rFonts w:hint="eastAsia"/>
          <w:color w:val="auto"/>
          <w:lang w:val="en-US" w:eastAsia="zh-CN"/>
        </w:rPr>
        <w:t>1920000.00</w:t>
      </w:r>
    </w:p>
    <w:p w14:paraId="392DF74E">
      <w:pPr>
        <w:spacing w:line="400" w:lineRule="exact"/>
        <w:ind w:firstLine="420"/>
        <w:rPr>
          <w:color w:val="auto"/>
          <w:highlight w:val="none"/>
        </w:rPr>
      </w:pPr>
      <w:r>
        <w:rPr>
          <w:rFonts w:hint="eastAsia"/>
          <w:color w:val="auto"/>
        </w:rPr>
        <w:t>简要规格描述或项目基本</w:t>
      </w:r>
      <w:r>
        <w:rPr>
          <w:rFonts w:hint="eastAsia"/>
          <w:color w:val="auto"/>
          <w:highlight w:val="none"/>
        </w:rPr>
        <w:t>概况介绍、用途：多媒体、</w:t>
      </w:r>
      <w:r>
        <w:rPr>
          <w:rFonts w:hint="eastAsia"/>
          <w:color w:val="auto"/>
          <w:highlight w:val="none"/>
          <w:lang w:val="en-US" w:eastAsia="zh-CN"/>
        </w:rPr>
        <w:t>体育器材</w:t>
      </w:r>
      <w:r>
        <w:rPr>
          <w:rFonts w:hint="eastAsia"/>
          <w:color w:val="auto"/>
          <w:highlight w:val="none"/>
        </w:rPr>
        <w:t>、</w:t>
      </w:r>
      <w:r>
        <w:rPr>
          <w:rFonts w:hint="eastAsia"/>
          <w:color w:val="auto"/>
          <w:highlight w:val="none"/>
          <w:lang w:val="en-US" w:eastAsia="zh-CN"/>
        </w:rPr>
        <w:t>音乐、物理、化学、生物、数学、地理、美术等教学设备一批</w:t>
      </w:r>
      <w:r>
        <w:rPr>
          <w:rFonts w:hint="eastAsia"/>
          <w:color w:val="auto"/>
          <w:highlight w:val="none"/>
        </w:rPr>
        <w:t xml:space="preserve">，具体详见采购需求。 </w:t>
      </w:r>
    </w:p>
    <w:p w14:paraId="6FBE79C3">
      <w:pPr>
        <w:spacing w:line="400" w:lineRule="exact"/>
        <w:ind w:firstLine="420"/>
        <w:rPr>
          <w:color w:val="auto"/>
          <w:highlight w:val="none"/>
        </w:rPr>
      </w:pPr>
      <w:r>
        <w:rPr>
          <w:rFonts w:hint="eastAsia"/>
          <w:color w:val="auto"/>
          <w:highlight w:val="none"/>
        </w:rPr>
        <w:t>最高限价(如有</w:t>
      </w:r>
      <w:r>
        <w:rPr>
          <w:color w:val="auto"/>
          <w:highlight w:val="none"/>
        </w:rPr>
        <w:t>)</w:t>
      </w:r>
      <w:r>
        <w:rPr>
          <w:rFonts w:hint="eastAsia"/>
          <w:color w:val="auto"/>
          <w:highlight w:val="none"/>
        </w:rPr>
        <w:t>：</w:t>
      </w:r>
    </w:p>
    <w:p w14:paraId="36FA232F">
      <w:pPr>
        <w:spacing w:line="400" w:lineRule="exact"/>
        <w:ind w:firstLine="420"/>
        <w:rPr>
          <w:rFonts w:hint="eastAsia"/>
          <w:color w:val="auto"/>
          <w:highlight w:val="none"/>
        </w:rPr>
      </w:pPr>
      <w:r>
        <w:rPr>
          <w:rFonts w:hint="eastAsia"/>
          <w:color w:val="auto"/>
          <w:highlight w:val="none"/>
        </w:rPr>
        <w:t>合同履行期限：</w:t>
      </w:r>
      <w:r>
        <w:rPr>
          <w:rFonts w:hint="eastAsia"/>
          <w:color w:val="auto"/>
          <w:highlight w:val="none"/>
          <w:lang w:val="en-US" w:eastAsia="zh-CN"/>
        </w:rPr>
        <w:t>合同签订之日起15日内</w:t>
      </w:r>
      <w:r>
        <w:rPr>
          <w:rFonts w:hint="eastAsia"/>
          <w:color w:val="auto"/>
          <w:highlight w:val="none"/>
        </w:rPr>
        <w:t>安装调试竣工验收交付使用。</w:t>
      </w:r>
    </w:p>
    <w:p w14:paraId="025E412E">
      <w:pPr>
        <w:spacing w:line="400" w:lineRule="exact"/>
        <w:ind w:firstLine="420"/>
        <w:rPr>
          <w:color w:val="auto"/>
        </w:rPr>
      </w:pPr>
      <w:r>
        <w:rPr>
          <w:rFonts w:hint="eastAsia"/>
          <w:color w:val="auto"/>
        </w:rPr>
        <w:t>本标项(否</w:t>
      </w:r>
      <w:r>
        <w:rPr>
          <w:color w:val="auto"/>
        </w:rPr>
        <w:t>)</w:t>
      </w:r>
      <w:r>
        <w:rPr>
          <w:rFonts w:hint="eastAsia"/>
          <w:color w:val="auto"/>
        </w:rPr>
        <w:t>接受联合体竞标。</w:t>
      </w:r>
    </w:p>
    <w:p w14:paraId="7C878617">
      <w:pPr>
        <w:spacing w:line="400" w:lineRule="exact"/>
        <w:ind w:firstLine="420"/>
        <w:rPr>
          <w:color w:val="auto"/>
        </w:rPr>
      </w:pPr>
      <w:r>
        <w:rPr>
          <w:rFonts w:hint="eastAsia"/>
          <w:color w:val="auto"/>
        </w:rPr>
        <w:t>备注：</w:t>
      </w:r>
    </w:p>
    <w:p w14:paraId="2ADA059B">
      <w:pPr>
        <w:spacing w:line="400" w:lineRule="exact"/>
        <w:ind w:firstLine="420"/>
        <w:rPr>
          <w:color w:val="auto"/>
        </w:rPr>
      </w:pPr>
    </w:p>
    <w:p w14:paraId="07CDAFD7">
      <w:pPr>
        <w:spacing w:line="400" w:lineRule="exact"/>
        <w:rPr>
          <w:b/>
          <w:color w:val="auto"/>
        </w:rPr>
      </w:pPr>
      <w:bookmarkStart w:id="9" w:name="_Toc35393622"/>
      <w:bookmarkStart w:id="10" w:name="_Toc28359080"/>
      <w:bookmarkStart w:id="11" w:name="_Toc35393791"/>
      <w:bookmarkStart w:id="12" w:name="_Toc28359003"/>
      <w:r>
        <w:rPr>
          <w:rFonts w:hint="eastAsia"/>
          <w:b/>
          <w:color w:val="auto"/>
        </w:rPr>
        <w:t>二、申请人的资格要求：</w:t>
      </w:r>
      <w:bookmarkEnd w:id="9"/>
      <w:bookmarkEnd w:id="10"/>
      <w:bookmarkEnd w:id="11"/>
      <w:bookmarkEnd w:id="12"/>
      <w:bookmarkStart w:id="13" w:name="_Toc35393792"/>
      <w:bookmarkStart w:id="14" w:name="_Toc28359081"/>
      <w:bookmarkStart w:id="15" w:name="_Toc28359004"/>
      <w:bookmarkStart w:id="16" w:name="_Toc35393623"/>
    </w:p>
    <w:p w14:paraId="02982543">
      <w:pPr>
        <w:spacing w:line="400" w:lineRule="exact"/>
        <w:ind w:firstLine="420"/>
        <w:rPr>
          <w:b/>
          <w:color w:val="auto"/>
        </w:rPr>
      </w:pPr>
      <w:r>
        <w:rPr>
          <w:rFonts w:hint="eastAsia"/>
          <w:color w:val="auto"/>
        </w:rPr>
        <w:t>1.满足《中华人民共和国政府采购法》第二十二条规定</w:t>
      </w:r>
    </w:p>
    <w:p w14:paraId="41FD29D6">
      <w:pPr>
        <w:spacing w:line="400" w:lineRule="exact"/>
        <w:ind w:firstLine="420"/>
        <w:rPr>
          <w:color w:val="auto"/>
        </w:rPr>
      </w:pPr>
      <w:r>
        <w:rPr>
          <w:rFonts w:hint="eastAsia"/>
          <w:color w:val="auto"/>
        </w:rPr>
        <w:t>2.落实政府采购政策需满足的资格要求：无 </w:t>
      </w:r>
    </w:p>
    <w:p w14:paraId="693FCBD2">
      <w:pPr>
        <w:spacing w:line="400" w:lineRule="exact"/>
        <w:ind w:firstLine="435"/>
        <w:rPr>
          <w:color w:val="auto"/>
        </w:rPr>
      </w:pPr>
      <w:r>
        <w:rPr>
          <w:rFonts w:hint="eastAsia"/>
          <w:color w:val="auto"/>
        </w:rPr>
        <w:t>3.本项目的特定资格要求：无</w:t>
      </w:r>
    </w:p>
    <w:p w14:paraId="59FCC519">
      <w:pPr>
        <w:spacing w:line="400" w:lineRule="exact"/>
        <w:rPr>
          <w:b/>
          <w:color w:val="auto"/>
        </w:rPr>
      </w:pPr>
      <w:r>
        <w:rPr>
          <w:rFonts w:hint="eastAsia"/>
          <w:b/>
          <w:color w:val="auto"/>
        </w:rPr>
        <w:t>三、获取采购文件</w:t>
      </w:r>
      <w:bookmarkEnd w:id="13"/>
      <w:bookmarkEnd w:id="14"/>
      <w:bookmarkEnd w:id="15"/>
      <w:bookmarkEnd w:id="16"/>
    </w:p>
    <w:p w14:paraId="4CBC00A8">
      <w:pPr>
        <w:spacing w:line="400" w:lineRule="exact"/>
        <w:ind w:firstLine="420"/>
        <w:jc w:val="left"/>
        <w:rPr>
          <w:color w:val="auto"/>
        </w:rPr>
      </w:pPr>
      <w:bookmarkStart w:id="17" w:name="_Toc38370141"/>
      <w:r>
        <w:rPr>
          <w:rFonts w:hint="eastAsia"/>
          <w:color w:val="auto"/>
        </w:rPr>
        <w:t>时间：</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1</w:t>
      </w:r>
      <w:r>
        <w:rPr>
          <w:rFonts w:hint="eastAsia" w:ascii="宋体" w:hAnsi="宋体"/>
          <w:bCs/>
          <w:color w:val="auto"/>
          <w:szCs w:val="21"/>
        </w:rPr>
        <w:t>月</w:t>
      </w:r>
      <w:r>
        <w:rPr>
          <w:rFonts w:hint="eastAsia" w:ascii="宋体" w:hAnsi="宋体"/>
          <w:bCs/>
          <w:color w:val="auto"/>
          <w:szCs w:val="21"/>
          <w:lang w:val="en-US" w:eastAsia="zh-CN"/>
        </w:rPr>
        <w:t>8</w:t>
      </w:r>
      <w:r>
        <w:rPr>
          <w:rFonts w:hint="eastAsia" w:ascii="宋体" w:hAnsi="宋体"/>
          <w:bCs/>
          <w:color w:val="auto"/>
          <w:szCs w:val="21"/>
        </w:rPr>
        <w:t>日</w:t>
      </w:r>
      <w:r>
        <w:rPr>
          <w:rFonts w:hint="eastAsia"/>
          <w:color w:val="auto"/>
        </w:rPr>
        <w:t>至</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1</w:t>
      </w:r>
      <w:r>
        <w:rPr>
          <w:rFonts w:hint="eastAsia" w:ascii="宋体" w:hAnsi="宋体"/>
          <w:bCs/>
          <w:color w:val="auto"/>
          <w:szCs w:val="21"/>
        </w:rPr>
        <w:t>月</w:t>
      </w:r>
      <w:r>
        <w:rPr>
          <w:rFonts w:hint="eastAsia" w:ascii="宋体" w:hAnsi="宋体"/>
          <w:bCs/>
          <w:color w:val="auto"/>
          <w:szCs w:val="21"/>
          <w:lang w:val="en-US" w:eastAsia="zh-CN"/>
        </w:rPr>
        <w:t>13</w:t>
      </w:r>
      <w:r>
        <w:rPr>
          <w:rFonts w:hint="eastAsia" w:ascii="宋体" w:hAnsi="宋体"/>
          <w:bCs/>
          <w:color w:val="auto"/>
          <w:szCs w:val="21"/>
        </w:rPr>
        <w:t>日</w:t>
      </w:r>
      <w:r>
        <w:rPr>
          <w:rFonts w:hint="eastAsia"/>
          <w:color w:val="auto"/>
        </w:rPr>
        <w:t xml:space="preserve"> ，每天上午00:00至12:00，下午12:00至23:59（北京时间，法定节假日除外）</w:t>
      </w:r>
    </w:p>
    <w:p w14:paraId="6C15D31D">
      <w:pPr>
        <w:spacing w:line="400" w:lineRule="exact"/>
        <w:ind w:firstLine="420"/>
        <w:rPr>
          <w:color w:val="auto"/>
        </w:rPr>
      </w:pPr>
      <w:r>
        <w:rPr>
          <w:rFonts w:hint="eastAsia"/>
          <w:color w:val="auto"/>
        </w:rPr>
        <w:t>地点(网址</w:t>
      </w:r>
      <w:r>
        <w:rPr>
          <w:color w:val="auto"/>
        </w:rPr>
        <w:t>)</w:t>
      </w:r>
      <w:r>
        <w:rPr>
          <w:rFonts w:hint="eastAsia"/>
          <w:color w:val="auto"/>
        </w:rPr>
        <w:t>：</w:t>
      </w:r>
      <w:r>
        <w:rPr>
          <w:rFonts w:hint="eastAsia" w:ascii="宋体" w:hAnsi="宋体"/>
          <w:color w:val="auto"/>
          <w:szCs w:val="21"/>
        </w:rPr>
        <w:t>广西政府采购云平台（https://www.gcy.zfcg.gxzf.gov.cn/）</w:t>
      </w:r>
    </w:p>
    <w:p w14:paraId="10687F12">
      <w:pPr>
        <w:spacing w:line="400" w:lineRule="exact"/>
        <w:ind w:firstLine="420"/>
        <w:rPr>
          <w:color w:val="auto"/>
        </w:rPr>
      </w:pPr>
      <w:r>
        <w:rPr>
          <w:rFonts w:hint="eastAsia"/>
          <w:color w:val="auto"/>
        </w:rPr>
        <w:t>方式：供应商登录广西政府采购云平台在线获取采购文件（进入“项目采购”应用选择项目，获取采购文件）</w:t>
      </w:r>
    </w:p>
    <w:p w14:paraId="4645EE9A">
      <w:pPr>
        <w:spacing w:line="400" w:lineRule="exact"/>
        <w:ind w:firstLine="420"/>
        <w:rPr>
          <w:color w:val="auto"/>
        </w:rPr>
      </w:pPr>
      <w:r>
        <w:rPr>
          <w:rFonts w:hint="eastAsia"/>
          <w:color w:val="auto"/>
        </w:rPr>
        <w:t>售价(元</w:t>
      </w:r>
      <w:r>
        <w:rPr>
          <w:color w:val="auto"/>
        </w:rPr>
        <w:t>)</w:t>
      </w:r>
      <w:r>
        <w:rPr>
          <w:rFonts w:hint="eastAsia"/>
          <w:color w:val="auto"/>
        </w:rPr>
        <w:t>：0</w:t>
      </w:r>
    </w:p>
    <w:p w14:paraId="417B66DF">
      <w:pPr>
        <w:spacing w:line="400" w:lineRule="exact"/>
        <w:rPr>
          <w:b/>
          <w:color w:val="auto"/>
        </w:rPr>
      </w:pPr>
      <w:r>
        <w:rPr>
          <w:rFonts w:hint="eastAsia"/>
          <w:b/>
          <w:bCs/>
          <w:color w:val="auto"/>
        </w:rPr>
        <w:t>四、</w:t>
      </w:r>
      <w:bookmarkEnd w:id="17"/>
      <w:bookmarkStart w:id="18" w:name="_Toc28359082"/>
      <w:bookmarkStart w:id="19" w:name="_Toc28359005"/>
      <w:bookmarkStart w:id="20" w:name="_Toc35393624"/>
      <w:bookmarkStart w:id="21" w:name="_Toc35393793"/>
      <w:r>
        <w:rPr>
          <w:rFonts w:hint="eastAsia"/>
          <w:b/>
          <w:color w:val="auto"/>
        </w:rPr>
        <w:t>响应文件</w:t>
      </w:r>
      <w:bookmarkEnd w:id="18"/>
      <w:bookmarkEnd w:id="19"/>
      <w:r>
        <w:rPr>
          <w:rFonts w:hint="eastAsia"/>
          <w:b/>
          <w:color w:val="auto"/>
        </w:rPr>
        <w:t>提交</w:t>
      </w:r>
      <w:bookmarkEnd w:id="20"/>
      <w:bookmarkEnd w:id="21"/>
    </w:p>
    <w:p w14:paraId="06783A3C">
      <w:pPr>
        <w:spacing w:line="400" w:lineRule="exact"/>
        <w:ind w:firstLine="420"/>
        <w:rPr>
          <w:color w:val="auto"/>
        </w:rPr>
      </w:pPr>
      <w:r>
        <w:rPr>
          <w:rFonts w:hint="eastAsia"/>
          <w:color w:val="auto"/>
        </w:rPr>
        <w:t>截止时间：</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1</w:t>
      </w:r>
      <w:r>
        <w:rPr>
          <w:rFonts w:hint="eastAsia" w:ascii="宋体" w:hAnsi="宋体"/>
          <w:bCs/>
          <w:color w:val="auto"/>
          <w:szCs w:val="21"/>
        </w:rPr>
        <w:t>月</w:t>
      </w:r>
      <w:r>
        <w:rPr>
          <w:rFonts w:hint="eastAsia" w:ascii="宋体" w:hAnsi="宋体"/>
          <w:bCs/>
          <w:color w:val="auto"/>
          <w:szCs w:val="21"/>
          <w:lang w:val="en-US" w:eastAsia="zh-CN"/>
        </w:rPr>
        <w:t>17</w:t>
      </w:r>
      <w:r>
        <w:rPr>
          <w:rFonts w:hint="eastAsia" w:ascii="宋体" w:hAnsi="宋体"/>
          <w:bCs/>
          <w:color w:val="auto"/>
          <w:szCs w:val="21"/>
        </w:rPr>
        <w:t>日</w:t>
      </w:r>
      <w:r>
        <w:rPr>
          <w:rFonts w:hint="eastAsia"/>
          <w:color w:val="auto"/>
          <w:lang w:val="en-US" w:eastAsia="zh-CN"/>
        </w:rPr>
        <w:t>10</w:t>
      </w:r>
      <w:r>
        <w:rPr>
          <w:color w:val="auto"/>
        </w:rPr>
        <w:t>:</w:t>
      </w:r>
      <w:r>
        <w:rPr>
          <w:rFonts w:hint="eastAsia"/>
          <w:color w:val="auto"/>
          <w:lang w:val="en-US" w:eastAsia="zh-CN"/>
        </w:rPr>
        <w:t>0</w:t>
      </w:r>
      <w:r>
        <w:rPr>
          <w:rFonts w:hint="eastAsia"/>
          <w:color w:val="auto"/>
        </w:rPr>
        <w:t>0（北京时间）</w:t>
      </w:r>
    </w:p>
    <w:p w14:paraId="6F79BE42">
      <w:pPr>
        <w:spacing w:line="400" w:lineRule="exact"/>
        <w:ind w:firstLine="420"/>
        <w:rPr>
          <w:rFonts w:hint="eastAsia" w:ascii="宋体" w:hAnsi="宋体" w:cs="Courier New"/>
          <w:color w:val="auto"/>
          <w:szCs w:val="21"/>
        </w:rPr>
      </w:pPr>
      <w:r>
        <w:rPr>
          <w:rFonts w:hint="eastAsia"/>
          <w:color w:val="auto"/>
        </w:rPr>
        <w:t>地点(网址）：</w:t>
      </w:r>
      <w:r>
        <w:rPr>
          <w:rFonts w:hint="eastAsia" w:ascii="宋体" w:hAnsi="宋体"/>
          <w:color w:val="auto"/>
          <w:szCs w:val="21"/>
        </w:rPr>
        <w:t>广西政府采购云平台（https://www.gcy.zfcg.gxzf.gov.cn/）</w:t>
      </w:r>
    </w:p>
    <w:p w14:paraId="76B84FA1">
      <w:pPr>
        <w:spacing w:line="400" w:lineRule="exact"/>
        <w:rPr>
          <w:rFonts w:hint="eastAsia" w:ascii="宋体" w:hAnsi="宋体" w:cs="Courier New"/>
          <w:b/>
          <w:bCs/>
          <w:color w:val="auto"/>
          <w:szCs w:val="21"/>
        </w:rPr>
      </w:pPr>
      <w:r>
        <w:rPr>
          <w:rFonts w:hint="eastAsia" w:ascii="宋体" w:hAnsi="宋体" w:cs="Courier New"/>
          <w:b/>
          <w:bCs/>
          <w:color w:val="auto"/>
          <w:szCs w:val="21"/>
        </w:rPr>
        <w:t>五、响应文件开启</w:t>
      </w:r>
    </w:p>
    <w:p w14:paraId="40841CF9">
      <w:pPr>
        <w:spacing w:line="400" w:lineRule="exact"/>
        <w:ind w:firstLine="420" w:firstLineChars="200"/>
        <w:rPr>
          <w:rFonts w:hint="eastAsia" w:ascii="宋体" w:hAnsi="宋体" w:cs="Courier New"/>
          <w:color w:val="auto"/>
          <w:szCs w:val="21"/>
        </w:rPr>
      </w:pPr>
      <w:r>
        <w:rPr>
          <w:rFonts w:hint="eastAsia" w:ascii="宋体" w:hAnsi="宋体" w:cs="Courier New"/>
          <w:color w:val="auto"/>
          <w:szCs w:val="21"/>
        </w:rPr>
        <w:t>开启时间：</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1</w:t>
      </w:r>
      <w:r>
        <w:rPr>
          <w:rFonts w:hint="eastAsia" w:ascii="宋体" w:hAnsi="宋体"/>
          <w:bCs/>
          <w:color w:val="auto"/>
          <w:szCs w:val="21"/>
        </w:rPr>
        <w:t>月</w:t>
      </w:r>
      <w:r>
        <w:rPr>
          <w:rFonts w:hint="eastAsia" w:ascii="宋体" w:hAnsi="宋体"/>
          <w:bCs/>
          <w:color w:val="auto"/>
          <w:szCs w:val="21"/>
          <w:lang w:val="en-US" w:eastAsia="zh-CN"/>
        </w:rPr>
        <w:t>17</w:t>
      </w:r>
      <w:r>
        <w:rPr>
          <w:rFonts w:hint="eastAsia" w:ascii="宋体" w:hAnsi="宋体"/>
          <w:bCs/>
          <w:color w:val="auto"/>
          <w:szCs w:val="21"/>
        </w:rPr>
        <w:t>日</w:t>
      </w:r>
      <w:r>
        <w:rPr>
          <w:rFonts w:hint="eastAsia"/>
          <w:color w:val="auto"/>
          <w:lang w:val="en-US" w:eastAsia="zh-CN"/>
        </w:rPr>
        <w:t>10</w:t>
      </w:r>
      <w:r>
        <w:rPr>
          <w:color w:val="auto"/>
        </w:rPr>
        <w:t>:</w:t>
      </w:r>
      <w:r>
        <w:rPr>
          <w:rFonts w:hint="eastAsia"/>
          <w:color w:val="auto"/>
          <w:lang w:val="en-US" w:eastAsia="zh-CN"/>
        </w:rPr>
        <w:t>0</w:t>
      </w:r>
      <w:r>
        <w:rPr>
          <w:rFonts w:hint="eastAsia"/>
          <w:color w:val="auto"/>
        </w:rPr>
        <w:t>0（北京时间）</w:t>
      </w:r>
    </w:p>
    <w:p w14:paraId="46AD5F9D">
      <w:pPr>
        <w:spacing w:line="400" w:lineRule="exact"/>
        <w:ind w:firstLine="420"/>
        <w:rPr>
          <w:rFonts w:hint="eastAsia" w:ascii="宋体" w:hAnsi="宋体" w:cs="Courier New"/>
          <w:color w:val="auto"/>
          <w:szCs w:val="21"/>
        </w:rPr>
      </w:pPr>
      <w:r>
        <w:rPr>
          <w:rFonts w:hint="eastAsia" w:ascii="宋体" w:hAnsi="宋体" w:cs="Courier New"/>
          <w:color w:val="auto"/>
          <w:szCs w:val="21"/>
        </w:rPr>
        <w:t>地点：</w:t>
      </w:r>
      <w:bookmarkStart w:id="22" w:name="_Toc28359007"/>
      <w:bookmarkStart w:id="23" w:name="_Toc35393625"/>
      <w:bookmarkStart w:id="24" w:name="_Toc28359084"/>
      <w:bookmarkStart w:id="25" w:name="_Toc35393794"/>
      <w:r>
        <w:rPr>
          <w:rFonts w:hint="eastAsia"/>
          <w:color w:val="auto"/>
        </w:rPr>
        <w:t>广西钦州市金海湾东大街8号市政务服务中心三楼开标室</w:t>
      </w:r>
    </w:p>
    <w:p w14:paraId="0B5EC5E7">
      <w:pPr>
        <w:spacing w:line="400" w:lineRule="exact"/>
        <w:rPr>
          <w:b/>
          <w:color w:val="auto"/>
        </w:rPr>
      </w:pPr>
      <w:r>
        <w:rPr>
          <w:rFonts w:hint="eastAsia"/>
          <w:b/>
          <w:color w:val="auto"/>
        </w:rPr>
        <w:t>六、公告期限</w:t>
      </w:r>
      <w:bookmarkEnd w:id="22"/>
      <w:bookmarkEnd w:id="23"/>
      <w:bookmarkEnd w:id="24"/>
      <w:bookmarkEnd w:id="25"/>
    </w:p>
    <w:p w14:paraId="48AA70CD">
      <w:pPr>
        <w:spacing w:line="400" w:lineRule="exact"/>
        <w:ind w:firstLine="420"/>
        <w:rPr>
          <w:color w:val="auto"/>
        </w:rPr>
      </w:pPr>
      <w:r>
        <w:rPr>
          <w:rFonts w:hint="eastAsia"/>
          <w:color w:val="auto"/>
        </w:rPr>
        <w:t>自本公告发布之日起</w:t>
      </w:r>
      <w:r>
        <w:rPr>
          <w:color w:val="auto"/>
        </w:rPr>
        <w:t>3</w:t>
      </w:r>
      <w:r>
        <w:rPr>
          <w:rFonts w:hint="eastAsia"/>
          <w:color w:val="auto"/>
        </w:rPr>
        <w:t>个工作日。</w:t>
      </w:r>
    </w:p>
    <w:p w14:paraId="1443EDB0">
      <w:pPr>
        <w:spacing w:line="400" w:lineRule="exact"/>
        <w:rPr>
          <w:b/>
          <w:color w:val="auto"/>
        </w:rPr>
      </w:pPr>
      <w:bookmarkStart w:id="26" w:name="_Toc28359085"/>
      <w:bookmarkStart w:id="27" w:name="_Toc28359008"/>
      <w:bookmarkStart w:id="28" w:name="_Toc35393627"/>
      <w:bookmarkStart w:id="29" w:name="_Toc35393796"/>
      <w:r>
        <w:rPr>
          <w:rFonts w:hint="eastAsia"/>
          <w:b/>
          <w:color w:val="auto"/>
        </w:rPr>
        <w:t>七、其他补充事宜</w:t>
      </w:r>
    </w:p>
    <w:p w14:paraId="2442F209">
      <w:pPr>
        <w:spacing w:line="400" w:lineRule="exact"/>
        <w:ind w:firstLine="420"/>
        <w:rPr>
          <w:b/>
          <w:color w:val="auto"/>
        </w:rPr>
      </w:pPr>
      <w:r>
        <w:rPr>
          <w:rFonts w:hint="eastAsia"/>
          <w:color w:val="auto"/>
        </w:rPr>
        <w:t>1</w:t>
      </w:r>
      <w:r>
        <w:rPr>
          <w:color w:val="auto"/>
        </w:rPr>
        <w:t>.</w:t>
      </w:r>
      <w:r>
        <w:rPr>
          <w:rFonts w:hint="eastAsia"/>
          <w:bCs/>
          <w:color w:val="auto"/>
        </w:rPr>
        <w:t>本项目须要落实的政府采购政策</w:t>
      </w:r>
      <w:r>
        <w:rPr>
          <w:rFonts w:hint="eastAsia"/>
          <w:b/>
          <w:color w:val="auto"/>
        </w:rPr>
        <w:t>：</w:t>
      </w:r>
    </w:p>
    <w:p w14:paraId="60A2D1EB">
      <w:pPr>
        <w:spacing w:line="400" w:lineRule="exact"/>
        <w:ind w:left="420" w:leftChars="200"/>
        <w:rPr>
          <w:bCs/>
          <w:color w:val="auto"/>
        </w:rPr>
      </w:pPr>
      <w:r>
        <w:rPr>
          <w:rFonts w:hint="eastAsia"/>
          <w:bCs/>
          <w:color w:val="auto"/>
        </w:rPr>
        <w:t>(1)财政部 工业和信息化部关于印发《政府采购促进中小企业发展管理办法》的通知(财</w:t>
      </w:r>
    </w:p>
    <w:p w14:paraId="0E9F948A">
      <w:pPr>
        <w:spacing w:line="400" w:lineRule="exact"/>
        <w:ind w:left="420" w:hanging="420" w:hangingChars="200"/>
        <w:rPr>
          <w:rFonts w:hint="eastAsia" w:eastAsia="宋体"/>
          <w:bCs/>
          <w:color w:val="auto"/>
          <w:lang w:eastAsia="zh-CN"/>
        </w:rPr>
      </w:pPr>
      <w:r>
        <w:rPr>
          <w:rFonts w:hint="eastAsia"/>
          <w:bCs/>
          <w:color w:val="auto"/>
        </w:rPr>
        <w:t>库﹝2020﹞46号)</w:t>
      </w:r>
    </w:p>
    <w:p w14:paraId="0077FDEC">
      <w:pPr>
        <w:spacing w:line="400" w:lineRule="exact"/>
        <w:ind w:left="420" w:leftChars="200" w:firstLine="0" w:firstLineChars="0"/>
        <w:rPr>
          <w:bCs/>
          <w:color w:val="auto"/>
        </w:rPr>
      </w:pPr>
      <w:r>
        <w:rPr>
          <w:rFonts w:hint="eastAsia"/>
          <w:bCs/>
          <w:color w:val="auto"/>
        </w:rPr>
        <w:t>(2)财政部 司法部关于政府采购支持监狱企业发展有关问题的通知 (财库﹝2014﹞68</w:t>
      </w:r>
    </w:p>
    <w:p w14:paraId="587FE058">
      <w:pPr>
        <w:spacing w:line="400" w:lineRule="exact"/>
        <w:ind w:left="420" w:hanging="420" w:hangingChars="200"/>
        <w:rPr>
          <w:rFonts w:hint="eastAsia" w:eastAsia="宋体"/>
          <w:bCs/>
          <w:color w:val="auto"/>
          <w:lang w:eastAsia="zh-CN"/>
        </w:rPr>
      </w:pPr>
      <w:r>
        <w:rPr>
          <w:rFonts w:hint="eastAsia"/>
          <w:bCs/>
          <w:color w:val="auto"/>
        </w:rPr>
        <w:t>号)</w:t>
      </w:r>
    </w:p>
    <w:p w14:paraId="6663F8DC">
      <w:pPr>
        <w:spacing w:line="400" w:lineRule="exact"/>
        <w:ind w:left="420" w:leftChars="200" w:firstLine="0" w:firstLineChars="0"/>
        <w:rPr>
          <w:bCs/>
          <w:color w:val="auto"/>
        </w:rPr>
      </w:pPr>
      <w:r>
        <w:rPr>
          <w:rFonts w:hint="eastAsia"/>
          <w:bCs/>
          <w:color w:val="auto"/>
        </w:rPr>
        <w:t>(3)财政部 民政部 中国残疾人联合会关于促进残疾人就业政府采购政策的通知 (财库</w:t>
      </w:r>
    </w:p>
    <w:p w14:paraId="2D8171AA">
      <w:pPr>
        <w:spacing w:line="400" w:lineRule="exact"/>
        <w:ind w:left="420" w:hanging="420" w:hangingChars="200"/>
        <w:rPr>
          <w:rFonts w:hint="eastAsia" w:eastAsia="宋体"/>
          <w:bCs/>
          <w:color w:val="auto"/>
          <w:lang w:eastAsia="zh-CN"/>
        </w:rPr>
      </w:pPr>
      <w:r>
        <w:rPr>
          <w:rFonts w:hint="eastAsia"/>
          <w:bCs/>
          <w:color w:val="auto"/>
        </w:rPr>
        <w:t>﹝2017﹞141号)</w:t>
      </w:r>
    </w:p>
    <w:p w14:paraId="5C7FDE8C">
      <w:pPr>
        <w:spacing w:line="400" w:lineRule="exact"/>
        <w:ind w:left="420" w:leftChars="200" w:firstLine="0" w:firstLineChars="0"/>
        <w:rPr>
          <w:bCs/>
          <w:color w:val="auto"/>
        </w:rPr>
      </w:pPr>
      <w:r>
        <w:rPr>
          <w:rFonts w:hint="eastAsia"/>
          <w:bCs/>
          <w:color w:val="auto"/>
        </w:rPr>
        <w:t>(4)财政部 发展改革委 生态环境部 市场监管总局关于调整优化节能产品、环境标志产</w:t>
      </w:r>
    </w:p>
    <w:p w14:paraId="2AE43CE7">
      <w:pPr>
        <w:spacing w:line="400" w:lineRule="exact"/>
        <w:ind w:left="420" w:hanging="420" w:hangingChars="200"/>
        <w:rPr>
          <w:bCs/>
          <w:color w:val="auto"/>
        </w:rPr>
      </w:pPr>
      <w:r>
        <w:rPr>
          <w:rFonts w:hint="eastAsia"/>
          <w:bCs/>
          <w:color w:val="auto"/>
        </w:rPr>
        <w:t>品政府采购执行机制的通知（财库〔2019〕9号）</w:t>
      </w:r>
    </w:p>
    <w:p w14:paraId="0CC8EF62">
      <w:pPr>
        <w:spacing w:line="400" w:lineRule="exact"/>
        <w:ind w:left="420" w:leftChars="200" w:firstLine="0" w:firstLineChars="0"/>
        <w:rPr>
          <w:rFonts w:hint="eastAsia"/>
          <w:bCs/>
          <w:color w:val="auto"/>
        </w:rPr>
      </w:pPr>
      <w:r>
        <w:rPr>
          <w:rFonts w:hint="eastAsia"/>
          <w:bCs/>
          <w:color w:val="auto"/>
        </w:rPr>
        <w:t>(5)财政部 发展改革委 关于印发节能产品政府采购品目清单的通知（财库〔2019〕19</w:t>
      </w:r>
    </w:p>
    <w:p w14:paraId="63ADD090">
      <w:pPr>
        <w:spacing w:line="400" w:lineRule="exact"/>
        <w:ind w:left="420" w:hanging="420" w:hangingChars="200"/>
        <w:rPr>
          <w:bCs/>
          <w:color w:val="auto"/>
        </w:rPr>
      </w:pPr>
      <w:r>
        <w:rPr>
          <w:rFonts w:hint="eastAsia"/>
          <w:bCs/>
          <w:color w:val="auto"/>
        </w:rPr>
        <w:t>号）</w:t>
      </w:r>
    </w:p>
    <w:p w14:paraId="179C94D9">
      <w:pPr>
        <w:spacing w:line="400" w:lineRule="exact"/>
        <w:ind w:firstLine="420"/>
        <w:rPr>
          <w:color w:val="auto"/>
        </w:rPr>
      </w:pPr>
      <w:r>
        <w:rPr>
          <w:rFonts w:hint="eastAsia"/>
          <w:color w:val="auto"/>
        </w:rPr>
        <w:t>2</w:t>
      </w:r>
      <w:r>
        <w:rPr>
          <w:color w:val="auto"/>
        </w:rPr>
        <w:t>.</w:t>
      </w:r>
      <w:bookmarkStart w:id="30" w:name="_Hlk91598380"/>
      <w:r>
        <w:rPr>
          <w:rFonts w:hint="eastAsia"/>
          <w:color w:val="auto"/>
        </w:rPr>
        <w:t>全流程电子化</w:t>
      </w:r>
      <w:bookmarkEnd w:id="30"/>
      <w:r>
        <w:rPr>
          <w:rFonts w:hint="eastAsia"/>
          <w:color w:val="auto"/>
        </w:rPr>
        <w:t>要求：</w:t>
      </w:r>
    </w:p>
    <w:p w14:paraId="66301ACE">
      <w:pPr>
        <w:spacing w:line="400" w:lineRule="exact"/>
        <w:ind w:firstLine="420"/>
        <w:rPr>
          <w:color w:val="auto"/>
        </w:rPr>
      </w:pPr>
      <w:bookmarkStart w:id="31" w:name="_Hlk147760486"/>
      <w:r>
        <w:rPr>
          <w:rFonts w:hint="eastAsia"/>
          <w:color w:val="auto"/>
        </w:rPr>
        <w:t>本项目为全流程电子化项目，供应商应做好参与全流程电子化交易的充分准备，熟悉掌握电子化采购项目操作指南(操作指南：</w:t>
      </w:r>
      <w:r>
        <w:rPr>
          <w:rFonts w:hint="eastAsia"/>
          <w:color w:val="auto"/>
          <w:u w:val="single"/>
        </w:rPr>
        <w:t>广西</w:t>
      </w:r>
      <w:r>
        <w:rPr>
          <w:color w:val="auto"/>
        </w:rPr>
        <w:fldChar w:fldCharType="begin"/>
      </w:r>
      <w:r>
        <w:rPr>
          <w:color w:val="auto"/>
        </w:rPr>
        <w:instrText xml:space="preserve"> HYPERLINK "https://helpcenter.zcygov.cn/document/" \l "/document/dashboard?siteCode=beijing&amp;channel=dt" </w:instrText>
      </w:r>
      <w:r>
        <w:rPr>
          <w:color w:val="auto"/>
        </w:rPr>
        <w:fldChar w:fldCharType="separate"/>
      </w:r>
      <w:r>
        <w:rPr>
          <w:rStyle w:val="44"/>
          <w:rFonts w:hint="eastAsia"/>
          <w:color w:val="auto"/>
        </w:rPr>
        <w:t>政采云电子卖场首页右上角—服务中心—帮助文档—项目采购</w:t>
      </w:r>
      <w:r>
        <w:rPr>
          <w:rStyle w:val="44"/>
          <w:rFonts w:hint="eastAsia"/>
          <w:color w:val="auto"/>
        </w:rPr>
        <w:fldChar w:fldCharType="end"/>
      </w:r>
      <w:r>
        <w:rPr>
          <w:rFonts w:hint="eastAsia"/>
          <w:color w:val="auto"/>
        </w:rPr>
        <w:t>)，及时完成CA申领和绑定(操作指南：</w:t>
      </w:r>
      <w:r>
        <w:rPr>
          <w:rFonts w:hint="eastAsia"/>
          <w:color w:val="auto"/>
          <w:u w:val="single"/>
        </w:rPr>
        <w:t>广西</w:t>
      </w:r>
      <w:r>
        <w:rPr>
          <w:color w:val="auto"/>
        </w:rPr>
        <w:fldChar w:fldCharType="begin"/>
      </w:r>
      <w:r>
        <w:rPr>
          <w:color w:val="auto"/>
        </w:rPr>
        <w:instrText xml:space="preserve"> HYPERLINK "https://helpcenter.zcygov.cn/document/" \l "/document/detail?siteCode=beijing&amp;manualId=795&amp;topicId=4081" </w:instrText>
      </w:r>
      <w:r>
        <w:rPr>
          <w:color w:val="auto"/>
        </w:rPr>
        <w:fldChar w:fldCharType="separate"/>
      </w:r>
      <w:r>
        <w:rPr>
          <w:rStyle w:val="44"/>
          <w:rFonts w:hint="eastAsia"/>
          <w:color w:val="auto"/>
        </w:rPr>
        <w:t>政采云电子卖场首页右上角—帮助文档—入驻与配置—CA管理</w:t>
      </w:r>
      <w:r>
        <w:rPr>
          <w:rStyle w:val="44"/>
          <w:rFonts w:hint="eastAsia"/>
          <w:color w:val="auto"/>
        </w:rPr>
        <w:fldChar w:fldCharType="end"/>
      </w:r>
      <w:r>
        <w:rPr>
          <w:rFonts w:hint="eastAsia"/>
          <w:color w:val="auto"/>
        </w:rPr>
        <w:t>；CA证书申领路径：</w:t>
      </w:r>
      <w:r>
        <w:rPr>
          <w:rFonts w:hint="eastAsia"/>
          <w:color w:val="auto"/>
          <w:u w:val="single"/>
        </w:rPr>
        <w:t>广西</w:t>
      </w:r>
      <w:r>
        <w:rPr>
          <w:color w:val="auto"/>
        </w:rPr>
        <w:fldChar w:fldCharType="begin"/>
      </w:r>
      <w:r>
        <w:rPr>
          <w:color w:val="auto"/>
        </w:rPr>
        <w:instrText xml:space="preserve"> HYPERLINK "https://helpcenter.zcygov.cn/document/" \l "/document/detail?siteCode=beijing&amp;manualId=795&amp;topicId=4083" </w:instrText>
      </w:r>
      <w:r>
        <w:rPr>
          <w:color w:val="auto"/>
        </w:rPr>
        <w:fldChar w:fldCharType="separate"/>
      </w:r>
      <w:r>
        <w:rPr>
          <w:rStyle w:val="44"/>
          <w:rFonts w:hint="eastAsia"/>
          <w:color w:val="auto"/>
        </w:rPr>
        <w:t>政采云平台—我的工作台右上角—CA管理—CA证书申领</w:t>
      </w:r>
      <w:r>
        <w:rPr>
          <w:rStyle w:val="44"/>
          <w:rFonts w:hint="eastAsia"/>
          <w:color w:val="auto"/>
        </w:rPr>
        <w:fldChar w:fldCharType="end"/>
      </w:r>
      <w:r>
        <w:rPr>
          <w:rFonts w:hint="eastAsia"/>
          <w:color w:val="auto"/>
        </w:rPr>
        <w:t>)。因未注册入库、未办理CA数字证书、CA证书故障、操作不当等原因造成谈判失败等后果由供应商承担。</w:t>
      </w:r>
    </w:p>
    <w:bookmarkEnd w:id="31"/>
    <w:p w14:paraId="667DA206">
      <w:pPr>
        <w:spacing w:line="400" w:lineRule="exact"/>
        <w:ind w:firstLine="420"/>
        <w:rPr>
          <w:color w:val="auto"/>
        </w:rPr>
      </w:pPr>
      <w:r>
        <w:rPr>
          <w:color w:val="auto"/>
        </w:rPr>
        <w:t>(1)</w:t>
      </w:r>
      <w:r>
        <w:rPr>
          <w:rFonts w:hint="eastAsia"/>
          <w:color w:val="auto"/>
        </w:rPr>
        <w:t>依法获取采购文件：供应商须在获取采购文件时间内登录</w:t>
      </w:r>
      <w:r>
        <w:rPr>
          <w:rFonts w:hint="eastAsia"/>
          <w:color w:val="auto"/>
          <w:u w:val="single"/>
        </w:rPr>
        <w:t>广西</w:t>
      </w:r>
      <w:r>
        <w:rPr>
          <w:color w:val="auto"/>
        </w:rPr>
        <w:fldChar w:fldCharType="begin"/>
      </w:r>
      <w:r>
        <w:rPr>
          <w:color w:val="auto"/>
        </w:rPr>
        <w:instrText xml:space="preserve"> HYPERLINK "https://www.zcygov.cn/" </w:instrText>
      </w:r>
      <w:r>
        <w:rPr>
          <w:color w:val="auto"/>
        </w:rPr>
        <w:fldChar w:fldCharType="separate"/>
      </w:r>
      <w:r>
        <w:rPr>
          <w:rStyle w:val="44"/>
          <w:rFonts w:hint="eastAsia"/>
          <w:color w:val="auto"/>
        </w:rPr>
        <w:t>政府采购云平台</w:t>
      </w:r>
      <w:r>
        <w:rPr>
          <w:rStyle w:val="44"/>
          <w:rFonts w:hint="eastAsia"/>
          <w:color w:val="auto"/>
        </w:rPr>
        <w:fldChar w:fldCharType="end"/>
      </w:r>
      <w:r>
        <w:rPr>
          <w:rFonts w:hint="eastAsia"/>
          <w:color w:val="auto"/>
        </w:rPr>
        <w:t>申请下载采购文件才视作依法获取采购文件。</w:t>
      </w:r>
    </w:p>
    <w:p w14:paraId="2389D8B1">
      <w:pPr>
        <w:spacing w:line="400" w:lineRule="exact"/>
        <w:ind w:firstLine="420"/>
        <w:rPr>
          <w:b/>
          <w:color w:val="auto"/>
        </w:rPr>
      </w:pPr>
      <w:r>
        <w:rPr>
          <w:rFonts w:hint="eastAsia"/>
          <w:color w:val="auto"/>
        </w:rPr>
        <w:t>(</w:t>
      </w:r>
      <w:r>
        <w:rPr>
          <w:color w:val="auto"/>
        </w:rPr>
        <w:t>2)</w:t>
      </w:r>
      <w:r>
        <w:rPr>
          <w:rFonts w:hint="eastAsia"/>
          <w:color w:val="auto"/>
        </w:rPr>
        <w:t>供应商应通过广西政府采购云平台客户端制作响应文件，供应商自行前往下载安装（</w:t>
      </w:r>
      <w:r>
        <w:rPr>
          <w:rFonts w:hint="eastAsia"/>
          <w:color w:val="auto"/>
        </w:rPr>
        <w:fldChar w:fldCharType="begin"/>
      </w:r>
      <w:r>
        <w:rPr>
          <w:color w:val="auto"/>
        </w:rPr>
        <w:instrText xml:space="preserve"> HYPERLINK "https://sitecdn.zcycdn.com/zcy-client/bidding-client-new/official/guangxi/GuangXiSetup.exe" </w:instrText>
      </w:r>
      <w:r>
        <w:rPr>
          <w:rFonts w:hint="eastAsia"/>
          <w:color w:val="auto"/>
        </w:rPr>
        <w:fldChar w:fldCharType="separate"/>
      </w:r>
      <w:r>
        <w:rPr>
          <w:rFonts w:hint="eastAsia"/>
          <w:color w:val="auto"/>
        </w:rPr>
        <w:t>客户端下载</w:t>
      </w:r>
      <w:r>
        <w:rPr>
          <w:rFonts w:hint="eastAsia"/>
          <w:color w:val="auto"/>
        </w:rPr>
        <w:fldChar w:fldCharType="end"/>
      </w:r>
      <w:r>
        <w:rPr>
          <w:rFonts w:hint="eastAsia"/>
          <w:color w:val="auto"/>
        </w:rPr>
        <w:t>）。</w:t>
      </w:r>
    </w:p>
    <w:p w14:paraId="74D84A73">
      <w:pPr>
        <w:spacing w:line="400" w:lineRule="exact"/>
        <w:ind w:firstLine="420"/>
        <w:rPr>
          <w:color w:val="auto"/>
        </w:rPr>
      </w:pPr>
      <w:r>
        <w:rPr>
          <w:rFonts w:hint="eastAsia"/>
          <w:color w:val="auto"/>
        </w:rPr>
        <w:t>(</w:t>
      </w:r>
      <w:r>
        <w:rPr>
          <w:color w:val="auto"/>
        </w:rPr>
        <w:t>3)</w:t>
      </w:r>
      <w:r>
        <w:rPr>
          <w:rFonts w:hint="eastAsia"/>
          <w:color w:val="auto"/>
        </w:rPr>
        <w:t>供应商须按照采购文件和广西政府采购云平台的要求进行编制、上传、加密、提交、解密响应文件，响应文件提交截止时间后，广西政府采购云平台自动提取全部响应文件，各供应商须在提交截止时间后30分钟内对已上传广西政府采购云平台的响应文件进行解密，参与本项目的全部供应商在规定的解密时限内解密完成或解密时限结束后，我中心开启响应文件；供应商在解密时限内未完成解密的，广西政府采购云平台默认为供应商放弃参与本项目。</w:t>
      </w:r>
    </w:p>
    <w:p w14:paraId="4BA3C70E">
      <w:pPr>
        <w:spacing w:line="400" w:lineRule="exact"/>
        <w:ind w:firstLine="420"/>
        <w:rPr>
          <w:b/>
          <w:color w:val="auto"/>
        </w:rPr>
      </w:pPr>
      <w:r>
        <w:rPr>
          <w:rFonts w:hint="eastAsia"/>
          <w:color w:val="auto"/>
        </w:rPr>
        <w:t>(</w:t>
      </w:r>
      <w:r>
        <w:rPr>
          <w:color w:val="auto"/>
        </w:rPr>
        <w:t>4)</w:t>
      </w:r>
      <w:r>
        <w:rPr>
          <w:rFonts w:hint="eastAsia"/>
          <w:color w:val="auto"/>
        </w:rPr>
        <w:t>供应商法定代表人或委托代理人须按时登录</w:t>
      </w:r>
      <w:bookmarkStart w:id="32" w:name="_Hlk90367388"/>
      <w:r>
        <w:rPr>
          <w:rFonts w:hint="eastAsia"/>
          <w:color w:val="auto"/>
        </w:rPr>
        <w:t>广西</w:t>
      </w:r>
      <w:r>
        <w:rPr>
          <w:rFonts w:hint="eastAsia" w:ascii="宋体" w:hAnsi="宋体" w:cs="Courier New"/>
          <w:color w:val="auto"/>
          <w:szCs w:val="21"/>
        </w:rPr>
        <w:t>政采云远程开标大厅</w:t>
      </w:r>
      <w:bookmarkEnd w:id="32"/>
      <w:r>
        <w:rPr>
          <w:rFonts w:hint="eastAsia"/>
          <w:color w:val="auto"/>
        </w:rPr>
        <w:t>，保持全程在线并关注评审谈判进度，评审期间谈判小组提出澄清等要求时，供应商须在规定时间内进行应答，否则按采购文件或广西政采云平台的相关规定执行。</w:t>
      </w:r>
    </w:p>
    <w:p w14:paraId="086B5D7F">
      <w:pPr>
        <w:spacing w:line="400" w:lineRule="exact"/>
        <w:ind w:firstLine="420"/>
        <w:rPr>
          <w:rFonts w:hint="eastAsia" w:hAnsi="宋体"/>
          <w:color w:val="auto"/>
        </w:rPr>
      </w:pPr>
      <w:r>
        <w:rPr>
          <w:rFonts w:hint="eastAsia"/>
          <w:color w:val="auto"/>
        </w:rPr>
        <w:t>(</w:t>
      </w:r>
      <w:r>
        <w:rPr>
          <w:color w:val="auto"/>
        </w:rPr>
        <w:t>5)</w:t>
      </w:r>
      <w:r>
        <w:rPr>
          <w:rFonts w:hint="eastAsia"/>
          <w:color w:val="auto"/>
        </w:rPr>
        <w:t>供应商参与谈判过程中涉及广西政府采购云平台的问题，请咨询广西政采云</w:t>
      </w:r>
      <w:r>
        <w:rPr>
          <w:rFonts w:hint="eastAsia" w:hAnsi="宋体"/>
          <w:color w:val="auto"/>
        </w:rPr>
        <w:t>技术支持热线：</w:t>
      </w:r>
      <w:r>
        <w:rPr>
          <w:rFonts w:hAnsi="宋体"/>
          <w:color w:val="auto"/>
        </w:rPr>
        <w:t>95763</w:t>
      </w:r>
      <w:r>
        <w:rPr>
          <w:rFonts w:hint="eastAsia" w:hAnsi="宋体"/>
          <w:color w:val="auto"/>
        </w:rPr>
        <w:t>。</w:t>
      </w:r>
    </w:p>
    <w:p w14:paraId="636816E0">
      <w:pPr>
        <w:spacing w:line="400" w:lineRule="exact"/>
        <w:ind w:firstLine="420"/>
        <w:jc w:val="left"/>
        <w:rPr>
          <w:rFonts w:hint="eastAsia" w:hAnsi="宋体"/>
          <w:color w:val="auto"/>
        </w:rPr>
      </w:pPr>
      <w:r>
        <w:rPr>
          <w:rFonts w:hint="eastAsia" w:hAnsi="宋体"/>
          <w:color w:val="auto"/>
        </w:rPr>
        <w:t>3</w:t>
      </w:r>
      <w:r>
        <w:rPr>
          <w:rFonts w:hAnsi="宋体"/>
          <w:color w:val="auto"/>
        </w:rPr>
        <w:t>.</w:t>
      </w:r>
      <w:r>
        <w:rPr>
          <w:rFonts w:hint="eastAsia" w:hAnsi="宋体"/>
          <w:color w:val="auto"/>
        </w:rPr>
        <w:t>查询媒体：中国政府采购网、</w:t>
      </w:r>
      <w:r>
        <w:rPr>
          <w:rFonts w:hint="eastAsia"/>
          <w:color w:val="auto"/>
        </w:rPr>
        <w:fldChar w:fldCharType="begin"/>
      </w:r>
      <w:r>
        <w:rPr>
          <w:color w:val="auto"/>
        </w:rPr>
        <w:instrText xml:space="preserve"> HYPERLINK "http://zfcg.gxzf.gov.cn/" </w:instrText>
      </w:r>
      <w:r>
        <w:rPr>
          <w:rFonts w:hint="eastAsia"/>
          <w:color w:val="auto"/>
        </w:rPr>
        <w:fldChar w:fldCharType="separate"/>
      </w:r>
      <w:r>
        <w:rPr>
          <w:rStyle w:val="44"/>
          <w:rFonts w:hint="eastAsia" w:hAnsi="宋体"/>
          <w:color w:val="auto"/>
          <w:u w:val="none"/>
        </w:rPr>
        <w:t>广西政府采购网</w:t>
      </w:r>
      <w:r>
        <w:rPr>
          <w:rStyle w:val="44"/>
          <w:rFonts w:hint="eastAsia" w:hAnsi="宋体"/>
          <w:color w:val="auto"/>
          <w:u w:val="none"/>
        </w:rPr>
        <w:fldChar w:fldCharType="end"/>
      </w:r>
      <w:r>
        <w:rPr>
          <w:rFonts w:hint="eastAsia" w:hAnsi="宋体"/>
          <w:color w:val="auto"/>
        </w:rPr>
        <w:t>。</w:t>
      </w:r>
    </w:p>
    <w:p w14:paraId="6F515E14">
      <w:pPr>
        <w:spacing w:line="400" w:lineRule="exact"/>
        <w:ind w:firstLine="420"/>
        <w:jc w:val="left"/>
        <w:rPr>
          <w:rFonts w:hint="eastAsia" w:hAnsi="宋体"/>
          <w:color w:val="auto"/>
        </w:rPr>
      </w:pPr>
      <w:bookmarkStart w:id="33" w:name="_Hlk107409555"/>
      <w:r>
        <w:rPr>
          <w:rFonts w:hint="eastAsia" w:hAnsi="宋体"/>
          <w:color w:val="auto"/>
        </w:rPr>
        <w:t>4</w:t>
      </w:r>
      <w:r>
        <w:rPr>
          <w:rFonts w:hAnsi="宋体"/>
          <w:color w:val="auto"/>
        </w:rPr>
        <w:t>.</w:t>
      </w:r>
      <w:r>
        <w:rPr>
          <w:rFonts w:hint="eastAsia" w:hAnsi="宋体"/>
          <w:color w:val="auto"/>
        </w:rPr>
        <w:t>钦州市政府采购中心联系方式：</w:t>
      </w:r>
    </w:p>
    <w:p w14:paraId="7C0F5C87">
      <w:pPr>
        <w:spacing w:line="400" w:lineRule="exact"/>
        <w:ind w:firstLine="420"/>
        <w:jc w:val="left"/>
        <w:rPr>
          <w:rFonts w:hint="eastAsia" w:hAnsi="宋体"/>
          <w:color w:val="auto"/>
        </w:rPr>
      </w:pPr>
      <w:r>
        <w:rPr>
          <w:rFonts w:hAnsi="宋体"/>
          <w:color w:val="auto"/>
        </w:rPr>
        <w:t>(1)</w:t>
      </w:r>
      <w:r>
        <w:rPr>
          <w:rFonts w:hint="eastAsia" w:hAnsi="宋体"/>
          <w:color w:val="auto"/>
        </w:rPr>
        <w:t>采购部(采购文件</w:t>
      </w:r>
      <w:r>
        <w:rPr>
          <w:rFonts w:hAnsi="宋体"/>
          <w:color w:val="auto"/>
        </w:rPr>
        <w:t>)</w:t>
      </w:r>
    </w:p>
    <w:p w14:paraId="236A4D36">
      <w:pPr>
        <w:spacing w:line="400" w:lineRule="exact"/>
        <w:ind w:firstLine="420"/>
        <w:jc w:val="left"/>
        <w:rPr>
          <w:rFonts w:hint="eastAsia" w:hAnsi="宋体"/>
          <w:color w:val="auto"/>
        </w:rPr>
      </w:pPr>
      <w:r>
        <w:rPr>
          <w:rFonts w:hint="eastAsia" w:hAnsi="宋体"/>
          <w:color w:val="auto"/>
        </w:rPr>
        <w:t>联系人：苏晓婷</w:t>
      </w:r>
      <w:r>
        <w:rPr>
          <w:rFonts w:hAnsi="宋体"/>
          <w:color w:val="auto"/>
        </w:rPr>
        <w:t xml:space="preserve">  </w:t>
      </w:r>
      <w:r>
        <w:rPr>
          <w:rFonts w:hint="eastAsia" w:hAnsi="宋体"/>
          <w:color w:val="auto"/>
        </w:rPr>
        <w:t xml:space="preserve"> 联系方式：0777-2886022</w:t>
      </w:r>
    </w:p>
    <w:p w14:paraId="3E9E6D8A">
      <w:pPr>
        <w:spacing w:line="400" w:lineRule="exact"/>
        <w:ind w:firstLine="420"/>
        <w:jc w:val="left"/>
        <w:rPr>
          <w:rFonts w:hint="eastAsia" w:hAnsi="宋体"/>
          <w:color w:val="auto"/>
        </w:rPr>
      </w:pPr>
      <w:r>
        <w:rPr>
          <w:rFonts w:hint="eastAsia" w:hAnsi="宋体"/>
          <w:color w:val="auto"/>
        </w:rPr>
        <w:t>(</w:t>
      </w:r>
      <w:r>
        <w:rPr>
          <w:rFonts w:hAnsi="宋体"/>
          <w:color w:val="auto"/>
        </w:rPr>
        <w:t>2)</w:t>
      </w:r>
      <w:r>
        <w:rPr>
          <w:rFonts w:hint="eastAsia" w:hAnsi="宋体"/>
          <w:color w:val="auto"/>
        </w:rPr>
        <w:t>综合二部(评审、谈判、成交及合同管理)</w:t>
      </w:r>
    </w:p>
    <w:p w14:paraId="463E16EE">
      <w:pPr>
        <w:spacing w:line="400" w:lineRule="exact"/>
        <w:ind w:firstLine="420"/>
        <w:jc w:val="left"/>
        <w:rPr>
          <w:rFonts w:hint="eastAsia" w:hAnsi="宋体"/>
          <w:color w:val="auto"/>
        </w:rPr>
      </w:pPr>
      <w:r>
        <w:rPr>
          <w:rFonts w:hint="eastAsia" w:hAnsi="宋体"/>
          <w:color w:val="auto"/>
        </w:rPr>
        <w:t xml:space="preserve">联系人：陈启梅、陈侃 </w:t>
      </w:r>
      <w:r>
        <w:rPr>
          <w:rFonts w:hAnsi="宋体"/>
          <w:color w:val="auto"/>
        </w:rPr>
        <w:t xml:space="preserve">  </w:t>
      </w:r>
      <w:r>
        <w:rPr>
          <w:rFonts w:hint="eastAsia" w:hAnsi="宋体"/>
          <w:color w:val="auto"/>
        </w:rPr>
        <w:t>联系方式：0777-2886006</w:t>
      </w:r>
      <w:bookmarkEnd w:id="33"/>
    </w:p>
    <w:p w14:paraId="3EAFF390">
      <w:pPr>
        <w:spacing w:line="400" w:lineRule="exact"/>
        <w:rPr>
          <w:b/>
          <w:color w:val="auto"/>
        </w:rPr>
      </w:pPr>
      <w:r>
        <w:rPr>
          <w:rFonts w:hint="eastAsia"/>
          <w:b/>
          <w:color w:val="auto"/>
        </w:rPr>
        <w:t>八、对本次采购项目提出询问，请按</w:t>
      </w:r>
      <w:r>
        <w:rPr>
          <w:b/>
          <w:color w:val="auto"/>
        </w:rPr>
        <w:t>以下方式</w:t>
      </w:r>
      <w:r>
        <w:rPr>
          <w:rFonts w:hint="eastAsia"/>
          <w:b/>
          <w:color w:val="auto"/>
        </w:rPr>
        <w:t>联系</w:t>
      </w:r>
      <w:bookmarkEnd w:id="26"/>
      <w:bookmarkEnd w:id="27"/>
      <w:bookmarkEnd w:id="28"/>
      <w:bookmarkEnd w:id="29"/>
    </w:p>
    <w:bookmarkEnd w:id="8"/>
    <w:p w14:paraId="3CA044D7">
      <w:pPr>
        <w:spacing w:line="400" w:lineRule="exact"/>
        <w:ind w:firstLine="420" w:firstLineChars="200"/>
        <w:rPr>
          <w:color w:val="auto"/>
        </w:rPr>
      </w:pPr>
      <w:r>
        <w:rPr>
          <w:rFonts w:hint="eastAsia"/>
          <w:color w:val="auto"/>
        </w:rPr>
        <w:t>1.采购人信息</w:t>
      </w:r>
    </w:p>
    <w:p w14:paraId="018DD3E8">
      <w:pPr>
        <w:spacing w:line="400" w:lineRule="exact"/>
        <w:ind w:firstLine="420" w:firstLineChars="200"/>
        <w:rPr>
          <w:rFonts w:hint="default" w:eastAsia="宋体"/>
          <w:color w:val="auto"/>
          <w:lang w:val="en-US" w:eastAsia="zh-CN"/>
        </w:rPr>
      </w:pPr>
      <w:bookmarkStart w:id="34" w:name="_Toc38370147"/>
      <w:r>
        <w:rPr>
          <w:rFonts w:hint="eastAsia"/>
          <w:color w:val="auto"/>
        </w:rPr>
        <w:t>名称：浦北县</w:t>
      </w:r>
      <w:r>
        <w:rPr>
          <w:rFonts w:hint="eastAsia"/>
          <w:color w:val="auto"/>
          <w:lang w:val="en-US" w:eastAsia="zh-CN"/>
        </w:rPr>
        <w:t>第二中学</w:t>
      </w:r>
    </w:p>
    <w:p w14:paraId="28C95777">
      <w:pPr>
        <w:spacing w:line="400" w:lineRule="exact"/>
        <w:ind w:firstLine="420" w:firstLineChars="200"/>
        <w:rPr>
          <w:rFonts w:hint="eastAsia"/>
          <w:color w:val="auto"/>
        </w:rPr>
      </w:pPr>
      <w:r>
        <w:rPr>
          <w:rFonts w:hint="eastAsia"/>
          <w:color w:val="auto"/>
        </w:rPr>
        <w:t>地址：浦北县小江镇文化路13号</w:t>
      </w:r>
    </w:p>
    <w:bookmarkEnd w:id="34"/>
    <w:p w14:paraId="4434609D">
      <w:pPr>
        <w:spacing w:line="400" w:lineRule="exact"/>
        <w:ind w:firstLine="420" w:firstLineChars="200"/>
        <w:rPr>
          <w:rFonts w:hint="eastAsia"/>
          <w:color w:val="auto"/>
        </w:rPr>
      </w:pPr>
      <w:r>
        <w:rPr>
          <w:rFonts w:hint="eastAsia"/>
          <w:color w:val="auto"/>
        </w:rPr>
        <w:t>项目联系人：蔡林良</w:t>
      </w:r>
    </w:p>
    <w:p w14:paraId="5456BFFA">
      <w:pPr>
        <w:spacing w:line="400" w:lineRule="exact"/>
        <w:ind w:firstLine="420" w:firstLineChars="200"/>
        <w:rPr>
          <w:rFonts w:hint="eastAsia"/>
          <w:color w:val="auto"/>
        </w:rPr>
      </w:pPr>
      <w:r>
        <w:rPr>
          <w:rFonts w:hint="eastAsia"/>
          <w:color w:val="auto"/>
        </w:rPr>
        <w:t>项目联系方式：0777-8211227</w:t>
      </w:r>
    </w:p>
    <w:p w14:paraId="5BF6D196">
      <w:pPr>
        <w:spacing w:line="400" w:lineRule="exact"/>
        <w:ind w:firstLine="420" w:firstLineChars="200"/>
        <w:rPr>
          <w:color w:val="auto"/>
        </w:rPr>
      </w:pPr>
      <w:r>
        <w:rPr>
          <w:rFonts w:hint="eastAsia"/>
          <w:color w:val="auto"/>
        </w:rPr>
        <w:t>2.采购代理机构信息</w:t>
      </w:r>
    </w:p>
    <w:p w14:paraId="4536C127">
      <w:pPr>
        <w:spacing w:line="400" w:lineRule="exact"/>
        <w:ind w:firstLine="420" w:firstLineChars="200"/>
        <w:rPr>
          <w:color w:val="auto"/>
        </w:rPr>
      </w:pPr>
      <w:r>
        <w:rPr>
          <w:rFonts w:hint="eastAsia"/>
          <w:color w:val="auto"/>
        </w:rPr>
        <w:t>名称：钦州市政府采购中心</w:t>
      </w:r>
    </w:p>
    <w:p w14:paraId="41B2A07B">
      <w:pPr>
        <w:spacing w:line="400" w:lineRule="exact"/>
        <w:ind w:firstLine="420" w:firstLineChars="200"/>
        <w:rPr>
          <w:color w:val="auto"/>
        </w:rPr>
      </w:pPr>
      <w:r>
        <w:rPr>
          <w:rFonts w:hint="eastAsia"/>
          <w:color w:val="auto"/>
        </w:rPr>
        <w:t>地址：钦州市金海湾东大街8号</w:t>
      </w:r>
    </w:p>
    <w:p w14:paraId="09D1470D">
      <w:pPr>
        <w:spacing w:line="400" w:lineRule="exact"/>
        <w:ind w:firstLine="420" w:firstLineChars="200"/>
        <w:rPr>
          <w:color w:val="auto"/>
        </w:rPr>
      </w:pPr>
      <w:r>
        <w:rPr>
          <w:rFonts w:hint="eastAsia"/>
          <w:color w:val="auto"/>
        </w:rPr>
        <w:t>项目联系人：</w:t>
      </w:r>
      <w:bookmarkStart w:id="35" w:name="_Toc28359010"/>
      <w:bookmarkStart w:id="36" w:name="_Toc28359087"/>
      <w:r>
        <w:rPr>
          <w:rFonts w:hint="eastAsia"/>
          <w:color w:val="auto"/>
        </w:rPr>
        <w:t>苏晓婷</w:t>
      </w:r>
    </w:p>
    <w:p w14:paraId="4E646198">
      <w:pPr>
        <w:spacing w:line="400" w:lineRule="exact"/>
        <w:ind w:firstLine="420"/>
        <w:jc w:val="left"/>
        <w:rPr>
          <w:rFonts w:hint="eastAsia" w:hAnsi="宋体"/>
          <w:color w:val="auto"/>
        </w:rPr>
      </w:pPr>
      <w:r>
        <w:rPr>
          <w:rFonts w:hint="eastAsia"/>
          <w:color w:val="auto"/>
        </w:rPr>
        <w:t>项目联系方式：</w:t>
      </w:r>
      <w:r>
        <w:rPr>
          <w:rFonts w:hint="eastAsia" w:hAnsi="宋体"/>
          <w:color w:val="auto"/>
        </w:rPr>
        <w:t>0777-2886022</w:t>
      </w:r>
    </w:p>
    <w:p w14:paraId="6C45520A">
      <w:pPr>
        <w:spacing w:line="400" w:lineRule="exact"/>
        <w:ind w:firstLine="420" w:firstLineChars="200"/>
        <w:rPr>
          <w:color w:val="auto"/>
        </w:rPr>
      </w:pPr>
    </w:p>
    <w:p w14:paraId="7B8FE1AD">
      <w:pPr>
        <w:widowControl/>
        <w:jc w:val="left"/>
        <w:rPr>
          <w:color w:val="auto"/>
        </w:rPr>
      </w:pPr>
      <w:r>
        <w:rPr>
          <w:color w:val="auto"/>
        </w:rPr>
        <w:br w:type="page"/>
      </w:r>
    </w:p>
    <w:p w14:paraId="07FF29B6">
      <w:pPr>
        <w:spacing w:line="400" w:lineRule="exact"/>
        <w:ind w:firstLine="420" w:firstLineChars="200"/>
        <w:rPr>
          <w:color w:val="auto"/>
        </w:rPr>
      </w:pPr>
    </w:p>
    <w:p w14:paraId="19533D4E">
      <w:pPr>
        <w:rPr>
          <w:color w:val="auto"/>
        </w:rPr>
      </w:pPr>
    </w:p>
    <w:bookmarkEnd w:id="35"/>
    <w:bookmarkEnd w:id="36"/>
    <w:p w14:paraId="1E0A66EE">
      <w:pPr>
        <w:rPr>
          <w:color w:val="auto"/>
        </w:rPr>
      </w:pPr>
    </w:p>
    <w:p w14:paraId="027B5592">
      <w:pPr>
        <w:rPr>
          <w:color w:val="auto"/>
        </w:rPr>
      </w:pPr>
    </w:p>
    <w:p w14:paraId="2FED55BB">
      <w:pPr>
        <w:rPr>
          <w:color w:val="auto"/>
        </w:rPr>
      </w:pPr>
    </w:p>
    <w:p w14:paraId="41B8A89D">
      <w:pPr>
        <w:rPr>
          <w:color w:val="auto"/>
        </w:rPr>
      </w:pPr>
    </w:p>
    <w:p w14:paraId="5A11A8E9">
      <w:pPr>
        <w:rPr>
          <w:color w:val="auto"/>
        </w:rPr>
      </w:pPr>
    </w:p>
    <w:p w14:paraId="08528EA3">
      <w:pPr>
        <w:rPr>
          <w:color w:val="auto"/>
        </w:rPr>
      </w:pPr>
    </w:p>
    <w:p w14:paraId="2B088122">
      <w:pPr>
        <w:rPr>
          <w:color w:val="auto"/>
        </w:rPr>
      </w:pPr>
    </w:p>
    <w:p w14:paraId="4CC0CB85">
      <w:pPr>
        <w:rPr>
          <w:color w:val="auto"/>
        </w:rPr>
      </w:pPr>
    </w:p>
    <w:p w14:paraId="0FE3E401">
      <w:pPr>
        <w:rPr>
          <w:color w:val="auto"/>
        </w:rPr>
      </w:pPr>
    </w:p>
    <w:p w14:paraId="3A0FCF22">
      <w:pPr>
        <w:rPr>
          <w:color w:val="auto"/>
        </w:rPr>
      </w:pPr>
    </w:p>
    <w:p w14:paraId="3BCCCE85">
      <w:pPr>
        <w:rPr>
          <w:color w:val="auto"/>
        </w:rPr>
      </w:pPr>
    </w:p>
    <w:p w14:paraId="74C71BC7">
      <w:pPr>
        <w:rPr>
          <w:color w:val="auto"/>
        </w:rPr>
      </w:pPr>
    </w:p>
    <w:p w14:paraId="3F8D1CF4">
      <w:pPr>
        <w:pStyle w:val="3"/>
        <w:spacing w:line="400" w:lineRule="exact"/>
        <w:rPr>
          <w:rFonts w:hint="eastAsia" w:ascii="方正小标宋_GBK" w:hAnsi="宋体" w:eastAsia="方正小标宋_GBK"/>
          <w:color w:val="auto"/>
        </w:rPr>
      </w:pPr>
      <w:bookmarkStart w:id="37" w:name="_Toc92355024"/>
      <w:r>
        <w:rPr>
          <w:rFonts w:hint="eastAsia" w:ascii="方正小标宋_GBK" w:hAnsi="宋体" w:eastAsia="方正小标宋_GBK"/>
          <w:color w:val="auto"/>
        </w:rPr>
        <w:t>第二章  项目需求</w:t>
      </w:r>
      <w:bookmarkEnd w:id="37"/>
    </w:p>
    <w:p w14:paraId="73411ED0">
      <w:pPr>
        <w:spacing w:line="440" w:lineRule="exact"/>
        <w:jc w:val="center"/>
        <w:rPr>
          <w:rFonts w:hint="eastAsia" w:ascii="宋体" w:hAnsi="宋体"/>
          <w:b/>
          <w:color w:val="auto"/>
          <w:sz w:val="36"/>
          <w:szCs w:val="36"/>
        </w:rPr>
      </w:pPr>
      <w:r>
        <w:rPr>
          <w:rFonts w:ascii="宋体" w:hAnsi="宋体"/>
          <w:b/>
          <w:color w:val="auto"/>
          <w:szCs w:val="21"/>
        </w:rPr>
        <w:br w:type="page"/>
      </w:r>
      <w:bookmarkStart w:id="38" w:name="_Toc354479498"/>
      <w:bookmarkStart w:id="39" w:name="_Toc358477280"/>
      <w:r>
        <w:rPr>
          <w:rFonts w:hint="eastAsia" w:ascii="宋体" w:hAnsi="宋体"/>
          <w:b/>
          <w:color w:val="auto"/>
          <w:sz w:val="36"/>
          <w:szCs w:val="36"/>
        </w:rPr>
        <w:t>项目需求</w:t>
      </w:r>
    </w:p>
    <w:p w14:paraId="07F0B614">
      <w:pPr>
        <w:spacing w:line="396" w:lineRule="exact"/>
        <w:rPr>
          <w:rFonts w:hint="eastAsia" w:ascii="宋体" w:hAnsi="宋体"/>
          <w:b/>
          <w:color w:val="auto"/>
          <w:szCs w:val="21"/>
        </w:rPr>
      </w:pPr>
    </w:p>
    <w:p w14:paraId="6311F487">
      <w:pPr>
        <w:spacing w:line="430" w:lineRule="exact"/>
        <w:ind w:firstLine="420" w:firstLineChars="200"/>
        <w:rPr>
          <w:rFonts w:hint="eastAsia" w:ascii="宋体" w:hAnsi="宋体" w:cs="宋体"/>
          <w:color w:val="auto"/>
          <w:kern w:val="0"/>
          <w:szCs w:val="21"/>
          <w:lang w:bidi="ar"/>
        </w:rPr>
      </w:pPr>
      <w:r>
        <w:rPr>
          <w:rFonts w:hint="eastAsia" w:ascii="宋体" w:hAnsi="宋体" w:cs="宋体"/>
          <w:color w:val="auto"/>
          <w:kern w:val="0"/>
          <w:szCs w:val="21"/>
          <w:lang w:bidi="ar"/>
        </w:rPr>
        <w:t xml:space="preserve">说明：  </w:t>
      </w:r>
    </w:p>
    <w:p w14:paraId="00CDE2C3">
      <w:pPr>
        <w:spacing w:line="460" w:lineRule="exact"/>
        <w:ind w:firstLine="422"/>
        <w:rPr>
          <w:rFonts w:hint="eastAsia" w:ascii="宋体" w:hAnsi="宋体" w:cs="宋体"/>
          <w:b/>
          <w:bCs/>
          <w:color w:val="0000FF"/>
          <w:szCs w:val="21"/>
        </w:rPr>
      </w:pPr>
      <w:r>
        <w:rPr>
          <w:rFonts w:hint="eastAsia" w:ascii="宋体" w:hAnsi="宋体" w:cs="宋体"/>
          <w:b/>
          <w:bCs/>
          <w:color w:val="auto"/>
          <w:szCs w:val="21"/>
        </w:rPr>
        <w:t>1.根据《财政部 发展改革委 生态环境部 市场监管总局关于调整优化节能产品、环境标志产品政府采购执行机制的通知》（财库〔2019〕9号）和《关于印发节能产品政府采购品目清单的通知》（财库〔2019〕19号）的规定，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hint="eastAsia" w:ascii="宋体" w:hAnsi="宋体" w:cs="宋体"/>
          <w:b/>
          <w:bCs/>
          <w:color w:val="auto"/>
          <w:szCs w:val="21"/>
          <w:lang w:val="en-US" w:eastAsia="zh-CN"/>
        </w:rPr>
        <w:t xml:space="preserve"> </w:t>
      </w:r>
    </w:p>
    <w:p w14:paraId="7FB5AB63">
      <w:pPr>
        <w:spacing w:line="460" w:lineRule="exact"/>
        <w:ind w:firstLine="422"/>
        <w:rPr>
          <w:rFonts w:hint="eastAsia" w:ascii="宋体" w:hAnsi="宋体"/>
          <w:color w:val="auto"/>
          <w:szCs w:val="21"/>
        </w:rPr>
      </w:pPr>
      <w:r>
        <w:rPr>
          <w:rFonts w:hint="eastAsia" w:ascii="宋体" w:hAnsi="宋体" w:cs="宋体"/>
          <w:b/>
          <w:bCs/>
          <w:color w:val="auto"/>
          <w:szCs w:val="21"/>
        </w:rPr>
        <w:t>2.根据《关于调整网络安全专用产品安全管理有关事项的公告》（2023年1号）规定，采购标的中如包含列入《网络关键设备和网络安全专用产品目录》的网络安全专用产品，供应商应当按照《信息安全技术网络安全专用产品安全技术要求》等相关国家标准的强制性要求，提供由具备资格的机构安全认证合格或者安全检测符合要求证明材料（加盖供应商公章），否则竞标无效。</w:t>
      </w:r>
    </w:p>
    <w:p w14:paraId="0B71D7B3">
      <w:pPr>
        <w:spacing w:line="430" w:lineRule="exact"/>
        <w:ind w:firstLine="420" w:firstLineChars="200"/>
        <w:rPr>
          <w:rFonts w:hint="eastAsia" w:ascii="宋体" w:hAnsi="宋体"/>
          <w:color w:val="auto"/>
          <w:szCs w:val="21"/>
        </w:rPr>
      </w:pPr>
      <w:r>
        <w:rPr>
          <w:rFonts w:hint="eastAsia" w:ascii="宋体" w:hAnsi="宋体"/>
          <w:color w:val="auto"/>
          <w:szCs w:val="21"/>
        </w:rPr>
        <w:t>3.本表中的品牌型号、技术参数及其性能（规格）仅起参考作用，供应商可选用其他品牌型号替代，</w:t>
      </w:r>
      <w:r>
        <w:rPr>
          <w:rFonts w:hint="eastAsia" w:ascii="宋体" w:hAnsi="宋体"/>
          <w:color w:val="auto"/>
        </w:rPr>
        <w:t>但替代的产品整体上要相当于或优于参考品牌型号或其技术参数性能（规格）要求。</w:t>
      </w:r>
    </w:p>
    <w:p w14:paraId="36555FA1">
      <w:pPr>
        <w:spacing w:line="430" w:lineRule="exact"/>
        <w:ind w:firstLine="420" w:firstLineChars="200"/>
        <w:rPr>
          <w:rFonts w:hint="eastAsia"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14:paraId="5EA339AB">
      <w:pPr>
        <w:spacing w:line="430" w:lineRule="exact"/>
        <w:ind w:firstLine="420" w:firstLineChars="200"/>
        <w:rPr>
          <w:rFonts w:hint="eastAsia" w:ascii="宋体" w:hAnsi="宋体"/>
          <w:color w:val="auto"/>
          <w:szCs w:val="21"/>
        </w:rPr>
      </w:pPr>
      <w:r>
        <w:rPr>
          <w:rFonts w:hint="eastAsia" w:ascii="宋体" w:hAnsi="宋体"/>
          <w:color w:val="auto"/>
          <w:szCs w:val="21"/>
        </w:rPr>
        <w:t>5.本项目不接受供应商提供通过中国海关报关验放进入中国境内且产自关境外的产品。</w:t>
      </w:r>
    </w:p>
    <w:p w14:paraId="78B5D510">
      <w:pPr>
        <w:spacing w:line="430" w:lineRule="exact"/>
        <w:ind w:firstLine="420" w:firstLineChars="200"/>
        <w:rPr>
          <w:rFonts w:hint="eastAsia" w:ascii="宋体" w:hAnsi="宋体"/>
          <w:color w:val="auto"/>
          <w:szCs w:val="21"/>
        </w:rPr>
      </w:pPr>
      <w:r>
        <w:rPr>
          <w:rFonts w:hint="eastAsia" w:ascii="宋体" w:hAnsi="宋体"/>
          <w:color w:val="auto"/>
          <w:szCs w:val="21"/>
        </w:rPr>
        <w:t>6</w:t>
      </w:r>
      <w:r>
        <w:rPr>
          <w:rFonts w:ascii="宋体" w:hAnsi="宋体"/>
          <w:color w:val="auto"/>
          <w:szCs w:val="21"/>
        </w:rPr>
        <w:t>.</w:t>
      </w:r>
      <w:r>
        <w:rPr>
          <w:rFonts w:hint="eastAsia" w:ascii="宋体" w:hAnsi="宋体"/>
          <w:color w:val="auto"/>
          <w:szCs w:val="21"/>
        </w:rPr>
        <w:t>谈判文件中可能实质性变动的内容：</w:t>
      </w:r>
      <w:r>
        <w:rPr>
          <w:rFonts w:hint="eastAsia" w:ascii="宋体" w:hAnsi="宋体" w:cs="宋体"/>
          <w:color w:val="auto"/>
          <w:kern w:val="0"/>
          <w:szCs w:val="21"/>
        </w:rPr>
        <w:t>采购需求的技术、服务要求以及合同草案条款</w:t>
      </w:r>
      <w:r>
        <w:rPr>
          <w:rFonts w:hint="eastAsia" w:ascii="宋体" w:hAnsi="宋体" w:cs="宋体"/>
          <w:b/>
          <w:color w:val="auto"/>
          <w:kern w:val="0"/>
          <w:szCs w:val="21"/>
        </w:rPr>
        <w:t>。</w:t>
      </w:r>
    </w:p>
    <w:p w14:paraId="2DC35C22">
      <w:pPr>
        <w:spacing w:line="430" w:lineRule="exact"/>
        <w:ind w:firstLine="420" w:firstLineChars="200"/>
        <w:rPr>
          <w:rFonts w:hint="eastAsia" w:ascii="宋体" w:hAnsi="宋体"/>
          <w:color w:val="auto"/>
          <w:szCs w:val="21"/>
        </w:rPr>
      </w:pPr>
      <w:r>
        <w:rPr>
          <w:rFonts w:hint="eastAsia" w:ascii="宋体" w:hAnsi="宋体"/>
          <w:color w:val="auto"/>
          <w:szCs w:val="21"/>
        </w:rPr>
        <w:t>7</w:t>
      </w:r>
      <w:r>
        <w:rPr>
          <w:rFonts w:ascii="宋体" w:hAnsi="宋体"/>
          <w:color w:val="auto"/>
          <w:szCs w:val="21"/>
        </w:rPr>
        <w:t>.</w:t>
      </w:r>
      <w:r>
        <w:rPr>
          <w:rFonts w:hint="eastAsia" w:ascii="宋体" w:hAnsi="宋体"/>
          <w:color w:val="auto"/>
          <w:szCs w:val="21"/>
        </w:rPr>
        <w:t>标注★号的技术参数为实质性响应条款，要求必须满足或优于，否则视为无效响应文件。</w:t>
      </w:r>
    </w:p>
    <w:p w14:paraId="43E6F597">
      <w:pPr>
        <w:spacing w:line="430" w:lineRule="exact"/>
        <w:ind w:firstLine="420" w:firstLineChars="200"/>
        <w:rPr>
          <w:rFonts w:hint="eastAsia" w:ascii="宋体" w:hAnsi="宋体" w:eastAsia="宋体" w:cs="Times New Roman"/>
          <w:color w:val="auto"/>
          <w:szCs w:val="21"/>
          <w:lang w:val="en-US" w:eastAsia="zh-CN"/>
        </w:rPr>
      </w:pPr>
      <w:r>
        <w:rPr>
          <w:rFonts w:hint="eastAsia" w:ascii="宋体" w:hAnsi="宋体" w:cs="宋体"/>
          <w:color w:val="auto"/>
          <w:kern w:val="0"/>
          <w:szCs w:val="21"/>
          <w:lang w:val="en-US" w:eastAsia="zh-CN" w:bidi="ar"/>
        </w:rPr>
        <w:t>8.</w:t>
      </w:r>
      <w:r>
        <w:rPr>
          <w:rFonts w:hint="eastAsia" w:ascii="宋体" w:hAnsi="宋体" w:cs="宋体"/>
          <w:color w:val="auto"/>
          <w:kern w:val="0"/>
          <w:szCs w:val="21"/>
          <w:lang w:bidi="ar"/>
        </w:rPr>
        <w:t>采购需求中出现的产品的固定规格尺寸或重量允许正负偏离百分之五（具体技术参数要求已有允许偏离差异或定制的除外）。</w:t>
      </w:r>
    </w:p>
    <w:p w14:paraId="543D899D">
      <w:pPr>
        <w:spacing w:line="430" w:lineRule="exact"/>
        <w:ind w:firstLine="420" w:firstLineChars="200"/>
        <w:rPr>
          <w:rFonts w:hint="default" w:ascii="宋体" w:hAnsi="宋体" w:eastAsia="宋体" w:cs="Times New Roman"/>
          <w:b/>
          <w:bCs/>
          <w:color w:val="auto"/>
          <w:szCs w:val="21"/>
          <w:u w:val="single"/>
          <w:lang w:val="en-US" w:eastAsia="zh-CN"/>
        </w:rPr>
      </w:pPr>
      <w:r>
        <w:rPr>
          <w:rFonts w:hint="eastAsia" w:ascii="宋体" w:hAnsi="宋体" w:cs="Times New Roman"/>
          <w:color w:val="auto"/>
          <w:szCs w:val="21"/>
          <w:lang w:val="en-US" w:eastAsia="zh-CN"/>
        </w:rPr>
        <w:t>9</w:t>
      </w:r>
      <w:r>
        <w:rPr>
          <w:rFonts w:hint="eastAsia" w:ascii="宋体" w:hAnsi="宋体" w:eastAsia="宋体" w:cs="Times New Roman"/>
          <w:color w:val="auto"/>
          <w:szCs w:val="21"/>
          <w:lang w:val="en-US" w:eastAsia="zh-CN"/>
        </w:rPr>
        <w:t>.本项目采购标的所属行业为：</w:t>
      </w:r>
      <w:r>
        <w:rPr>
          <w:rFonts w:hint="eastAsia" w:ascii="宋体" w:hAnsi="宋体" w:eastAsia="宋体" w:cs="Times New Roman"/>
          <w:b/>
          <w:bCs/>
          <w:color w:val="auto"/>
          <w:szCs w:val="21"/>
          <w:u w:val="single"/>
          <w:lang w:val="en-US" w:eastAsia="zh-CN"/>
        </w:rPr>
        <w:t xml:space="preserve">工业        </w:t>
      </w:r>
    </w:p>
    <w:p w14:paraId="0C0F73EC">
      <w:pPr>
        <w:pStyle w:val="46"/>
        <w:ind w:firstLine="353"/>
        <w:rPr>
          <w:color w:val="auto"/>
        </w:rPr>
      </w:pPr>
    </w:p>
    <w:p w14:paraId="791371B8">
      <w:pPr>
        <w:pStyle w:val="46"/>
        <w:ind w:firstLine="353"/>
        <w:rPr>
          <w:color w:val="0000FF"/>
        </w:rPr>
      </w:pPr>
    </w:p>
    <w:p w14:paraId="5D2FCF7C">
      <w:pPr>
        <w:pStyle w:val="46"/>
        <w:ind w:firstLine="353"/>
        <w:rPr>
          <w:color w:val="auto"/>
        </w:rPr>
      </w:pPr>
    </w:p>
    <w:p w14:paraId="619B6C48">
      <w:pPr>
        <w:pStyle w:val="46"/>
        <w:ind w:firstLine="353"/>
        <w:rPr>
          <w:color w:val="auto"/>
        </w:rPr>
      </w:pPr>
    </w:p>
    <w:p w14:paraId="623803B4">
      <w:pPr>
        <w:pStyle w:val="46"/>
        <w:ind w:firstLine="353"/>
        <w:rPr>
          <w:color w:val="auto"/>
        </w:rPr>
      </w:pPr>
    </w:p>
    <w:p w14:paraId="1B0498BF">
      <w:pPr>
        <w:pStyle w:val="46"/>
        <w:ind w:firstLine="353"/>
        <w:rPr>
          <w:color w:val="auto"/>
        </w:rPr>
      </w:pPr>
    </w:p>
    <w:p w14:paraId="2791659F">
      <w:pPr>
        <w:pStyle w:val="46"/>
        <w:ind w:firstLine="353"/>
        <w:rPr>
          <w:color w:val="auto"/>
        </w:rPr>
      </w:pPr>
    </w:p>
    <w:tbl>
      <w:tblPr>
        <w:tblStyle w:val="38"/>
        <w:tblW w:w="9685"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215"/>
        <w:gridCol w:w="804"/>
        <w:gridCol w:w="351"/>
        <w:gridCol w:w="414"/>
        <w:gridCol w:w="6351"/>
      </w:tblGrid>
      <w:tr w14:paraId="7F77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5559511">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
                <w:bCs w:val="0"/>
                <w:color w:val="auto"/>
                <w:sz w:val="21"/>
                <w:szCs w:val="21"/>
                <w:vertAlign w:val="baseline"/>
                <w:lang w:val="en-US" w:eastAsia="zh-CN" w:bidi="ar-SA"/>
              </w:rPr>
            </w:pPr>
            <w:r>
              <w:rPr>
                <w:rFonts w:hint="eastAsia" w:ascii="宋体" w:hAnsi="宋体" w:eastAsia="宋体" w:cs="宋体"/>
                <w:b/>
                <w:bCs w:val="0"/>
                <w:color w:val="auto"/>
                <w:kern w:val="0"/>
                <w:sz w:val="21"/>
                <w:szCs w:val="21"/>
              </w:rPr>
              <w:t>序号</w:t>
            </w:r>
          </w:p>
        </w:tc>
        <w:tc>
          <w:tcPr>
            <w:tcW w:w="1215" w:type="dxa"/>
            <w:noWrap w:val="0"/>
            <w:vAlign w:val="center"/>
          </w:tcPr>
          <w:p w14:paraId="4EF86F90">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
                <w:bCs w:val="0"/>
                <w:color w:val="auto"/>
                <w:sz w:val="21"/>
                <w:szCs w:val="21"/>
                <w:vertAlign w:val="baseline"/>
                <w:lang w:val="en-US" w:eastAsia="zh-CN" w:bidi="ar-SA"/>
              </w:rPr>
            </w:pPr>
            <w:r>
              <w:rPr>
                <w:rFonts w:hint="eastAsia" w:ascii="宋体" w:hAnsi="宋体" w:eastAsia="宋体" w:cs="宋体"/>
                <w:b/>
                <w:bCs w:val="0"/>
                <w:color w:val="auto"/>
                <w:kern w:val="0"/>
                <w:sz w:val="21"/>
                <w:szCs w:val="21"/>
              </w:rPr>
              <w:t>货物名称</w:t>
            </w:r>
          </w:p>
        </w:tc>
        <w:tc>
          <w:tcPr>
            <w:tcW w:w="804" w:type="dxa"/>
            <w:noWrap w:val="0"/>
            <w:vAlign w:val="center"/>
          </w:tcPr>
          <w:p w14:paraId="6155BB0A">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
                <w:bCs w:val="0"/>
                <w:color w:val="auto"/>
                <w:sz w:val="21"/>
                <w:szCs w:val="21"/>
                <w:vertAlign w:val="baseline"/>
                <w:lang w:val="en-US" w:eastAsia="zh-CN" w:bidi="ar-SA"/>
              </w:rPr>
            </w:pPr>
            <w:r>
              <w:rPr>
                <w:rFonts w:hint="eastAsia" w:ascii="宋体" w:hAnsi="宋体" w:eastAsia="宋体" w:cs="宋体"/>
                <w:b/>
                <w:bCs w:val="0"/>
                <w:color w:val="auto"/>
                <w:kern w:val="0"/>
                <w:sz w:val="21"/>
                <w:szCs w:val="21"/>
              </w:rPr>
              <w:t>单位</w:t>
            </w:r>
          </w:p>
        </w:tc>
        <w:tc>
          <w:tcPr>
            <w:tcW w:w="765" w:type="dxa"/>
            <w:gridSpan w:val="2"/>
            <w:noWrap w:val="0"/>
            <w:vAlign w:val="center"/>
          </w:tcPr>
          <w:p w14:paraId="06D3DF4B">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
                <w:bCs w:val="0"/>
                <w:color w:val="auto"/>
                <w:sz w:val="21"/>
                <w:szCs w:val="21"/>
                <w:vertAlign w:val="baseline"/>
                <w:lang w:val="en-US" w:eastAsia="zh-CN" w:bidi="ar-SA"/>
              </w:rPr>
            </w:pPr>
            <w:r>
              <w:rPr>
                <w:rFonts w:hint="eastAsia" w:ascii="宋体" w:hAnsi="宋体" w:eastAsia="宋体" w:cs="宋体"/>
                <w:b/>
                <w:bCs w:val="0"/>
                <w:color w:val="auto"/>
                <w:kern w:val="0"/>
                <w:sz w:val="21"/>
                <w:szCs w:val="21"/>
              </w:rPr>
              <w:t>数量</w:t>
            </w:r>
          </w:p>
        </w:tc>
        <w:tc>
          <w:tcPr>
            <w:tcW w:w="6351" w:type="dxa"/>
            <w:noWrap w:val="0"/>
            <w:vAlign w:val="center"/>
          </w:tcPr>
          <w:p w14:paraId="006D8713">
            <w:pPr>
              <w:pStyle w:val="46"/>
              <w:keepNext w:val="0"/>
              <w:keepLines w:val="0"/>
              <w:pageBreakBefore w:val="0"/>
              <w:kinsoku/>
              <w:wordWrap/>
              <w:overflowPunct/>
              <w:topLinePunct w:val="0"/>
              <w:bidi w:val="0"/>
              <w:spacing w:line="440" w:lineRule="exact"/>
              <w:ind w:firstLine="310" w:firstLineChars="147"/>
              <w:jc w:val="center"/>
              <w:rPr>
                <w:rFonts w:hint="eastAsia" w:ascii="宋体" w:hAnsi="宋体" w:eastAsia="宋体" w:cs="宋体"/>
                <w:b/>
                <w:bCs w:val="0"/>
                <w:color w:val="auto"/>
                <w:sz w:val="21"/>
                <w:szCs w:val="21"/>
                <w:vertAlign w:val="baseline"/>
                <w:lang w:val="en-US" w:eastAsia="zh-CN" w:bidi="ar-SA"/>
              </w:rPr>
            </w:pPr>
            <w:r>
              <w:rPr>
                <w:rFonts w:hint="eastAsia" w:ascii="宋体" w:hAnsi="宋体" w:eastAsia="宋体" w:cs="宋体"/>
                <w:b/>
                <w:bCs w:val="0"/>
                <w:color w:val="auto"/>
                <w:kern w:val="0"/>
                <w:sz w:val="21"/>
                <w:szCs w:val="21"/>
              </w:rPr>
              <w:t>技术参数、规格及要求</w:t>
            </w:r>
          </w:p>
        </w:tc>
      </w:tr>
      <w:tr w14:paraId="4550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5" w:type="dxa"/>
            <w:gridSpan w:val="6"/>
            <w:noWrap w:val="0"/>
            <w:vAlign w:val="center"/>
          </w:tcPr>
          <w:p w14:paraId="472F1DE9">
            <w:pPr>
              <w:pStyle w:val="46"/>
              <w:keepNext w:val="0"/>
              <w:keepLines w:val="0"/>
              <w:pageBreakBefore w:val="0"/>
              <w:kinsoku/>
              <w:wordWrap/>
              <w:overflowPunct/>
              <w:topLinePunct w:val="0"/>
              <w:bidi w:val="0"/>
              <w:spacing w:line="440" w:lineRule="exact"/>
              <w:ind w:left="0" w:leftChars="0" w:firstLine="0" w:firstLineChars="0"/>
              <w:jc w:val="left"/>
              <w:rPr>
                <w:rFonts w:hint="eastAsia" w:ascii="宋体" w:hAnsi="宋体" w:eastAsia="宋体" w:cs="宋体"/>
                <w:b/>
                <w:bCs w:val="0"/>
                <w:color w:val="auto"/>
                <w:kern w:val="0"/>
                <w:sz w:val="21"/>
                <w:szCs w:val="21"/>
                <w:lang w:val="en-US" w:eastAsia="zh-CN"/>
              </w:rPr>
            </w:pPr>
            <w:r>
              <w:rPr>
                <w:rFonts w:hint="eastAsia" w:ascii="宋体" w:hAnsi="宋体" w:eastAsia="宋体" w:cs="宋体"/>
                <w:b/>
                <w:bCs w:val="0"/>
                <w:color w:val="auto"/>
                <w:kern w:val="0"/>
                <w:sz w:val="21"/>
                <w:szCs w:val="21"/>
                <w:lang w:val="en-US" w:eastAsia="zh-CN"/>
              </w:rPr>
              <w:t>一、技术要求</w:t>
            </w:r>
          </w:p>
        </w:tc>
      </w:tr>
      <w:tr w14:paraId="67C8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5" w:type="dxa"/>
            <w:gridSpan w:val="6"/>
            <w:noWrap w:val="0"/>
            <w:vAlign w:val="top"/>
          </w:tcPr>
          <w:p w14:paraId="64A71F1E">
            <w:pPr>
              <w:pStyle w:val="46"/>
              <w:keepNext w:val="0"/>
              <w:keepLines w:val="0"/>
              <w:pageBreakBefore w:val="0"/>
              <w:kinsoku/>
              <w:wordWrap/>
              <w:overflowPunct/>
              <w:topLinePunct w:val="0"/>
              <w:bidi w:val="0"/>
              <w:spacing w:line="440" w:lineRule="exact"/>
              <w:ind w:left="0" w:leftChars="0" w:firstLine="0" w:firstLineChars="0"/>
              <w:jc w:val="both"/>
              <w:rPr>
                <w:rFonts w:hint="eastAsia" w:ascii="宋体" w:hAnsi="宋体" w:eastAsia="宋体" w:cs="宋体"/>
                <w:b/>
                <w:bCs w:val="0"/>
                <w:color w:val="auto"/>
                <w:kern w:val="0"/>
                <w:sz w:val="21"/>
                <w:szCs w:val="21"/>
              </w:rPr>
            </w:pPr>
            <w:r>
              <w:rPr>
                <w:rFonts w:hint="eastAsia" w:ascii="宋体" w:hAnsi="宋体" w:eastAsia="宋体" w:cs="宋体"/>
                <w:b/>
                <w:bCs w:val="0"/>
                <w:color w:val="auto"/>
                <w:sz w:val="21"/>
                <w:szCs w:val="21"/>
                <w:vertAlign w:val="baseline"/>
                <w:lang w:val="en-US" w:eastAsia="zh-CN" w:bidi="ar-SA"/>
              </w:rPr>
              <w:t>（一）多媒体一体机</w:t>
            </w:r>
          </w:p>
        </w:tc>
      </w:tr>
      <w:tr w14:paraId="6993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B64BB64">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215" w:type="dxa"/>
            <w:noWrap w:val="0"/>
            <w:vAlign w:val="center"/>
          </w:tcPr>
          <w:p w14:paraId="45194A16">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86寸电容屏</w:t>
            </w:r>
            <w:r>
              <w:rPr>
                <w:rFonts w:hint="eastAsia" w:ascii="宋体" w:hAnsi="宋体" w:eastAsia="宋体" w:cs="宋体"/>
                <w:b w:val="0"/>
                <w:bCs w:val="0"/>
                <w:color w:val="auto"/>
                <w:sz w:val="21"/>
                <w:szCs w:val="21"/>
                <w:vertAlign w:val="baseline"/>
              </w:rPr>
              <w:t>智慧黑板</w:t>
            </w:r>
          </w:p>
        </w:tc>
        <w:tc>
          <w:tcPr>
            <w:tcW w:w="804" w:type="dxa"/>
            <w:noWrap w:val="0"/>
            <w:vAlign w:val="center"/>
          </w:tcPr>
          <w:p w14:paraId="47FCE5C8">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台</w:t>
            </w:r>
          </w:p>
        </w:tc>
        <w:tc>
          <w:tcPr>
            <w:tcW w:w="765" w:type="dxa"/>
            <w:gridSpan w:val="2"/>
            <w:noWrap w:val="0"/>
            <w:vAlign w:val="center"/>
          </w:tcPr>
          <w:p w14:paraId="648356A0">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w:t>
            </w:r>
          </w:p>
        </w:tc>
        <w:tc>
          <w:tcPr>
            <w:tcW w:w="6351" w:type="dxa"/>
            <w:noWrap w:val="0"/>
            <w:vAlign w:val="center"/>
          </w:tcPr>
          <w:p w14:paraId="59A1958D">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一、硬件</w:t>
            </w:r>
          </w:p>
          <w:p w14:paraId="0120DE5D">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1.显示屏尺寸≥86 英寸；</w:t>
            </w:r>
          </w:p>
          <w:p w14:paraId="7ADC8E35">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2.整机液晶显示屏显示比例16:9，分辨率3840*2160，对比度不低于 5000:1，亮度不低于 400cd/㎡，可视角度不低于 178°。</w:t>
            </w:r>
          </w:p>
          <w:p w14:paraId="2EF2FEEE">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3.主显示屏采用电容全贴合触控技术，双系统下均支持至少40点同时触控。</w:t>
            </w:r>
          </w:p>
          <w:p w14:paraId="520C68D5">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4.整机采用全金属外壳设计，有效屏蔽内部电路器件辐射，防潮耐盐雾蚀锈</w:t>
            </w:r>
          </w:p>
          <w:p w14:paraId="628FD850">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5. 显示屏防潮防水：整机液晶面板与防护钢化玻璃全贴合设计，钢化玻璃和液晶显示层无间隙紧密贴合，无介质填充，更环保，无空气间隙，防止水汽进入；且显示效果清晰。</w:t>
            </w:r>
          </w:p>
          <w:p w14:paraId="1A3CA3D4">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6. 整机内置2.2声道扬声器，额定总功率不小于 60W。整机扬声器在100%音量下，1 米处声压级≥90db，10 米处声压级≥80db</w:t>
            </w:r>
          </w:p>
          <w:p w14:paraId="073662CD">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7. 整机内置蓝牙Bluetooth 5.4模块，支持连接外部蓝牙音箱播放音频。</w:t>
            </w:r>
          </w:p>
          <w:p w14:paraId="26238E83">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shd w:val="clear" w:color="auto" w:fill="FFFFFF"/>
              </w:rPr>
              <w:t>★</w:t>
            </w:r>
            <w:r>
              <w:rPr>
                <w:rFonts w:hint="eastAsia" w:ascii="宋体" w:hAnsi="宋体" w:eastAsia="宋体" w:cs="宋体"/>
                <w:bCs/>
                <w:color w:val="auto"/>
                <w:sz w:val="21"/>
                <w:szCs w:val="21"/>
                <w:shd w:val="clear" w:color="auto" w:fill="FFFFFF"/>
                <w:lang w:val="en-US" w:eastAsia="zh-CN"/>
              </w:rPr>
              <w:t>8</w:t>
            </w:r>
            <w:r>
              <w:rPr>
                <w:rFonts w:hint="eastAsia" w:ascii="宋体" w:hAnsi="宋体" w:eastAsia="宋体" w:cs="宋体"/>
                <w:bCs/>
                <w:color w:val="auto"/>
                <w:sz w:val="21"/>
                <w:szCs w:val="21"/>
                <w:shd w:val="clear" w:color="auto" w:fill="FFFFFF"/>
              </w:rPr>
              <w:t>.整机内置WiFi6无线网卡，在Android和Windows系统下，可实现Wi-Fi无线上网连接、AP无线热点发射，在Android和Windows系统下支持无线设备同时连接数量≥</w:t>
            </w:r>
            <w:r>
              <w:rPr>
                <w:rFonts w:hint="eastAsia" w:ascii="宋体" w:hAnsi="宋体" w:cs="宋体"/>
                <w:bCs/>
                <w:color w:val="auto"/>
                <w:sz w:val="21"/>
                <w:szCs w:val="21"/>
                <w:shd w:val="clear" w:color="auto" w:fill="FFFFFF"/>
                <w:lang w:val="en-US" w:eastAsia="zh-CN"/>
              </w:rPr>
              <w:t>24</w:t>
            </w:r>
            <w:r>
              <w:rPr>
                <w:rFonts w:hint="eastAsia" w:ascii="宋体" w:hAnsi="宋体" w:eastAsia="宋体" w:cs="宋体"/>
                <w:bCs/>
                <w:color w:val="auto"/>
                <w:sz w:val="21"/>
                <w:szCs w:val="21"/>
                <w:shd w:val="clear" w:color="auto" w:fill="FFFFFF"/>
              </w:rPr>
              <w:t>个</w:t>
            </w:r>
            <w:r>
              <w:rPr>
                <w:rFonts w:hint="eastAsia" w:ascii="宋体" w:hAnsi="宋体" w:eastAsia="宋体" w:cs="宋体"/>
                <w:bCs/>
                <w:color w:val="auto"/>
                <w:sz w:val="21"/>
                <w:szCs w:val="21"/>
                <w:highlight w:val="none"/>
                <w:shd w:val="clear" w:color="auto" w:fill="FFFFFF"/>
              </w:rPr>
              <w:t>。</w:t>
            </w:r>
          </w:p>
          <w:p w14:paraId="3F428A04">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highlight w:val="yellow"/>
                <w:shd w:val="clear" w:color="auto" w:fill="FFFFFF"/>
              </w:rPr>
            </w:pPr>
            <w:r>
              <w:rPr>
                <w:rFonts w:hint="eastAsia" w:ascii="宋体" w:hAnsi="宋体" w:eastAsia="宋体" w:cs="宋体"/>
                <w:bCs/>
                <w:color w:val="auto"/>
                <w:sz w:val="21"/>
                <w:szCs w:val="21"/>
                <w:highlight w:val="none"/>
                <w:shd w:val="clear" w:color="auto" w:fill="FFFFFF"/>
                <w:lang w:val="en-US" w:eastAsia="zh-CN"/>
              </w:rPr>
              <w:t>9</w:t>
            </w:r>
            <w:r>
              <w:rPr>
                <w:rFonts w:hint="eastAsia" w:ascii="宋体" w:hAnsi="宋体" w:eastAsia="宋体" w:cs="宋体"/>
                <w:bCs/>
                <w:color w:val="auto"/>
                <w:sz w:val="21"/>
                <w:szCs w:val="21"/>
                <w:highlight w:val="none"/>
                <w:shd w:val="clear" w:color="auto" w:fill="FFFFFF"/>
              </w:rPr>
              <w:t>.整机符合《GB 40070-2021儿童青少年学习用品近视防控卫生要求》中关于教学多媒体产品显示技术要求，防蓝光指标为RG0免除级。</w:t>
            </w:r>
          </w:p>
          <w:p w14:paraId="0341D2CA">
            <w:pPr>
              <w:keepNext w:val="0"/>
              <w:keepLines w:val="0"/>
              <w:pageBreakBefore w:val="0"/>
              <w:widowControl/>
              <w:kinsoku/>
              <w:wordWrap/>
              <w:overflowPunct/>
              <w:topLinePunct w:val="0"/>
              <w:bidi w:val="0"/>
              <w:spacing w:line="440" w:lineRule="exact"/>
              <w:jc w:val="left"/>
              <w:rPr>
                <w:rFonts w:hint="eastAsia" w:ascii="宋体" w:hAnsi="宋体" w:cs="宋体"/>
                <w:bCs/>
                <w:color w:val="auto"/>
                <w:sz w:val="21"/>
                <w:szCs w:val="21"/>
                <w:shd w:val="clear" w:color="auto" w:fill="FFFFFF"/>
                <w:lang w:eastAsia="zh-CN"/>
              </w:rPr>
            </w:pPr>
            <w:r>
              <w:rPr>
                <w:rFonts w:hint="eastAsia" w:ascii="宋体" w:hAnsi="宋体" w:eastAsia="宋体" w:cs="宋体"/>
                <w:bCs/>
                <w:color w:val="auto"/>
                <w:sz w:val="21"/>
                <w:szCs w:val="21"/>
                <w:shd w:val="clear" w:color="auto" w:fill="FFFFFF"/>
              </w:rPr>
              <w:t>1</w:t>
            </w:r>
            <w:r>
              <w:rPr>
                <w:rFonts w:hint="eastAsia" w:ascii="宋体" w:hAnsi="宋体" w:eastAsia="宋体" w:cs="宋体"/>
                <w:bCs/>
                <w:color w:val="auto"/>
                <w:sz w:val="21"/>
                <w:szCs w:val="21"/>
                <w:shd w:val="clear" w:color="auto" w:fill="FFFFFF"/>
                <w:lang w:val="en-US" w:eastAsia="zh-CN"/>
              </w:rPr>
              <w:t>0</w:t>
            </w:r>
            <w:r>
              <w:rPr>
                <w:rFonts w:hint="eastAsia" w:ascii="宋体" w:hAnsi="宋体" w:eastAsia="宋体" w:cs="宋体"/>
                <w:bCs/>
                <w:color w:val="auto"/>
                <w:sz w:val="21"/>
                <w:szCs w:val="21"/>
                <w:shd w:val="clear" w:color="auto" w:fill="FFFFFF"/>
              </w:rPr>
              <w:t>.整机输入接口至少具备2路HDMI、1路RS232接口、1路VGA接口；输出至少具备1路音频接口、1路触控USB接口</w:t>
            </w:r>
            <w:r>
              <w:rPr>
                <w:rFonts w:hint="eastAsia" w:ascii="宋体" w:hAnsi="宋体" w:cs="宋体"/>
                <w:bCs/>
                <w:color w:val="auto"/>
                <w:sz w:val="21"/>
                <w:szCs w:val="21"/>
                <w:shd w:val="clear" w:color="auto" w:fill="FFFFFF"/>
                <w:lang w:eastAsia="zh-CN"/>
              </w:rPr>
              <w:t>。</w:t>
            </w:r>
          </w:p>
          <w:p w14:paraId="116121B6">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1</w:t>
            </w:r>
            <w:r>
              <w:rPr>
                <w:rFonts w:hint="eastAsia" w:ascii="宋体" w:hAnsi="宋体" w:eastAsia="宋体" w:cs="宋体"/>
                <w:bCs/>
                <w:color w:val="auto"/>
                <w:sz w:val="21"/>
                <w:szCs w:val="21"/>
                <w:shd w:val="clear" w:color="auto" w:fill="FFFFFF"/>
                <w:lang w:val="en-US" w:eastAsia="zh-CN"/>
              </w:rPr>
              <w:t>1</w:t>
            </w:r>
            <w:r>
              <w:rPr>
                <w:rFonts w:hint="eastAsia" w:ascii="宋体" w:hAnsi="宋体" w:eastAsia="宋体" w:cs="宋体"/>
                <w:bCs/>
                <w:color w:val="auto"/>
                <w:sz w:val="21"/>
                <w:szCs w:val="21"/>
                <w:shd w:val="clear" w:color="auto" w:fill="FFFFFF"/>
              </w:rPr>
              <w:t>.</w:t>
            </w:r>
            <w:r>
              <w:rPr>
                <w:rFonts w:hint="eastAsia" w:ascii="宋体" w:hAnsi="宋体" w:eastAsia="宋体" w:cs="宋体"/>
                <w:bCs/>
                <w:color w:val="auto"/>
                <w:sz w:val="21"/>
                <w:szCs w:val="21"/>
                <w:shd w:val="clear" w:color="auto" w:fill="FFFFFF"/>
              </w:rPr>
              <w:tab/>
            </w:r>
            <w:r>
              <w:rPr>
                <w:rFonts w:hint="eastAsia" w:ascii="宋体" w:hAnsi="宋体" w:eastAsia="宋体" w:cs="宋体"/>
                <w:bCs/>
                <w:color w:val="auto"/>
                <w:sz w:val="21"/>
                <w:szCs w:val="21"/>
                <w:shd w:val="clear" w:color="auto" w:fill="FFFFFF"/>
              </w:rPr>
              <w:t>为方便教师教学使用，具备前置3路USB3.0（其中包含1路Type-C）和一路HDMI，同一个USB 接口支持在Windows和Android 系统下被读取，即插即用无需区分接口对应系统。外接电脑设备通过标准 Type-C 线连接至整机TypeC 口可直接调用整机内置的摄像头、麦克风、扬声器，在外接电脑即可拍摄教室画面。</w:t>
            </w:r>
          </w:p>
          <w:p w14:paraId="1FB99C4E">
            <w:pPr>
              <w:keepNext w:val="0"/>
              <w:keepLines w:val="0"/>
              <w:pageBreakBefore w:val="0"/>
              <w:widowControl/>
              <w:kinsoku/>
              <w:wordWrap/>
              <w:overflowPunct/>
              <w:topLinePunct w:val="0"/>
              <w:bidi w:val="0"/>
              <w:spacing w:line="440" w:lineRule="exact"/>
              <w:jc w:val="left"/>
              <w:rPr>
                <w:rFonts w:hint="eastAsia" w:ascii="宋体" w:hAnsi="宋体" w:eastAsia="宋体" w:cs="宋体"/>
                <w:bCs/>
                <w:strike w:val="0"/>
                <w:dstrike w:val="0"/>
                <w:color w:val="auto"/>
                <w:sz w:val="21"/>
                <w:szCs w:val="21"/>
                <w:shd w:val="clear" w:color="auto" w:fill="FFFFFF"/>
                <w:lang w:eastAsia="zh-CN"/>
              </w:rPr>
            </w:pPr>
            <w:r>
              <w:rPr>
                <w:rFonts w:hint="eastAsia" w:ascii="宋体" w:hAnsi="宋体" w:eastAsia="宋体" w:cs="宋体"/>
                <w:bCs/>
                <w:strike w:val="0"/>
                <w:dstrike w:val="0"/>
                <w:color w:val="auto"/>
                <w:sz w:val="21"/>
                <w:szCs w:val="21"/>
                <w:shd w:val="clear" w:color="auto" w:fill="FFFFFF"/>
              </w:rPr>
              <w:t>1</w:t>
            </w:r>
            <w:r>
              <w:rPr>
                <w:rFonts w:hint="eastAsia" w:ascii="宋体" w:hAnsi="宋体" w:eastAsia="宋体" w:cs="宋体"/>
                <w:bCs/>
                <w:strike w:val="0"/>
                <w:dstrike w:val="0"/>
                <w:color w:val="auto"/>
                <w:sz w:val="21"/>
                <w:szCs w:val="21"/>
                <w:shd w:val="clear" w:color="auto" w:fill="FFFFFF"/>
                <w:lang w:val="en-US" w:eastAsia="zh-CN"/>
              </w:rPr>
              <w:t>2</w:t>
            </w:r>
            <w:r>
              <w:rPr>
                <w:rFonts w:hint="eastAsia" w:ascii="宋体" w:hAnsi="宋体" w:eastAsia="宋体" w:cs="宋体"/>
                <w:bCs/>
                <w:strike w:val="0"/>
                <w:dstrike w:val="0"/>
                <w:color w:val="auto"/>
                <w:sz w:val="21"/>
                <w:szCs w:val="21"/>
                <w:shd w:val="clear" w:color="auto" w:fill="FFFFFF"/>
              </w:rPr>
              <w:t>.整机具备至少8个带有中文标识的前置按键，可实现老师开关机、音量+/-、护眼、录屏、节能、一键还原的操作，按键支持复用功能。设备支持通过前置面板物理按键一键启动录屏功能</w:t>
            </w:r>
            <w:r>
              <w:rPr>
                <w:rFonts w:hint="eastAsia" w:ascii="宋体" w:hAnsi="宋体" w:eastAsia="宋体" w:cs="宋体"/>
                <w:bCs/>
                <w:strike w:val="0"/>
                <w:dstrike w:val="0"/>
                <w:color w:val="auto"/>
                <w:sz w:val="21"/>
                <w:szCs w:val="21"/>
                <w:shd w:val="clear" w:color="auto" w:fill="FFFFFF"/>
                <w:lang w:eastAsia="zh-CN"/>
              </w:rPr>
              <w:t>。</w:t>
            </w:r>
          </w:p>
          <w:p w14:paraId="17A31166">
            <w:pPr>
              <w:keepNext w:val="0"/>
              <w:keepLines w:val="0"/>
              <w:pageBreakBefore w:val="0"/>
              <w:widowControl/>
              <w:kinsoku/>
              <w:wordWrap/>
              <w:overflowPunct/>
              <w:topLinePunct w:val="0"/>
              <w:bidi w:val="0"/>
              <w:spacing w:line="440" w:lineRule="exact"/>
              <w:jc w:val="left"/>
              <w:rPr>
                <w:rFonts w:hint="eastAsia" w:ascii="宋体" w:hAnsi="宋体" w:eastAsia="宋体" w:cs="宋体"/>
                <w:bCs/>
                <w:strike w:val="0"/>
                <w:dstrike w:val="0"/>
                <w:color w:val="auto"/>
                <w:sz w:val="21"/>
                <w:szCs w:val="21"/>
                <w:shd w:val="clear" w:color="auto" w:fill="FFFFFF"/>
              </w:rPr>
            </w:pPr>
            <w:r>
              <w:rPr>
                <w:rFonts w:hint="eastAsia" w:ascii="宋体" w:hAnsi="宋体" w:eastAsia="宋体" w:cs="宋体"/>
                <w:bCs/>
                <w:color w:val="auto"/>
                <w:sz w:val="21"/>
                <w:szCs w:val="21"/>
                <w:shd w:val="clear" w:color="auto" w:fill="FFFFFF"/>
              </w:rPr>
              <w:t>1</w:t>
            </w:r>
            <w:r>
              <w:rPr>
                <w:rFonts w:hint="eastAsia" w:ascii="宋体" w:hAnsi="宋体" w:eastAsia="宋体" w:cs="宋体"/>
                <w:bCs/>
                <w:color w:val="auto"/>
                <w:sz w:val="21"/>
                <w:szCs w:val="21"/>
                <w:shd w:val="clear" w:color="auto" w:fill="FFFFFF"/>
                <w:lang w:val="en-US" w:eastAsia="zh-CN"/>
              </w:rPr>
              <w:t>3</w:t>
            </w:r>
            <w:r>
              <w:rPr>
                <w:rFonts w:hint="eastAsia" w:ascii="宋体" w:hAnsi="宋体" w:eastAsia="宋体" w:cs="宋体"/>
                <w:bCs/>
                <w:color w:val="auto"/>
                <w:sz w:val="21"/>
                <w:szCs w:val="21"/>
                <w:shd w:val="clear" w:color="auto" w:fill="FFFFFF"/>
              </w:rPr>
              <w:t>.整机支持电脑系统一键还原功能</w:t>
            </w:r>
            <w:r>
              <w:rPr>
                <w:rFonts w:hint="eastAsia" w:ascii="宋体" w:hAnsi="宋体" w:eastAsia="宋体" w:cs="宋体"/>
                <w:bCs/>
                <w:strike w:val="0"/>
                <w:dstrike w:val="0"/>
                <w:color w:val="auto"/>
                <w:sz w:val="21"/>
                <w:szCs w:val="21"/>
                <w:shd w:val="clear" w:color="auto" w:fill="FFFFFF"/>
              </w:rPr>
              <w:t>，为防止老师和学生误触或者屏幕无法触控进行还原的情况，整机需采用带有中文标识的针孔式还原物理按键，防止误操作。</w:t>
            </w:r>
          </w:p>
          <w:p w14:paraId="56CEE8F7">
            <w:pPr>
              <w:keepNext w:val="0"/>
              <w:keepLines w:val="0"/>
              <w:pageBreakBefore w:val="0"/>
              <w:widowControl/>
              <w:kinsoku/>
              <w:wordWrap/>
              <w:overflowPunct/>
              <w:topLinePunct w:val="0"/>
              <w:bidi w:val="0"/>
              <w:spacing w:line="440" w:lineRule="exact"/>
              <w:jc w:val="left"/>
              <w:rPr>
                <w:rFonts w:hint="eastAsia" w:ascii="宋体" w:hAnsi="宋体" w:eastAsia="宋体" w:cs="宋体"/>
                <w:bCs/>
                <w:strike w:val="0"/>
                <w:dstrike w:val="0"/>
                <w:color w:val="auto"/>
                <w:sz w:val="21"/>
                <w:szCs w:val="21"/>
                <w:shd w:val="clear" w:color="auto" w:fill="FFFFFF"/>
              </w:rPr>
            </w:pPr>
            <w:r>
              <w:rPr>
                <w:rFonts w:hint="eastAsia" w:ascii="宋体" w:hAnsi="宋体" w:eastAsia="宋体" w:cs="宋体"/>
                <w:bCs/>
                <w:strike w:val="0"/>
                <w:dstrike w:val="0"/>
                <w:color w:val="auto"/>
                <w:sz w:val="21"/>
                <w:szCs w:val="21"/>
                <w:shd w:val="clear" w:color="auto" w:fill="FFFFFF"/>
              </w:rPr>
              <w:t>1</w:t>
            </w:r>
            <w:r>
              <w:rPr>
                <w:rFonts w:hint="eastAsia" w:ascii="宋体" w:hAnsi="宋体" w:eastAsia="宋体" w:cs="宋体"/>
                <w:bCs/>
                <w:strike w:val="0"/>
                <w:dstrike w:val="0"/>
                <w:color w:val="auto"/>
                <w:sz w:val="21"/>
                <w:szCs w:val="21"/>
                <w:shd w:val="clear" w:color="auto" w:fill="FFFFFF"/>
                <w:lang w:val="en-US" w:eastAsia="zh-CN"/>
              </w:rPr>
              <w:t>4</w:t>
            </w:r>
            <w:r>
              <w:rPr>
                <w:rFonts w:hint="eastAsia" w:ascii="宋体" w:hAnsi="宋体" w:eastAsia="宋体" w:cs="宋体"/>
                <w:bCs/>
                <w:strike w:val="0"/>
                <w:dstrike w:val="0"/>
                <w:color w:val="auto"/>
                <w:sz w:val="21"/>
                <w:szCs w:val="21"/>
                <w:shd w:val="clear" w:color="auto" w:fill="FFFFFF"/>
              </w:rPr>
              <w:t>.前置接口面板、前置按键面板屏体主板、屏体电源板、扬声器分别支持单独前拆，无需拆卸显示屏即可维护。</w:t>
            </w:r>
          </w:p>
          <w:p w14:paraId="2E3D7942">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lang w:eastAsia="zh-CN"/>
              </w:rPr>
            </w:pPr>
            <w:r>
              <w:rPr>
                <w:rFonts w:hint="eastAsia" w:ascii="宋体" w:hAnsi="宋体" w:eastAsia="宋体" w:cs="宋体"/>
                <w:bCs/>
                <w:color w:val="auto"/>
                <w:sz w:val="21"/>
                <w:szCs w:val="21"/>
                <w:shd w:val="clear" w:color="auto" w:fill="FFFFFF"/>
              </w:rPr>
              <w:t>16.整机内置非独立一体化超高清摄像头，单颗摄像头有效像素≥1900万像素，默认支持搭配AI软件实现自动点名点数功能</w:t>
            </w:r>
            <w:r>
              <w:rPr>
                <w:rFonts w:hint="eastAsia" w:ascii="宋体" w:hAnsi="宋体" w:eastAsia="宋体" w:cs="宋体"/>
                <w:bCs/>
                <w:color w:val="auto"/>
                <w:sz w:val="21"/>
                <w:szCs w:val="21"/>
                <w:shd w:val="clear" w:color="auto" w:fill="FFFFFF"/>
                <w:lang w:eastAsia="zh-CN"/>
              </w:rPr>
              <w:t>。</w:t>
            </w:r>
          </w:p>
          <w:p w14:paraId="02FA25D8">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二、整机功能</w:t>
            </w:r>
          </w:p>
          <w:p w14:paraId="219D6633">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1.整机具有减滤蓝光功能，可通过前置面板物理功能按键一键启用护眼模式，让师生视力健康得到保障。</w:t>
            </w:r>
          </w:p>
          <w:p w14:paraId="6ACA9F80">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2.整机支持NFC模块，支持搭配具有NFC功能的手机、触控一体机进行大小屏互动，可实现手机、触控一体机与大屏的连接并同步手机、触控一体机的画面到设备上，支持不少于6台手机、触控一体机同时连接并显示。</w:t>
            </w:r>
          </w:p>
          <w:p w14:paraId="4F7C9F73">
            <w:pPr>
              <w:keepNext w:val="0"/>
              <w:keepLines w:val="0"/>
              <w:pageBreakBefore w:val="0"/>
              <w:widowControl/>
              <w:kinsoku/>
              <w:wordWrap/>
              <w:overflowPunct/>
              <w:topLinePunct w:val="0"/>
              <w:bidi w:val="0"/>
              <w:spacing w:line="440" w:lineRule="exact"/>
              <w:jc w:val="left"/>
              <w:rPr>
                <w:rFonts w:hint="eastAsia" w:ascii="宋体" w:hAnsi="宋体" w:eastAsia="宋体" w:cs="宋体"/>
                <w:bCs/>
                <w:strike/>
                <w:dstrike w:val="0"/>
                <w:color w:val="auto"/>
                <w:sz w:val="21"/>
                <w:szCs w:val="21"/>
                <w:shd w:val="clear" w:color="auto" w:fill="FFFFFF"/>
              </w:rPr>
            </w:pPr>
            <w:r>
              <w:rPr>
                <w:rFonts w:hint="eastAsia" w:ascii="宋体" w:hAnsi="宋体" w:eastAsia="宋体" w:cs="宋体"/>
                <w:bCs/>
                <w:color w:val="auto"/>
                <w:sz w:val="21"/>
                <w:szCs w:val="21"/>
                <w:shd w:val="clear" w:color="auto" w:fill="FFFFFF"/>
              </w:rPr>
              <w:t>3.整机安卓系统版本不低于Android 14.0，内存不低于4G,存储不低于32G。</w:t>
            </w:r>
          </w:p>
          <w:p w14:paraId="16148C1D">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4.整机内置中控触摸菜单，中控触摸菜单可以将信号源通道切换、亮度调节、声音调节等整合到同一菜单下，无需物理按键，且在任意显示通道下均可在屏幕上调取该触摸菜单，方便快捷。</w:t>
            </w:r>
          </w:p>
          <w:p w14:paraId="4E3D1903">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5.整机支持全通道实现三种以上屏幕一键下移功能，便于不同身高的人员操作使用。</w:t>
            </w:r>
          </w:p>
          <w:p w14:paraId="0C943B12">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 xml:space="preserve">6.要求产品具有多指智能手势识别功能，包含开关触控一体机背光、屏幕下移、调出快捷工具菜单等功能，操作者可在显示区域任意位置，任意信号下，通过多指实现触控一体机背光的关闭与开启，也可通过多指实现屏幕下移和对屏幕内容进行批注书写功能，实现触控功能与传统书写功能快速切换。 </w:t>
            </w:r>
          </w:p>
          <w:p w14:paraId="32EE9888">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7.整机具有悬浮菜单，两指可快速移动悬浮菜单至按压位置，悬浮菜单可进行自定义分组，可添加 AI 互动软件等不少于 30 个应用。</w:t>
            </w:r>
          </w:p>
          <w:p w14:paraId="2B2CDE55">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8.整机全通道支持纸质护眼模式，可实现画面纹理的实时调整 支持纸质纹理：素描纸、宣纸、水彩纸 支持透明度调节</w:t>
            </w:r>
          </w:p>
          <w:p w14:paraId="038D5CF8">
            <w:pPr>
              <w:keepNext w:val="0"/>
              <w:keepLines w:val="0"/>
              <w:pageBreakBefore w:val="0"/>
              <w:widowControl/>
              <w:kinsoku/>
              <w:wordWrap/>
              <w:overflowPunct/>
              <w:topLinePunct w:val="0"/>
              <w:bidi w:val="0"/>
              <w:spacing w:line="440" w:lineRule="exact"/>
              <w:jc w:val="left"/>
              <w:rPr>
                <w:rFonts w:hint="eastAsia" w:ascii="宋体" w:hAnsi="宋体" w:eastAsia="宋体" w:cs="宋体"/>
                <w:bCs/>
                <w:strike/>
                <w:dstrike w:val="0"/>
                <w:color w:val="auto"/>
                <w:sz w:val="21"/>
                <w:szCs w:val="21"/>
                <w:shd w:val="clear" w:color="auto" w:fill="FFFFFF"/>
              </w:rPr>
            </w:pPr>
            <w:r>
              <w:rPr>
                <w:rFonts w:hint="eastAsia" w:ascii="宋体" w:hAnsi="宋体" w:eastAsia="宋体" w:cs="宋体"/>
                <w:bCs/>
                <w:color w:val="auto"/>
                <w:sz w:val="21"/>
                <w:szCs w:val="21"/>
                <w:shd w:val="clear" w:color="auto" w:fill="FFFFFF"/>
              </w:rPr>
              <w:t>9.不用借助PC，整机可一键进行硬件自检，包括对系统硬盘、系统内存、触摸框、PC 模块、光感系统等模块进行检测，并针对不同模块给出问题提示</w:t>
            </w:r>
          </w:p>
          <w:p w14:paraId="07E02CF6">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10.</w:t>
            </w:r>
            <w:r>
              <w:rPr>
                <w:rFonts w:hint="eastAsia" w:ascii="宋体" w:hAnsi="宋体" w:eastAsia="宋体" w:cs="宋体"/>
                <w:bCs/>
                <w:color w:val="auto"/>
                <w:sz w:val="21"/>
                <w:szCs w:val="21"/>
                <w:shd w:val="clear" w:color="auto" w:fill="FFFFFF"/>
              </w:rPr>
              <w:tab/>
            </w:r>
            <w:r>
              <w:rPr>
                <w:rFonts w:hint="eastAsia" w:ascii="宋体" w:hAnsi="宋体" w:eastAsia="宋体" w:cs="宋体"/>
                <w:bCs/>
                <w:color w:val="auto"/>
                <w:sz w:val="21"/>
                <w:szCs w:val="21"/>
                <w:shd w:val="clear" w:color="auto" w:fill="FFFFFF"/>
              </w:rPr>
              <w:t>在安卓操作系统下，能对USB 所读取到的课件文件进行自动归类，可快速分类查找文档、图片、音视频。</w:t>
            </w:r>
          </w:p>
          <w:p w14:paraId="5F440E4C">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11.</w:t>
            </w:r>
            <w:r>
              <w:rPr>
                <w:rFonts w:hint="eastAsia" w:ascii="宋体" w:hAnsi="宋体" w:eastAsia="宋体" w:cs="宋体"/>
                <w:bCs/>
                <w:color w:val="auto"/>
                <w:sz w:val="21"/>
                <w:szCs w:val="21"/>
                <w:shd w:val="clear" w:color="auto" w:fill="FFFFFF"/>
              </w:rPr>
              <w:tab/>
            </w:r>
            <w:r>
              <w:rPr>
                <w:rFonts w:hint="eastAsia" w:ascii="宋体" w:hAnsi="宋体" w:eastAsia="宋体" w:cs="宋体"/>
                <w:bCs/>
                <w:color w:val="auto"/>
                <w:sz w:val="21"/>
                <w:szCs w:val="21"/>
                <w:shd w:val="clear" w:color="auto" w:fill="FFFFFF"/>
              </w:rPr>
              <w:t>触控一体机背光系统支持DC调光方式，多级亮度调节，白色背景下最暗亮度≤100nit</w:t>
            </w:r>
          </w:p>
          <w:p w14:paraId="4292E8EB">
            <w:pPr>
              <w:keepNext w:val="0"/>
              <w:keepLines w:val="0"/>
              <w:pageBreakBefore w:val="0"/>
              <w:widowControl/>
              <w:kinsoku/>
              <w:wordWrap/>
              <w:overflowPunct/>
              <w:topLinePunct w:val="0"/>
              <w:bidi w:val="0"/>
              <w:spacing w:line="440" w:lineRule="exact"/>
              <w:jc w:val="left"/>
              <w:rPr>
                <w:rFonts w:hint="eastAsia" w:ascii="宋体" w:hAnsi="宋体" w:eastAsia="宋体" w:cs="宋体"/>
                <w:bCs/>
                <w:strike w:val="0"/>
                <w:dstrike w:val="0"/>
                <w:color w:val="auto"/>
                <w:sz w:val="21"/>
                <w:szCs w:val="21"/>
                <w:shd w:val="clear" w:color="auto" w:fill="FFFFFF"/>
              </w:rPr>
            </w:pPr>
            <w:r>
              <w:rPr>
                <w:rFonts w:hint="eastAsia" w:ascii="宋体" w:hAnsi="宋体" w:eastAsia="宋体" w:cs="宋体"/>
                <w:bCs/>
                <w:strike w:val="0"/>
                <w:dstrike w:val="0"/>
                <w:color w:val="auto"/>
                <w:sz w:val="21"/>
                <w:szCs w:val="21"/>
                <w:shd w:val="clear" w:color="auto" w:fill="FFFFFF"/>
              </w:rPr>
              <w:t>12.整机左右两侧可提供与教学应用密切相关的快捷键，快捷键各不少于15个，快捷键可显示，亦可隐藏。该快捷键至少具有关闭窗口，展台，桌面、屏幕下移等常教学常用工具；</w:t>
            </w:r>
          </w:p>
          <w:p w14:paraId="25113F09">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13.</w:t>
            </w:r>
            <w:r>
              <w:rPr>
                <w:rFonts w:hint="eastAsia" w:ascii="宋体" w:hAnsi="宋体" w:eastAsia="宋体" w:cs="宋体"/>
                <w:bCs/>
                <w:color w:val="auto"/>
                <w:sz w:val="21"/>
                <w:szCs w:val="21"/>
                <w:shd w:val="clear" w:color="auto" w:fill="FFFFFF"/>
              </w:rPr>
              <w:tab/>
            </w:r>
            <w:r>
              <w:rPr>
                <w:rFonts w:hint="eastAsia" w:ascii="宋体" w:hAnsi="宋体" w:eastAsia="宋体" w:cs="宋体"/>
                <w:bCs/>
                <w:color w:val="auto"/>
                <w:sz w:val="21"/>
                <w:szCs w:val="21"/>
                <w:shd w:val="clear" w:color="auto" w:fill="FFFFFF"/>
              </w:rPr>
              <w:t>整机全通道侧边栏快捷菜单中应用软件可以进行切换，无需在已经开启任意应用软件全屏模式下退出当前应用再选择更换。</w:t>
            </w:r>
          </w:p>
          <w:p w14:paraId="365126D4">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14.</w:t>
            </w:r>
            <w:r>
              <w:rPr>
                <w:rFonts w:hint="eastAsia" w:ascii="宋体" w:hAnsi="宋体" w:eastAsia="宋体" w:cs="宋体"/>
                <w:bCs/>
                <w:color w:val="auto"/>
                <w:sz w:val="21"/>
                <w:szCs w:val="21"/>
                <w:shd w:val="clear" w:color="auto" w:fill="FFFFFF"/>
              </w:rPr>
              <w:tab/>
            </w:r>
            <w:r>
              <w:rPr>
                <w:rFonts w:hint="eastAsia" w:ascii="宋体" w:hAnsi="宋体" w:eastAsia="宋体" w:cs="宋体"/>
                <w:bCs/>
                <w:color w:val="auto"/>
                <w:sz w:val="21"/>
                <w:szCs w:val="21"/>
                <w:shd w:val="clear" w:color="auto" w:fill="FFFFFF"/>
              </w:rPr>
              <w:t>要求整机支持环境感光功能，能感应并自动调节屏幕亮度来达到在不同光照环境下的最佳显示效果，此功能可自行开启或关闭，并可进行色温调节、护眼模式开启和关闭。</w:t>
            </w:r>
          </w:p>
          <w:p w14:paraId="105486C5">
            <w:pPr>
              <w:pStyle w:val="2"/>
              <w:keepNext w:val="0"/>
              <w:keepLines w:val="0"/>
              <w:pageBreakBefore w:val="0"/>
              <w:kinsoku/>
              <w:wordWrap/>
              <w:overflowPunct/>
              <w:topLinePunct w:val="0"/>
              <w:bidi w:val="0"/>
              <w:spacing w:line="440" w:lineRule="exact"/>
              <w:rPr>
                <w:rFonts w:hint="eastAsia" w:ascii="宋体" w:hAnsi="宋体" w:eastAsia="宋体" w:cs="宋体"/>
                <w:strike/>
                <w:dstrike w:val="0"/>
                <w:color w:val="auto"/>
                <w:sz w:val="21"/>
                <w:szCs w:val="21"/>
                <w:lang w:val="en-US" w:eastAsia="zh-CN"/>
              </w:rPr>
            </w:pPr>
            <w:r>
              <w:rPr>
                <w:rFonts w:hint="eastAsia" w:ascii="宋体" w:hAnsi="宋体" w:eastAsia="宋体" w:cs="宋体"/>
                <w:bCs/>
                <w:color w:val="auto"/>
                <w:sz w:val="21"/>
                <w:szCs w:val="21"/>
                <w:shd w:val="clear" w:color="auto" w:fill="FFFFFF"/>
                <w:lang w:val="en-US" w:eastAsia="zh-CN"/>
              </w:rPr>
              <w:t>15.</w:t>
            </w:r>
            <w:r>
              <w:rPr>
                <w:rFonts w:hint="eastAsia" w:ascii="宋体" w:hAnsi="宋体" w:eastAsia="宋体" w:cs="宋体"/>
                <w:bCs/>
                <w:color w:val="auto"/>
                <w:sz w:val="21"/>
                <w:szCs w:val="21"/>
              </w:rPr>
              <w:t>智能交互黑板采用OPS-C 标准的80pin针口设计，向下插拔的方式方便后续自主升级维护</w:t>
            </w:r>
          </w:p>
          <w:p w14:paraId="32788C69">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三、电脑配置</w:t>
            </w:r>
          </w:p>
          <w:p w14:paraId="42C07F92">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1.CPU不低于12代i5；</w:t>
            </w:r>
          </w:p>
          <w:p w14:paraId="184E263B">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2.内存：</w:t>
            </w:r>
            <w:r>
              <w:rPr>
                <w:rFonts w:hint="eastAsia" w:ascii="宋体" w:hAnsi="宋体" w:eastAsia="宋体" w:cs="宋体"/>
                <w:bCs/>
                <w:color w:val="auto"/>
                <w:sz w:val="21"/>
                <w:szCs w:val="21"/>
                <w:shd w:val="clear" w:color="auto" w:fill="FFFFFF"/>
                <w:lang w:val="en-US" w:eastAsia="zh-CN"/>
              </w:rPr>
              <w:t>16</w:t>
            </w:r>
            <w:r>
              <w:rPr>
                <w:rFonts w:hint="eastAsia" w:ascii="宋体" w:hAnsi="宋体" w:eastAsia="宋体" w:cs="宋体"/>
                <w:bCs/>
                <w:color w:val="auto"/>
                <w:sz w:val="21"/>
                <w:szCs w:val="21"/>
                <w:shd w:val="clear" w:color="auto" w:fill="FFFFFF"/>
              </w:rPr>
              <w:t>GB DDR4笔记本内存或以上配置；硬盘：256GB或以上SSD固态硬盘</w:t>
            </w:r>
          </w:p>
          <w:p w14:paraId="30087E03">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3.内置电脑采用向下插拔结构。</w:t>
            </w:r>
          </w:p>
          <w:p w14:paraId="66CDB810">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四、交互教学软件</w:t>
            </w:r>
          </w:p>
          <w:p w14:paraId="75965703">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（一）基本功能</w:t>
            </w:r>
          </w:p>
          <w:p w14:paraId="5F2662FA">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1.支持多端程序入口,支持PC端、交互设备、移动端及网页端 且均可快速生成、播放课件。</w:t>
            </w:r>
          </w:p>
          <w:p w14:paraId="43D4E9E6">
            <w:pPr>
              <w:keepNext w:val="0"/>
              <w:keepLines w:val="0"/>
              <w:pageBreakBefore w:val="0"/>
              <w:widowControl/>
              <w:kinsoku/>
              <w:wordWrap/>
              <w:overflowPunct/>
              <w:topLinePunct w:val="0"/>
              <w:bidi w:val="0"/>
              <w:spacing w:line="440" w:lineRule="exact"/>
              <w:jc w:val="left"/>
              <w:rPr>
                <w:rFonts w:hint="eastAsia" w:ascii="宋体" w:hAnsi="宋体" w:eastAsia="宋体" w:cs="宋体"/>
                <w:bCs/>
                <w:strike/>
                <w:dstrike w:val="0"/>
                <w:color w:val="auto"/>
                <w:sz w:val="21"/>
                <w:szCs w:val="21"/>
                <w:shd w:val="clear" w:color="auto" w:fill="FFFFFF"/>
              </w:rPr>
            </w:pPr>
            <w:r>
              <w:rPr>
                <w:rFonts w:hint="eastAsia" w:ascii="宋体" w:hAnsi="宋体" w:eastAsia="宋体" w:cs="宋体"/>
                <w:bCs/>
                <w:color w:val="auto"/>
                <w:sz w:val="21"/>
                <w:szCs w:val="21"/>
                <w:shd w:val="clear" w:color="auto" w:fill="FFFFFF"/>
              </w:rPr>
              <w:t>2.为方便登录，软件不少于五种登录方式，包含U盘登录、账号密码直接登录、微信扫码登录、手机验证码快捷登录、书写登录等，支持免登录打开本地课件；其中书写登录可录入内容及笔迹，在任意设备进行书写登录软件</w:t>
            </w:r>
          </w:p>
          <w:p w14:paraId="375BB200">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 xml:space="preserve">3.回收站：教师可根据自身使用需求对已经创建好的课件进行修改或删除，删除后的课件可自行存放到回收站，默认情况下保存30天，30天后可自动清除，已经删除后的课件，可进行恢复或清除 回收站内的课件支持单个课件，或者全部课件一键清除 </w:t>
            </w:r>
          </w:p>
          <w:p w14:paraId="02F3CEA1">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（二）备课模式</w:t>
            </w:r>
          </w:p>
          <w:p w14:paraId="5E2EB879">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lang w:eastAsia="zh-CN"/>
              </w:rPr>
              <w:t>★</w:t>
            </w:r>
            <w:r>
              <w:rPr>
                <w:rFonts w:hint="eastAsia" w:ascii="宋体" w:hAnsi="宋体" w:eastAsia="宋体" w:cs="宋体"/>
                <w:bCs/>
                <w:color w:val="auto"/>
                <w:sz w:val="21"/>
                <w:szCs w:val="21"/>
                <w:shd w:val="clear" w:color="auto" w:fill="FFFFFF"/>
              </w:rPr>
              <w:t>1.老师个人账号无需完成特定任务，即可获取不少于 200GB云端存储空间，可扩展至3TB云存储空间。</w:t>
            </w:r>
          </w:p>
          <w:p w14:paraId="631BDEC4">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2.提供预置的课件素材，允许老师在网页端、移动端、电脑端进行内容的选择与组合，快速生成课件并浏览，所有制作的课件均实时保存至云端，老师只需登录即可查看。</w:t>
            </w:r>
          </w:p>
          <w:p w14:paraId="36174324">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3.支持老师根据教材章节目录、知识点选择对应的教学内容。老师仅需要按每个教学环节选择所需的教学模块即可快速生成一份课件。每个课时均提供过量的教学内容模块，满足老师的个性化需求。</w:t>
            </w:r>
          </w:p>
          <w:p w14:paraId="04214C44">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4.教学模块提供教学设计和课件内容，部分课件提供课件批注，帮助老师更好地选择、运用课件内容。</w:t>
            </w:r>
          </w:p>
          <w:p w14:paraId="3A504ACF">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5.可将做好的课件打印成纸质版并导出成 PDF，支持将做好的课件以链接的形式分享，支持设置链接加密，支持设置1天、7天和30天有效期，同时，还支持扫码分享，分享的链接支持被分享者将课件保存到我的文件</w:t>
            </w:r>
          </w:p>
          <w:p w14:paraId="73D907DA">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6.支持教师对课件知识点进行评价。</w:t>
            </w:r>
          </w:p>
          <w:p w14:paraId="0AACE1D7">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7.提供语文生字卡片、英语生词卡片、化学工具编辑器、数学工具编辑器、物理仿真实验、英文手写识别等学课工具。</w:t>
            </w:r>
          </w:p>
          <w:p w14:paraId="5E4B0DE1">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8.</w:t>
            </w:r>
            <w:r>
              <w:rPr>
                <w:rFonts w:hint="eastAsia" w:ascii="宋体" w:hAnsi="宋体" w:eastAsia="宋体" w:cs="宋体"/>
                <w:bCs/>
                <w:color w:val="auto"/>
                <w:sz w:val="21"/>
                <w:szCs w:val="21"/>
                <w:shd w:val="clear" w:color="auto" w:fill="FFFFFF"/>
              </w:rPr>
              <w:tab/>
            </w:r>
            <w:r>
              <w:rPr>
                <w:rFonts w:hint="eastAsia" w:ascii="宋体" w:hAnsi="宋体" w:eastAsia="宋体" w:cs="宋体"/>
                <w:bCs/>
                <w:color w:val="auto"/>
                <w:sz w:val="21"/>
                <w:szCs w:val="21"/>
                <w:shd w:val="clear" w:color="auto" w:fill="FFFFFF"/>
              </w:rPr>
              <w:t>提供配对、分类、填空、连词成句、翻翻卡、消消乐等至少8种类型的课堂活动，老师备课时通过活动模板即可快速制作活动，支持编辑好的课堂活动添加到我的课堂活动，实现任意课件的随时引用</w:t>
            </w:r>
          </w:p>
          <w:p w14:paraId="3C2DCE39">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9.</w:t>
            </w:r>
            <w:r>
              <w:rPr>
                <w:rFonts w:hint="eastAsia" w:ascii="宋体" w:hAnsi="宋体" w:eastAsia="宋体" w:cs="宋体"/>
                <w:bCs/>
                <w:color w:val="auto"/>
                <w:sz w:val="21"/>
                <w:szCs w:val="21"/>
                <w:shd w:val="clear" w:color="auto" w:fill="FFFFFF"/>
              </w:rPr>
              <w:tab/>
            </w:r>
            <w:r>
              <w:rPr>
                <w:rFonts w:hint="eastAsia" w:ascii="宋体" w:hAnsi="宋体" w:eastAsia="宋体" w:cs="宋体"/>
                <w:bCs/>
                <w:color w:val="auto"/>
                <w:sz w:val="21"/>
                <w:szCs w:val="21"/>
                <w:shd w:val="clear" w:color="auto" w:fill="FFFFFF"/>
              </w:rPr>
              <w:t>提供3种活动组件，包括骰子、大转盘、随机数，活动组件可选择不同的外观，可设置转盘个数和随机数上限，帮助老师活跃课堂气氛。</w:t>
            </w:r>
          </w:p>
          <w:p w14:paraId="3ADEC59D">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10.</w:t>
            </w:r>
            <w:r>
              <w:rPr>
                <w:rFonts w:hint="eastAsia" w:ascii="宋体" w:hAnsi="宋体" w:eastAsia="宋体" w:cs="宋体"/>
                <w:bCs/>
                <w:color w:val="auto"/>
                <w:sz w:val="21"/>
                <w:szCs w:val="21"/>
                <w:shd w:val="clear" w:color="auto" w:fill="FFFFFF"/>
              </w:rPr>
              <w:tab/>
            </w:r>
            <w:r>
              <w:rPr>
                <w:rFonts w:hint="eastAsia" w:ascii="宋体" w:hAnsi="宋体" w:eastAsia="宋体" w:cs="宋体"/>
                <w:bCs/>
                <w:color w:val="auto"/>
                <w:sz w:val="21"/>
                <w:szCs w:val="21"/>
                <w:shd w:val="clear" w:color="auto" w:fill="FFFFFF"/>
              </w:rPr>
              <w:t xml:space="preserve">可插入音频，支持对音频的剪辑，可拖动或输入音频的开始和结束位置 </w:t>
            </w:r>
          </w:p>
          <w:p w14:paraId="512626EA">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11.</w:t>
            </w:r>
            <w:r>
              <w:rPr>
                <w:rFonts w:hint="eastAsia" w:ascii="宋体" w:hAnsi="宋体" w:eastAsia="宋体" w:cs="宋体"/>
                <w:bCs/>
                <w:color w:val="auto"/>
                <w:sz w:val="21"/>
                <w:szCs w:val="21"/>
                <w:shd w:val="clear" w:color="auto" w:fill="FFFFFF"/>
              </w:rPr>
              <w:tab/>
            </w:r>
            <w:r>
              <w:rPr>
                <w:rFonts w:hint="eastAsia" w:ascii="宋体" w:hAnsi="宋体" w:eastAsia="宋体" w:cs="宋体"/>
                <w:bCs/>
                <w:color w:val="auto"/>
                <w:sz w:val="21"/>
                <w:szCs w:val="21"/>
                <w:shd w:val="clear" w:color="auto" w:fill="FFFFFF"/>
              </w:rPr>
              <w:t xml:space="preserve">可插入表格，表格支持设置行列数，在表格上可以进行行列的添加、删除、合并和拆分，可编辑文字格式和表格格式 </w:t>
            </w:r>
          </w:p>
          <w:p w14:paraId="127B5960">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12.</w:t>
            </w:r>
            <w:r>
              <w:rPr>
                <w:rFonts w:hint="eastAsia" w:ascii="宋体" w:hAnsi="宋体" w:eastAsia="宋体" w:cs="宋体"/>
                <w:bCs/>
                <w:color w:val="auto"/>
                <w:sz w:val="21"/>
                <w:szCs w:val="21"/>
                <w:shd w:val="clear" w:color="auto" w:fill="FFFFFF"/>
              </w:rPr>
              <w:tab/>
            </w:r>
            <w:r>
              <w:rPr>
                <w:rFonts w:hint="eastAsia" w:ascii="宋体" w:hAnsi="宋体" w:eastAsia="宋体" w:cs="宋体"/>
                <w:bCs/>
                <w:color w:val="auto"/>
                <w:sz w:val="21"/>
                <w:szCs w:val="21"/>
                <w:shd w:val="clear" w:color="auto" w:fill="FFFFFF"/>
              </w:rPr>
              <w:t>可插入思维导图，包括逻辑图和组织结构图，思维导图可添加同级节点、下级节点上级节点，可编辑文字格式和思维导图格式。</w:t>
            </w:r>
          </w:p>
          <w:p w14:paraId="7A18540E">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13.具备总数不少于200个,涵盖科学、中学物理、化学、生物等学科的本地仿真实验资源，仿实验包括实验目的、实验原理、实验器材、注意事项、实验演示、开始实验、实验检测、实验应用等环节，为方便向学生展示及操作，仿真实验支持一键全屏播放。</w:t>
            </w:r>
          </w:p>
          <w:p w14:paraId="413FD758">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（三）授课模式</w:t>
            </w:r>
          </w:p>
          <w:p w14:paraId="4079B9EA">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1.支持单指长按屏幕任意空白区域呼出便捷入口（文件、工具、应用、一键收起）</w:t>
            </w:r>
          </w:p>
          <w:p w14:paraId="5F948FB3">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2.工具条支持上下移动，支持收起/展开，工具条支持批注、清页、文件、工具、应用切换、更多工具子菜单支持屏幕拖动</w:t>
            </w:r>
          </w:p>
          <w:p w14:paraId="1F5E15E7">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3.软件授课时支持打开本机文件、U盘文件等本地文件；不需导入，至少可直接打开本地视频、音频、图片、离线教学课件、PPT&amp;PPTX、PDF文件、DOC&amp;DOCX文件及swf文件；支持多个文件窗口同屏播放显示，满足多素材授课需求；支持展示当前已打开的文件，点击实现文件窗口的便捷切换，支持文件一键全部最小化，支持双击标题栏实现文件全屏播放</w:t>
            </w:r>
          </w:p>
          <w:p w14:paraId="2B8D2FAA">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4.支持免登录打开离线课件，直接进入课件全屏播放状态 登录后，可返回备课编辑状态。可通过点击或触摸屏幕实现动画的显示和翻页，同时支持通过翻页笔翻页，还支持点击工具条进行课件的前翻页和后翻页，支持2-4指滑动上下翻页</w:t>
            </w:r>
          </w:p>
          <w:p w14:paraId="2A6FBB9A">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5.提供不少于28个蒙层模板，老师备课时选择合适的蒙层图片遮住元素，授课时用橡皮擦除蒙层，展现被蒙住的元素</w:t>
            </w:r>
          </w:p>
          <w:p w14:paraId="20239ABE">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6.课堂评价支持对全班、单个或多个学生进行评价评价结果可撤回，老师可通过移动端、PC端及网页端对学生进行行为评价打分，可显示班级得分前列的学生信息，界面、评价项、学生头像均采用卡通化方式，软件支持随机抽选学生进行评价，支持计时器功能，包括秒表和倒计时，支持家长通过移动端查看学生的近期表现。</w:t>
            </w:r>
          </w:p>
          <w:p w14:paraId="45C07FF4">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（四）录课助手</w:t>
            </w:r>
          </w:p>
          <w:p w14:paraId="16DF4D0E">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 xml:space="preserve">1.支持屏幕、屏幕+摄像头等多种形式的录制，也可结合录播系统进行全景录制  </w:t>
            </w:r>
          </w:p>
          <w:p w14:paraId="1490069A">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 xml:space="preserve">2.具有便捷的录制工具条，可快速录制，可移动，3s 无操作即变为半透明 可实时查看录制进度，进行暂停、 开始、结束操作 </w:t>
            </w:r>
          </w:p>
          <w:p w14:paraId="354DA06B">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 xml:space="preserve">3.录制过程中支持随时开启分享功能，实现即时直播，听课端无需下载软件，扫描二维码即可进入直播课堂并进行互动 </w:t>
            </w:r>
          </w:p>
          <w:p w14:paraId="16C9972E">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 xml:space="preserve">4.在桌面及摄像头录制场景下，能自动侦测摄像头，可识别出展台摄像头，同时支持摄像头画面的切换、移动及大小的调整 </w:t>
            </w:r>
          </w:p>
          <w:p w14:paraId="42869504">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 xml:space="preserve">5.开通直播后生成直播海报、直播码，易于分享，多人观看无压力，且支持手机端、PC端观看直播，可实现课堂实时评论 </w:t>
            </w:r>
          </w:p>
          <w:p w14:paraId="4DE44D55">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 xml:space="preserve">6.录制视频可自动保存在本地，也可上传至云端教师空间，结束录制即生成回看视频，可快速浏览录制情况 </w:t>
            </w:r>
          </w:p>
          <w:p w14:paraId="5FB74C52">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 xml:space="preserve">7.录制列表支持按时间查找所有已录制视频并可查看录制详情，包括录制日期、文件大小、 上传状态，同时可扫码回看所有已上传视频 </w:t>
            </w:r>
          </w:p>
          <w:p w14:paraId="59D13DA5">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8.录制视频支持点播、分享、编辑等功能。</w:t>
            </w:r>
          </w:p>
          <w:p w14:paraId="6330DCB9">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（五）演示助手</w:t>
            </w:r>
          </w:p>
          <w:p w14:paraId="7C1189E2">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1.可适用于WPS与PPT，打开课件自动启动，无需手动打开；</w:t>
            </w:r>
          </w:p>
          <w:p w14:paraId="757E8B83">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2.为满足教师使用习惯，可支持双侧工具栏位置自定义；</w:t>
            </w:r>
          </w:p>
          <w:p w14:paraId="3AF58CFA">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3.在不修改WPS与PPT的课件格式情况下，支持原文档随时批注，擦除；</w:t>
            </w:r>
          </w:p>
          <w:p w14:paraId="24692270">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4.为满足不同的教学场景书写，提供九种书写笔，包括：硬笔、软笔、竹笔、图章笔、智能笔、粉笔、纹理笔、激光笔，荧光笔。其中多种书写笔支持至少五种颜色和多种笔迹粗细模式的更换，为方便教师辨识，所有书写笔提供中文指引；提供多种教学常用工具，无需切换软件，即可在WPS与PPT的课件中添加时钟，聚光灯等小工具；</w:t>
            </w:r>
          </w:p>
          <w:p w14:paraId="12C3DCB5">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kern w:val="2"/>
                <w:sz w:val="21"/>
                <w:szCs w:val="21"/>
                <w:shd w:val="clear" w:color="auto" w:fill="FFFFFF"/>
                <w:lang w:val="en-US" w:eastAsia="zh-CN" w:bidi="ar-SA"/>
              </w:rPr>
            </w:pPr>
            <w:r>
              <w:rPr>
                <w:rFonts w:hint="eastAsia" w:ascii="宋体" w:hAnsi="宋体" w:eastAsia="宋体" w:cs="宋体"/>
                <w:bCs/>
                <w:color w:val="auto"/>
                <w:sz w:val="21"/>
                <w:szCs w:val="21"/>
                <w:shd w:val="clear" w:color="auto" w:fill="FFFFFF"/>
              </w:rPr>
              <w:t>5.支持在WPS与PPT的课件播放音视频时，无需通过物理按键即可实现黑屏，轻触屏幕即可点亮，同时支持在黑屏状态下不影响音视频的正常播放。</w:t>
            </w:r>
          </w:p>
        </w:tc>
      </w:tr>
      <w:tr w14:paraId="7515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08BD1F4">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1215" w:type="dxa"/>
            <w:noWrap w:val="0"/>
            <w:vAlign w:val="center"/>
          </w:tcPr>
          <w:p w14:paraId="49C11A23">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rPr>
              <w:t>视频展台</w:t>
            </w:r>
          </w:p>
        </w:tc>
        <w:tc>
          <w:tcPr>
            <w:tcW w:w="804" w:type="dxa"/>
            <w:noWrap w:val="0"/>
            <w:vAlign w:val="center"/>
          </w:tcPr>
          <w:p w14:paraId="188757C8">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台</w:t>
            </w:r>
          </w:p>
        </w:tc>
        <w:tc>
          <w:tcPr>
            <w:tcW w:w="765" w:type="dxa"/>
            <w:gridSpan w:val="2"/>
            <w:noWrap w:val="0"/>
            <w:vAlign w:val="center"/>
          </w:tcPr>
          <w:p w14:paraId="14BD2704">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w:t>
            </w:r>
          </w:p>
        </w:tc>
        <w:tc>
          <w:tcPr>
            <w:tcW w:w="6351" w:type="dxa"/>
            <w:noWrap w:val="0"/>
            <w:vAlign w:val="center"/>
          </w:tcPr>
          <w:p w14:paraId="26517114">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lang w:val="en-US" w:eastAsia="zh-CN"/>
              </w:rPr>
            </w:pPr>
            <w:r>
              <w:rPr>
                <w:rFonts w:hint="eastAsia" w:ascii="宋体" w:hAnsi="宋体" w:eastAsia="宋体" w:cs="宋体"/>
                <w:bCs/>
                <w:color w:val="auto"/>
                <w:sz w:val="21"/>
                <w:szCs w:val="21"/>
                <w:shd w:val="clear" w:color="auto" w:fill="FFFFFF"/>
                <w:lang w:val="en-US" w:eastAsia="zh-CN"/>
              </w:rPr>
              <w:t>1</w:t>
            </w:r>
            <w:r>
              <w:rPr>
                <w:rFonts w:hint="eastAsia" w:ascii="宋体" w:hAnsi="宋体" w:cs="宋体"/>
                <w:bCs/>
                <w:color w:val="auto"/>
                <w:sz w:val="21"/>
                <w:szCs w:val="21"/>
                <w:shd w:val="clear" w:color="auto" w:fill="FFFFFF"/>
                <w:lang w:val="en-US" w:eastAsia="zh-CN"/>
              </w:rPr>
              <w:t>.</w:t>
            </w:r>
            <w:r>
              <w:rPr>
                <w:rFonts w:hint="eastAsia" w:ascii="宋体" w:hAnsi="宋体" w:eastAsia="宋体" w:cs="宋体"/>
                <w:bCs/>
                <w:color w:val="auto"/>
                <w:sz w:val="21"/>
                <w:szCs w:val="21"/>
                <w:shd w:val="clear" w:color="auto" w:fill="FFFFFF"/>
                <w:lang w:val="en-US" w:eastAsia="zh-CN"/>
              </w:rPr>
              <w:t>采用≥800万像素摄像头；采用 USB五伏电源直接供电，无需额外配置电源适配器，环保无辐射；箱内USB连线采用隐藏式设计，箱内无可见连线且USB口下出，有效防止积尘，且方便布线和返修。</w:t>
            </w:r>
            <w:r>
              <w:rPr>
                <w:rFonts w:hint="eastAsia" w:ascii="宋体" w:hAnsi="宋体" w:eastAsia="宋体" w:cs="宋体"/>
                <w:bCs/>
                <w:color w:val="auto"/>
                <w:sz w:val="21"/>
                <w:szCs w:val="21"/>
                <w:shd w:val="clear" w:color="auto" w:fill="FFFFFF"/>
                <w:lang w:val="en-US" w:eastAsia="zh-CN"/>
              </w:rPr>
              <w:br w:type="textWrapping"/>
            </w:r>
            <w:r>
              <w:rPr>
                <w:rFonts w:hint="eastAsia" w:ascii="宋体" w:hAnsi="宋体" w:eastAsia="宋体" w:cs="宋体"/>
                <w:bCs/>
                <w:color w:val="auto"/>
                <w:sz w:val="21"/>
                <w:szCs w:val="21"/>
                <w:shd w:val="clear" w:color="auto" w:fill="FFFFFF"/>
                <w:lang w:val="en-US" w:eastAsia="zh-CN"/>
              </w:rPr>
              <w:t>2</w:t>
            </w:r>
            <w:r>
              <w:rPr>
                <w:rFonts w:hint="eastAsia" w:ascii="宋体" w:hAnsi="宋体" w:cs="宋体"/>
                <w:bCs/>
                <w:color w:val="auto"/>
                <w:sz w:val="21"/>
                <w:szCs w:val="21"/>
                <w:shd w:val="clear" w:color="auto" w:fill="FFFFFF"/>
                <w:lang w:val="en-US" w:eastAsia="zh-CN"/>
              </w:rPr>
              <w:t>.</w:t>
            </w:r>
            <w:r>
              <w:rPr>
                <w:rFonts w:hint="eastAsia" w:ascii="宋体" w:hAnsi="宋体" w:eastAsia="宋体" w:cs="宋体"/>
                <w:bCs/>
                <w:color w:val="auto"/>
                <w:sz w:val="21"/>
                <w:szCs w:val="21"/>
                <w:shd w:val="clear" w:color="auto" w:fill="FFFFFF"/>
                <w:lang w:val="en-US" w:eastAsia="zh-CN"/>
              </w:rPr>
              <w:t>A4大小拍摄幅面，1080P动态视频预览达到30帧/秒；托板及挂墙部分采用金属加强，托板可承重3kg，整机壁挂式安装。</w:t>
            </w:r>
            <w:r>
              <w:rPr>
                <w:rFonts w:hint="eastAsia" w:ascii="宋体" w:hAnsi="宋体" w:eastAsia="宋体" w:cs="宋体"/>
                <w:bCs/>
                <w:color w:val="auto"/>
                <w:sz w:val="21"/>
                <w:szCs w:val="21"/>
                <w:shd w:val="clear" w:color="auto" w:fill="FFFFFF"/>
                <w:lang w:val="en-US" w:eastAsia="zh-CN"/>
              </w:rPr>
              <w:br w:type="textWrapping"/>
            </w:r>
            <w:r>
              <w:rPr>
                <w:rFonts w:hint="eastAsia" w:ascii="宋体" w:hAnsi="宋体" w:eastAsia="宋体" w:cs="宋体"/>
                <w:bCs/>
                <w:color w:val="auto"/>
                <w:sz w:val="21"/>
                <w:szCs w:val="21"/>
                <w:shd w:val="clear" w:color="auto" w:fill="FFFFFF"/>
                <w:lang w:val="en-US" w:eastAsia="zh-CN"/>
              </w:rPr>
              <w:t>3</w:t>
            </w:r>
            <w:r>
              <w:rPr>
                <w:rFonts w:hint="eastAsia" w:ascii="宋体" w:hAnsi="宋体" w:cs="宋体"/>
                <w:bCs/>
                <w:color w:val="auto"/>
                <w:sz w:val="21"/>
                <w:szCs w:val="21"/>
                <w:shd w:val="clear" w:color="auto" w:fill="FFFFFF"/>
                <w:lang w:val="en-US" w:eastAsia="zh-CN"/>
              </w:rPr>
              <w:t>.</w:t>
            </w:r>
            <w:r>
              <w:rPr>
                <w:rFonts w:hint="eastAsia" w:ascii="宋体" w:hAnsi="宋体" w:eastAsia="宋体" w:cs="宋体"/>
                <w:bCs/>
                <w:color w:val="auto"/>
                <w:sz w:val="21"/>
                <w:szCs w:val="21"/>
                <w:shd w:val="clear" w:color="auto" w:fill="FFFFFF"/>
                <w:lang w:val="en-US" w:eastAsia="zh-CN"/>
              </w:rPr>
              <w:t>支持展台成像画面实时批注，预设多种笔划粗细及颜色供选择，且支持对展台成像画面联同批注内容进行同步缩放、移动。</w:t>
            </w:r>
            <w:r>
              <w:rPr>
                <w:rFonts w:hint="eastAsia" w:ascii="宋体" w:hAnsi="宋体" w:eastAsia="宋体" w:cs="宋体"/>
                <w:bCs/>
                <w:color w:val="auto"/>
                <w:sz w:val="21"/>
                <w:szCs w:val="21"/>
                <w:shd w:val="clear" w:color="auto" w:fill="FFFFFF"/>
                <w:lang w:val="en-US" w:eastAsia="zh-CN"/>
              </w:rPr>
              <w:br w:type="textWrapping"/>
            </w:r>
            <w:r>
              <w:rPr>
                <w:rFonts w:hint="eastAsia" w:ascii="宋体" w:hAnsi="宋体" w:eastAsia="宋体" w:cs="宋体"/>
                <w:bCs/>
                <w:color w:val="auto"/>
                <w:sz w:val="21"/>
                <w:szCs w:val="21"/>
                <w:shd w:val="clear" w:color="auto" w:fill="FFFFFF"/>
                <w:lang w:val="en-US" w:eastAsia="zh-CN"/>
              </w:rPr>
              <w:t>4</w:t>
            </w:r>
            <w:r>
              <w:rPr>
                <w:rFonts w:hint="eastAsia" w:ascii="宋体" w:hAnsi="宋体" w:cs="宋体"/>
                <w:bCs/>
                <w:color w:val="auto"/>
                <w:sz w:val="21"/>
                <w:szCs w:val="21"/>
                <w:shd w:val="clear" w:color="auto" w:fill="FFFFFF"/>
                <w:lang w:val="en-US" w:eastAsia="zh-CN"/>
              </w:rPr>
              <w:t>.</w:t>
            </w:r>
            <w:r>
              <w:rPr>
                <w:rFonts w:hint="eastAsia" w:ascii="宋体" w:hAnsi="宋体" w:eastAsia="宋体" w:cs="宋体"/>
                <w:bCs/>
                <w:color w:val="auto"/>
                <w:sz w:val="21"/>
                <w:szCs w:val="21"/>
                <w:shd w:val="clear" w:color="auto" w:fill="FFFFFF"/>
                <w:lang w:val="en-US" w:eastAsia="zh-CN"/>
              </w:rPr>
              <w:t>展示托板正上方具备LED补光灯，保证展示区域的亮度及展示效果，补光灯开关采用触摸按键设计，同时可通过交互智能平板中的软件直接控制开关；带自动对焦摄像头。</w:t>
            </w:r>
            <w:r>
              <w:rPr>
                <w:rFonts w:hint="eastAsia" w:ascii="宋体" w:hAnsi="宋体" w:eastAsia="宋体" w:cs="宋体"/>
                <w:bCs/>
                <w:color w:val="auto"/>
                <w:sz w:val="21"/>
                <w:szCs w:val="21"/>
                <w:shd w:val="clear" w:color="auto" w:fill="FFFFFF"/>
                <w:lang w:val="en-US" w:eastAsia="zh-CN"/>
              </w:rPr>
              <w:br w:type="textWrapping"/>
            </w:r>
            <w:r>
              <w:rPr>
                <w:rFonts w:hint="eastAsia" w:ascii="宋体" w:hAnsi="宋体" w:eastAsia="宋体" w:cs="宋体"/>
                <w:bCs/>
                <w:color w:val="auto"/>
                <w:sz w:val="21"/>
                <w:szCs w:val="21"/>
                <w:shd w:val="clear" w:color="auto" w:fill="FFFFFF"/>
                <w:lang w:val="en-US" w:eastAsia="zh-CN"/>
              </w:rPr>
              <w:t>5</w:t>
            </w:r>
            <w:r>
              <w:rPr>
                <w:rFonts w:hint="eastAsia" w:ascii="宋体" w:hAnsi="宋体" w:cs="宋体"/>
                <w:bCs/>
                <w:color w:val="auto"/>
                <w:sz w:val="21"/>
                <w:szCs w:val="21"/>
                <w:shd w:val="clear" w:color="auto" w:fill="FFFFFF"/>
                <w:lang w:val="en-US" w:eastAsia="zh-CN"/>
              </w:rPr>
              <w:t>.</w:t>
            </w:r>
            <w:r>
              <w:rPr>
                <w:rFonts w:hint="eastAsia" w:ascii="宋体" w:hAnsi="宋体" w:eastAsia="宋体" w:cs="宋体"/>
                <w:bCs/>
                <w:color w:val="auto"/>
                <w:sz w:val="21"/>
                <w:szCs w:val="21"/>
                <w:shd w:val="clear" w:color="auto" w:fill="FFFFFF"/>
                <w:lang w:val="en-US" w:eastAsia="zh-CN"/>
              </w:rPr>
              <w:t>具有故障自动检测功能：在调用展台却无法出现镜头采集画面信号时，可自动出现检测链接，并给出导致性原因（如硬件连接、摄像头占用、配套软件版本等问题）。</w:t>
            </w:r>
          </w:p>
        </w:tc>
      </w:tr>
      <w:tr w14:paraId="0FE8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9B31B52">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w:t>
            </w:r>
          </w:p>
        </w:tc>
        <w:tc>
          <w:tcPr>
            <w:tcW w:w="1215" w:type="dxa"/>
            <w:noWrap w:val="0"/>
            <w:vAlign w:val="center"/>
          </w:tcPr>
          <w:p w14:paraId="21E0BD02">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b w:val="0"/>
                <w:bCs/>
                <w:color w:val="auto"/>
                <w:sz w:val="21"/>
                <w:szCs w:val="21"/>
              </w:rPr>
              <w:t>推拉白板</w:t>
            </w:r>
          </w:p>
        </w:tc>
        <w:tc>
          <w:tcPr>
            <w:tcW w:w="804" w:type="dxa"/>
            <w:noWrap w:val="0"/>
            <w:vAlign w:val="center"/>
          </w:tcPr>
          <w:p w14:paraId="0462C47F">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套</w:t>
            </w:r>
          </w:p>
        </w:tc>
        <w:tc>
          <w:tcPr>
            <w:tcW w:w="765" w:type="dxa"/>
            <w:gridSpan w:val="2"/>
            <w:noWrap w:val="0"/>
            <w:vAlign w:val="center"/>
          </w:tcPr>
          <w:p w14:paraId="76E94EC1">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w:t>
            </w:r>
          </w:p>
        </w:tc>
        <w:tc>
          <w:tcPr>
            <w:tcW w:w="6351" w:type="dxa"/>
            <w:noWrap w:val="0"/>
            <w:vAlign w:val="center"/>
          </w:tcPr>
          <w:p w14:paraId="3C7D3E3E">
            <w:pPr>
              <w:keepNext w:val="0"/>
              <w:keepLines w:val="0"/>
              <w:pageBreakBefore w:val="0"/>
              <w:kinsoku/>
              <w:wordWrap/>
              <w:overflowPunct/>
              <w:topLinePunct w:val="0"/>
              <w:bidi w:val="0"/>
              <w:spacing w:before="156" w:line="44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1.基本尺寸：≥4300mm×1405mm，可根据一体机进行适当调整，保证与一体机有效配套。</w:t>
            </w:r>
          </w:p>
          <w:p w14:paraId="10DA8CC8">
            <w:pPr>
              <w:keepNext w:val="0"/>
              <w:keepLines w:val="0"/>
              <w:pageBreakBefore w:val="0"/>
              <w:kinsoku/>
              <w:wordWrap/>
              <w:overflowPunct/>
              <w:topLinePunct w:val="0"/>
              <w:bidi w:val="0"/>
              <w:spacing w:before="156" w:line="44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2.结构：推拉板由大框和四块同等大小的书写板组合而成，中间为电子液晶大屏，书写板分内外双层结构，内层为两块固定书写板与液晶一体机正面平齐，外层为两块滑动书写板，滑动板配装挂锁，开闭自如。</w:t>
            </w:r>
          </w:p>
          <w:p w14:paraId="07EBC314">
            <w:pPr>
              <w:keepNext w:val="0"/>
              <w:keepLines w:val="0"/>
              <w:pageBreakBefore w:val="0"/>
              <w:kinsoku/>
              <w:wordWrap/>
              <w:overflowPunct/>
              <w:topLinePunct w:val="0"/>
              <w:bidi w:val="0"/>
              <w:spacing w:before="156" w:line="44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书写板面：环保教学专用彩色涂层钢板，浅米黄色，厚度≥0.3mm，硬度≥4H，光泽度≤10GU，板面可吸附磁针、磁片，书写面光滑、平整，颜色均匀，坚固耐用、哑光，投影可视效果佳，有效地保护了师生的视力健康。</w:t>
            </w:r>
          </w:p>
          <w:p w14:paraId="4296D58A">
            <w:pPr>
              <w:keepNext w:val="0"/>
              <w:keepLines w:val="0"/>
              <w:pageBreakBefore w:val="0"/>
              <w:kinsoku/>
              <w:wordWrap/>
              <w:overflowPunct/>
              <w:topLinePunct w:val="0"/>
              <w:bidi w:val="0"/>
              <w:spacing w:before="156" w:line="44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边框：采用工业用高强度铝合金型材，电泳香槟色，模具挤压一次成型，上框规格57mm×78mm，左右框规格29mm×100mm，横（立）框采用双层加强结构，厚度≥15mm。轨道上置隐藏式平滑轮滑道，结构性解决滑轮受灰尘影响的情况，配有宽度≥30mm的板托，板托与滑动系统分离，与边框一次模具成形，可放置书写笔，方便实用。</w:t>
            </w:r>
          </w:p>
          <w:p w14:paraId="7B5FF77B">
            <w:pPr>
              <w:keepNext w:val="0"/>
              <w:keepLines w:val="0"/>
              <w:pageBreakBefore w:val="0"/>
              <w:kinsoku/>
              <w:wordWrap/>
              <w:overflowPunct/>
              <w:topLinePunct w:val="0"/>
              <w:bidi w:val="0"/>
              <w:spacing w:before="156" w:line="44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5.黑板滑轮：上轨采用减震消音双组吊轮，下轨采用双组滑块，保证滑动流畅、噪音小、前后定位精确不晃动，经久耐用。数目各4组，上下均匀安装，推拉顺畅自如，无卡挤现象和尖锐的摩擦声，稳定性好。</w:t>
            </w:r>
          </w:p>
          <w:p w14:paraId="01DB2044">
            <w:pPr>
              <w:keepNext w:val="0"/>
              <w:keepLines w:val="0"/>
              <w:pageBreakBefore w:val="0"/>
              <w:kinsoku/>
              <w:wordWrap/>
              <w:overflowPunct/>
              <w:topLinePunct w:val="0"/>
              <w:bidi w:val="0"/>
              <w:spacing w:before="156" w:line="44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6.包角材料：采用抗老化高强度ABS工程塑料注塑成型。规格：100mm×29mm×29mm，采用双壁成腔流线型设计，≥R25mm的圆角，无尖角毛刺，符合JY0001-2003《教学仪器设备产品一般质量要求》。</w:t>
            </w:r>
          </w:p>
          <w:p w14:paraId="2F370C8F">
            <w:pPr>
              <w:keepNext w:val="0"/>
              <w:keepLines w:val="0"/>
              <w:pageBreakBefore w:val="0"/>
              <w:kinsoku/>
              <w:wordWrap/>
              <w:overflowPunct/>
              <w:topLinePunct w:val="0"/>
              <w:bidi w:val="0"/>
              <w:spacing w:before="156" w:line="44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7.限位档：黑板边框内部两侧安装滑动板限位档，防止活动黑板开启时撞击立框。</w:t>
            </w:r>
          </w:p>
          <w:p w14:paraId="26613C94">
            <w:pPr>
              <w:keepNext w:val="0"/>
              <w:keepLines w:val="0"/>
              <w:pageBreakBefore w:val="0"/>
              <w:kinsoku/>
              <w:wordWrap/>
              <w:overflowPunct/>
              <w:topLinePunct w:val="0"/>
              <w:bidi w:val="0"/>
              <w:spacing w:before="156" w:line="440" w:lineRule="exac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8.安全性：一把锁实现对滑动黑板的锁定，钥匙通用，方便实用。</w:t>
            </w:r>
          </w:p>
        </w:tc>
      </w:tr>
      <w:tr w14:paraId="3591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04AFB6E">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4</w:t>
            </w:r>
          </w:p>
        </w:tc>
        <w:tc>
          <w:tcPr>
            <w:tcW w:w="1215" w:type="dxa"/>
            <w:noWrap w:val="0"/>
            <w:vAlign w:val="center"/>
          </w:tcPr>
          <w:p w14:paraId="76796FA5">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无线麦克</w:t>
            </w:r>
          </w:p>
        </w:tc>
        <w:tc>
          <w:tcPr>
            <w:tcW w:w="804" w:type="dxa"/>
            <w:noWrap w:val="0"/>
            <w:vAlign w:val="center"/>
          </w:tcPr>
          <w:p w14:paraId="62570141">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个</w:t>
            </w:r>
          </w:p>
        </w:tc>
        <w:tc>
          <w:tcPr>
            <w:tcW w:w="765" w:type="dxa"/>
            <w:gridSpan w:val="2"/>
            <w:noWrap w:val="0"/>
            <w:vAlign w:val="center"/>
          </w:tcPr>
          <w:p w14:paraId="5C9B7AE5">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10</w:t>
            </w:r>
          </w:p>
        </w:tc>
        <w:tc>
          <w:tcPr>
            <w:tcW w:w="6351" w:type="dxa"/>
            <w:noWrap w:val="0"/>
            <w:vAlign w:val="center"/>
          </w:tcPr>
          <w:p w14:paraId="59EF295B">
            <w:pPr>
              <w:keepNext w:val="0"/>
              <w:keepLines w:val="0"/>
              <w:pageBreakBefore w:val="0"/>
              <w:kinsoku/>
              <w:wordWrap/>
              <w:overflowPunct/>
              <w:topLinePunct w:val="0"/>
              <w:bidi w:val="0"/>
              <w:spacing w:before="156" w:line="44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1.</w:t>
            </w:r>
            <w:r>
              <w:rPr>
                <w:rFonts w:hint="eastAsia" w:ascii="宋体" w:hAnsi="宋体" w:eastAsia="宋体" w:cs="宋体"/>
                <w:color w:val="auto"/>
                <w:kern w:val="0"/>
                <w:sz w:val="21"/>
                <w:szCs w:val="21"/>
              </w:rPr>
              <w:t>为方便教师不同场景使用，无线麦克风支持多种使用方式，包括但不限于颈挂、手持、领夹等方式，领夹模式下可对佩戴角度进行0-180°旋转调节</w:t>
            </w:r>
            <w:r>
              <w:rPr>
                <w:rFonts w:hint="eastAsia" w:ascii="宋体" w:hAnsi="宋体" w:eastAsia="宋体" w:cs="宋体"/>
                <w:color w:val="auto"/>
                <w:kern w:val="0"/>
                <w:sz w:val="21"/>
                <w:szCs w:val="21"/>
                <w:lang w:eastAsia="zh-CN"/>
              </w:rPr>
              <w:t>。</w:t>
            </w:r>
          </w:p>
          <w:p w14:paraId="6C3C3813">
            <w:pPr>
              <w:keepNext w:val="0"/>
              <w:keepLines w:val="0"/>
              <w:pageBreakBefore w:val="0"/>
              <w:kinsoku/>
              <w:wordWrap/>
              <w:overflowPunct/>
              <w:topLinePunct w:val="0"/>
              <w:bidi w:val="0"/>
              <w:spacing w:before="156" w:line="44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2.</w:t>
            </w:r>
            <w:r>
              <w:rPr>
                <w:rFonts w:hint="eastAsia" w:ascii="宋体" w:hAnsi="宋体" w:eastAsia="宋体" w:cs="宋体"/>
                <w:color w:val="auto"/>
                <w:kern w:val="0"/>
                <w:sz w:val="21"/>
                <w:szCs w:val="21"/>
              </w:rPr>
              <w:t>无线麦克风接收器应采用GH-05AB与交互设备内嵌连接，保证使用稳定性，不接受以USB拔插方式连接。</w:t>
            </w:r>
          </w:p>
          <w:p w14:paraId="7C738AF3">
            <w:pPr>
              <w:keepNext w:val="0"/>
              <w:keepLines w:val="0"/>
              <w:pageBreakBefore w:val="0"/>
              <w:kinsoku/>
              <w:wordWrap/>
              <w:overflowPunct/>
              <w:topLinePunct w:val="0"/>
              <w:bidi w:val="0"/>
              <w:spacing w:before="156" w:line="44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3.</w:t>
            </w:r>
            <w:r>
              <w:rPr>
                <w:rFonts w:hint="eastAsia" w:ascii="宋体" w:hAnsi="宋体" w:eastAsia="宋体" w:cs="宋体"/>
                <w:color w:val="auto"/>
                <w:kern w:val="0"/>
                <w:sz w:val="21"/>
                <w:szCs w:val="21"/>
              </w:rPr>
              <w:t>无线麦克风采用2.4G无线传输协议，防止串频</w:t>
            </w:r>
            <w:r>
              <w:rPr>
                <w:rFonts w:hint="eastAsia" w:ascii="宋体" w:hAnsi="宋体" w:eastAsia="宋体" w:cs="宋体"/>
                <w:color w:val="auto"/>
                <w:kern w:val="0"/>
                <w:sz w:val="21"/>
                <w:szCs w:val="21"/>
                <w:lang w:eastAsia="zh-CN"/>
              </w:rPr>
              <w:t>。</w:t>
            </w:r>
          </w:p>
          <w:p w14:paraId="734183D1">
            <w:pPr>
              <w:keepNext w:val="0"/>
              <w:keepLines w:val="0"/>
              <w:pageBreakBefore w:val="0"/>
              <w:kinsoku/>
              <w:wordWrap/>
              <w:overflowPunct/>
              <w:topLinePunct w:val="0"/>
              <w:bidi w:val="0"/>
              <w:spacing w:before="156" w:line="44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4.</w:t>
            </w:r>
            <w:r>
              <w:rPr>
                <w:rFonts w:hint="eastAsia" w:ascii="宋体" w:hAnsi="宋体" w:eastAsia="宋体" w:cs="宋体"/>
                <w:color w:val="auto"/>
                <w:kern w:val="0"/>
                <w:sz w:val="21"/>
                <w:szCs w:val="21"/>
              </w:rPr>
              <w:t>无线麦克风有效传输距离≥12米，保证正常教室内每个角落均可正常使用</w:t>
            </w:r>
            <w:r>
              <w:rPr>
                <w:rFonts w:hint="eastAsia" w:ascii="宋体" w:hAnsi="宋体" w:eastAsia="宋体" w:cs="宋体"/>
                <w:color w:val="auto"/>
                <w:kern w:val="0"/>
                <w:sz w:val="21"/>
                <w:szCs w:val="21"/>
                <w:lang w:eastAsia="zh-CN"/>
              </w:rPr>
              <w:t>。</w:t>
            </w:r>
          </w:p>
          <w:p w14:paraId="496576F9">
            <w:pPr>
              <w:keepNext w:val="0"/>
              <w:keepLines w:val="0"/>
              <w:pageBreakBefore w:val="0"/>
              <w:kinsoku/>
              <w:wordWrap/>
              <w:overflowPunct/>
              <w:topLinePunct w:val="0"/>
              <w:bidi w:val="0"/>
              <w:spacing w:before="156" w:line="44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5.</w:t>
            </w:r>
            <w:r>
              <w:rPr>
                <w:rFonts w:hint="eastAsia" w:ascii="宋体" w:hAnsi="宋体" w:eastAsia="宋体" w:cs="宋体"/>
                <w:color w:val="auto"/>
                <w:kern w:val="0"/>
                <w:sz w:val="21"/>
                <w:szCs w:val="21"/>
              </w:rPr>
              <w:t>支持两种充电方式，Type-C充电接口与磁吸充电，满电续航不少于8个小时</w:t>
            </w:r>
            <w:r>
              <w:rPr>
                <w:rFonts w:hint="eastAsia" w:ascii="宋体" w:hAnsi="宋体" w:eastAsia="宋体" w:cs="宋体"/>
                <w:color w:val="auto"/>
                <w:kern w:val="0"/>
                <w:sz w:val="21"/>
                <w:szCs w:val="21"/>
                <w:lang w:eastAsia="zh-CN"/>
              </w:rPr>
              <w:t>。</w:t>
            </w:r>
          </w:p>
          <w:p w14:paraId="7B62C841">
            <w:pPr>
              <w:keepNext w:val="0"/>
              <w:keepLines w:val="0"/>
              <w:pageBreakBefore w:val="0"/>
              <w:kinsoku/>
              <w:wordWrap/>
              <w:overflowPunct/>
              <w:topLinePunct w:val="0"/>
              <w:bidi w:val="0"/>
              <w:spacing w:before="156" w:line="44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6.</w:t>
            </w:r>
            <w:r>
              <w:rPr>
                <w:rFonts w:hint="eastAsia" w:ascii="宋体" w:hAnsi="宋体" w:eastAsia="宋体" w:cs="宋体"/>
                <w:color w:val="auto"/>
                <w:kern w:val="0"/>
                <w:sz w:val="21"/>
                <w:szCs w:val="21"/>
              </w:rPr>
              <w:t>无线麦克风支持快速充电，充电10分钟可连续使用60分钟，在电量为0时，1小时内可充满</w:t>
            </w:r>
            <w:r>
              <w:rPr>
                <w:rFonts w:hint="eastAsia" w:ascii="宋体" w:hAnsi="宋体" w:eastAsia="宋体" w:cs="宋体"/>
                <w:color w:val="auto"/>
                <w:kern w:val="0"/>
                <w:sz w:val="21"/>
                <w:szCs w:val="21"/>
                <w:lang w:eastAsia="zh-CN"/>
              </w:rPr>
              <w:t>。</w:t>
            </w:r>
          </w:p>
          <w:p w14:paraId="2C7D70B3">
            <w:pPr>
              <w:keepNext w:val="0"/>
              <w:keepLines w:val="0"/>
              <w:pageBreakBefore w:val="0"/>
              <w:kinsoku/>
              <w:wordWrap/>
              <w:overflowPunct/>
              <w:topLinePunct w:val="0"/>
              <w:bidi w:val="0"/>
              <w:spacing w:before="156" w:line="44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7.</w:t>
            </w:r>
            <w:r>
              <w:rPr>
                <w:rFonts w:hint="eastAsia" w:ascii="宋体" w:hAnsi="宋体" w:eastAsia="宋体" w:cs="宋体"/>
                <w:color w:val="auto"/>
                <w:kern w:val="0"/>
                <w:sz w:val="21"/>
                <w:szCs w:val="21"/>
              </w:rPr>
              <w:t>具备全向拾音麦克，拾音角度不低于120度，保证老师正常转头下的拾音效果</w:t>
            </w:r>
            <w:r>
              <w:rPr>
                <w:rFonts w:hint="eastAsia" w:ascii="宋体" w:hAnsi="宋体" w:eastAsia="宋体" w:cs="宋体"/>
                <w:color w:val="auto"/>
                <w:kern w:val="0"/>
                <w:sz w:val="21"/>
                <w:szCs w:val="21"/>
                <w:lang w:eastAsia="zh-CN"/>
              </w:rPr>
              <w:t>。</w:t>
            </w:r>
          </w:p>
          <w:p w14:paraId="1FDECD1A">
            <w:pPr>
              <w:keepNext w:val="0"/>
              <w:keepLines w:val="0"/>
              <w:pageBreakBefore w:val="0"/>
              <w:kinsoku/>
              <w:wordWrap/>
              <w:overflowPunct/>
              <w:topLinePunct w:val="0"/>
              <w:bidi w:val="0"/>
              <w:spacing w:before="156" w:line="44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8.</w:t>
            </w:r>
            <w:r>
              <w:rPr>
                <w:rFonts w:hint="eastAsia" w:ascii="宋体" w:hAnsi="宋体" w:eastAsia="宋体" w:cs="宋体"/>
                <w:color w:val="auto"/>
                <w:kern w:val="0"/>
                <w:sz w:val="21"/>
                <w:szCs w:val="21"/>
              </w:rPr>
              <w:t>无线麦克配备不少于3个物理按键，且组合按键可实现一键静音、开关机功能</w:t>
            </w:r>
            <w:r>
              <w:rPr>
                <w:rFonts w:hint="eastAsia" w:ascii="宋体" w:hAnsi="宋体" w:eastAsia="宋体" w:cs="宋体"/>
                <w:color w:val="auto"/>
                <w:kern w:val="0"/>
                <w:sz w:val="21"/>
                <w:szCs w:val="21"/>
                <w:lang w:eastAsia="zh-CN"/>
              </w:rPr>
              <w:t>。</w:t>
            </w:r>
          </w:p>
          <w:p w14:paraId="51D2CA95">
            <w:pPr>
              <w:keepNext w:val="0"/>
              <w:keepLines w:val="0"/>
              <w:pageBreakBefore w:val="0"/>
              <w:kinsoku/>
              <w:wordWrap/>
              <w:overflowPunct/>
              <w:topLinePunct w:val="0"/>
              <w:bidi w:val="0"/>
              <w:spacing w:before="156" w:line="44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9.</w:t>
            </w:r>
            <w:r>
              <w:rPr>
                <w:rFonts w:hint="eastAsia" w:ascii="宋体" w:hAnsi="宋体" w:eastAsia="宋体" w:cs="宋体"/>
                <w:color w:val="auto"/>
                <w:kern w:val="0"/>
                <w:sz w:val="21"/>
                <w:szCs w:val="21"/>
              </w:rPr>
              <w:t>无线麦克与交互设备断开连接后，无须任何操作，一分钟后自动关机，达到节约电量效果</w:t>
            </w:r>
            <w:r>
              <w:rPr>
                <w:rFonts w:hint="eastAsia" w:ascii="宋体" w:hAnsi="宋体" w:eastAsia="宋体" w:cs="宋体"/>
                <w:color w:val="auto"/>
                <w:kern w:val="0"/>
                <w:sz w:val="21"/>
                <w:szCs w:val="21"/>
                <w:lang w:eastAsia="zh-CN"/>
              </w:rPr>
              <w:t>。</w:t>
            </w:r>
          </w:p>
          <w:p w14:paraId="05408B2C">
            <w:pPr>
              <w:keepNext w:val="0"/>
              <w:keepLines w:val="0"/>
              <w:pageBreakBefore w:val="0"/>
              <w:kinsoku/>
              <w:wordWrap/>
              <w:overflowPunct/>
              <w:topLinePunct w:val="0"/>
              <w:bidi w:val="0"/>
              <w:spacing w:before="156" w:line="44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eastAsia="zh-CN"/>
              </w:rPr>
              <w:t>1.</w:t>
            </w:r>
            <w:r>
              <w:rPr>
                <w:rFonts w:hint="eastAsia" w:ascii="宋体" w:hAnsi="宋体" w:eastAsia="宋体" w:cs="宋体"/>
                <w:color w:val="auto"/>
                <w:kern w:val="0"/>
                <w:sz w:val="21"/>
                <w:szCs w:val="21"/>
              </w:rPr>
              <w:t>一比一声音还原，整体延时在35MS以内,空中数据速率1-2Mbps，确保整体功放效果无回音</w:t>
            </w:r>
            <w:r>
              <w:rPr>
                <w:rFonts w:hint="eastAsia" w:ascii="宋体" w:hAnsi="宋体" w:eastAsia="宋体" w:cs="宋体"/>
                <w:color w:val="auto"/>
                <w:kern w:val="0"/>
                <w:sz w:val="21"/>
                <w:szCs w:val="21"/>
                <w:lang w:eastAsia="zh-CN"/>
              </w:rPr>
              <w:t>。</w:t>
            </w:r>
          </w:p>
          <w:p w14:paraId="5AF23ED7">
            <w:pPr>
              <w:keepNext w:val="0"/>
              <w:keepLines w:val="0"/>
              <w:pageBreakBefore w:val="0"/>
              <w:kinsoku/>
              <w:wordWrap/>
              <w:overflowPunct/>
              <w:topLinePunct w:val="0"/>
              <w:bidi w:val="0"/>
              <w:spacing w:before="156" w:line="44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eastAsia="zh-CN"/>
              </w:rPr>
              <w:t>2.</w:t>
            </w:r>
            <w:r>
              <w:rPr>
                <w:rFonts w:hint="eastAsia" w:ascii="宋体" w:hAnsi="宋体" w:eastAsia="宋体" w:cs="宋体"/>
                <w:color w:val="auto"/>
                <w:kern w:val="0"/>
                <w:sz w:val="21"/>
                <w:szCs w:val="21"/>
              </w:rPr>
              <w:t>高扩展性能，无线麦克风接受器连接外接电脑后，可用作独立声卡使用</w:t>
            </w:r>
            <w:r>
              <w:rPr>
                <w:rFonts w:hint="eastAsia" w:ascii="宋体" w:hAnsi="宋体" w:eastAsia="宋体" w:cs="宋体"/>
                <w:color w:val="auto"/>
                <w:kern w:val="0"/>
                <w:sz w:val="21"/>
                <w:szCs w:val="21"/>
                <w:lang w:eastAsia="zh-CN"/>
              </w:rPr>
              <w:t>。</w:t>
            </w:r>
          </w:p>
          <w:p w14:paraId="3712AE37">
            <w:pPr>
              <w:keepNext w:val="0"/>
              <w:keepLines w:val="0"/>
              <w:pageBreakBefore w:val="0"/>
              <w:kinsoku/>
              <w:wordWrap/>
              <w:overflowPunct/>
              <w:topLinePunct w:val="0"/>
              <w:bidi w:val="0"/>
              <w:spacing w:before="156" w:line="44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eastAsia="zh-CN"/>
              </w:rPr>
              <w:t>3.</w:t>
            </w:r>
            <w:r>
              <w:rPr>
                <w:rFonts w:hint="eastAsia" w:ascii="宋体" w:hAnsi="宋体" w:eastAsia="宋体" w:cs="宋体"/>
                <w:color w:val="auto"/>
                <w:kern w:val="0"/>
                <w:sz w:val="21"/>
                <w:szCs w:val="21"/>
              </w:rPr>
              <w:t>无线麦克具有过压过流、高温、低温电池保护功能</w:t>
            </w:r>
            <w:r>
              <w:rPr>
                <w:rFonts w:hint="eastAsia" w:ascii="宋体" w:hAnsi="宋体" w:eastAsia="宋体" w:cs="宋体"/>
                <w:color w:val="auto"/>
                <w:kern w:val="0"/>
                <w:sz w:val="21"/>
                <w:szCs w:val="21"/>
                <w:lang w:eastAsia="zh-CN"/>
              </w:rPr>
              <w:t>。</w:t>
            </w:r>
          </w:p>
        </w:tc>
      </w:tr>
      <w:tr w14:paraId="1AAF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7B686FF">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5</w:t>
            </w:r>
          </w:p>
        </w:tc>
        <w:tc>
          <w:tcPr>
            <w:tcW w:w="1215" w:type="dxa"/>
            <w:noWrap w:val="0"/>
            <w:vAlign w:val="center"/>
          </w:tcPr>
          <w:p w14:paraId="6574C669">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系统集成</w:t>
            </w:r>
          </w:p>
        </w:tc>
        <w:tc>
          <w:tcPr>
            <w:tcW w:w="804" w:type="dxa"/>
            <w:noWrap w:val="0"/>
            <w:vAlign w:val="center"/>
          </w:tcPr>
          <w:p w14:paraId="2DEF0F7F">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项</w:t>
            </w:r>
          </w:p>
        </w:tc>
        <w:tc>
          <w:tcPr>
            <w:tcW w:w="765" w:type="dxa"/>
            <w:gridSpan w:val="2"/>
            <w:noWrap w:val="0"/>
            <w:vAlign w:val="center"/>
          </w:tcPr>
          <w:p w14:paraId="3A322A5C">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10</w:t>
            </w:r>
          </w:p>
        </w:tc>
        <w:tc>
          <w:tcPr>
            <w:tcW w:w="6351" w:type="dxa"/>
            <w:noWrap w:val="0"/>
            <w:vAlign w:val="center"/>
          </w:tcPr>
          <w:p w14:paraId="31FAA9DB">
            <w:pPr>
              <w:keepNext w:val="0"/>
              <w:keepLines w:val="0"/>
              <w:pageBreakBefore w:val="0"/>
              <w:kinsoku/>
              <w:wordWrap/>
              <w:overflowPunct/>
              <w:topLinePunct w:val="0"/>
              <w:bidi w:val="0"/>
              <w:spacing w:before="156" w:line="44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安装要求：</w:t>
            </w:r>
          </w:p>
          <w:p w14:paraId="24B91339">
            <w:pPr>
              <w:keepNext w:val="0"/>
              <w:keepLines w:val="0"/>
              <w:pageBreakBefore w:val="0"/>
              <w:kinsoku/>
              <w:wordWrap/>
              <w:overflowPunct/>
              <w:topLinePunct w:val="0"/>
              <w:bidi w:val="0"/>
              <w:spacing w:before="156" w:line="440" w:lineRule="exact"/>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1.</w:t>
            </w:r>
            <w:r>
              <w:rPr>
                <w:rFonts w:hint="eastAsia" w:ascii="宋体" w:hAnsi="宋体" w:eastAsia="宋体" w:cs="宋体"/>
                <w:color w:val="auto"/>
                <w:kern w:val="0"/>
                <w:sz w:val="21"/>
                <w:szCs w:val="21"/>
              </w:rPr>
              <w:t>材料：3＋5芯专业VGA线，四芯RS232控制线，铜线电源线，铜线投影电源线，专业音频线，插座等必备配件，六类网线。雄塑PVC不燃线槽（管）、视频线接头、电源插座等线材设备以及相关的周边设备、音视频线接头及相关配件、材料全部包干并安装、调试、培训直至设备正常使用；</w:t>
            </w:r>
          </w:p>
          <w:p w14:paraId="7489D297">
            <w:pPr>
              <w:keepNext w:val="0"/>
              <w:keepLines w:val="0"/>
              <w:pageBreakBefore w:val="0"/>
              <w:kinsoku/>
              <w:wordWrap/>
              <w:overflowPunct/>
              <w:topLinePunct w:val="0"/>
              <w:bidi w:val="0"/>
              <w:spacing w:before="156" w:line="44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2.</w:t>
            </w:r>
            <w:r>
              <w:rPr>
                <w:rFonts w:hint="eastAsia" w:ascii="宋体" w:hAnsi="宋体" w:eastAsia="宋体" w:cs="宋体"/>
                <w:color w:val="auto"/>
                <w:kern w:val="0"/>
                <w:sz w:val="21"/>
                <w:szCs w:val="21"/>
              </w:rPr>
              <w:t>安装工艺：安装前要把安装方案的思路、优点、可能存在的问题事先与使用方沟通好，形成书面协议作备忘。所有线路尽量不要经过地面，当不得已要经过地面时要敷设耐踩耐踢的金属防锈线槽（边缘厚度≥1.2mm），所有弯角不得有锐利突出，强弱电分槽敷设，安装整齐美观、牢靠。</w:t>
            </w:r>
          </w:p>
        </w:tc>
      </w:tr>
      <w:tr w14:paraId="730C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5" w:type="dxa"/>
            <w:gridSpan w:val="6"/>
            <w:noWrap w:val="0"/>
            <w:vAlign w:val="top"/>
          </w:tcPr>
          <w:p w14:paraId="767D9C76">
            <w:pPr>
              <w:pStyle w:val="46"/>
              <w:keepNext w:val="0"/>
              <w:keepLines w:val="0"/>
              <w:pageBreakBefore w:val="0"/>
              <w:kinsoku/>
              <w:wordWrap/>
              <w:overflowPunct/>
              <w:topLinePunct w:val="0"/>
              <w:bidi w:val="0"/>
              <w:spacing w:line="440" w:lineRule="exact"/>
              <w:ind w:left="0" w:leftChars="0" w:firstLine="0" w:firstLineChars="0"/>
              <w:jc w:val="both"/>
              <w:rPr>
                <w:rFonts w:hint="eastAsia" w:ascii="宋体" w:hAnsi="宋体" w:eastAsia="宋体" w:cs="宋体"/>
                <w:b/>
                <w:bCs w:val="0"/>
                <w:color w:val="auto"/>
                <w:sz w:val="21"/>
                <w:szCs w:val="21"/>
                <w:shd w:val="clear" w:color="auto" w:fill="FFFFFF"/>
                <w:lang w:val="en-US" w:eastAsia="zh-CN"/>
              </w:rPr>
            </w:pPr>
            <w:r>
              <w:rPr>
                <w:rFonts w:hint="eastAsia" w:ascii="宋体" w:hAnsi="宋体" w:eastAsia="宋体" w:cs="宋体"/>
                <w:b/>
                <w:bCs w:val="0"/>
                <w:color w:val="auto"/>
                <w:sz w:val="21"/>
                <w:szCs w:val="21"/>
                <w:shd w:val="clear" w:color="auto" w:fill="FFFFFF"/>
                <w:lang w:val="en-US" w:eastAsia="zh-CN"/>
              </w:rPr>
              <w:t>（二）体育器材</w:t>
            </w:r>
          </w:p>
        </w:tc>
      </w:tr>
      <w:tr w14:paraId="2A6A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top"/>
          </w:tcPr>
          <w:p w14:paraId="2E8868AF">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
                <w:bCs w:val="0"/>
                <w:color w:val="auto"/>
                <w:kern w:val="0"/>
                <w:sz w:val="21"/>
                <w:szCs w:val="21"/>
                <w:lang w:val="en-US" w:eastAsia="zh-CN"/>
              </w:rPr>
            </w:pPr>
            <w:r>
              <w:rPr>
                <w:rFonts w:hint="eastAsia" w:ascii="宋体" w:hAnsi="宋体" w:eastAsia="宋体" w:cs="宋体"/>
                <w:b/>
                <w:bCs w:val="0"/>
                <w:color w:val="auto"/>
                <w:sz w:val="21"/>
                <w:szCs w:val="21"/>
              </w:rPr>
              <w:t>序号</w:t>
            </w:r>
          </w:p>
        </w:tc>
        <w:tc>
          <w:tcPr>
            <w:tcW w:w="1215" w:type="dxa"/>
            <w:noWrap w:val="0"/>
            <w:vAlign w:val="top"/>
          </w:tcPr>
          <w:p w14:paraId="4F17B96A">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货物名称</w:t>
            </w:r>
          </w:p>
        </w:tc>
        <w:tc>
          <w:tcPr>
            <w:tcW w:w="804" w:type="dxa"/>
            <w:noWrap w:val="0"/>
            <w:vAlign w:val="top"/>
          </w:tcPr>
          <w:p w14:paraId="7A026B0E">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
                <w:bCs w:val="0"/>
                <w:color w:val="auto"/>
                <w:kern w:val="0"/>
                <w:sz w:val="21"/>
                <w:szCs w:val="21"/>
                <w:lang w:val="en-US" w:eastAsia="zh-CN"/>
              </w:rPr>
            </w:pPr>
            <w:r>
              <w:rPr>
                <w:rFonts w:hint="eastAsia" w:ascii="宋体" w:hAnsi="宋体" w:eastAsia="宋体" w:cs="宋体"/>
                <w:b/>
                <w:bCs w:val="0"/>
                <w:color w:val="auto"/>
                <w:sz w:val="21"/>
                <w:szCs w:val="21"/>
              </w:rPr>
              <w:t>单位</w:t>
            </w:r>
          </w:p>
        </w:tc>
        <w:tc>
          <w:tcPr>
            <w:tcW w:w="765" w:type="dxa"/>
            <w:gridSpan w:val="2"/>
            <w:noWrap w:val="0"/>
            <w:vAlign w:val="top"/>
          </w:tcPr>
          <w:p w14:paraId="34A568B8">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
                <w:bCs w:val="0"/>
                <w:color w:val="auto"/>
                <w:kern w:val="0"/>
                <w:sz w:val="21"/>
                <w:szCs w:val="21"/>
                <w:lang w:val="en-US" w:eastAsia="zh-CN"/>
              </w:rPr>
            </w:pPr>
            <w:r>
              <w:rPr>
                <w:rFonts w:hint="eastAsia" w:ascii="宋体" w:hAnsi="宋体" w:eastAsia="宋体" w:cs="宋体"/>
                <w:b/>
                <w:bCs w:val="0"/>
                <w:color w:val="auto"/>
                <w:sz w:val="21"/>
                <w:szCs w:val="21"/>
              </w:rPr>
              <w:t>数量</w:t>
            </w:r>
          </w:p>
        </w:tc>
        <w:tc>
          <w:tcPr>
            <w:tcW w:w="6351" w:type="dxa"/>
            <w:noWrap w:val="0"/>
            <w:vAlign w:val="top"/>
          </w:tcPr>
          <w:p w14:paraId="6E0CCF67">
            <w:pPr>
              <w:pStyle w:val="46"/>
              <w:keepNext w:val="0"/>
              <w:keepLines w:val="0"/>
              <w:pageBreakBefore w:val="0"/>
              <w:kinsoku/>
              <w:wordWrap/>
              <w:overflowPunct/>
              <w:topLinePunct w:val="0"/>
              <w:bidi w:val="0"/>
              <w:spacing w:line="440" w:lineRule="exact"/>
              <w:ind w:firstLine="310" w:firstLineChars="147"/>
              <w:rPr>
                <w:rFonts w:hint="eastAsia" w:ascii="宋体" w:hAnsi="宋体" w:eastAsia="宋体" w:cs="宋体"/>
                <w:b/>
                <w:bCs w:val="0"/>
                <w:color w:val="auto"/>
                <w:sz w:val="21"/>
                <w:szCs w:val="21"/>
                <w:shd w:val="clear" w:color="auto" w:fill="FFFFFF"/>
              </w:rPr>
            </w:pPr>
            <w:r>
              <w:rPr>
                <w:rFonts w:hint="eastAsia" w:ascii="宋体" w:hAnsi="宋体" w:eastAsia="宋体" w:cs="宋体"/>
                <w:b/>
                <w:bCs w:val="0"/>
                <w:color w:val="auto"/>
                <w:sz w:val="21"/>
                <w:szCs w:val="21"/>
              </w:rPr>
              <w:t>技术参数、规格及要求</w:t>
            </w:r>
          </w:p>
        </w:tc>
      </w:tr>
      <w:tr w14:paraId="7AA9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364BCD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1215" w:type="dxa"/>
            <w:noWrap w:val="0"/>
            <w:vAlign w:val="center"/>
          </w:tcPr>
          <w:p w14:paraId="17C1EAE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接力棒</w:t>
            </w:r>
          </w:p>
        </w:tc>
        <w:tc>
          <w:tcPr>
            <w:tcW w:w="804" w:type="dxa"/>
            <w:noWrap w:val="0"/>
            <w:vAlign w:val="center"/>
          </w:tcPr>
          <w:p w14:paraId="7F1A44D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根</w:t>
            </w:r>
          </w:p>
        </w:tc>
        <w:tc>
          <w:tcPr>
            <w:tcW w:w="765" w:type="dxa"/>
            <w:gridSpan w:val="2"/>
            <w:noWrap w:val="0"/>
            <w:vAlign w:val="center"/>
          </w:tcPr>
          <w:p w14:paraId="2223CA8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17</w:t>
            </w:r>
          </w:p>
        </w:tc>
        <w:tc>
          <w:tcPr>
            <w:tcW w:w="6351" w:type="dxa"/>
            <w:noWrap w:val="0"/>
            <w:vAlign w:val="center"/>
          </w:tcPr>
          <w:p w14:paraId="1B199AD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lang w:val="en-US" w:eastAsia="zh-CN"/>
              </w:rPr>
            </w:pPr>
            <w:r>
              <w:rPr>
                <w:rFonts w:hint="eastAsia" w:ascii="宋体" w:hAnsi="宋体" w:eastAsia="宋体" w:cs="宋体"/>
                <w:i w:val="0"/>
                <w:iCs w:val="0"/>
                <w:color w:val="auto"/>
                <w:kern w:val="0"/>
                <w:sz w:val="21"/>
                <w:szCs w:val="21"/>
                <w:u w:val="none"/>
                <w:lang w:val="en-US" w:eastAsia="zh-CN" w:bidi="ar"/>
              </w:rPr>
              <w:t>1.300mm×30mm，中小学体育教学用；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2.木质，表面静电喷涂、色泽鲜艳。</w:t>
            </w:r>
          </w:p>
        </w:tc>
      </w:tr>
      <w:tr w14:paraId="1E99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9D7352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1215" w:type="dxa"/>
            <w:noWrap w:val="0"/>
            <w:vAlign w:val="center"/>
          </w:tcPr>
          <w:p w14:paraId="77AFD32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跨栏架</w:t>
            </w:r>
          </w:p>
        </w:tc>
        <w:tc>
          <w:tcPr>
            <w:tcW w:w="804" w:type="dxa"/>
            <w:noWrap w:val="0"/>
            <w:vAlign w:val="center"/>
          </w:tcPr>
          <w:p w14:paraId="57CAE19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付</w:t>
            </w:r>
          </w:p>
        </w:tc>
        <w:tc>
          <w:tcPr>
            <w:tcW w:w="765" w:type="dxa"/>
            <w:gridSpan w:val="2"/>
            <w:noWrap w:val="0"/>
            <w:vAlign w:val="center"/>
          </w:tcPr>
          <w:p w14:paraId="1CA58B6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3743B31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1.钢塑，升降，折叠式，可升降，最低700mm；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2.金属件外表面采用抛丸喷砂（或酸洗磷化）除锈、静电喷涂表面处理。</w:t>
            </w:r>
          </w:p>
        </w:tc>
      </w:tr>
      <w:tr w14:paraId="69C6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C2F1C8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3</w:t>
            </w:r>
          </w:p>
        </w:tc>
        <w:tc>
          <w:tcPr>
            <w:tcW w:w="1215" w:type="dxa"/>
            <w:noWrap w:val="0"/>
            <w:vAlign w:val="center"/>
          </w:tcPr>
          <w:p w14:paraId="5FB2976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发令枪</w:t>
            </w:r>
          </w:p>
        </w:tc>
        <w:tc>
          <w:tcPr>
            <w:tcW w:w="804" w:type="dxa"/>
            <w:noWrap w:val="0"/>
            <w:vAlign w:val="center"/>
          </w:tcPr>
          <w:p w14:paraId="76D2222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4C0DF8E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25A1856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1.弹种定装式发令弹；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2.容弹量2发；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3.发射方式:单发；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4.总质量:260克；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5.声响:膛口水平面正前方100处,声强值不小于60分贝；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6.烟雾:在规定背景下,膛正前方150米清晰可见。带包，可空打试枪。</w:t>
            </w:r>
          </w:p>
        </w:tc>
      </w:tr>
      <w:tr w14:paraId="3A19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D147CB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1215" w:type="dxa"/>
            <w:noWrap w:val="0"/>
            <w:vAlign w:val="center"/>
          </w:tcPr>
          <w:p w14:paraId="68FDB9B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标志杆(筒)</w:t>
            </w:r>
          </w:p>
        </w:tc>
        <w:tc>
          <w:tcPr>
            <w:tcW w:w="804" w:type="dxa"/>
            <w:noWrap w:val="0"/>
            <w:vAlign w:val="center"/>
          </w:tcPr>
          <w:p w14:paraId="1825936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根</w:t>
            </w:r>
          </w:p>
        </w:tc>
        <w:tc>
          <w:tcPr>
            <w:tcW w:w="765" w:type="dxa"/>
            <w:gridSpan w:val="2"/>
            <w:noWrap w:val="0"/>
            <w:vAlign w:val="center"/>
          </w:tcPr>
          <w:p w14:paraId="1DFC1EF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16</w:t>
            </w:r>
          </w:p>
        </w:tc>
        <w:tc>
          <w:tcPr>
            <w:tcW w:w="6351" w:type="dxa"/>
            <w:noWrap w:val="0"/>
            <w:vAlign w:val="center"/>
          </w:tcPr>
          <w:p w14:paraId="6B4A284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1.ABS工程塑料，立柱直径17mm，杆高1600mm，底座直径140mm，厚度12mm；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2.配红色角旗。</w:t>
            </w:r>
          </w:p>
        </w:tc>
      </w:tr>
      <w:tr w14:paraId="3294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E86F94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5</w:t>
            </w:r>
          </w:p>
        </w:tc>
        <w:tc>
          <w:tcPr>
            <w:tcW w:w="1215" w:type="dxa"/>
            <w:noWrap w:val="0"/>
            <w:vAlign w:val="center"/>
          </w:tcPr>
          <w:p w14:paraId="7EDE076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秒表</w:t>
            </w:r>
          </w:p>
        </w:tc>
        <w:tc>
          <w:tcPr>
            <w:tcW w:w="804" w:type="dxa"/>
            <w:noWrap w:val="0"/>
            <w:vAlign w:val="center"/>
          </w:tcPr>
          <w:p w14:paraId="5377418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块</w:t>
            </w:r>
          </w:p>
        </w:tc>
        <w:tc>
          <w:tcPr>
            <w:tcW w:w="765" w:type="dxa"/>
            <w:gridSpan w:val="2"/>
            <w:noWrap w:val="0"/>
            <w:vAlign w:val="center"/>
          </w:tcPr>
          <w:p w14:paraId="293A382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6</w:t>
            </w:r>
          </w:p>
        </w:tc>
        <w:tc>
          <w:tcPr>
            <w:tcW w:w="6351" w:type="dxa"/>
            <w:noWrap w:val="0"/>
            <w:vAlign w:val="center"/>
          </w:tcPr>
          <w:p w14:paraId="752F709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1.电子秒表，供体育教学及比赛训练用；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2.60道以上，精度1/100秒。防水防震，三排数码显示，具有分散、重叠和累计时间显示功能；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3.具有记忆、存储、重现功能，能存储40种以上信息（60人以上的成绩）。</w:t>
            </w:r>
          </w:p>
        </w:tc>
      </w:tr>
      <w:tr w14:paraId="5677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C96024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6</w:t>
            </w:r>
          </w:p>
        </w:tc>
        <w:tc>
          <w:tcPr>
            <w:tcW w:w="1215" w:type="dxa"/>
            <w:noWrap w:val="0"/>
            <w:vAlign w:val="center"/>
          </w:tcPr>
          <w:p w14:paraId="3467A6B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跳高架</w:t>
            </w:r>
          </w:p>
        </w:tc>
        <w:tc>
          <w:tcPr>
            <w:tcW w:w="804" w:type="dxa"/>
            <w:noWrap w:val="0"/>
            <w:vAlign w:val="center"/>
          </w:tcPr>
          <w:p w14:paraId="18A96E7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付</w:t>
            </w:r>
          </w:p>
        </w:tc>
        <w:tc>
          <w:tcPr>
            <w:tcW w:w="765" w:type="dxa"/>
            <w:gridSpan w:val="2"/>
            <w:noWrap w:val="0"/>
            <w:vAlign w:val="center"/>
          </w:tcPr>
          <w:p w14:paraId="52EE46F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3B79A159">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1.立柱高度：1600-2000mm；高度刻度：500-1800mm；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2.横杆托长：60±5mm，宽：40±5mm。跳高架高度应超过横杆实际提升高度100MM。跳高架立柱应垂直地面，垂直公差不大于1/800，其高度刻度应精确、清晰；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3.两立柱高度刻度应对称。立柱应承受100N水平力而保持稳定，不得出现倾翻现象。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4.立柱外观质量：表面光滑平整，色泽均匀，无起皮脱落、漏涂、裂痕及明显流痕，花斑、起泡凹凸等缺陷。不带轮。</w:t>
            </w:r>
          </w:p>
        </w:tc>
      </w:tr>
      <w:tr w14:paraId="7384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A07875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7</w:t>
            </w:r>
          </w:p>
        </w:tc>
        <w:tc>
          <w:tcPr>
            <w:tcW w:w="1215" w:type="dxa"/>
            <w:noWrap w:val="0"/>
            <w:vAlign w:val="center"/>
          </w:tcPr>
          <w:p w14:paraId="72CF94D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跳高横竿</w:t>
            </w:r>
          </w:p>
        </w:tc>
        <w:tc>
          <w:tcPr>
            <w:tcW w:w="804" w:type="dxa"/>
            <w:noWrap w:val="0"/>
            <w:vAlign w:val="center"/>
          </w:tcPr>
          <w:p w14:paraId="620494B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根</w:t>
            </w:r>
          </w:p>
        </w:tc>
        <w:tc>
          <w:tcPr>
            <w:tcW w:w="765" w:type="dxa"/>
            <w:gridSpan w:val="2"/>
            <w:noWrap w:val="0"/>
            <w:vAlign w:val="center"/>
          </w:tcPr>
          <w:p w14:paraId="079FD00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6351" w:type="dxa"/>
            <w:noWrap w:val="0"/>
            <w:vAlign w:val="center"/>
          </w:tcPr>
          <w:p w14:paraId="7DC93A10">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1.横杆长度：3000-4000mm；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2.横杆直径：25-30mm，质量≤2000g竹竿。</w:t>
            </w:r>
          </w:p>
        </w:tc>
      </w:tr>
      <w:tr w14:paraId="73D2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035B81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8</w:t>
            </w:r>
          </w:p>
        </w:tc>
        <w:tc>
          <w:tcPr>
            <w:tcW w:w="1215" w:type="dxa"/>
            <w:noWrap w:val="0"/>
            <w:vAlign w:val="center"/>
          </w:tcPr>
          <w:p w14:paraId="2DC826C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助跳板</w:t>
            </w:r>
          </w:p>
        </w:tc>
        <w:tc>
          <w:tcPr>
            <w:tcW w:w="804" w:type="dxa"/>
            <w:noWrap w:val="0"/>
            <w:vAlign w:val="center"/>
          </w:tcPr>
          <w:p w14:paraId="49534F5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块</w:t>
            </w:r>
          </w:p>
        </w:tc>
        <w:tc>
          <w:tcPr>
            <w:tcW w:w="765" w:type="dxa"/>
            <w:gridSpan w:val="2"/>
            <w:noWrap w:val="0"/>
            <w:vAlign w:val="center"/>
          </w:tcPr>
          <w:p w14:paraId="411135C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6351" w:type="dxa"/>
            <w:noWrap w:val="0"/>
            <w:vAlign w:val="center"/>
          </w:tcPr>
          <w:p w14:paraId="259FC685">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1.助跳板长800mm，宽500mm板条宽60mm，间距17mm,板条厚25mm,最高点160mm，最低点50mm；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2.助跳板背面加固定横衬，板条长800mm；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3.材质：用坚硬而富有弹性的优质木材制成，表面刷透明漆，涂层均匀，光洁；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4.木材应无裂缝，无疤痕，不变形，并经过脱脂干燥处理，制作工艺精细，各连接部位牢固可靠，经久耐用。</w:t>
            </w:r>
          </w:p>
        </w:tc>
      </w:tr>
      <w:tr w14:paraId="0BDB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21F07C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strike w:val="0"/>
                <w:dstrike w:val="0"/>
                <w:color w:val="auto"/>
                <w:kern w:val="0"/>
                <w:sz w:val="21"/>
                <w:szCs w:val="21"/>
                <w:u w:val="none"/>
                <w:lang w:val="en-US" w:eastAsia="zh-CN" w:bidi="ar"/>
              </w:rPr>
              <w:t>9</w:t>
            </w:r>
          </w:p>
        </w:tc>
        <w:tc>
          <w:tcPr>
            <w:tcW w:w="1215" w:type="dxa"/>
            <w:noWrap w:val="0"/>
            <w:vAlign w:val="center"/>
          </w:tcPr>
          <w:p w14:paraId="31C84EB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实心球</w:t>
            </w:r>
          </w:p>
        </w:tc>
        <w:tc>
          <w:tcPr>
            <w:tcW w:w="804" w:type="dxa"/>
            <w:noWrap w:val="0"/>
            <w:vAlign w:val="center"/>
          </w:tcPr>
          <w:p w14:paraId="78BE839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C22267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48</w:t>
            </w:r>
          </w:p>
        </w:tc>
        <w:tc>
          <w:tcPr>
            <w:tcW w:w="6351" w:type="dxa"/>
            <w:noWrap w:val="0"/>
            <w:vAlign w:val="center"/>
          </w:tcPr>
          <w:p w14:paraId="2CAE79D7">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1.重量1Kg，直径≥180mm，壁厚≥1.5mm；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2.材质为塑胶（PU）；表面手感有弹性，平滑、无毛刺；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3.色彩鲜艳，符合学生心理特点。</w:t>
            </w:r>
          </w:p>
        </w:tc>
      </w:tr>
      <w:tr w14:paraId="4E63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B45D21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10</w:t>
            </w:r>
          </w:p>
        </w:tc>
        <w:tc>
          <w:tcPr>
            <w:tcW w:w="1215" w:type="dxa"/>
            <w:noWrap w:val="0"/>
            <w:vAlign w:val="center"/>
          </w:tcPr>
          <w:p w14:paraId="41C1EE2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实心球</w:t>
            </w:r>
          </w:p>
        </w:tc>
        <w:tc>
          <w:tcPr>
            <w:tcW w:w="804" w:type="dxa"/>
            <w:noWrap w:val="0"/>
            <w:vAlign w:val="center"/>
          </w:tcPr>
          <w:p w14:paraId="139979B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278AB2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100</w:t>
            </w:r>
          </w:p>
        </w:tc>
        <w:tc>
          <w:tcPr>
            <w:tcW w:w="6351" w:type="dxa"/>
            <w:noWrap w:val="0"/>
            <w:vAlign w:val="center"/>
          </w:tcPr>
          <w:p w14:paraId="5358FEE4">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1.圆周长420mm～780mm,质量2000g±30g圆球形，充气式橡胶实心球，有内胆，手感柔软无伤害，外摸无填充物感觉；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2.球面用4mm厚的天然橡胶整体成形，未使用再生胶，产品没有异味；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3.从10M高处自由落体试验后，无破裂。球表面防滑，球上有明显不易脱落的商标、标志；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4.外表面均匀分布乳头状小颗粒，半球结合处没有凹楞。</w:t>
            </w:r>
          </w:p>
        </w:tc>
      </w:tr>
      <w:tr w14:paraId="3DB0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4A8F4C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11</w:t>
            </w:r>
          </w:p>
        </w:tc>
        <w:tc>
          <w:tcPr>
            <w:tcW w:w="1215" w:type="dxa"/>
            <w:noWrap w:val="0"/>
            <w:vAlign w:val="center"/>
          </w:tcPr>
          <w:p w14:paraId="28D1B14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皮尺</w:t>
            </w:r>
          </w:p>
        </w:tc>
        <w:tc>
          <w:tcPr>
            <w:tcW w:w="804" w:type="dxa"/>
            <w:noWrap w:val="0"/>
            <w:vAlign w:val="center"/>
          </w:tcPr>
          <w:p w14:paraId="05C0F6D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卷</w:t>
            </w:r>
          </w:p>
        </w:tc>
        <w:tc>
          <w:tcPr>
            <w:tcW w:w="765" w:type="dxa"/>
            <w:gridSpan w:val="2"/>
            <w:noWrap w:val="0"/>
            <w:vAlign w:val="center"/>
          </w:tcPr>
          <w:p w14:paraId="61D5E4F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17236CDC">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盘式皮尺；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1.长30m，刻度清晰，结构外观；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2.转动灵活，尺盒、摇柄和首端装有金属拉环的整条尺带，分度值1cm，最少刻度1mm，材质为布质或纤维尺带，长度30m，尺宽不少于12.5mm，厚度不小于1mm。</w:t>
            </w:r>
          </w:p>
        </w:tc>
      </w:tr>
      <w:tr w14:paraId="335E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7EE1A0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12</w:t>
            </w:r>
          </w:p>
        </w:tc>
        <w:tc>
          <w:tcPr>
            <w:tcW w:w="1215" w:type="dxa"/>
            <w:noWrap w:val="0"/>
            <w:vAlign w:val="center"/>
          </w:tcPr>
          <w:p w14:paraId="44BAF97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大体操垫</w:t>
            </w:r>
          </w:p>
        </w:tc>
        <w:tc>
          <w:tcPr>
            <w:tcW w:w="804" w:type="dxa"/>
            <w:noWrap w:val="0"/>
            <w:vAlign w:val="center"/>
          </w:tcPr>
          <w:p w14:paraId="5F58C78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块</w:t>
            </w:r>
          </w:p>
        </w:tc>
        <w:tc>
          <w:tcPr>
            <w:tcW w:w="765" w:type="dxa"/>
            <w:gridSpan w:val="2"/>
            <w:noWrap w:val="0"/>
            <w:vAlign w:val="center"/>
          </w:tcPr>
          <w:p w14:paraId="27818BA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16</w:t>
            </w:r>
          </w:p>
        </w:tc>
        <w:tc>
          <w:tcPr>
            <w:tcW w:w="6351" w:type="dxa"/>
            <w:noWrap w:val="0"/>
            <w:vAlign w:val="center"/>
          </w:tcPr>
          <w:p w14:paraId="03F8BE12">
            <w:pPr>
              <w:keepNext w:val="0"/>
              <w:keepLines w:val="0"/>
              <w:pageBreakBefore w:val="0"/>
              <w:widowControl/>
              <w:suppressLineNumbers w:val="0"/>
              <w:kinsoku/>
              <w:wordWrap/>
              <w:overflowPunct/>
              <w:topLinePunct w:val="0"/>
              <w:bidi w:val="0"/>
              <w:snapToGrid/>
              <w:spacing w:line="440" w:lineRule="exact"/>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1.规格：2000×1000×100mm，折叠式；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2.体操垫外套为帆布，填料为整块聚氨酯，软硬均匀、适宜，回弹效果好；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3.折叠式体操垫两面厚薄一致，两边连线牢固平值、缝线平直均匀牢固，不漏针，便于折叠；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4.垫套表面平整无皱纹，棱角整齐，色泽一致，手把结实牢固，四角直角。符合相关标准要求。</w:t>
            </w:r>
          </w:p>
        </w:tc>
      </w:tr>
      <w:tr w14:paraId="7DAF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5BB163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13</w:t>
            </w:r>
          </w:p>
        </w:tc>
        <w:tc>
          <w:tcPr>
            <w:tcW w:w="1215" w:type="dxa"/>
            <w:noWrap w:val="0"/>
            <w:vAlign w:val="center"/>
          </w:tcPr>
          <w:p w14:paraId="26A15C4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小体操垫</w:t>
            </w:r>
          </w:p>
        </w:tc>
        <w:tc>
          <w:tcPr>
            <w:tcW w:w="804" w:type="dxa"/>
            <w:noWrap w:val="0"/>
            <w:vAlign w:val="center"/>
          </w:tcPr>
          <w:p w14:paraId="5E0455C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块</w:t>
            </w:r>
          </w:p>
        </w:tc>
        <w:tc>
          <w:tcPr>
            <w:tcW w:w="765" w:type="dxa"/>
            <w:gridSpan w:val="2"/>
            <w:noWrap w:val="0"/>
            <w:vAlign w:val="center"/>
          </w:tcPr>
          <w:p w14:paraId="3403369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48</w:t>
            </w:r>
          </w:p>
        </w:tc>
        <w:tc>
          <w:tcPr>
            <w:tcW w:w="6351" w:type="dxa"/>
            <w:noWrap w:val="0"/>
            <w:vAlign w:val="center"/>
          </w:tcPr>
          <w:p w14:paraId="384020C7">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1.长1200mm，宽600mm，厚100mm；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2.外层面料要求：结实耐用；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3.内胆为聚氨酯材料，软硬适中，弹性好；四角为直角，表面平整、无皱折、色泽一致；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4.当载荷落至跳垫时，外层不起皱，里外层不发生相对位移；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5.在长度方向对半折叠，两侧各有提手；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6.色彩鲜艳,符合学生心理特点；符合相关标准要求。</w:t>
            </w:r>
          </w:p>
        </w:tc>
      </w:tr>
      <w:tr w14:paraId="73EF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CED88E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14</w:t>
            </w:r>
          </w:p>
        </w:tc>
        <w:tc>
          <w:tcPr>
            <w:tcW w:w="1215" w:type="dxa"/>
            <w:noWrap w:val="0"/>
            <w:vAlign w:val="center"/>
          </w:tcPr>
          <w:p w14:paraId="55ABD2F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毽子</w:t>
            </w:r>
          </w:p>
        </w:tc>
        <w:tc>
          <w:tcPr>
            <w:tcW w:w="804" w:type="dxa"/>
            <w:noWrap w:val="0"/>
            <w:vAlign w:val="center"/>
          </w:tcPr>
          <w:p w14:paraId="6F06645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只</w:t>
            </w:r>
          </w:p>
        </w:tc>
        <w:tc>
          <w:tcPr>
            <w:tcW w:w="765" w:type="dxa"/>
            <w:gridSpan w:val="2"/>
            <w:noWrap w:val="0"/>
            <w:vAlign w:val="center"/>
          </w:tcPr>
          <w:p w14:paraId="3A7DB28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29F6CE73">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1.毽子高130-135mm，重13-15g；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2.毽垫直径38-40mm，厚度15-20mm；毽毛≥100mm；毽垫为金属材料，底部为橡胶制弹性底垫；</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3.毽毛为四根经处理的长鸭毛组成，羽毛宽32-35mm，插毛管高22-24mm。毽毛色彩鲜艳，符合学生心理特点。</w:t>
            </w:r>
          </w:p>
        </w:tc>
      </w:tr>
      <w:tr w14:paraId="6FE21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B24822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15</w:t>
            </w:r>
          </w:p>
        </w:tc>
        <w:tc>
          <w:tcPr>
            <w:tcW w:w="1215" w:type="dxa"/>
            <w:noWrap w:val="0"/>
            <w:vAlign w:val="center"/>
          </w:tcPr>
          <w:p w14:paraId="0634066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剑(刀)</w:t>
            </w:r>
          </w:p>
        </w:tc>
        <w:tc>
          <w:tcPr>
            <w:tcW w:w="804" w:type="dxa"/>
            <w:noWrap w:val="0"/>
            <w:vAlign w:val="center"/>
          </w:tcPr>
          <w:p w14:paraId="0ABA0E7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柄</w:t>
            </w:r>
          </w:p>
        </w:tc>
        <w:tc>
          <w:tcPr>
            <w:tcW w:w="765" w:type="dxa"/>
            <w:gridSpan w:val="2"/>
            <w:noWrap w:val="0"/>
            <w:vAlign w:val="center"/>
          </w:tcPr>
          <w:p w14:paraId="61605C8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48</w:t>
            </w:r>
          </w:p>
        </w:tc>
        <w:tc>
          <w:tcPr>
            <w:tcW w:w="6351" w:type="dxa"/>
            <w:noWrap w:val="0"/>
            <w:vAlign w:val="center"/>
          </w:tcPr>
          <w:p w14:paraId="51BA947C">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1.木竹制品，全长900mm、刀柄长15mm；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2.尾部带红布，表面光滑无毛刺。</w:t>
            </w:r>
          </w:p>
        </w:tc>
      </w:tr>
      <w:tr w14:paraId="0521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8499F5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highlight w:val="green"/>
                <w:lang w:val="en-US" w:eastAsia="zh-CN"/>
              </w:rPr>
            </w:pPr>
            <w:r>
              <w:rPr>
                <w:rFonts w:hint="eastAsia" w:ascii="宋体" w:hAnsi="宋体" w:eastAsia="宋体" w:cs="宋体"/>
                <w:i w:val="0"/>
                <w:iCs w:val="0"/>
                <w:color w:val="auto"/>
                <w:kern w:val="0"/>
                <w:sz w:val="21"/>
                <w:szCs w:val="21"/>
                <w:u w:val="none"/>
                <w:lang w:val="en-US" w:eastAsia="zh-CN" w:bidi="ar"/>
              </w:rPr>
              <w:t>16</w:t>
            </w:r>
          </w:p>
        </w:tc>
        <w:tc>
          <w:tcPr>
            <w:tcW w:w="1215" w:type="dxa"/>
            <w:noWrap w:val="0"/>
            <w:vAlign w:val="center"/>
          </w:tcPr>
          <w:p w14:paraId="74F5231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highlight w:val="green"/>
              </w:rPr>
            </w:pPr>
            <w:r>
              <w:rPr>
                <w:rFonts w:hint="eastAsia" w:ascii="宋体" w:hAnsi="宋体" w:eastAsia="宋体" w:cs="宋体"/>
                <w:i w:val="0"/>
                <w:iCs w:val="0"/>
                <w:color w:val="auto"/>
                <w:kern w:val="0"/>
                <w:sz w:val="21"/>
                <w:szCs w:val="21"/>
                <w:u w:val="none"/>
                <w:lang w:val="en-US" w:eastAsia="zh-CN" w:bidi="ar"/>
              </w:rPr>
              <w:t>棍</w:t>
            </w:r>
          </w:p>
        </w:tc>
        <w:tc>
          <w:tcPr>
            <w:tcW w:w="804" w:type="dxa"/>
            <w:noWrap w:val="0"/>
            <w:vAlign w:val="center"/>
          </w:tcPr>
          <w:p w14:paraId="5D01E10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highlight w:val="green"/>
                <w:lang w:val="en-US" w:eastAsia="zh-CN"/>
              </w:rPr>
            </w:pPr>
            <w:r>
              <w:rPr>
                <w:rFonts w:hint="eastAsia" w:ascii="宋体" w:hAnsi="宋体" w:eastAsia="宋体" w:cs="宋体"/>
                <w:i w:val="0"/>
                <w:iCs w:val="0"/>
                <w:color w:val="auto"/>
                <w:kern w:val="0"/>
                <w:sz w:val="21"/>
                <w:szCs w:val="21"/>
                <w:u w:val="none"/>
                <w:lang w:val="en-US" w:eastAsia="zh-CN" w:bidi="ar"/>
              </w:rPr>
              <w:t>根</w:t>
            </w:r>
          </w:p>
        </w:tc>
        <w:tc>
          <w:tcPr>
            <w:tcW w:w="765" w:type="dxa"/>
            <w:gridSpan w:val="2"/>
            <w:noWrap w:val="0"/>
            <w:vAlign w:val="center"/>
          </w:tcPr>
          <w:p w14:paraId="0A7BC9D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highlight w:val="green"/>
                <w:lang w:val="en-US" w:eastAsia="zh-CN"/>
              </w:rPr>
            </w:pPr>
            <w:r>
              <w:rPr>
                <w:rFonts w:hint="eastAsia" w:ascii="宋体" w:hAnsi="宋体" w:eastAsia="宋体" w:cs="宋体"/>
                <w:i w:val="0"/>
                <w:iCs w:val="0"/>
                <w:color w:val="auto"/>
                <w:kern w:val="0"/>
                <w:sz w:val="21"/>
                <w:szCs w:val="21"/>
                <w:u w:val="none"/>
                <w:lang w:val="en-US" w:eastAsia="zh-CN" w:bidi="ar"/>
              </w:rPr>
              <w:t>48</w:t>
            </w:r>
          </w:p>
        </w:tc>
        <w:tc>
          <w:tcPr>
            <w:tcW w:w="6351" w:type="dxa"/>
            <w:noWrap w:val="0"/>
            <w:vAlign w:val="center"/>
          </w:tcPr>
          <w:p w14:paraId="5327857F">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color w:val="auto"/>
                <w:sz w:val="21"/>
                <w:szCs w:val="21"/>
                <w:highlight w:val="green"/>
                <w:lang w:val="en-US" w:eastAsia="zh-CN"/>
              </w:rPr>
            </w:pPr>
            <w:r>
              <w:rPr>
                <w:rFonts w:hint="eastAsia" w:ascii="宋体" w:hAnsi="宋体" w:eastAsia="宋体" w:cs="宋体"/>
                <w:i w:val="0"/>
                <w:iCs w:val="0"/>
                <w:color w:val="auto"/>
                <w:kern w:val="0"/>
                <w:sz w:val="21"/>
                <w:szCs w:val="21"/>
                <w:u w:val="none"/>
                <w:lang w:val="en-US" w:eastAsia="zh-CN" w:bidi="ar"/>
              </w:rPr>
              <w:t>1.原木制品，1.6～1.8米，直径≥4cm；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2.表面光滑无毛刺。</w:t>
            </w:r>
          </w:p>
        </w:tc>
      </w:tr>
      <w:tr w14:paraId="63AB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9FA9F2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17</w:t>
            </w:r>
          </w:p>
        </w:tc>
        <w:tc>
          <w:tcPr>
            <w:tcW w:w="1215" w:type="dxa"/>
            <w:noWrap w:val="0"/>
            <w:vAlign w:val="center"/>
          </w:tcPr>
          <w:p w14:paraId="48C7D93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短跳绳</w:t>
            </w:r>
          </w:p>
        </w:tc>
        <w:tc>
          <w:tcPr>
            <w:tcW w:w="804" w:type="dxa"/>
            <w:noWrap w:val="0"/>
            <w:vAlign w:val="center"/>
          </w:tcPr>
          <w:p w14:paraId="0E8DECB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根</w:t>
            </w:r>
          </w:p>
        </w:tc>
        <w:tc>
          <w:tcPr>
            <w:tcW w:w="765" w:type="dxa"/>
            <w:gridSpan w:val="2"/>
            <w:noWrap w:val="0"/>
            <w:vAlign w:val="center"/>
          </w:tcPr>
          <w:p w14:paraId="246AD12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90</w:t>
            </w:r>
          </w:p>
        </w:tc>
        <w:tc>
          <w:tcPr>
            <w:tcW w:w="6351" w:type="dxa"/>
            <w:noWrap w:val="0"/>
            <w:vAlign w:val="center"/>
          </w:tcPr>
          <w:p w14:paraId="47DDB5B5">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1.绳的规格：长度2600mm—2800mm，直径6—7mm；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2.握手柄的规格：长度150-170mm，直径28-33mm；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3.绳材质为棉绳材质制成，无毒、环保，柄材质为塑料加海绵防滑套；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4.绳柔软，韧性好；旋转流畅、方便调节绳的长度，有锁紧绳装置；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5.色彩鲜艳，符合学生心理特点。产品应符合GB/T19851.20-2007《跳绳》有关规定。</w:t>
            </w:r>
          </w:p>
        </w:tc>
      </w:tr>
      <w:tr w14:paraId="071A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02D7E5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18</w:t>
            </w:r>
          </w:p>
        </w:tc>
        <w:tc>
          <w:tcPr>
            <w:tcW w:w="1215" w:type="dxa"/>
            <w:noWrap w:val="0"/>
            <w:vAlign w:val="center"/>
          </w:tcPr>
          <w:p w14:paraId="14A9B65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长跳绳</w:t>
            </w:r>
          </w:p>
        </w:tc>
        <w:tc>
          <w:tcPr>
            <w:tcW w:w="804" w:type="dxa"/>
            <w:noWrap w:val="0"/>
            <w:vAlign w:val="center"/>
          </w:tcPr>
          <w:p w14:paraId="618285D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根</w:t>
            </w:r>
          </w:p>
        </w:tc>
        <w:tc>
          <w:tcPr>
            <w:tcW w:w="765" w:type="dxa"/>
            <w:gridSpan w:val="2"/>
            <w:noWrap w:val="0"/>
            <w:vAlign w:val="center"/>
          </w:tcPr>
          <w:p w14:paraId="370D1EA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1ACED3AA">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1.手柄用杂木制成，尺寸为Φ26mm×130mm。表面光滑，无裂纹，无毛刺,手感舒适且与绳结合牢固；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2.绳料用涤纶材质制成，绳粗约为Φ7mm，绳长500cm；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3.手柄与绳的结合能承受20kg的力而不脱落；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4.手柄与绳连接处灵活转动，无缠绞现象。产品应符合GB/T19851.20-2007《跳绳》有关规定。</w:t>
            </w:r>
          </w:p>
        </w:tc>
      </w:tr>
      <w:tr w14:paraId="6335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8A5F26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19</w:t>
            </w:r>
          </w:p>
        </w:tc>
        <w:tc>
          <w:tcPr>
            <w:tcW w:w="1215" w:type="dxa"/>
            <w:noWrap w:val="0"/>
            <w:vAlign w:val="center"/>
          </w:tcPr>
          <w:p w14:paraId="647800E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拔河绳</w:t>
            </w:r>
          </w:p>
        </w:tc>
        <w:tc>
          <w:tcPr>
            <w:tcW w:w="804" w:type="dxa"/>
            <w:noWrap w:val="0"/>
            <w:vAlign w:val="center"/>
          </w:tcPr>
          <w:p w14:paraId="43EAAA0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根</w:t>
            </w:r>
          </w:p>
        </w:tc>
        <w:tc>
          <w:tcPr>
            <w:tcW w:w="765" w:type="dxa"/>
            <w:gridSpan w:val="2"/>
            <w:noWrap w:val="0"/>
            <w:vAlign w:val="center"/>
          </w:tcPr>
          <w:p w14:paraId="62C0D24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6351" w:type="dxa"/>
            <w:noWrap w:val="0"/>
            <w:vAlign w:val="center"/>
          </w:tcPr>
          <w:p w14:paraId="5B719A26">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1.拔河绳应用麻绳多股绞合而成；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2.绳长30m，直径Φ≥40mm；绳的抗拉力≥490KN；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3.绳的两端结孔，中间套以红色标记，绳的质地无霉变、腐朽、虫咬等缺陷。</w:t>
            </w:r>
          </w:p>
        </w:tc>
      </w:tr>
      <w:tr w14:paraId="2B7D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34CFA58">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1215" w:type="dxa"/>
            <w:noWrap w:val="0"/>
            <w:vAlign w:val="center"/>
          </w:tcPr>
          <w:p w14:paraId="68A5748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highlight w:val="green"/>
              </w:rPr>
            </w:pPr>
            <w:r>
              <w:rPr>
                <w:rFonts w:hint="eastAsia" w:ascii="宋体" w:hAnsi="宋体" w:eastAsia="宋体" w:cs="宋体"/>
                <w:i w:val="0"/>
                <w:iCs w:val="0"/>
                <w:color w:val="auto"/>
                <w:kern w:val="0"/>
                <w:sz w:val="21"/>
                <w:szCs w:val="21"/>
                <w:u w:val="none"/>
                <w:lang w:val="en-US" w:eastAsia="zh-CN" w:bidi="ar"/>
              </w:rPr>
              <w:t>乒乓球拍</w:t>
            </w:r>
          </w:p>
        </w:tc>
        <w:tc>
          <w:tcPr>
            <w:tcW w:w="804" w:type="dxa"/>
            <w:noWrap w:val="0"/>
            <w:vAlign w:val="center"/>
          </w:tcPr>
          <w:p w14:paraId="24ED6B4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highlight w:val="green"/>
                <w:lang w:val="en-US" w:eastAsia="zh-CN"/>
              </w:rPr>
            </w:pPr>
            <w:r>
              <w:rPr>
                <w:rFonts w:hint="eastAsia" w:ascii="宋体" w:hAnsi="宋体" w:eastAsia="宋体" w:cs="宋体"/>
                <w:i w:val="0"/>
                <w:iCs w:val="0"/>
                <w:color w:val="auto"/>
                <w:kern w:val="0"/>
                <w:sz w:val="21"/>
                <w:szCs w:val="21"/>
                <w:u w:val="none"/>
                <w:lang w:val="en-US" w:eastAsia="zh-CN" w:bidi="ar"/>
              </w:rPr>
              <w:t>付</w:t>
            </w:r>
          </w:p>
        </w:tc>
        <w:tc>
          <w:tcPr>
            <w:tcW w:w="765" w:type="dxa"/>
            <w:gridSpan w:val="2"/>
            <w:noWrap w:val="0"/>
            <w:vAlign w:val="center"/>
          </w:tcPr>
          <w:p w14:paraId="32120FB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highlight w:val="green"/>
                <w:lang w:val="en-US" w:eastAsia="zh-CN"/>
              </w:rPr>
            </w:pPr>
            <w:r>
              <w:rPr>
                <w:rFonts w:hint="eastAsia" w:ascii="宋体" w:hAnsi="宋体" w:eastAsia="宋体" w:cs="宋体"/>
                <w:i w:val="0"/>
                <w:iCs w:val="0"/>
                <w:color w:val="auto"/>
                <w:kern w:val="0"/>
                <w:sz w:val="21"/>
                <w:szCs w:val="21"/>
                <w:u w:val="none"/>
                <w:lang w:val="en-US" w:eastAsia="zh-CN" w:bidi="ar"/>
              </w:rPr>
              <w:t>48</w:t>
            </w:r>
          </w:p>
        </w:tc>
        <w:tc>
          <w:tcPr>
            <w:tcW w:w="6351" w:type="dxa"/>
            <w:noWrap w:val="0"/>
            <w:vAlign w:val="center"/>
          </w:tcPr>
          <w:p w14:paraId="45F0E534">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highlight w:val="green"/>
                <w:shd w:val="clear" w:color="auto" w:fill="FFFFFF"/>
              </w:rPr>
            </w:pPr>
            <w:r>
              <w:rPr>
                <w:rFonts w:hint="eastAsia" w:ascii="宋体" w:hAnsi="宋体" w:eastAsia="宋体" w:cs="宋体"/>
                <w:i w:val="0"/>
                <w:iCs w:val="0"/>
                <w:color w:val="auto"/>
                <w:kern w:val="0"/>
                <w:sz w:val="21"/>
                <w:szCs w:val="21"/>
                <w:u w:val="none"/>
                <w:lang w:val="en-US" w:eastAsia="zh-CN" w:bidi="ar"/>
              </w:rPr>
              <w:t>双胶面直握拍，产品应符合GB/T23115-2008《乒乓球拍》一等品的有关规定。</w:t>
            </w:r>
          </w:p>
        </w:tc>
      </w:tr>
      <w:tr w14:paraId="3D0D5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81C020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highlight w:val="green"/>
                <w:lang w:val="en-US" w:eastAsia="zh-CN"/>
              </w:rPr>
            </w:pPr>
            <w:r>
              <w:rPr>
                <w:rFonts w:hint="eastAsia" w:ascii="宋体" w:hAnsi="宋体" w:eastAsia="宋体" w:cs="宋体"/>
                <w:i w:val="0"/>
                <w:iCs w:val="0"/>
                <w:color w:val="auto"/>
                <w:kern w:val="0"/>
                <w:sz w:val="21"/>
                <w:szCs w:val="21"/>
                <w:u w:val="none"/>
                <w:lang w:val="en-US" w:eastAsia="zh-CN" w:bidi="ar"/>
              </w:rPr>
              <w:t>21</w:t>
            </w:r>
          </w:p>
        </w:tc>
        <w:tc>
          <w:tcPr>
            <w:tcW w:w="1215" w:type="dxa"/>
            <w:noWrap w:val="0"/>
            <w:vAlign w:val="center"/>
          </w:tcPr>
          <w:p w14:paraId="3BAD9D8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highlight w:val="green"/>
              </w:rPr>
            </w:pPr>
            <w:r>
              <w:rPr>
                <w:rFonts w:hint="eastAsia" w:ascii="宋体" w:hAnsi="宋体" w:eastAsia="宋体" w:cs="宋体"/>
                <w:i w:val="0"/>
                <w:iCs w:val="0"/>
                <w:color w:val="auto"/>
                <w:kern w:val="0"/>
                <w:sz w:val="21"/>
                <w:szCs w:val="21"/>
                <w:u w:val="none"/>
                <w:lang w:val="en-US" w:eastAsia="zh-CN" w:bidi="ar"/>
              </w:rPr>
              <w:t>乒乓球</w:t>
            </w:r>
          </w:p>
        </w:tc>
        <w:tc>
          <w:tcPr>
            <w:tcW w:w="804" w:type="dxa"/>
            <w:noWrap w:val="0"/>
            <w:vAlign w:val="center"/>
          </w:tcPr>
          <w:p w14:paraId="24EE189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highlight w:val="green"/>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E890E5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highlight w:val="green"/>
                <w:lang w:val="en-US" w:eastAsia="zh-CN"/>
              </w:rPr>
            </w:pPr>
            <w:r>
              <w:rPr>
                <w:rFonts w:hint="eastAsia" w:ascii="宋体" w:hAnsi="宋体" w:eastAsia="宋体" w:cs="宋体"/>
                <w:i w:val="0"/>
                <w:iCs w:val="0"/>
                <w:color w:val="auto"/>
                <w:kern w:val="0"/>
                <w:sz w:val="21"/>
                <w:szCs w:val="21"/>
                <w:u w:val="none"/>
                <w:lang w:val="en-US" w:eastAsia="zh-CN" w:bidi="ar"/>
              </w:rPr>
              <w:t>47</w:t>
            </w:r>
          </w:p>
        </w:tc>
        <w:tc>
          <w:tcPr>
            <w:tcW w:w="6351" w:type="dxa"/>
            <w:noWrap w:val="0"/>
            <w:vAlign w:val="center"/>
          </w:tcPr>
          <w:p w14:paraId="56C7F9C8">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highlight w:val="green"/>
                <w:shd w:val="clear" w:color="auto" w:fill="FFFFFF"/>
              </w:rPr>
            </w:pPr>
            <w:r>
              <w:rPr>
                <w:rFonts w:hint="eastAsia" w:ascii="宋体" w:hAnsi="宋体" w:eastAsia="宋体" w:cs="宋体"/>
                <w:i w:val="0"/>
                <w:iCs w:val="0"/>
                <w:color w:val="auto"/>
                <w:kern w:val="0"/>
                <w:sz w:val="21"/>
                <w:szCs w:val="21"/>
                <w:u w:val="none"/>
                <w:lang w:val="en-US" w:eastAsia="zh-CN" w:bidi="ar"/>
              </w:rPr>
              <w:t>1.直径43.4mm～44.4mm；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2.圆度0.40mm；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3.重量2.20g～2.60g；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4.弹跳220mm～250mm；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5.牢度：受冲击不小于700次无破裂；外观接缝整齐，表面不反光。产品应符合QB/T19851.8-2005《乒乓球》的有关规定。</w:t>
            </w:r>
          </w:p>
        </w:tc>
      </w:tr>
      <w:tr w14:paraId="6516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085B16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highlight w:val="green"/>
                <w:lang w:val="en-US" w:eastAsia="zh-CN"/>
              </w:rPr>
            </w:pPr>
            <w:r>
              <w:rPr>
                <w:rFonts w:hint="eastAsia" w:ascii="宋体" w:hAnsi="宋体" w:eastAsia="宋体" w:cs="宋体"/>
                <w:i w:val="0"/>
                <w:iCs w:val="0"/>
                <w:color w:val="auto"/>
                <w:kern w:val="0"/>
                <w:sz w:val="21"/>
                <w:szCs w:val="21"/>
                <w:u w:val="none"/>
                <w:lang w:val="en-US" w:eastAsia="zh-CN" w:bidi="ar"/>
              </w:rPr>
              <w:t>22</w:t>
            </w:r>
          </w:p>
        </w:tc>
        <w:tc>
          <w:tcPr>
            <w:tcW w:w="1215" w:type="dxa"/>
            <w:noWrap w:val="0"/>
            <w:vAlign w:val="center"/>
          </w:tcPr>
          <w:p w14:paraId="38BBD31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highlight w:val="green"/>
              </w:rPr>
            </w:pPr>
            <w:r>
              <w:rPr>
                <w:rFonts w:hint="eastAsia" w:ascii="宋体" w:hAnsi="宋体" w:eastAsia="宋体" w:cs="宋体"/>
                <w:i w:val="0"/>
                <w:iCs w:val="0"/>
                <w:color w:val="auto"/>
                <w:kern w:val="0"/>
                <w:sz w:val="21"/>
                <w:szCs w:val="21"/>
                <w:u w:val="none"/>
                <w:lang w:val="en-US" w:eastAsia="zh-CN" w:bidi="ar"/>
              </w:rPr>
              <w:t>羽毛球</w:t>
            </w:r>
          </w:p>
        </w:tc>
        <w:tc>
          <w:tcPr>
            <w:tcW w:w="804" w:type="dxa"/>
            <w:noWrap w:val="0"/>
            <w:vAlign w:val="center"/>
          </w:tcPr>
          <w:p w14:paraId="37CFFB2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highlight w:val="green"/>
                <w:lang w:val="en-US" w:eastAsia="zh-CN"/>
              </w:rPr>
            </w:pPr>
            <w:r>
              <w:rPr>
                <w:rFonts w:hint="eastAsia" w:ascii="宋体" w:hAnsi="宋体" w:eastAsia="宋体" w:cs="宋体"/>
                <w:i w:val="0"/>
                <w:iCs w:val="0"/>
                <w:color w:val="auto"/>
                <w:kern w:val="0"/>
                <w:sz w:val="21"/>
                <w:szCs w:val="21"/>
                <w:u w:val="none"/>
                <w:lang w:val="en-US" w:eastAsia="zh-CN" w:bidi="ar"/>
              </w:rPr>
              <w:t>只</w:t>
            </w:r>
          </w:p>
        </w:tc>
        <w:tc>
          <w:tcPr>
            <w:tcW w:w="765" w:type="dxa"/>
            <w:gridSpan w:val="2"/>
            <w:noWrap w:val="0"/>
            <w:vAlign w:val="center"/>
          </w:tcPr>
          <w:p w14:paraId="785C3F2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highlight w:val="green"/>
                <w:lang w:val="en-US" w:eastAsia="zh-CN"/>
              </w:rPr>
            </w:pPr>
            <w:r>
              <w:rPr>
                <w:rFonts w:hint="eastAsia" w:ascii="宋体" w:hAnsi="宋体" w:eastAsia="宋体" w:cs="宋体"/>
                <w:i w:val="0"/>
                <w:iCs w:val="0"/>
                <w:color w:val="auto"/>
                <w:kern w:val="0"/>
                <w:sz w:val="21"/>
                <w:szCs w:val="21"/>
                <w:u w:val="none"/>
                <w:lang w:val="en-US" w:eastAsia="zh-CN" w:bidi="ar"/>
              </w:rPr>
              <w:t>48</w:t>
            </w:r>
          </w:p>
        </w:tc>
        <w:tc>
          <w:tcPr>
            <w:tcW w:w="6351" w:type="dxa"/>
            <w:noWrap w:val="0"/>
            <w:vAlign w:val="center"/>
          </w:tcPr>
          <w:p w14:paraId="4732A49B">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highlight w:val="green"/>
                <w:shd w:val="clear" w:color="auto" w:fill="FFFFFF"/>
              </w:rPr>
            </w:pPr>
            <w:r>
              <w:rPr>
                <w:rFonts w:hint="eastAsia" w:ascii="宋体" w:hAnsi="宋体" w:eastAsia="宋体" w:cs="宋体"/>
                <w:i w:val="0"/>
                <w:iCs w:val="0"/>
                <w:color w:val="auto"/>
                <w:kern w:val="0"/>
                <w:sz w:val="21"/>
                <w:szCs w:val="21"/>
                <w:u w:val="none"/>
                <w:lang w:val="en-US" w:eastAsia="zh-CN" w:bidi="ar"/>
              </w:rPr>
              <w:t>1.球口外径65mm～68mm；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2.球头直径25mm～27mm；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3.球头高度24mm～26mm；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4.毛片插长63mm～64mm；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5.质量4.50g～5.80g；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6.毛片数量16片。</w:t>
            </w:r>
          </w:p>
        </w:tc>
      </w:tr>
      <w:tr w14:paraId="61B5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6D78D1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highlight w:val="green"/>
                <w:lang w:val="en-US" w:eastAsia="zh-CN"/>
              </w:rPr>
            </w:pPr>
            <w:r>
              <w:rPr>
                <w:rFonts w:hint="eastAsia" w:ascii="宋体" w:hAnsi="宋体" w:eastAsia="宋体" w:cs="宋体"/>
                <w:i w:val="0"/>
                <w:iCs w:val="0"/>
                <w:color w:val="auto"/>
                <w:kern w:val="0"/>
                <w:sz w:val="21"/>
                <w:szCs w:val="21"/>
                <w:u w:val="none"/>
                <w:lang w:val="en-US" w:eastAsia="zh-CN" w:bidi="ar"/>
              </w:rPr>
              <w:t>23</w:t>
            </w:r>
          </w:p>
        </w:tc>
        <w:tc>
          <w:tcPr>
            <w:tcW w:w="1215" w:type="dxa"/>
            <w:noWrap w:val="0"/>
            <w:vAlign w:val="center"/>
          </w:tcPr>
          <w:p w14:paraId="18BAECB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highlight w:val="green"/>
              </w:rPr>
            </w:pPr>
            <w:r>
              <w:rPr>
                <w:rFonts w:hint="eastAsia" w:ascii="宋体" w:hAnsi="宋体" w:eastAsia="宋体" w:cs="宋体"/>
                <w:i w:val="0"/>
                <w:iCs w:val="0"/>
                <w:color w:val="auto"/>
                <w:kern w:val="0"/>
                <w:sz w:val="21"/>
                <w:szCs w:val="21"/>
                <w:u w:val="none"/>
                <w:lang w:val="en-US" w:eastAsia="zh-CN" w:bidi="ar"/>
              </w:rPr>
              <w:t>羽毛球拍</w:t>
            </w:r>
          </w:p>
        </w:tc>
        <w:tc>
          <w:tcPr>
            <w:tcW w:w="804" w:type="dxa"/>
            <w:noWrap w:val="0"/>
            <w:vAlign w:val="center"/>
          </w:tcPr>
          <w:p w14:paraId="21763D6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highlight w:val="green"/>
                <w:lang w:val="en-US" w:eastAsia="zh-CN"/>
              </w:rPr>
            </w:pPr>
            <w:r>
              <w:rPr>
                <w:rFonts w:hint="eastAsia" w:ascii="宋体" w:hAnsi="宋体" w:eastAsia="宋体" w:cs="宋体"/>
                <w:i w:val="0"/>
                <w:iCs w:val="0"/>
                <w:color w:val="auto"/>
                <w:kern w:val="0"/>
                <w:sz w:val="21"/>
                <w:szCs w:val="21"/>
                <w:u w:val="none"/>
                <w:lang w:val="en-US" w:eastAsia="zh-CN" w:bidi="ar"/>
              </w:rPr>
              <w:t>付</w:t>
            </w:r>
          </w:p>
        </w:tc>
        <w:tc>
          <w:tcPr>
            <w:tcW w:w="765" w:type="dxa"/>
            <w:gridSpan w:val="2"/>
            <w:noWrap w:val="0"/>
            <w:vAlign w:val="center"/>
          </w:tcPr>
          <w:p w14:paraId="2B97F02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highlight w:val="green"/>
                <w:lang w:val="en-US" w:eastAsia="zh-CN"/>
              </w:rPr>
            </w:pPr>
            <w:r>
              <w:rPr>
                <w:rFonts w:hint="eastAsia" w:ascii="宋体" w:hAnsi="宋体" w:eastAsia="宋体" w:cs="宋体"/>
                <w:i w:val="0"/>
                <w:iCs w:val="0"/>
                <w:color w:val="auto"/>
                <w:kern w:val="0"/>
                <w:sz w:val="21"/>
                <w:szCs w:val="21"/>
                <w:u w:val="none"/>
                <w:lang w:val="en-US" w:eastAsia="zh-CN" w:bidi="ar"/>
              </w:rPr>
              <w:t>48</w:t>
            </w:r>
          </w:p>
        </w:tc>
        <w:tc>
          <w:tcPr>
            <w:tcW w:w="6351" w:type="dxa"/>
            <w:noWrap w:val="0"/>
            <w:vAlign w:val="center"/>
          </w:tcPr>
          <w:p w14:paraId="57491665">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highlight w:val="green"/>
                <w:shd w:val="clear" w:color="auto" w:fill="FFFFFF"/>
              </w:rPr>
            </w:pPr>
            <w:r>
              <w:rPr>
                <w:rFonts w:hint="eastAsia" w:ascii="宋体" w:hAnsi="宋体" w:eastAsia="宋体" w:cs="宋体"/>
                <w:i w:val="0"/>
                <w:iCs w:val="0"/>
                <w:color w:val="auto"/>
                <w:kern w:val="0"/>
                <w:sz w:val="21"/>
                <w:szCs w:val="21"/>
                <w:u w:val="none"/>
                <w:lang w:val="en-US" w:eastAsia="zh-CN" w:bidi="ar"/>
              </w:rPr>
              <w:t>1.一副，框柄一体羽毛球拍，性能要求不小于：拍体长度650mm，球拍宽度230mm，球拍弦面长度280mm，拍弦直径0.9mm；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2.网线张力：20ibs，握柄直径约25mm，整体重量约100g；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3.产品应符合QB/T2770-2006《羽毛球拍》的有关规定。</w:t>
            </w:r>
          </w:p>
        </w:tc>
      </w:tr>
      <w:tr w14:paraId="4621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72F797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24</w:t>
            </w:r>
          </w:p>
        </w:tc>
        <w:tc>
          <w:tcPr>
            <w:tcW w:w="1215" w:type="dxa"/>
            <w:noWrap w:val="0"/>
            <w:vAlign w:val="center"/>
          </w:tcPr>
          <w:p w14:paraId="693E0BE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录音机</w:t>
            </w:r>
          </w:p>
        </w:tc>
        <w:tc>
          <w:tcPr>
            <w:tcW w:w="804" w:type="dxa"/>
            <w:noWrap w:val="0"/>
            <w:vAlign w:val="center"/>
          </w:tcPr>
          <w:p w14:paraId="4840613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588DF56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35BBC33B">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1.调频/中波/短波接收，交直流两用，超重低音，立体声，单卡式带CD播放，带USB接口；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2.输出功率≥10W*2。</w:t>
            </w:r>
          </w:p>
        </w:tc>
      </w:tr>
      <w:tr w14:paraId="2046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8F032E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25</w:t>
            </w:r>
          </w:p>
        </w:tc>
        <w:tc>
          <w:tcPr>
            <w:tcW w:w="1215" w:type="dxa"/>
            <w:noWrap w:val="0"/>
            <w:vAlign w:val="center"/>
          </w:tcPr>
          <w:p w14:paraId="68281BA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测量尺</w:t>
            </w:r>
          </w:p>
        </w:tc>
        <w:tc>
          <w:tcPr>
            <w:tcW w:w="804" w:type="dxa"/>
            <w:noWrap w:val="0"/>
            <w:vAlign w:val="center"/>
          </w:tcPr>
          <w:p w14:paraId="77E2B8E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只</w:t>
            </w:r>
          </w:p>
        </w:tc>
        <w:tc>
          <w:tcPr>
            <w:tcW w:w="765" w:type="dxa"/>
            <w:gridSpan w:val="2"/>
            <w:noWrap w:val="0"/>
            <w:vAlign w:val="center"/>
          </w:tcPr>
          <w:p w14:paraId="2950878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6</w:t>
            </w:r>
          </w:p>
        </w:tc>
        <w:tc>
          <w:tcPr>
            <w:tcW w:w="6351" w:type="dxa"/>
            <w:noWrap w:val="0"/>
            <w:vAlign w:val="center"/>
          </w:tcPr>
          <w:p w14:paraId="4C24C95E">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1.材质为木质，20mm×40mm，长2000mm；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2.刻度字码清晰，喷涂光亮，无漏喷、划痕等缺陷，无变形，坚固耐用。执行国家标准。</w:t>
            </w:r>
          </w:p>
        </w:tc>
      </w:tr>
      <w:tr w14:paraId="6AD2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156A66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26</w:t>
            </w:r>
          </w:p>
        </w:tc>
        <w:tc>
          <w:tcPr>
            <w:tcW w:w="1215" w:type="dxa"/>
            <w:noWrap w:val="0"/>
            <w:vAlign w:val="center"/>
          </w:tcPr>
          <w:p w14:paraId="207A3A0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起跑器</w:t>
            </w:r>
          </w:p>
        </w:tc>
        <w:tc>
          <w:tcPr>
            <w:tcW w:w="804" w:type="dxa"/>
            <w:noWrap w:val="0"/>
            <w:vAlign w:val="center"/>
          </w:tcPr>
          <w:p w14:paraId="28FC6A9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489F94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5002C679">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铝合金，卡调节，防滑</w:t>
            </w:r>
          </w:p>
        </w:tc>
      </w:tr>
      <w:tr w14:paraId="334E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D0CF43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27</w:t>
            </w:r>
          </w:p>
        </w:tc>
        <w:tc>
          <w:tcPr>
            <w:tcW w:w="1215" w:type="dxa"/>
            <w:noWrap w:val="0"/>
            <w:vAlign w:val="center"/>
          </w:tcPr>
          <w:p w14:paraId="604BC4A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球车</w:t>
            </w:r>
          </w:p>
        </w:tc>
        <w:tc>
          <w:tcPr>
            <w:tcW w:w="804" w:type="dxa"/>
            <w:noWrap w:val="0"/>
            <w:vAlign w:val="center"/>
          </w:tcPr>
          <w:p w14:paraId="6121963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3DD652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cs="宋体"/>
                <w:i w:val="0"/>
                <w:iCs w:val="0"/>
                <w:color w:val="auto"/>
                <w:kern w:val="0"/>
                <w:sz w:val="21"/>
                <w:szCs w:val="21"/>
                <w:u w:val="none"/>
                <w:lang w:val="en-US" w:eastAsia="zh-CN" w:bidi="ar"/>
              </w:rPr>
              <w:t>4</w:t>
            </w:r>
          </w:p>
        </w:tc>
        <w:tc>
          <w:tcPr>
            <w:tcW w:w="6351" w:type="dxa"/>
            <w:noWrap w:val="0"/>
            <w:vAlign w:val="center"/>
          </w:tcPr>
          <w:p w14:paraId="24AB169F">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可四轮移动，可折叠；</w:t>
            </w:r>
          </w:p>
          <w:p w14:paraId="0BCDA3E1">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用于装篮球、排球、足球等球类物品，球车四角为圆角。</w:t>
            </w:r>
          </w:p>
        </w:tc>
      </w:tr>
      <w:tr w14:paraId="7E18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F71172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28</w:t>
            </w:r>
          </w:p>
        </w:tc>
        <w:tc>
          <w:tcPr>
            <w:tcW w:w="1215" w:type="dxa"/>
            <w:noWrap w:val="0"/>
            <w:vAlign w:val="center"/>
          </w:tcPr>
          <w:p w14:paraId="633043C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三人板鞋</w:t>
            </w:r>
          </w:p>
        </w:tc>
        <w:tc>
          <w:tcPr>
            <w:tcW w:w="804" w:type="dxa"/>
            <w:noWrap w:val="0"/>
            <w:vAlign w:val="center"/>
          </w:tcPr>
          <w:p w14:paraId="2916880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双</w:t>
            </w:r>
          </w:p>
        </w:tc>
        <w:tc>
          <w:tcPr>
            <w:tcW w:w="765" w:type="dxa"/>
            <w:gridSpan w:val="2"/>
            <w:noWrap w:val="0"/>
            <w:vAlign w:val="center"/>
          </w:tcPr>
          <w:p w14:paraId="4DAF75A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20</w:t>
            </w:r>
          </w:p>
        </w:tc>
        <w:tc>
          <w:tcPr>
            <w:tcW w:w="6351" w:type="dxa"/>
            <w:noWrap w:val="0"/>
            <w:vAlign w:val="center"/>
          </w:tcPr>
          <w:p w14:paraId="76FC617F">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木质，1米长，两只，可供三人同时使用。</w:t>
            </w:r>
          </w:p>
        </w:tc>
      </w:tr>
      <w:tr w14:paraId="6C8B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C24D2C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29</w:t>
            </w:r>
          </w:p>
        </w:tc>
        <w:tc>
          <w:tcPr>
            <w:tcW w:w="1215" w:type="dxa"/>
            <w:noWrap w:val="0"/>
            <w:vAlign w:val="center"/>
          </w:tcPr>
          <w:p w14:paraId="764C7A3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立定跳远测试仪</w:t>
            </w:r>
          </w:p>
        </w:tc>
        <w:tc>
          <w:tcPr>
            <w:tcW w:w="804" w:type="dxa"/>
            <w:noWrap w:val="0"/>
            <w:vAlign w:val="center"/>
          </w:tcPr>
          <w:p w14:paraId="0D635FD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053967C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4</w:t>
            </w:r>
          </w:p>
        </w:tc>
        <w:tc>
          <w:tcPr>
            <w:tcW w:w="6351" w:type="dxa"/>
            <w:noWrap w:val="0"/>
            <w:vAlign w:val="center"/>
          </w:tcPr>
          <w:p w14:paraId="003C6CE6">
            <w:pPr>
              <w:pStyle w:val="2"/>
              <w:keepNext w:val="0"/>
              <w:keepLines w:val="0"/>
              <w:pageBreakBefore w:val="0"/>
              <w:kinsoku/>
              <w:wordWrap/>
              <w:overflowPunct/>
              <w:topLinePunct w:val="0"/>
              <w:bidi w:val="0"/>
              <w:snapToGrid/>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采用红外线非接触传感器测量的原理自动测量立定跳远的距离，反映人体下肢爆发力水平，测试数据准确，经久耐用；</w:t>
            </w:r>
          </w:p>
          <w:p w14:paraId="52445D4E">
            <w:pPr>
              <w:pStyle w:val="2"/>
              <w:keepNext w:val="0"/>
              <w:keepLines w:val="0"/>
              <w:pageBreakBefore w:val="0"/>
              <w:kinsoku/>
              <w:wordWrap/>
              <w:overflowPunct/>
              <w:topLinePunct w:val="0"/>
              <w:bidi w:val="0"/>
              <w:snapToGrid/>
              <w:spacing w:line="440" w:lineRule="exact"/>
              <w:rPr>
                <w:rFonts w:hint="eastAsia" w:ascii="宋体" w:hAnsi="宋体" w:eastAsia="宋体" w:cs="宋体"/>
                <w:strike/>
                <w:dstrike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采用96×16规格的LED点阵屏幕显示，显示内容丰富，可显示中文、英文、数字和其它符号. 测试垫具备防滑减震功能，防止出现意外伤害；</w:t>
            </w:r>
          </w:p>
          <w:p w14:paraId="2B101A9C">
            <w:pPr>
              <w:pStyle w:val="2"/>
              <w:keepNext w:val="0"/>
              <w:keepLines w:val="0"/>
              <w:pageBreakBefore w:val="0"/>
              <w:kinsoku/>
              <w:wordWrap/>
              <w:overflowPunct/>
              <w:topLinePunct w:val="0"/>
              <w:bidi w:val="0"/>
              <w:snapToGrid/>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主机采用针对性的闭源系统，在系统的启动和运行等反应速度极快，性能上不受内存大小影响，很好的规避了安卓系统等使用时间长导致缓存臃肿、病毒侵害等弊端;硬件运用专业级工业芯片，且独立三核处理器运行，耐寒、抗高温，不受任何外部环境干扰，性能稳定</w:t>
            </w:r>
          </w:p>
          <w:p w14:paraId="4F2B04FF">
            <w:pPr>
              <w:pStyle w:val="2"/>
              <w:keepNext w:val="0"/>
              <w:keepLines w:val="0"/>
              <w:pageBreakBefore w:val="0"/>
              <w:kinsoku/>
              <w:wordWrap/>
              <w:overflowPunct/>
              <w:topLinePunct w:val="0"/>
              <w:bidi w:val="0"/>
              <w:snapToGrid/>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主机采用8寸及以上电阻触控摸彩色液晶屏，分辨率不低于1024*600，图形化的操作界面，系统稳定，界面美观，交互性强，支持多点全屏幕触控，无按键，彻底解决了机械按键的使用寿命短的问题；操作界面，简洁，美观。测试步骤有中文提示，实时语音播报测试步骤和测试结果。可选配LED（645*345 mm）点阵大屏，高亮字体，一目了然。实现主机实时与LED显示大屏无线同步起停显示成绩</w:t>
            </w:r>
          </w:p>
          <w:p w14:paraId="36F7BE69">
            <w:pPr>
              <w:pStyle w:val="2"/>
              <w:keepNext w:val="0"/>
              <w:keepLines w:val="0"/>
              <w:pageBreakBefore w:val="0"/>
              <w:kinsoku/>
              <w:wordWrap/>
              <w:overflowPunct/>
              <w:topLinePunct w:val="0"/>
              <w:bidi w:val="0"/>
              <w:snapToGrid/>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主机具有多种身份识别功能。可通过触摸屏输入，非接触式IC卡、社保卡、身份证、二维码、人脸识别等识别方法进行身份识别，IC卡带有测试数据储存功能，能够将测试完的数据储存在卡中，同时具有主机储存数据、采集软件导出打印储存数据、学生体质健康管理平台储存数据等四种储存方式，且四种储存方式同时完成，主机具备查询历史数据，指定编号查询测试成绩功能</w:t>
            </w:r>
          </w:p>
          <w:p w14:paraId="760424D6">
            <w:pPr>
              <w:pStyle w:val="2"/>
              <w:keepNext w:val="0"/>
              <w:keepLines w:val="0"/>
              <w:pageBreakBefore w:val="0"/>
              <w:kinsoku/>
              <w:wordWrap/>
              <w:overflowPunct/>
              <w:topLinePunct w:val="0"/>
              <w:bidi w:val="0"/>
              <w:snapToGrid/>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 电源电压：AC220V/DC12V，可交直流电两用，可选配外接蓄电池，在断电或者无电的情况下使用，主机支架底部有4个滑轮，方便搬运移动。支架可折叠，方便运输</w:t>
            </w:r>
          </w:p>
          <w:p w14:paraId="20204236">
            <w:pPr>
              <w:pStyle w:val="2"/>
              <w:keepNext w:val="0"/>
              <w:keepLines w:val="0"/>
              <w:pageBreakBefore w:val="0"/>
              <w:kinsoku/>
              <w:wordWrap/>
              <w:overflowPunct/>
              <w:topLinePunct w:val="0"/>
              <w:bidi w:val="0"/>
              <w:snapToGrid/>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7.主机与PC电脑之间采用WIFI无线连接通讯方式传输测试数据，主机预留USB接口，可连接电脑导出测试者信息PC端可无线连接多台主机同步测试，传输数据，极大提高工作效率</w:t>
            </w:r>
          </w:p>
          <w:p w14:paraId="63F7075A">
            <w:pPr>
              <w:pStyle w:val="2"/>
              <w:keepNext w:val="0"/>
              <w:keepLines w:val="0"/>
              <w:pageBreakBefore w:val="0"/>
              <w:kinsoku/>
              <w:wordWrap/>
              <w:overflowPunct/>
              <w:topLinePunct w:val="0"/>
              <w:bidi w:val="0"/>
              <w:snapToGrid/>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8.采用Wifi模块无线传输方式，外置天线，信号范围不低于200米，具有超低功耗，组网稳定，抗干扰能力强等优点；主机与电脑之间采用Wifi模块传输方式进行组网，实时测试数据传输； 主机具有设定提示音静音的功能。主机更改功能操作设有电子密码锁。确保测试数据的安全。能有效防止测试数据人为误删丢失。</w:t>
            </w:r>
          </w:p>
          <w:p w14:paraId="4FD194D6">
            <w:pPr>
              <w:pStyle w:val="2"/>
              <w:keepNext w:val="0"/>
              <w:keepLines w:val="0"/>
              <w:pageBreakBefore w:val="0"/>
              <w:kinsoku/>
              <w:wordWrap/>
              <w:overflowPunct/>
              <w:topLinePunct w:val="0"/>
              <w:bidi w:val="0"/>
              <w:snapToGrid/>
              <w:spacing w:line="44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9.可靠性高、耐疲劳、寿命长，适应频繁、大量人群集中测试。根据《GB/T19851.122005》中小学体育器材和场地国标设计。                                                                                 </w:t>
            </w:r>
          </w:p>
          <w:p w14:paraId="31350375">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highlight w:val="yellow"/>
                <w:shd w:val="clear" w:color="auto" w:fill="FFFFFF"/>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主要技术参数量程：0～320cm    误差：±1cm    分度值：1cm</w:t>
            </w:r>
          </w:p>
        </w:tc>
      </w:tr>
      <w:tr w14:paraId="1C20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E082A1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30</w:t>
            </w:r>
          </w:p>
        </w:tc>
        <w:tc>
          <w:tcPr>
            <w:tcW w:w="1215" w:type="dxa"/>
            <w:noWrap w:val="0"/>
            <w:vAlign w:val="center"/>
          </w:tcPr>
          <w:p w14:paraId="73B0256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台阶试验测试仪</w:t>
            </w:r>
          </w:p>
        </w:tc>
        <w:tc>
          <w:tcPr>
            <w:tcW w:w="804" w:type="dxa"/>
            <w:noWrap w:val="0"/>
            <w:vAlign w:val="center"/>
          </w:tcPr>
          <w:p w14:paraId="60CB3C9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493B5F6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555F1A4">
            <w:pPr>
              <w:widowControl/>
              <w:spacing w:line="440" w:lineRule="exact"/>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单机参数：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测量范围：0次/分～900次/分     分度值：1次     误差：±2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.使用手握式心率传感器检测心率，与主机之间无线连接。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.接触面积小、不易受天气和手指粗细干扰影响。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.台阶运动时有8个音乐节拍伴奏，让测试不枯燥；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.自动辨别脉搏测试状态，对无法完成测试的人设有中途取消功能，并能自动计算出检测结果；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6</w:t>
            </w:r>
            <w:r>
              <w:rPr>
                <w:rFonts w:hint="eastAsia" w:ascii="宋体" w:hAnsi="宋体" w:eastAsia="宋体" w:cs="宋体"/>
                <w:i w:val="0"/>
                <w:iCs w:val="0"/>
                <w:color w:val="auto"/>
                <w:kern w:val="0"/>
                <w:sz w:val="21"/>
                <w:szCs w:val="21"/>
                <w:u w:val="none"/>
                <w:lang w:val="en-US" w:eastAsia="zh-CN" w:bidi="ar"/>
              </w:rPr>
              <w:t>.左右手握距控制在舒适范围，符合国家标准；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主机参数：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内置双芯片存储备份功能，备份存储数据可达100000条以上，支持TF扩展功能，可随时插入SD卡，扩大存储空间；；具有3个USB接口，两种USB接口类型，选择多样，可直接插入U盘导出测试名单信息；主机CPU采用高端芯片，支持64位运算，Cortex-A57构架，。在系统反应速度，性能和功耗上都有出色的表现，支持H.265视频硬件解码，可直插U盘现场播放测试视频录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2.智能化系统设备，无线网络传输，最多64台主机测试数据实时上传和集中上传两种方式；预留接口，可外接音箱；</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通用主机自带28项体测指标任选功能菜单（即身高体重、肺活量、台阶实验、坐位体前屈、握力、纵跳、俯卧撑、闭眼单脚站立、反应时、仰卧起坐、立定跳远、跳绳、掷实心球、引体向上、中长跑、短跑、篮球运球、足球运球、排球垫球、秒表计时器及往返跑、投沙包、背力、视力、三围、皮褶厚度、血压、心率等测试分析项目），可任选插接本系列任一体测指标外设完成相应测试项目，通过任选功能菜单随时可对测试项目进行按需调配。</w:t>
            </w:r>
          </w:p>
          <w:p w14:paraId="0486B0E1">
            <w:pPr>
              <w:widowControl/>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4.系统具有测试成绩复查，对于误删成绩可以恢复，可一键格式化主机测试成绩和一键测试成绩上传、一键查询从机状态功能；内置大容量锂电池，可不插电源连续工作1个工作日以上，待机使用2—3个工作日以上， 主机配备充电圆孔接口，实现断电工作和插电工作两种模式；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5.采用7寸高清触摸电容屏，配置UI操作，直观明了。具有权限操作，保护测试数据和系统设置除管理员外无法直接进入。主机嵌入Android9.1系统，1.0GB RAM运行内存/8GB ROM FLASH存储空间支持多点触控行为，可实时显示测试者照片，避免替考人员考试；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6.主机可通过触摸屏输入、键盘输入、非接触智能IC卡、ID卡、身份证测试等识别测试方式、附件与主机无线传输；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7.具有双芯片存储功能，支持100000条数据存储；带有高速通讯线插口，传输速度快、数据精确，实现了测试数据零掉包率；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8.本仪器自带有语音提示（测试步骤提示、测试方法提示）具有内置二维码扫描仪，直接扫描二维码测试。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9.主机具有内置自动一体化热敏打印机功能（非外接型），也可外接打印机，实时打印测试成绩，便于测试者即时掌握自身实际身体素质情况；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10.主机内置大容量锂电池，实现断电工作和插电工作两种模式；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11.测试数据可上传至国家学生体质健康管理系统或教育部；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12.可靠性高、耐疲劳、寿命长，适应频繁、大量人群集中测试。根据GB/T19851.12-2005《学生体质健康测试器材》和国家标准设计。</w:t>
            </w:r>
          </w:p>
        </w:tc>
      </w:tr>
      <w:tr w14:paraId="76A8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0D1461C">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w:t>
            </w:r>
          </w:p>
        </w:tc>
        <w:tc>
          <w:tcPr>
            <w:tcW w:w="1215" w:type="dxa"/>
            <w:noWrap w:val="0"/>
            <w:vAlign w:val="center"/>
          </w:tcPr>
          <w:p w14:paraId="37A9E38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电动计时仪</w:t>
            </w:r>
          </w:p>
        </w:tc>
        <w:tc>
          <w:tcPr>
            <w:tcW w:w="804" w:type="dxa"/>
            <w:noWrap w:val="0"/>
            <w:vAlign w:val="center"/>
          </w:tcPr>
          <w:p w14:paraId="4CABCA7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088B5A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9DF16DA">
            <w:pPr>
              <w:keepNext w:val="0"/>
              <w:keepLines w:val="0"/>
              <w:pageBreakBefore w:val="0"/>
              <w:widowControl/>
              <w:suppressLineNumbers w:val="0"/>
              <w:kinsoku/>
              <w:wordWrap/>
              <w:overflowPunct/>
              <w:topLinePunct w:val="0"/>
              <w:bidi w:val="0"/>
              <w:snapToGrid/>
              <w:spacing w:line="440" w:lineRule="exact"/>
              <w:jc w:val="left"/>
              <w:textAlignment w:val="center"/>
              <w:rPr>
                <w:rFonts w:hint="default"/>
                <w:lang w:val="en-US" w:eastAsia="zh-CN"/>
              </w:rPr>
            </w:pPr>
            <w:r>
              <w:rPr>
                <w:rFonts w:hint="eastAsia"/>
                <w:lang w:val="en-US" w:eastAsia="zh-CN"/>
              </w:rPr>
              <w:t>一、</w:t>
            </w:r>
            <w:r>
              <w:rPr>
                <w:rFonts w:hint="eastAsia"/>
              </w:rPr>
              <w:t>高速摄像计时主机</w:t>
            </w:r>
            <w:r>
              <w:rPr>
                <w:rFonts w:hint="eastAsia"/>
                <w:lang w:val="en-US" w:eastAsia="zh-CN"/>
              </w:rPr>
              <w:t>1台：</w:t>
            </w:r>
          </w:p>
          <w:p w14:paraId="7C36F281">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rPr>
            </w:pPr>
            <w:r>
              <w:rPr>
                <w:rFonts w:hint="eastAsia"/>
                <w:lang w:eastAsia="zh-CN"/>
              </w:rPr>
              <w:t>1.</w:t>
            </w:r>
            <w:r>
              <w:rPr>
                <w:rFonts w:hint="eastAsia"/>
              </w:rPr>
              <w:t xml:space="preserve">24位全彩图像，CMOS千帧高速相机 </w:t>
            </w:r>
          </w:p>
          <w:p w14:paraId="4ED80748">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rPr>
            </w:pPr>
            <w:r>
              <w:rPr>
                <w:rFonts w:hint="eastAsia"/>
                <w:lang w:eastAsia="zh-CN"/>
              </w:rPr>
              <w:t>2.</w:t>
            </w:r>
            <w:r>
              <w:rPr>
                <w:rFonts w:hint="eastAsia"/>
              </w:rPr>
              <w:t>抓取机、控制接收机集成一体</w:t>
            </w:r>
          </w:p>
          <w:p w14:paraId="1F198A04">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rPr>
            </w:pPr>
            <w:r>
              <w:rPr>
                <w:rFonts w:hint="eastAsia"/>
                <w:lang w:eastAsia="zh-CN"/>
              </w:rPr>
              <w:t>3.</w:t>
            </w:r>
            <w:r>
              <w:rPr>
                <w:rFonts w:hint="eastAsia"/>
              </w:rPr>
              <w:t>实时视频调节对终点线</w:t>
            </w:r>
          </w:p>
          <w:p w14:paraId="16455A62">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rPr>
            </w:pPr>
            <w:r>
              <w:rPr>
                <w:rFonts w:hint="eastAsia"/>
                <w:lang w:eastAsia="zh-CN"/>
              </w:rPr>
              <w:t>4.</w:t>
            </w:r>
            <w:r>
              <w:rPr>
                <w:rFonts w:hint="eastAsia"/>
              </w:rPr>
              <w:t>720高清图像输出</w:t>
            </w:r>
          </w:p>
          <w:p w14:paraId="78BE21CB">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rPr>
            </w:pPr>
            <w:r>
              <w:rPr>
                <w:rFonts w:hint="eastAsia"/>
                <w:lang w:eastAsia="zh-CN"/>
              </w:rPr>
              <w:t>5.</w:t>
            </w:r>
            <w:r>
              <w:rPr>
                <w:rFonts w:hint="eastAsia"/>
              </w:rPr>
              <w:t>最大支持2000帧/秒</w:t>
            </w:r>
          </w:p>
          <w:p w14:paraId="4959CF57">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rPr>
            </w:pPr>
            <w:r>
              <w:rPr>
                <w:rFonts w:hint="eastAsia"/>
                <w:lang w:eastAsia="zh-CN"/>
              </w:rPr>
              <w:t>6.</w:t>
            </w:r>
            <w:r>
              <w:rPr>
                <w:rFonts w:hint="eastAsia"/>
              </w:rPr>
              <w:t>千兆以太网通讯接口</w:t>
            </w:r>
          </w:p>
          <w:p w14:paraId="5D489302">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rPr>
            </w:pPr>
            <w:r>
              <w:rPr>
                <w:rFonts w:hint="eastAsia"/>
                <w:lang w:eastAsia="zh-CN"/>
              </w:rPr>
              <w:t>7.</w:t>
            </w:r>
            <w:r>
              <w:rPr>
                <w:rFonts w:hint="eastAsia"/>
              </w:rPr>
              <w:t>同时保存终点成绩图像及终点冲刺视频</w:t>
            </w:r>
          </w:p>
          <w:p w14:paraId="1A94E025">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rPr>
            </w:pPr>
            <w:r>
              <w:rPr>
                <w:rFonts w:hint="eastAsia"/>
                <w:lang w:eastAsia="zh-CN"/>
              </w:rPr>
              <w:t>8.</w:t>
            </w:r>
            <w:r>
              <w:rPr>
                <w:rFonts w:hint="eastAsia"/>
              </w:rPr>
              <w:t>变焦工业镜头C接口焦距7-36mm,适马相机相机镜头EF接口10-20mm</w:t>
            </w:r>
          </w:p>
          <w:p w14:paraId="6538B353">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rPr>
            </w:pPr>
            <w:r>
              <w:rPr>
                <w:rFonts w:hint="eastAsia"/>
                <w:lang w:eastAsia="zh-CN"/>
              </w:rPr>
              <w:t>9.</w:t>
            </w:r>
            <w:r>
              <w:rPr>
                <w:rFonts w:hint="eastAsia"/>
              </w:rPr>
              <w:t>计时精度为0.1毫秒</w:t>
            </w:r>
          </w:p>
          <w:p w14:paraId="19D39EC9">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rPr>
            </w:pPr>
            <w:r>
              <w:rPr>
                <w:rFonts w:hint="eastAsia"/>
              </w:rPr>
              <w:t>1</w:t>
            </w:r>
            <w:r>
              <w:rPr>
                <w:rFonts w:hint="eastAsia"/>
                <w:lang w:eastAsia="zh-CN"/>
              </w:rPr>
              <w:t>0.</w:t>
            </w:r>
            <w:r>
              <w:rPr>
                <w:rFonts w:hint="eastAsia"/>
              </w:rPr>
              <w:t>无线传感器发令，空旷环境有效距离1000米</w:t>
            </w:r>
          </w:p>
          <w:p w14:paraId="26EF1ED7">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rPr>
            </w:pPr>
            <w:r>
              <w:rPr>
                <w:rFonts w:hint="eastAsia"/>
              </w:rPr>
              <w:t>1</w:t>
            </w:r>
            <w:r>
              <w:rPr>
                <w:rFonts w:hint="eastAsia"/>
                <w:lang w:eastAsia="zh-CN"/>
              </w:rPr>
              <w:t>1.</w:t>
            </w:r>
            <w:r>
              <w:rPr>
                <w:rFonts w:hint="eastAsia"/>
              </w:rPr>
              <w:t>支持无线拍摄按钮采集图像</w:t>
            </w:r>
          </w:p>
          <w:p w14:paraId="5017C58C">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rPr>
            </w:pPr>
            <w:r>
              <w:rPr>
                <w:rFonts w:hint="eastAsia"/>
              </w:rPr>
              <w:t>1</w:t>
            </w:r>
            <w:r>
              <w:rPr>
                <w:rFonts w:hint="eastAsia"/>
                <w:lang w:eastAsia="zh-CN"/>
              </w:rPr>
              <w:t>2.</w:t>
            </w:r>
            <w:r>
              <w:rPr>
                <w:rFonts w:hint="eastAsia"/>
              </w:rPr>
              <w:t>支持多次发令及重置发令时刻</w:t>
            </w:r>
          </w:p>
          <w:p w14:paraId="4C1008A7">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rPr>
            </w:pPr>
            <w:r>
              <w:rPr>
                <w:rFonts w:hint="eastAsia"/>
              </w:rPr>
              <w:t>1</w:t>
            </w:r>
            <w:r>
              <w:rPr>
                <w:rFonts w:hint="eastAsia"/>
                <w:lang w:eastAsia="zh-CN"/>
              </w:rPr>
              <w:t>3.</w:t>
            </w:r>
            <w:r>
              <w:rPr>
                <w:rFonts w:hint="eastAsia"/>
              </w:rPr>
              <w:t>停止计时可继续抓取</w:t>
            </w:r>
          </w:p>
          <w:p w14:paraId="750A1969">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rPr>
            </w:pPr>
            <w:r>
              <w:rPr>
                <w:rFonts w:hint="eastAsia"/>
              </w:rPr>
              <w:t>1</w:t>
            </w:r>
            <w:r>
              <w:rPr>
                <w:rFonts w:hint="eastAsia"/>
                <w:lang w:eastAsia="zh-CN"/>
              </w:rPr>
              <w:t>4.</w:t>
            </w:r>
            <w:r>
              <w:rPr>
                <w:rFonts w:hint="eastAsia"/>
              </w:rPr>
              <w:t>图像自动裁剪，过滤无效图像</w:t>
            </w:r>
          </w:p>
          <w:p w14:paraId="1863A37D">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rPr>
            </w:pPr>
            <w:r>
              <w:rPr>
                <w:rFonts w:hint="eastAsia"/>
              </w:rPr>
              <w:t>1</w:t>
            </w:r>
            <w:r>
              <w:rPr>
                <w:rFonts w:hint="eastAsia"/>
                <w:lang w:eastAsia="zh-CN"/>
              </w:rPr>
              <w:t>5.</w:t>
            </w:r>
            <w:r>
              <w:rPr>
                <w:rFonts w:hint="eastAsia"/>
              </w:rPr>
              <w:t>图像压缩预览，快速定位判读</w:t>
            </w:r>
          </w:p>
          <w:p w14:paraId="46864DF0">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rPr>
            </w:pPr>
            <w:r>
              <w:rPr>
                <w:rFonts w:hint="eastAsia"/>
              </w:rPr>
              <w:t>1</w:t>
            </w:r>
            <w:r>
              <w:rPr>
                <w:rFonts w:hint="eastAsia"/>
                <w:lang w:eastAsia="zh-CN"/>
              </w:rPr>
              <w:t>6.</w:t>
            </w:r>
            <w:r>
              <w:rPr>
                <w:rFonts w:hint="eastAsia"/>
              </w:rPr>
              <w:t>支持意外情况电脑死机重启软件恢复计时</w:t>
            </w:r>
          </w:p>
          <w:p w14:paraId="7C58F3A8">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rPr>
            </w:pPr>
            <w:r>
              <w:rPr>
                <w:rFonts w:hint="eastAsia"/>
              </w:rPr>
              <w:t>1</w:t>
            </w:r>
            <w:r>
              <w:rPr>
                <w:rFonts w:hint="eastAsia"/>
                <w:lang w:eastAsia="zh-CN"/>
              </w:rPr>
              <w:t>7.</w:t>
            </w:r>
            <w:r>
              <w:rPr>
                <w:rFonts w:hint="eastAsia"/>
              </w:rPr>
              <w:t>成绩输出精度0.0001秒-1秒可选</w:t>
            </w:r>
          </w:p>
          <w:p w14:paraId="569DB8EB">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rPr>
            </w:pPr>
            <w:r>
              <w:rPr>
                <w:rFonts w:hint="eastAsia"/>
              </w:rPr>
              <w:t>1</w:t>
            </w:r>
            <w:r>
              <w:rPr>
                <w:rFonts w:hint="eastAsia"/>
                <w:lang w:eastAsia="zh-CN"/>
              </w:rPr>
              <w:t>8.</w:t>
            </w:r>
            <w:r>
              <w:rPr>
                <w:rFonts w:hint="eastAsia"/>
              </w:rPr>
              <w:t>支持指定发令后固定时间自动抓拍图像</w:t>
            </w:r>
          </w:p>
          <w:p w14:paraId="7BCB1732">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rPr>
            </w:pPr>
            <w:r>
              <w:rPr>
                <w:rFonts w:hint="eastAsia"/>
              </w:rPr>
              <w:t>1</w:t>
            </w:r>
            <w:r>
              <w:rPr>
                <w:rFonts w:hint="eastAsia"/>
                <w:lang w:eastAsia="zh-CN"/>
              </w:rPr>
              <w:t>9.</w:t>
            </w:r>
            <w:r>
              <w:rPr>
                <w:rFonts w:hint="eastAsia"/>
              </w:rPr>
              <w:t>高清JPG图像输出</w:t>
            </w:r>
          </w:p>
          <w:p w14:paraId="5F24ED16">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rPr>
            </w:pPr>
            <w:r>
              <w:rPr>
                <w:rFonts w:hint="eastAsia"/>
              </w:rPr>
              <w:t>2</w:t>
            </w:r>
            <w:r>
              <w:rPr>
                <w:rFonts w:hint="eastAsia"/>
                <w:lang w:eastAsia="zh-CN"/>
              </w:rPr>
              <w:t>0.</w:t>
            </w:r>
            <w:r>
              <w:rPr>
                <w:rFonts w:hint="eastAsia"/>
              </w:rPr>
              <w:t>软件支持成绩算分表导入计算得分及等级</w:t>
            </w:r>
          </w:p>
          <w:p w14:paraId="4B16DD32">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rPr>
            </w:pPr>
            <w:r>
              <w:rPr>
                <w:rFonts w:hint="eastAsia"/>
              </w:rPr>
              <w:t>2</w:t>
            </w:r>
            <w:r>
              <w:rPr>
                <w:rFonts w:hint="eastAsia"/>
                <w:lang w:eastAsia="zh-CN"/>
              </w:rPr>
              <w:t>1.</w:t>
            </w:r>
            <w:r>
              <w:rPr>
                <w:rFonts w:hint="eastAsia"/>
              </w:rPr>
              <w:t>支持成绩实时上LED大屏显示或电视显示</w:t>
            </w:r>
          </w:p>
          <w:p w14:paraId="4E3627EE">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rPr>
            </w:pPr>
            <w:r>
              <w:rPr>
                <w:rFonts w:hint="eastAsia"/>
              </w:rPr>
              <w:t>2</w:t>
            </w:r>
            <w:r>
              <w:rPr>
                <w:rFonts w:hint="eastAsia"/>
                <w:lang w:eastAsia="zh-CN"/>
              </w:rPr>
              <w:t>2.</w:t>
            </w:r>
            <w:r>
              <w:rPr>
                <w:rFonts w:hint="eastAsia"/>
              </w:rPr>
              <w:t>与终点回放系统无缝对接</w:t>
            </w:r>
          </w:p>
          <w:p w14:paraId="6B360283">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rPr>
            </w:pPr>
            <w:r>
              <w:rPr>
                <w:rFonts w:hint="eastAsia"/>
              </w:rPr>
              <w:t>2</w:t>
            </w:r>
            <w:r>
              <w:rPr>
                <w:rFonts w:hint="eastAsia"/>
                <w:lang w:eastAsia="zh-CN"/>
              </w:rPr>
              <w:t>3.</w:t>
            </w:r>
            <w:r>
              <w:rPr>
                <w:rFonts w:hint="eastAsia"/>
              </w:rPr>
              <w:t>软件支持自动与终点回放系统关联查看视频图像</w:t>
            </w:r>
          </w:p>
          <w:p w14:paraId="35BE738B">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rPr>
            </w:pPr>
            <w:r>
              <w:rPr>
                <w:rFonts w:hint="eastAsia"/>
              </w:rPr>
              <w:t>2</w:t>
            </w:r>
            <w:r>
              <w:rPr>
                <w:rFonts w:hint="eastAsia"/>
                <w:lang w:eastAsia="zh-CN"/>
              </w:rPr>
              <w:t>4.</w:t>
            </w:r>
            <w:r>
              <w:rPr>
                <w:rFonts w:hint="eastAsia"/>
              </w:rPr>
              <w:t>软件支持拍摄、内存判读、文件判读并行操作</w:t>
            </w:r>
          </w:p>
          <w:p w14:paraId="230617BC">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rPr>
            </w:pPr>
            <w:r>
              <w:rPr>
                <w:rFonts w:hint="eastAsia"/>
              </w:rPr>
              <w:t>2</w:t>
            </w:r>
            <w:r>
              <w:rPr>
                <w:rFonts w:hint="eastAsia"/>
                <w:lang w:eastAsia="zh-CN"/>
              </w:rPr>
              <w:t>5.</w:t>
            </w:r>
            <w:r>
              <w:rPr>
                <w:rFonts w:hint="eastAsia"/>
              </w:rPr>
              <w:t>支持实施打印成绩单及其他多种格式成绩文档输出XH</w:t>
            </w:r>
          </w:p>
          <w:p w14:paraId="020D6CA8">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lang w:eastAsia="zh-CN"/>
              </w:rPr>
            </w:pPr>
            <w:r>
              <w:rPr>
                <w:rFonts w:hint="eastAsia"/>
              </w:rPr>
              <w:t>2</w:t>
            </w:r>
            <w:r>
              <w:rPr>
                <w:rFonts w:hint="eastAsia"/>
                <w:lang w:eastAsia="zh-CN"/>
              </w:rPr>
              <w:t>6.</w:t>
            </w:r>
            <w:r>
              <w:rPr>
                <w:rFonts w:hint="eastAsia"/>
              </w:rPr>
              <w:t>支持与田径运动会管理系统实时数据交互</w:t>
            </w:r>
            <w:r>
              <w:rPr>
                <w:rFonts w:hint="eastAsia"/>
                <w:lang w:eastAsia="zh-CN"/>
              </w:rPr>
              <w:t>。</w:t>
            </w:r>
          </w:p>
          <w:p w14:paraId="5F236FEC">
            <w:pPr>
              <w:keepNext w:val="0"/>
              <w:keepLines w:val="0"/>
              <w:pageBreakBefore w:val="0"/>
              <w:widowControl/>
              <w:suppressLineNumbers w:val="0"/>
              <w:kinsoku/>
              <w:wordWrap/>
              <w:overflowPunct/>
              <w:topLinePunct w:val="0"/>
              <w:bidi w:val="0"/>
              <w:snapToGrid/>
              <w:spacing w:line="440" w:lineRule="exact"/>
              <w:jc w:val="left"/>
              <w:textAlignment w:val="center"/>
              <w:rPr>
                <w:rFonts w:hint="default"/>
                <w:lang w:val="en-US" w:eastAsia="zh-CN"/>
              </w:rPr>
            </w:pPr>
            <w:r>
              <w:rPr>
                <w:rFonts w:hint="eastAsia"/>
                <w:lang w:val="en-US" w:eastAsia="zh-CN"/>
              </w:rPr>
              <w:t>二、</w:t>
            </w:r>
            <w:r>
              <w:rPr>
                <w:rFonts w:hint="eastAsia"/>
              </w:rPr>
              <w:t>通讯天线</w:t>
            </w:r>
            <w:r>
              <w:rPr>
                <w:rFonts w:hint="eastAsia"/>
                <w:lang w:val="en-US" w:eastAsia="zh-CN"/>
              </w:rPr>
              <w:t xml:space="preserve"> 4根：</w:t>
            </w:r>
            <w:r>
              <w:rPr>
                <w:rFonts w:hint="default"/>
                <w:lang w:val="en-US" w:eastAsia="zh-CN"/>
              </w:rPr>
              <w:t>433MHZ天线 5DB全向天线,长度19.5厘米</w:t>
            </w:r>
          </w:p>
          <w:p w14:paraId="114D91C2">
            <w:pPr>
              <w:keepNext w:val="0"/>
              <w:keepLines w:val="0"/>
              <w:pageBreakBefore w:val="0"/>
              <w:widowControl/>
              <w:suppressLineNumbers w:val="0"/>
              <w:kinsoku/>
              <w:wordWrap/>
              <w:overflowPunct/>
              <w:topLinePunct w:val="0"/>
              <w:bidi w:val="0"/>
              <w:snapToGrid/>
              <w:spacing w:line="440" w:lineRule="exact"/>
              <w:jc w:val="left"/>
              <w:textAlignment w:val="center"/>
              <w:rPr>
                <w:rFonts w:hint="default"/>
                <w:lang w:val="en-US" w:eastAsia="zh-CN"/>
              </w:rPr>
            </w:pPr>
            <w:r>
              <w:rPr>
                <w:rFonts w:hint="eastAsia"/>
                <w:lang w:val="en-US" w:eastAsia="zh-CN"/>
              </w:rPr>
              <w:t>三、</w:t>
            </w:r>
            <w:r>
              <w:rPr>
                <w:rFonts w:hint="default"/>
                <w:lang w:val="en-US" w:eastAsia="zh-CN"/>
              </w:rPr>
              <w:t>工业变焦镜1个</w:t>
            </w:r>
            <w:r>
              <w:rPr>
                <w:rFonts w:hint="eastAsia"/>
                <w:lang w:val="en-US" w:eastAsia="zh-CN"/>
              </w:rPr>
              <w:t>：</w:t>
            </w:r>
            <w:r>
              <w:rPr>
                <w:rFonts w:hint="default"/>
                <w:lang w:val="en-US" w:eastAsia="zh-CN"/>
              </w:rPr>
              <w:t>FA 7-36mm 1:2.8C</w:t>
            </w:r>
            <w:r>
              <w:rPr>
                <w:rFonts w:hint="default"/>
                <w:lang w:val="en-US" w:eastAsia="zh-CN"/>
              </w:rPr>
              <w:tab/>
            </w:r>
          </w:p>
          <w:p w14:paraId="1C9DCF2E">
            <w:pPr>
              <w:keepNext w:val="0"/>
              <w:keepLines w:val="0"/>
              <w:pageBreakBefore w:val="0"/>
              <w:widowControl/>
              <w:suppressLineNumbers w:val="0"/>
              <w:kinsoku/>
              <w:wordWrap/>
              <w:overflowPunct/>
              <w:topLinePunct w:val="0"/>
              <w:bidi w:val="0"/>
              <w:snapToGrid/>
              <w:spacing w:line="440" w:lineRule="exact"/>
              <w:jc w:val="left"/>
              <w:textAlignment w:val="center"/>
              <w:rPr>
                <w:rFonts w:hint="default"/>
                <w:lang w:val="en-US" w:eastAsia="zh-CN"/>
              </w:rPr>
            </w:pPr>
            <w:r>
              <w:rPr>
                <w:rFonts w:hint="eastAsia"/>
                <w:lang w:val="en-US" w:eastAsia="zh-CN"/>
              </w:rPr>
              <w:t>四、</w:t>
            </w:r>
            <w:r>
              <w:rPr>
                <w:rFonts w:hint="default"/>
                <w:lang w:val="en-US" w:eastAsia="zh-CN"/>
              </w:rPr>
              <w:t>三维微动云台1个</w:t>
            </w:r>
            <w:r>
              <w:rPr>
                <w:rFonts w:hint="eastAsia"/>
                <w:lang w:val="en-US" w:eastAsia="zh-CN"/>
              </w:rPr>
              <w:t>：</w:t>
            </w:r>
            <w:r>
              <w:rPr>
                <w:rFonts w:hint="default"/>
                <w:lang w:val="en-US" w:eastAsia="zh-CN"/>
              </w:rPr>
              <w:t>内置齿轮，30度平面微动</w:t>
            </w:r>
          </w:p>
          <w:p w14:paraId="1D508026">
            <w:pPr>
              <w:keepNext w:val="0"/>
              <w:keepLines w:val="0"/>
              <w:pageBreakBefore w:val="0"/>
              <w:widowControl/>
              <w:suppressLineNumbers w:val="0"/>
              <w:kinsoku/>
              <w:wordWrap/>
              <w:overflowPunct/>
              <w:topLinePunct w:val="0"/>
              <w:bidi w:val="0"/>
              <w:snapToGrid/>
              <w:spacing w:line="440" w:lineRule="exact"/>
              <w:jc w:val="left"/>
              <w:textAlignment w:val="center"/>
              <w:rPr>
                <w:rFonts w:hint="default"/>
                <w:lang w:val="en-US" w:eastAsia="zh-CN"/>
              </w:rPr>
            </w:pPr>
            <w:r>
              <w:rPr>
                <w:rFonts w:hint="eastAsia"/>
                <w:lang w:val="en-US" w:eastAsia="zh-CN"/>
              </w:rPr>
              <w:t>五、</w:t>
            </w:r>
            <w:r>
              <w:rPr>
                <w:rFonts w:hint="default"/>
                <w:lang w:val="en-US" w:eastAsia="zh-CN"/>
              </w:rPr>
              <w:t>三脚架1副</w:t>
            </w:r>
            <w:r>
              <w:rPr>
                <w:rFonts w:hint="eastAsia"/>
                <w:lang w:val="en-US" w:eastAsia="zh-CN"/>
              </w:rPr>
              <w:t>：</w:t>
            </w:r>
            <w:r>
              <w:rPr>
                <w:rFonts w:hint="default"/>
                <w:lang w:val="en-US" w:eastAsia="zh-CN"/>
              </w:rPr>
              <w:t>三脚架参数：展开高度范围50cm ～ 177cm，净重2.42KG，最大承重30KG,收纳长度63厘米</w:t>
            </w:r>
            <w:r>
              <w:rPr>
                <w:rFonts w:hint="default"/>
                <w:lang w:val="en-US" w:eastAsia="zh-CN"/>
              </w:rPr>
              <w:tab/>
            </w:r>
          </w:p>
          <w:p w14:paraId="0B2D5625">
            <w:pPr>
              <w:keepNext w:val="0"/>
              <w:keepLines w:val="0"/>
              <w:pageBreakBefore w:val="0"/>
              <w:widowControl/>
              <w:suppressLineNumbers w:val="0"/>
              <w:kinsoku/>
              <w:wordWrap/>
              <w:overflowPunct/>
              <w:topLinePunct w:val="0"/>
              <w:bidi w:val="0"/>
              <w:snapToGrid/>
              <w:spacing w:line="440" w:lineRule="exact"/>
              <w:jc w:val="left"/>
              <w:textAlignment w:val="center"/>
              <w:rPr>
                <w:rFonts w:hint="default"/>
                <w:lang w:val="en-US" w:eastAsia="zh-CN"/>
              </w:rPr>
            </w:pPr>
            <w:r>
              <w:rPr>
                <w:rFonts w:hint="eastAsia"/>
                <w:lang w:val="en-US" w:eastAsia="zh-CN"/>
              </w:rPr>
              <w:t>六、</w:t>
            </w:r>
            <w:r>
              <w:rPr>
                <w:rFonts w:hint="default"/>
                <w:lang w:val="en-US" w:eastAsia="zh-CN"/>
              </w:rPr>
              <w:t>拍摄按钮1个</w:t>
            </w:r>
            <w:r>
              <w:rPr>
                <w:rFonts w:hint="eastAsia"/>
                <w:lang w:val="en-US" w:eastAsia="zh-CN"/>
              </w:rPr>
              <w:t>：</w:t>
            </w:r>
            <w:r>
              <w:rPr>
                <w:rFonts w:hint="default"/>
                <w:lang w:val="en-US" w:eastAsia="zh-CN"/>
              </w:rPr>
              <w:t>5米长耐油耐磨控制线</w:t>
            </w:r>
          </w:p>
          <w:p w14:paraId="2282A89A">
            <w:pPr>
              <w:keepNext w:val="0"/>
              <w:keepLines w:val="0"/>
              <w:pageBreakBefore w:val="0"/>
              <w:widowControl/>
              <w:suppressLineNumbers w:val="0"/>
              <w:kinsoku/>
              <w:wordWrap/>
              <w:overflowPunct/>
              <w:topLinePunct w:val="0"/>
              <w:bidi w:val="0"/>
              <w:snapToGrid/>
              <w:spacing w:line="440" w:lineRule="exact"/>
              <w:jc w:val="left"/>
              <w:textAlignment w:val="center"/>
              <w:rPr>
                <w:rFonts w:hint="default"/>
                <w:lang w:val="en-US" w:eastAsia="zh-CN"/>
              </w:rPr>
            </w:pPr>
            <w:r>
              <w:rPr>
                <w:rFonts w:hint="eastAsia"/>
                <w:lang w:val="en-US" w:eastAsia="zh-CN"/>
              </w:rPr>
              <w:t>七、</w:t>
            </w:r>
            <w:r>
              <w:rPr>
                <w:rFonts w:hint="default"/>
                <w:lang w:val="en-US" w:eastAsia="zh-CN"/>
              </w:rPr>
              <w:t>电源适配器1个</w:t>
            </w:r>
            <w:r>
              <w:rPr>
                <w:rFonts w:hint="eastAsia"/>
                <w:lang w:val="en-US" w:eastAsia="zh-CN"/>
              </w:rPr>
              <w:t>：</w:t>
            </w:r>
            <w:r>
              <w:rPr>
                <w:rFonts w:hint="default"/>
                <w:lang w:val="en-US" w:eastAsia="zh-CN"/>
              </w:rPr>
              <w:t>输入电压：交流AC100-240V 50/60HZ，输出电压：直流DC12V输出电流：最大2A</w:t>
            </w:r>
            <w:r>
              <w:rPr>
                <w:rFonts w:hint="default"/>
                <w:lang w:val="en-US" w:eastAsia="zh-CN"/>
              </w:rPr>
              <w:tab/>
            </w:r>
          </w:p>
          <w:p w14:paraId="417F77DE">
            <w:pPr>
              <w:keepNext w:val="0"/>
              <w:keepLines w:val="0"/>
              <w:pageBreakBefore w:val="0"/>
              <w:widowControl/>
              <w:suppressLineNumbers w:val="0"/>
              <w:kinsoku/>
              <w:wordWrap/>
              <w:overflowPunct/>
              <w:topLinePunct w:val="0"/>
              <w:bidi w:val="0"/>
              <w:snapToGrid/>
              <w:spacing w:line="440" w:lineRule="exact"/>
              <w:jc w:val="left"/>
              <w:textAlignment w:val="center"/>
              <w:rPr>
                <w:rFonts w:hint="default"/>
                <w:lang w:val="en-US" w:eastAsia="zh-CN"/>
              </w:rPr>
            </w:pPr>
            <w:r>
              <w:rPr>
                <w:rFonts w:hint="eastAsia"/>
                <w:lang w:val="en-US" w:eastAsia="zh-CN"/>
              </w:rPr>
              <w:t>八、</w:t>
            </w:r>
            <w:r>
              <w:rPr>
                <w:rFonts w:hint="default"/>
                <w:lang w:val="en-US" w:eastAsia="zh-CN"/>
              </w:rPr>
              <w:t>网线1条</w:t>
            </w:r>
            <w:r>
              <w:rPr>
                <w:rFonts w:hint="eastAsia"/>
                <w:lang w:val="en-US" w:eastAsia="zh-CN"/>
              </w:rPr>
              <w:t>：</w:t>
            </w:r>
            <w:r>
              <w:rPr>
                <w:rFonts w:hint="default"/>
                <w:lang w:val="en-US" w:eastAsia="zh-CN"/>
              </w:rPr>
              <w:t>长度5M，超五类网线</w:t>
            </w:r>
            <w:r>
              <w:rPr>
                <w:rFonts w:hint="default"/>
                <w:lang w:val="en-US" w:eastAsia="zh-CN"/>
              </w:rPr>
              <w:tab/>
            </w:r>
          </w:p>
          <w:p w14:paraId="41124F0B">
            <w:pPr>
              <w:keepNext w:val="0"/>
              <w:keepLines w:val="0"/>
              <w:pageBreakBefore w:val="0"/>
              <w:widowControl/>
              <w:suppressLineNumbers w:val="0"/>
              <w:kinsoku/>
              <w:wordWrap/>
              <w:overflowPunct/>
              <w:topLinePunct w:val="0"/>
              <w:bidi w:val="0"/>
              <w:snapToGrid/>
              <w:spacing w:line="440" w:lineRule="exact"/>
              <w:jc w:val="left"/>
              <w:textAlignment w:val="center"/>
              <w:rPr>
                <w:rFonts w:hint="default"/>
                <w:lang w:val="en-US" w:eastAsia="zh-CN"/>
              </w:rPr>
            </w:pPr>
            <w:r>
              <w:rPr>
                <w:rFonts w:hint="eastAsia"/>
                <w:lang w:val="en-US" w:eastAsia="zh-CN"/>
              </w:rPr>
              <w:t>九、</w:t>
            </w:r>
            <w:r>
              <w:rPr>
                <w:rFonts w:hint="default"/>
                <w:lang w:val="en-US" w:eastAsia="zh-CN"/>
              </w:rPr>
              <w:t>供电电池1套</w:t>
            </w:r>
            <w:r>
              <w:rPr>
                <w:rFonts w:hint="eastAsia"/>
                <w:lang w:val="en-US" w:eastAsia="zh-CN"/>
              </w:rPr>
              <w:t>：</w:t>
            </w:r>
            <w:r>
              <w:rPr>
                <w:rFonts w:hint="default"/>
                <w:lang w:val="en-US" w:eastAsia="zh-CN"/>
              </w:rPr>
              <w:t>18650锂电池 容量：12v20AH，2米供电线</w:t>
            </w:r>
            <w:r>
              <w:rPr>
                <w:rFonts w:hint="default"/>
                <w:lang w:val="en-US" w:eastAsia="zh-CN"/>
              </w:rPr>
              <w:tab/>
            </w:r>
          </w:p>
          <w:p w14:paraId="43FB60AF">
            <w:pPr>
              <w:keepNext w:val="0"/>
              <w:keepLines w:val="0"/>
              <w:pageBreakBefore w:val="0"/>
              <w:widowControl/>
              <w:suppressLineNumbers w:val="0"/>
              <w:kinsoku/>
              <w:wordWrap/>
              <w:overflowPunct/>
              <w:topLinePunct w:val="0"/>
              <w:bidi w:val="0"/>
              <w:snapToGrid/>
              <w:spacing w:line="440" w:lineRule="exact"/>
              <w:jc w:val="left"/>
              <w:textAlignment w:val="center"/>
              <w:rPr>
                <w:rFonts w:hint="default"/>
                <w:lang w:val="en-US" w:eastAsia="zh-CN"/>
              </w:rPr>
            </w:pPr>
            <w:r>
              <w:rPr>
                <w:rFonts w:hint="eastAsia"/>
                <w:lang w:val="en-US" w:eastAsia="zh-CN"/>
              </w:rPr>
              <w:t>十、</w:t>
            </w:r>
            <w:r>
              <w:rPr>
                <w:rFonts w:hint="default"/>
                <w:lang w:val="en-US" w:eastAsia="zh-CN"/>
              </w:rPr>
              <w:t>无线发令传感器1套</w:t>
            </w:r>
            <w:r>
              <w:rPr>
                <w:rFonts w:hint="eastAsia"/>
                <w:lang w:val="en-US" w:eastAsia="zh-CN"/>
              </w:rPr>
              <w:t>：</w:t>
            </w:r>
            <w:r>
              <w:rPr>
                <w:rFonts w:hint="default"/>
                <w:lang w:val="en-US" w:eastAsia="zh-CN"/>
              </w:rPr>
              <w:t>内置锂电池供电，支架最大高度2米，声音震动触发</w:t>
            </w:r>
            <w:r>
              <w:rPr>
                <w:rFonts w:hint="default"/>
                <w:lang w:val="en-US" w:eastAsia="zh-CN"/>
              </w:rPr>
              <w:tab/>
            </w:r>
          </w:p>
          <w:p w14:paraId="77CBB1D1">
            <w:pPr>
              <w:keepNext w:val="0"/>
              <w:keepLines w:val="0"/>
              <w:pageBreakBefore w:val="0"/>
              <w:widowControl/>
              <w:suppressLineNumbers w:val="0"/>
              <w:kinsoku/>
              <w:wordWrap/>
              <w:overflowPunct/>
              <w:topLinePunct w:val="0"/>
              <w:bidi w:val="0"/>
              <w:snapToGrid/>
              <w:spacing w:line="440" w:lineRule="exact"/>
              <w:jc w:val="left"/>
              <w:textAlignment w:val="center"/>
              <w:rPr>
                <w:rFonts w:hint="default"/>
                <w:lang w:val="en-US" w:eastAsia="zh-CN"/>
              </w:rPr>
            </w:pPr>
            <w:r>
              <w:rPr>
                <w:rFonts w:hint="eastAsia"/>
                <w:lang w:val="en-US" w:eastAsia="zh-CN"/>
              </w:rPr>
              <w:t>十一、</w:t>
            </w:r>
            <w:r>
              <w:rPr>
                <w:rFonts w:hint="default"/>
                <w:lang w:val="en-US" w:eastAsia="zh-CN"/>
              </w:rPr>
              <w:t>电子发令1套</w:t>
            </w:r>
            <w:r>
              <w:rPr>
                <w:rFonts w:hint="eastAsia"/>
                <w:lang w:val="en-US" w:eastAsia="zh-CN"/>
              </w:rPr>
              <w:t>：</w:t>
            </w:r>
            <w:r>
              <w:rPr>
                <w:rFonts w:hint="default"/>
                <w:lang w:val="en-US" w:eastAsia="zh-CN"/>
              </w:rPr>
              <w:tab/>
            </w:r>
          </w:p>
          <w:p w14:paraId="4D2C97F4">
            <w:pPr>
              <w:keepNext w:val="0"/>
              <w:keepLines w:val="0"/>
              <w:pageBreakBefore w:val="0"/>
              <w:widowControl/>
              <w:suppressLineNumbers w:val="0"/>
              <w:kinsoku/>
              <w:wordWrap/>
              <w:overflowPunct/>
              <w:topLinePunct w:val="0"/>
              <w:bidi w:val="0"/>
              <w:snapToGrid/>
              <w:spacing w:line="440" w:lineRule="exact"/>
              <w:jc w:val="left"/>
              <w:textAlignment w:val="center"/>
              <w:rPr>
                <w:rFonts w:hint="default"/>
                <w:lang w:val="en-US" w:eastAsia="zh-CN"/>
              </w:rPr>
            </w:pPr>
            <w:r>
              <w:rPr>
                <w:rFonts w:hint="default"/>
                <w:lang w:val="en-US" w:eastAsia="zh-CN"/>
              </w:rPr>
              <w:t>发令距离不小于500米；</w:t>
            </w:r>
          </w:p>
          <w:p w14:paraId="5BD1FAC4">
            <w:pPr>
              <w:keepNext w:val="0"/>
              <w:keepLines w:val="0"/>
              <w:pageBreakBefore w:val="0"/>
              <w:widowControl/>
              <w:suppressLineNumbers w:val="0"/>
              <w:kinsoku/>
              <w:wordWrap/>
              <w:overflowPunct/>
              <w:topLinePunct w:val="0"/>
              <w:bidi w:val="0"/>
              <w:snapToGrid/>
              <w:spacing w:line="440" w:lineRule="exact"/>
              <w:jc w:val="left"/>
              <w:textAlignment w:val="center"/>
              <w:rPr>
                <w:rFonts w:hint="default"/>
                <w:lang w:val="en-US" w:eastAsia="zh-CN"/>
              </w:rPr>
            </w:pPr>
            <w:r>
              <w:rPr>
                <w:rFonts w:hint="default"/>
                <w:lang w:val="en-US" w:eastAsia="zh-CN"/>
              </w:rPr>
              <w:t>电池类型：充电锂电池；</w:t>
            </w:r>
          </w:p>
          <w:p w14:paraId="33DCB543">
            <w:pPr>
              <w:keepNext w:val="0"/>
              <w:keepLines w:val="0"/>
              <w:pageBreakBefore w:val="0"/>
              <w:widowControl/>
              <w:suppressLineNumbers w:val="0"/>
              <w:kinsoku/>
              <w:wordWrap/>
              <w:overflowPunct/>
              <w:topLinePunct w:val="0"/>
              <w:bidi w:val="0"/>
              <w:snapToGrid/>
              <w:spacing w:line="440" w:lineRule="exact"/>
              <w:jc w:val="left"/>
              <w:textAlignment w:val="center"/>
              <w:rPr>
                <w:rFonts w:hint="default"/>
                <w:lang w:val="en-US" w:eastAsia="zh-CN"/>
              </w:rPr>
            </w:pPr>
            <w:r>
              <w:rPr>
                <w:rFonts w:hint="default"/>
                <w:lang w:val="en-US" w:eastAsia="zh-CN"/>
              </w:rPr>
              <w:t>续航时间：12小时，</w:t>
            </w:r>
          </w:p>
          <w:p w14:paraId="1DD0688C">
            <w:pPr>
              <w:keepNext w:val="0"/>
              <w:keepLines w:val="0"/>
              <w:pageBreakBefore w:val="0"/>
              <w:widowControl/>
              <w:suppressLineNumbers w:val="0"/>
              <w:kinsoku/>
              <w:wordWrap/>
              <w:overflowPunct/>
              <w:topLinePunct w:val="0"/>
              <w:bidi w:val="0"/>
              <w:snapToGrid/>
              <w:spacing w:line="440" w:lineRule="exact"/>
              <w:jc w:val="left"/>
              <w:textAlignment w:val="center"/>
              <w:rPr>
                <w:rFonts w:hint="default"/>
                <w:lang w:val="en-US" w:eastAsia="zh-CN"/>
              </w:rPr>
            </w:pPr>
            <w:r>
              <w:rPr>
                <w:rFonts w:hint="default"/>
                <w:lang w:val="en-US" w:eastAsia="zh-CN"/>
              </w:rPr>
              <w:t>主机尺寸: 15×8.2×2.8cm</w:t>
            </w:r>
          </w:p>
          <w:p w14:paraId="1699256F">
            <w:pPr>
              <w:keepNext w:val="0"/>
              <w:keepLines w:val="0"/>
              <w:pageBreakBefore w:val="0"/>
              <w:widowControl/>
              <w:suppressLineNumbers w:val="0"/>
              <w:kinsoku/>
              <w:wordWrap/>
              <w:overflowPunct/>
              <w:topLinePunct w:val="0"/>
              <w:bidi w:val="0"/>
              <w:snapToGrid/>
              <w:spacing w:line="440" w:lineRule="exact"/>
              <w:jc w:val="left"/>
              <w:textAlignment w:val="center"/>
              <w:rPr>
                <w:rFonts w:hint="default"/>
                <w:lang w:val="en-US" w:eastAsia="zh-CN"/>
              </w:rPr>
            </w:pPr>
            <w:r>
              <w:rPr>
                <w:rFonts w:hint="default"/>
                <w:lang w:val="en-US" w:eastAsia="zh-CN"/>
              </w:rPr>
              <w:t>主机带闪光灯</w:t>
            </w:r>
          </w:p>
          <w:p w14:paraId="499A8968">
            <w:pPr>
              <w:keepNext w:val="0"/>
              <w:keepLines w:val="0"/>
              <w:pageBreakBefore w:val="0"/>
              <w:widowControl/>
              <w:suppressLineNumbers w:val="0"/>
              <w:kinsoku/>
              <w:wordWrap/>
              <w:overflowPunct/>
              <w:topLinePunct w:val="0"/>
              <w:bidi w:val="0"/>
              <w:snapToGrid/>
              <w:spacing w:line="440" w:lineRule="exact"/>
              <w:jc w:val="left"/>
              <w:textAlignment w:val="center"/>
              <w:rPr>
                <w:rFonts w:hint="default"/>
                <w:lang w:val="en-US" w:eastAsia="zh-CN"/>
              </w:rPr>
            </w:pPr>
            <w:r>
              <w:rPr>
                <w:rFonts w:hint="default"/>
                <w:lang w:val="en-US" w:eastAsia="zh-CN"/>
              </w:rPr>
              <w:t>无线音频发令手柄一个</w:t>
            </w:r>
          </w:p>
          <w:p w14:paraId="1A413947">
            <w:pPr>
              <w:keepNext w:val="0"/>
              <w:keepLines w:val="0"/>
              <w:pageBreakBefore w:val="0"/>
              <w:widowControl/>
              <w:suppressLineNumbers w:val="0"/>
              <w:kinsoku/>
              <w:wordWrap/>
              <w:overflowPunct/>
              <w:topLinePunct w:val="0"/>
              <w:bidi w:val="0"/>
              <w:snapToGrid/>
              <w:spacing w:line="440" w:lineRule="exact"/>
              <w:jc w:val="left"/>
              <w:textAlignment w:val="center"/>
              <w:rPr>
                <w:rFonts w:hint="default"/>
                <w:lang w:val="en-US" w:eastAsia="zh-CN"/>
              </w:rPr>
            </w:pPr>
            <w:r>
              <w:rPr>
                <w:rFonts w:hint="default"/>
                <w:lang w:val="en-US" w:eastAsia="zh-CN"/>
              </w:rPr>
              <w:t>户外音响</w:t>
            </w:r>
            <w:r>
              <w:rPr>
                <w:rFonts w:hint="eastAsia"/>
                <w:lang w:val="en-US" w:eastAsia="zh-CN"/>
              </w:rPr>
              <w:t xml:space="preserve"> </w:t>
            </w:r>
            <w:r>
              <w:rPr>
                <w:rFonts w:hint="default"/>
                <w:lang w:val="en-US" w:eastAsia="zh-CN"/>
              </w:rPr>
              <w:t>一个</w:t>
            </w:r>
            <w:r>
              <w:rPr>
                <w:rFonts w:hint="default"/>
                <w:lang w:val="en-US" w:eastAsia="zh-CN"/>
              </w:rPr>
              <w:tab/>
            </w:r>
          </w:p>
          <w:p w14:paraId="1AA99429">
            <w:pPr>
              <w:keepNext w:val="0"/>
              <w:keepLines w:val="0"/>
              <w:pageBreakBefore w:val="0"/>
              <w:widowControl/>
              <w:suppressLineNumbers w:val="0"/>
              <w:kinsoku/>
              <w:wordWrap/>
              <w:overflowPunct/>
              <w:topLinePunct w:val="0"/>
              <w:bidi w:val="0"/>
              <w:snapToGrid/>
              <w:spacing w:line="440" w:lineRule="exact"/>
              <w:jc w:val="left"/>
              <w:textAlignment w:val="center"/>
              <w:rPr>
                <w:rFonts w:hint="default"/>
                <w:lang w:val="en-US" w:eastAsia="zh-CN"/>
              </w:rPr>
            </w:pPr>
            <w:r>
              <w:rPr>
                <w:rFonts w:hint="eastAsia"/>
                <w:lang w:val="en-US" w:eastAsia="zh-CN"/>
              </w:rPr>
              <w:t>十二、</w:t>
            </w:r>
            <w:r>
              <w:rPr>
                <w:rFonts w:hint="default"/>
                <w:lang w:val="en-US" w:eastAsia="zh-CN"/>
              </w:rPr>
              <w:t>航空箱1个</w:t>
            </w:r>
            <w:r>
              <w:rPr>
                <w:rFonts w:hint="eastAsia"/>
                <w:lang w:val="en-US" w:eastAsia="zh-CN"/>
              </w:rPr>
              <w:t>:</w:t>
            </w:r>
            <w:r>
              <w:rPr>
                <w:rFonts w:hint="default"/>
                <w:lang w:val="en-US" w:eastAsia="zh-CN"/>
              </w:rPr>
              <w:t>内嵌防潮反震海绵，外尺寸：50x40x21厘米</w:t>
            </w:r>
          </w:p>
        </w:tc>
      </w:tr>
      <w:tr w14:paraId="6D00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5014D17">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b w:val="0"/>
                <w:bCs/>
                <w:color w:val="auto"/>
                <w:kern w:val="0"/>
                <w:sz w:val="21"/>
                <w:szCs w:val="21"/>
                <w:lang w:val="en-US" w:eastAsia="zh-CN"/>
              </w:rPr>
            </w:pPr>
            <w:r>
              <w:rPr>
                <w:rFonts w:hint="eastAsia" w:ascii="宋体" w:hAnsi="宋体" w:cs="宋体"/>
                <w:i w:val="0"/>
                <w:iCs w:val="0"/>
                <w:color w:val="auto"/>
                <w:kern w:val="0"/>
                <w:sz w:val="21"/>
                <w:szCs w:val="21"/>
                <w:u w:val="none"/>
                <w:lang w:val="en-US" w:eastAsia="zh-CN" w:bidi="ar"/>
              </w:rPr>
              <w:t>32</w:t>
            </w:r>
          </w:p>
        </w:tc>
        <w:tc>
          <w:tcPr>
            <w:tcW w:w="1215" w:type="dxa"/>
            <w:noWrap w:val="0"/>
            <w:vAlign w:val="center"/>
          </w:tcPr>
          <w:p w14:paraId="18871EB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握力测试仪</w:t>
            </w:r>
          </w:p>
        </w:tc>
        <w:tc>
          <w:tcPr>
            <w:tcW w:w="804" w:type="dxa"/>
            <w:noWrap w:val="0"/>
            <w:vAlign w:val="center"/>
          </w:tcPr>
          <w:p w14:paraId="177B042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3F6412F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3850075">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单机部分：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1.自动测量握力，反映受测者前臂和手部肌肉力量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2.握力手柄坚固耐用，拉环距离可根据手型大小自主调节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3.主要技术参数：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测量范围：0kgf－100kgf</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分度值：0.1kgf</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误差：±0.3kgf</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主机部分：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1）主机采用工控级别CONTEX-M3CPU，直接对底层硬件控制,。封闭32位私有加密操作系统，保证系统的稳定安全，避免遭受公网病毒干扰。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2）主机双芯片存储备份数据，存储量可达6万-12万条，全程语音提示（可调节音量和关闭提示音）。主机采用5寸触摸彩屏显示系统，背光亮度可调（屏幕带触摸功能，主机所有功能都可以通过触摸屏完成操作）。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3）主机《标配》音频接口可以外接音响进行扩音；主机可选配SD卡存储卡槽功能从而实现《人员照片》显示防止测试作弊功能；主机有充电指示灯和U盘插入指示灯功能；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主机具有≥2个USB接口；主机可选配内置非接触式IC卡、ID卡功能；主机支持机械按键输入测试编号（同时支持触摸屏全键盘输入法，可以输入含有数字或字母的测试编号信息）；主机《标配》支持U盘接口批量导入测试者信息从而实现快速《点名测试》；测试编号录入时具备递增功能方便快捷录入信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5）主机采用菜单式，所见即所得，全程语音（音量可调节并且可输出）提示傻瓜式操作，简单培训就可独立操作。操作人员无权限删除测试数据，仅管理员具有数据管理权限保障数据安全。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数据组网通过全无线方式，主机可选配实时上传功能，采用2.4G通信（远距离大规模组网）。大功率高频无线通讯模块兼备传输距离远，绕射穿透能力强,组网容量大优点。无线通信形成闭环局域自组网，避免了来自公网的病毒的干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7）主机采用硅胶按键，使用寿命长，4*5矩阵20宫格多功能按键设计，经十万次耐久度与疲劳性能测试，保障按键文字不会模糊与脱落，更具手指防滑功能，杜绝手指打滑按错键现象。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8）可使用直流电/交流电双电源；内置高容量锂电池,连续工作10小时以上,显示屏上全程电量提示。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主机具备通用性,用户可通过菜单按键和触摸屏操作选择，秒配任意一种外设，增加主机复用性、可靠性。主机不通过连接电脑操作，无需修改主机程序便可互换切换任意测试项目，外设与主机通信全部采用ANT2.4G通信协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主机测试成绩数据可以插入U盘快速导出测试成绩数据，进而导入到PC办公电脑端的体测数据管理软件中（避免了集中批量上传的长时间等待，也避免了PC办公电脑不在设备附近而无法批量采集数据的问题）。</w:t>
            </w:r>
          </w:p>
        </w:tc>
      </w:tr>
      <w:tr w14:paraId="1240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6A4722A">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b w:val="0"/>
                <w:bCs/>
                <w:color w:val="auto"/>
                <w:kern w:val="0"/>
                <w:sz w:val="21"/>
                <w:szCs w:val="21"/>
                <w:lang w:val="en-US" w:eastAsia="zh-CN"/>
              </w:rPr>
            </w:pPr>
            <w:r>
              <w:rPr>
                <w:rFonts w:hint="eastAsia" w:ascii="宋体" w:hAnsi="宋体" w:cs="宋体"/>
                <w:i w:val="0"/>
                <w:iCs w:val="0"/>
                <w:color w:val="auto"/>
                <w:kern w:val="0"/>
                <w:sz w:val="21"/>
                <w:szCs w:val="21"/>
                <w:u w:val="none"/>
                <w:lang w:val="en-US" w:eastAsia="zh-CN" w:bidi="ar"/>
              </w:rPr>
              <w:t>33</w:t>
            </w:r>
          </w:p>
        </w:tc>
        <w:tc>
          <w:tcPr>
            <w:tcW w:w="1215" w:type="dxa"/>
            <w:noWrap w:val="0"/>
            <w:vAlign w:val="center"/>
          </w:tcPr>
          <w:p w14:paraId="62A32EF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爬绳、爬杆</w:t>
            </w:r>
          </w:p>
        </w:tc>
        <w:tc>
          <w:tcPr>
            <w:tcW w:w="804" w:type="dxa"/>
            <w:noWrap w:val="0"/>
            <w:vAlign w:val="center"/>
          </w:tcPr>
          <w:p w14:paraId="552BD8C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付</w:t>
            </w:r>
          </w:p>
        </w:tc>
        <w:tc>
          <w:tcPr>
            <w:tcW w:w="765" w:type="dxa"/>
            <w:gridSpan w:val="2"/>
            <w:noWrap w:val="0"/>
            <w:vAlign w:val="center"/>
          </w:tcPr>
          <w:p w14:paraId="4A12E33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73A3D7AB">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1.规格：1个框架配2根绳2根杆，框架宽3m,地上高度2.5m,绳和杆长2.2米；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2.主管、横杆采用直径114×3mm优质圆钢管；爬绳、爬杆与主管采用保险卡环的连接方式；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3.绳杆的握持直径为28㎜，绳杆的有效使用宽度600㎜；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4.安装应采用直埋方式，立柱地埋深度600mm。桩基尺寸：500*500*600mm。符合GB/T19851.1—2011的要求。</w:t>
            </w:r>
          </w:p>
        </w:tc>
      </w:tr>
      <w:tr w14:paraId="600D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24F079B">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b w:val="0"/>
                <w:bCs/>
                <w:color w:val="auto"/>
                <w:kern w:val="0"/>
                <w:sz w:val="21"/>
                <w:szCs w:val="21"/>
                <w:highlight w:val="green"/>
                <w:lang w:val="en-US" w:eastAsia="zh-CN"/>
              </w:rPr>
            </w:pPr>
            <w:r>
              <w:rPr>
                <w:rFonts w:hint="eastAsia" w:ascii="宋体" w:hAnsi="宋体" w:cs="宋体"/>
                <w:i w:val="0"/>
                <w:iCs w:val="0"/>
                <w:color w:val="auto"/>
                <w:kern w:val="0"/>
                <w:sz w:val="21"/>
                <w:szCs w:val="21"/>
                <w:u w:val="none"/>
                <w:lang w:val="en-US" w:eastAsia="zh-CN" w:bidi="ar"/>
              </w:rPr>
              <w:t>34</w:t>
            </w:r>
          </w:p>
        </w:tc>
        <w:tc>
          <w:tcPr>
            <w:tcW w:w="1215" w:type="dxa"/>
            <w:noWrap w:val="0"/>
            <w:vAlign w:val="center"/>
          </w:tcPr>
          <w:p w14:paraId="1825DC3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highlight w:val="green"/>
              </w:rPr>
            </w:pPr>
            <w:r>
              <w:rPr>
                <w:rFonts w:hint="eastAsia" w:ascii="宋体" w:hAnsi="宋体" w:eastAsia="宋体" w:cs="宋体"/>
                <w:i w:val="0"/>
                <w:iCs w:val="0"/>
                <w:color w:val="auto"/>
                <w:kern w:val="0"/>
                <w:sz w:val="21"/>
                <w:szCs w:val="21"/>
                <w:u w:val="none"/>
                <w:lang w:val="en-US" w:eastAsia="zh-CN" w:bidi="ar"/>
              </w:rPr>
              <w:t>足球门</w:t>
            </w:r>
          </w:p>
        </w:tc>
        <w:tc>
          <w:tcPr>
            <w:tcW w:w="804" w:type="dxa"/>
            <w:noWrap w:val="0"/>
            <w:vAlign w:val="center"/>
          </w:tcPr>
          <w:p w14:paraId="69B6BC1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highlight w:val="green"/>
                <w:lang w:val="en-US" w:eastAsia="zh-CN"/>
              </w:rPr>
            </w:pPr>
            <w:r>
              <w:rPr>
                <w:rFonts w:hint="eastAsia" w:ascii="宋体" w:hAnsi="宋体" w:eastAsia="宋体" w:cs="宋体"/>
                <w:i w:val="0"/>
                <w:iCs w:val="0"/>
                <w:color w:val="auto"/>
                <w:kern w:val="0"/>
                <w:sz w:val="21"/>
                <w:szCs w:val="21"/>
                <w:u w:val="none"/>
                <w:lang w:val="en-US" w:eastAsia="zh-CN" w:bidi="ar"/>
              </w:rPr>
              <w:t>付</w:t>
            </w:r>
          </w:p>
        </w:tc>
        <w:tc>
          <w:tcPr>
            <w:tcW w:w="765" w:type="dxa"/>
            <w:gridSpan w:val="2"/>
            <w:noWrap w:val="0"/>
            <w:vAlign w:val="center"/>
          </w:tcPr>
          <w:p w14:paraId="3F90869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highlight w:val="green"/>
                <w:lang w:val="en-US" w:eastAsia="zh-CN"/>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3F12A22">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highlight w:val="green"/>
                <w:shd w:val="clear" w:color="auto" w:fill="FFFFFF"/>
              </w:rPr>
            </w:pPr>
            <w:r>
              <w:rPr>
                <w:rFonts w:hint="eastAsia" w:ascii="宋体" w:hAnsi="宋体" w:eastAsia="宋体" w:cs="宋体"/>
                <w:i w:val="0"/>
                <w:iCs w:val="0"/>
                <w:color w:val="auto"/>
                <w:kern w:val="0"/>
                <w:sz w:val="21"/>
                <w:szCs w:val="21"/>
                <w:u w:val="none"/>
                <w:lang w:val="en-US" w:eastAsia="zh-CN" w:bidi="ar"/>
              </w:rPr>
              <w:t>1.中学足球门：1号足球门，11人制足球比赛用的矩形足球门。球门外形尺寸不小于长度*宽度*高度：7320*2440*2400mm；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足球门由立杆、横梁、两侧撑杆、两侧横杆和后侧横杆组成；球门立杆和横梁均采用直径不小于114mm*3mm（中学）的优质金属管材制成，上设网钩，置网方便，网球系线柱两侧撑杆采用直径60*2.5mm的钢管制成，横梁和立杆上没有可能危害到运动员安全的链接物件露在外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3.足球门应能承受的水平拉力为1200N，足球门横梁能承受3200N的静负荷，横梁不应出现断裂和明显的永久变形；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4.球门组装完成后，立杆与地面垂直，横梁与立杆的夹角为90度，连接件周边处理圆滑，无棱角，表面抛丸喷砂，静电喷涂。整体结构稳固，安全性好；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5.配足球网1副；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6.产品其余符合GB/T19851.15-2007《中小学体育器材和场地—足球门》的标准。</w:t>
            </w:r>
          </w:p>
        </w:tc>
      </w:tr>
      <w:tr w14:paraId="0C4B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top"/>
          </w:tcPr>
          <w:p w14:paraId="4DE155AC">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 w:val="0"/>
                <w:bCs/>
                <w:color w:val="auto"/>
                <w:kern w:val="0"/>
                <w:sz w:val="21"/>
                <w:szCs w:val="21"/>
                <w:lang w:val="en-US" w:eastAsia="zh-CN"/>
              </w:rPr>
            </w:pPr>
          </w:p>
          <w:p w14:paraId="7485C670">
            <w:pPr>
              <w:pStyle w:val="46"/>
              <w:keepNext w:val="0"/>
              <w:keepLines w:val="0"/>
              <w:pageBreakBefore w:val="0"/>
              <w:kinsoku/>
              <w:wordWrap/>
              <w:overflowPunct/>
              <w:topLinePunct w:val="0"/>
              <w:bidi w:val="0"/>
              <w:spacing w:line="440" w:lineRule="exact"/>
              <w:ind w:firstLine="0" w:firstLineChars="0"/>
              <w:rPr>
                <w:rFonts w:hint="default" w:ascii="宋体" w:hAnsi="宋体" w:eastAsia="宋体" w:cs="宋体"/>
                <w:b w:val="0"/>
                <w:bCs/>
                <w:color w:val="auto"/>
                <w:kern w:val="0"/>
                <w:sz w:val="21"/>
                <w:szCs w:val="21"/>
                <w:lang w:val="en-US" w:eastAsia="zh-CN"/>
              </w:rPr>
            </w:pPr>
            <w:r>
              <w:rPr>
                <w:rFonts w:hint="eastAsia" w:hAnsi="宋体" w:cs="宋体"/>
                <w:b w:val="0"/>
                <w:bCs/>
                <w:color w:val="auto"/>
                <w:kern w:val="0"/>
                <w:sz w:val="21"/>
                <w:szCs w:val="21"/>
                <w:lang w:val="en-US" w:eastAsia="zh-CN"/>
              </w:rPr>
              <w:t>35</w:t>
            </w:r>
          </w:p>
        </w:tc>
        <w:tc>
          <w:tcPr>
            <w:tcW w:w="1215" w:type="dxa"/>
            <w:noWrap w:val="0"/>
            <w:vAlign w:val="center"/>
          </w:tcPr>
          <w:p w14:paraId="03A356D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排球架</w:t>
            </w:r>
          </w:p>
        </w:tc>
        <w:tc>
          <w:tcPr>
            <w:tcW w:w="804" w:type="dxa"/>
            <w:noWrap w:val="0"/>
            <w:vAlign w:val="center"/>
          </w:tcPr>
          <w:p w14:paraId="4B4193B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付</w:t>
            </w:r>
          </w:p>
        </w:tc>
        <w:tc>
          <w:tcPr>
            <w:tcW w:w="765" w:type="dxa"/>
            <w:gridSpan w:val="2"/>
            <w:noWrap w:val="0"/>
            <w:vAlign w:val="center"/>
          </w:tcPr>
          <w:p w14:paraId="3F76B5D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4F60C155">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1.移动式移动排球柱，网高调节范围1550～2430mm，可满足羽毛球、气排球、排球多功能使用；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2.底座采用优质钢板折边焊接而成，底座带轮、移动方便；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3.立柱采用优质钢管制作，外管直径89mmx3.0mm，内管直径76mm，钢管内立柱上下移动；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4.紧线机构：一立柱上置有网钩,另一立柱上置有棘爪紧线锁紧机构,通过调节手柄调节钢丝绳的松紧,从而实现网的水平高度要求；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外观质量：内管电镀，外管及底座箱体经抛丸除锈、酸洗、磷化等初级处理后，采用高温静电喷塑，色彩靓丽，表面无皱纹、无漏镀、脱镀、无漏喷、脱漆及明显划痕等缺陷；焊接严密牢固，无漏焊、虚焊、包渣、裂纹等缺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6.配架网一付；产品的外观、规格、性能要求符合GB/T19851.13--2007的有关规定。</w:t>
            </w:r>
          </w:p>
        </w:tc>
      </w:tr>
      <w:tr w14:paraId="5147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3B7A90F">
            <w:pPr>
              <w:pStyle w:val="46"/>
              <w:keepNext w:val="0"/>
              <w:keepLines w:val="0"/>
              <w:pageBreakBefore w:val="0"/>
              <w:kinsoku/>
              <w:wordWrap/>
              <w:overflowPunct/>
              <w:topLinePunct w:val="0"/>
              <w:bidi w:val="0"/>
              <w:spacing w:line="440" w:lineRule="exact"/>
              <w:ind w:firstLine="0" w:firstLineChars="0"/>
              <w:jc w:val="both"/>
              <w:rPr>
                <w:rFonts w:hint="default" w:ascii="宋体" w:hAnsi="宋体" w:eastAsia="宋体" w:cs="宋体"/>
                <w:b w:val="0"/>
                <w:bCs/>
                <w:color w:val="auto"/>
                <w:kern w:val="0"/>
                <w:sz w:val="21"/>
                <w:szCs w:val="21"/>
                <w:lang w:val="en-US" w:eastAsia="zh-CN"/>
              </w:rPr>
            </w:pPr>
            <w:r>
              <w:rPr>
                <w:rFonts w:hint="eastAsia" w:hAnsi="宋体" w:cs="宋体"/>
                <w:b w:val="0"/>
                <w:bCs/>
                <w:color w:val="auto"/>
                <w:kern w:val="0"/>
                <w:sz w:val="21"/>
                <w:szCs w:val="21"/>
                <w:highlight w:val="none"/>
                <w:lang w:val="en-US" w:eastAsia="zh-CN"/>
              </w:rPr>
              <w:t>36</w:t>
            </w:r>
          </w:p>
        </w:tc>
        <w:tc>
          <w:tcPr>
            <w:tcW w:w="1215" w:type="dxa"/>
            <w:noWrap w:val="0"/>
            <w:vAlign w:val="center"/>
          </w:tcPr>
          <w:p w14:paraId="2E8795E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乒乓球台</w:t>
            </w:r>
          </w:p>
        </w:tc>
        <w:tc>
          <w:tcPr>
            <w:tcW w:w="804" w:type="dxa"/>
            <w:noWrap w:val="0"/>
            <w:vAlign w:val="center"/>
          </w:tcPr>
          <w:p w14:paraId="02676F1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张</w:t>
            </w:r>
          </w:p>
        </w:tc>
        <w:tc>
          <w:tcPr>
            <w:tcW w:w="765" w:type="dxa"/>
            <w:gridSpan w:val="2"/>
            <w:noWrap w:val="0"/>
            <w:vAlign w:val="center"/>
          </w:tcPr>
          <w:p w14:paraId="50A86F3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cs="宋体"/>
                <w:i w:val="0"/>
                <w:iCs w:val="0"/>
                <w:color w:val="auto"/>
                <w:kern w:val="0"/>
                <w:sz w:val="21"/>
                <w:szCs w:val="21"/>
                <w:u w:val="none"/>
                <w:lang w:val="en-US" w:eastAsia="zh-CN" w:bidi="ar"/>
              </w:rPr>
              <w:t>7</w:t>
            </w:r>
          </w:p>
        </w:tc>
        <w:tc>
          <w:tcPr>
            <w:tcW w:w="6351" w:type="dxa"/>
            <w:noWrap w:val="0"/>
            <w:vAlign w:val="center"/>
          </w:tcPr>
          <w:p w14:paraId="08330C17">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Style w:val="143"/>
                <w:rFonts w:hint="eastAsia" w:ascii="宋体" w:hAnsi="宋体" w:eastAsia="宋体" w:cs="宋体"/>
                <w:color w:val="auto"/>
                <w:sz w:val="21"/>
                <w:szCs w:val="21"/>
                <w:lang w:val="en-US" w:eastAsia="zh-CN" w:bidi="ar"/>
              </w:rPr>
              <w:t>1.台面尺寸规格：2740mm×1525mm,台高760mm，配置铁制球网，高150mm，长1530mm，符合标准要求；</w:t>
            </w:r>
            <w:r>
              <w:rPr>
                <w:rStyle w:val="143"/>
                <w:rFonts w:hint="eastAsia" w:ascii="宋体" w:hAnsi="宋体" w:eastAsia="宋体" w:cs="宋体"/>
                <w:color w:val="auto"/>
                <w:sz w:val="21"/>
                <w:szCs w:val="21"/>
                <w:lang w:val="en-US" w:eastAsia="zh-CN" w:bidi="ar"/>
              </w:rPr>
              <w:br w:type="textWrapping"/>
            </w:r>
            <w:r>
              <w:rPr>
                <w:rStyle w:val="143"/>
                <w:rFonts w:hint="eastAsia" w:ascii="宋体" w:hAnsi="宋体" w:eastAsia="宋体" w:cs="宋体"/>
                <w:color w:val="auto"/>
                <w:sz w:val="21"/>
                <w:szCs w:val="21"/>
                <w:lang w:val="en-US" w:eastAsia="zh-CN" w:bidi="ar"/>
              </w:rPr>
              <w:t>2.球台台面采用SMC材料，厚15mm；台面四周采用优质方管加固处理，台面与彩虹支腿连接处用20×30mm的方管加固框连接；</w:t>
            </w:r>
            <w:r>
              <w:rPr>
                <w:rStyle w:val="143"/>
                <w:rFonts w:hint="eastAsia" w:ascii="宋体" w:hAnsi="宋体" w:eastAsia="宋体" w:cs="宋体"/>
                <w:color w:val="auto"/>
                <w:sz w:val="21"/>
                <w:szCs w:val="21"/>
                <w:lang w:val="en-US" w:eastAsia="zh-CN" w:bidi="ar"/>
              </w:rPr>
              <w:br w:type="textWrapping"/>
            </w:r>
            <w:r>
              <w:rPr>
                <w:rStyle w:val="143"/>
                <w:rFonts w:hint="eastAsia" w:ascii="宋体" w:hAnsi="宋体" w:eastAsia="宋体" w:cs="宋体"/>
                <w:color w:val="auto"/>
                <w:sz w:val="21"/>
                <w:szCs w:val="21"/>
                <w:lang w:val="en-US" w:eastAsia="zh-CN" w:bidi="ar"/>
              </w:rPr>
              <w:t>3.能承受500N静载荷要求和冲击球冲击要求，稳定性好，耐气候性强、耐老化程度高，防腐、防晒、防雨、阻燃、不易变形等,底架采用彩虹腿设计结构，Φ60mm优质钢管，保证整体的稳定性；</w:t>
            </w:r>
            <w:r>
              <w:rPr>
                <w:rStyle w:val="143"/>
                <w:rFonts w:hint="eastAsia" w:ascii="宋体" w:hAnsi="宋体" w:eastAsia="宋体" w:cs="宋体"/>
                <w:color w:val="auto"/>
                <w:sz w:val="21"/>
                <w:szCs w:val="21"/>
                <w:lang w:val="en-US" w:eastAsia="zh-CN" w:bidi="ar"/>
              </w:rPr>
              <w:br w:type="textWrapping"/>
            </w:r>
            <w:r>
              <w:rPr>
                <w:rStyle w:val="143"/>
                <w:rFonts w:hint="eastAsia" w:ascii="宋体" w:hAnsi="宋体" w:eastAsia="宋体" w:cs="宋体"/>
                <w:color w:val="auto"/>
                <w:sz w:val="21"/>
                <w:szCs w:val="21"/>
                <w:lang w:val="en-US" w:eastAsia="zh-CN" w:bidi="ar"/>
              </w:rPr>
              <w:t>4.底架采用彩虹腿设计结构，Φ60mm优质钢管，保证整体的稳定性；台腿外边距两端台边280mm，任何撑档离地大于230mm，保证使用者的运动安全；</w:t>
            </w:r>
            <w:r>
              <w:rPr>
                <w:rStyle w:val="143"/>
                <w:rFonts w:hint="eastAsia" w:ascii="宋体" w:hAnsi="宋体" w:eastAsia="宋体" w:cs="宋体"/>
                <w:color w:val="auto"/>
                <w:sz w:val="21"/>
                <w:szCs w:val="21"/>
                <w:lang w:val="en-US" w:eastAsia="zh-CN" w:bidi="ar"/>
              </w:rPr>
              <w:br w:type="textWrapping"/>
            </w:r>
            <w:r>
              <w:rPr>
                <w:rStyle w:val="143"/>
                <w:rFonts w:hint="eastAsia" w:ascii="宋体" w:hAnsi="宋体" w:eastAsia="宋体" w:cs="宋体"/>
                <w:color w:val="auto"/>
                <w:sz w:val="21"/>
                <w:szCs w:val="21"/>
                <w:lang w:val="en-US" w:eastAsia="zh-CN" w:bidi="ar"/>
              </w:rPr>
              <w:t>5.球台网及网架防锈、防松、防损坏；焊接严密牢固、无漏焊、虚焊、包渣、裂纹等缺陷；</w:t>
            </w:r>
            <w:r>
              <w:rPr>
                <w:rStyle w:val="143"/>
                <w:rFonts w:hint="eastAsia" w:ascii="宋体" w:hAnsi="宋体" w:eastAsia="宋体" w:cs="宋体"/>
                <w:color w:val="auto"/>
                <w:sz w:val="21"/>
                <w:szCs w:val="21"/>
                <w:lang w:val="en-US" w:eastAsia="zh-CN" w:bidi="ar"/>
              </w:rPr>
              <w:br w:type="textWrapping"/>
            </w:r>
            <w:r>
              <w:rPr>
                <w:rStyle w:val="143"/>
                <w:rFonts w:hint="eastAsia" w:ascii="宋体" w:hAnsi="宋体" w:eastAsia="宋体" w:cs="宋体"/>
                <w:color w:val="auto"/>
                <w:sz w:val="21"/>
                <w:szCs w:val="21"/>
                <w:lang w:val="en-US" w:eastAsia="zh-CN" w:bidi="ar"/>
              </w:rPr>
              <w:t>6.器材不允许有钩挂、卡夹等潜在危险，表面处理采用抛光工艺，除锈彻底，增大工件表面面积，增强塑粉附着力，外表面环保静电粉末。</w:t>
            </w:r>
            <w:r>
              <w:rPr>
                <w:rStyle w:val="143"/>
                <w:rFonts w:hint="eastAsia" w:ascii="宋体" w:hAnsi="宋体" w:eastAsia="宋体" w:cs="宋体"/>
                <w:color w:val="auto"/>
                <w:sz w:val="21"/>
                <w:szCs w:val="21"/>
                <w:lang w:val="en-US" w:eastAsia="zh-CN" w:bidi="ar"/>
              </w:rPr>
              <w:br w:type="textWrapping"/>
            </w:r>
            <w:r>
              <w:rPr>
                <w:rStyle w:val="143"/>
                <w:rFonts w:hint="eastAsia" w:ascii="宋体" w:hAnsi="宋体" w:eastAsia="宋体" w:cs="宋体"/>
                <w:color w:val="auto"/>
                <w:sz w:val="21"/>
                <w:szCs w:val="21"/>
                <w:lang w:val="en-US" w:eastAsia="zh-CN" w:bidi="ar"/>
              </w:rPr>
              <w:t>7.依据QB/T2700-2005《乒乓球台》、GB6675.4-2014《玩具安全第4部分：特定元素的迁移》标准，满足以下</w:t>
            </w:r>
            <w:r>
              <w:rPr>
                <w:rFonts w:hint="eastAsia"/>
                <w:color w:val="auto"/>
                <w:lang w:val="en-US" w:eastAsia="zh-CN"/>
              </w:rPr>
              <w:t>7-1至7-10</w:t>
            </w:r>
            <w:r>
              <w:rPr>
                <w:rStyle w:val="143"/>
                <w:rFonts w:hint="eastAsia" w:ascii="宋体" w:hAnsi="宋体" w:eastAsia="宋体" w:cs="宋体"/>
                <w:color w:val="auto"/>
                <w:sz w:val="21"/>
                <w:szCs w:val="21"/>
                <w:lang w:val="en-US" w:eastAsia="zh-CN" w:bidi="ar"/>
              </w:rPr>
              <w:t>要求：</w:t>
            </w:r>
            <w:r>
              <w:rPr>
                <w:rStyle w:val="143"/>
                <w:rFonts w:hint="eastAsia" w:ascii="宋体" w:hAnsi="宋体" w:eastAsia="宋体" w:cs="宋体"/>
                <w:color w:val="auto"/>
                <w:sz w:val="21"/>
                <w:szCs w:val="21"/>
                <w:lang w:val="en-US" w:eastAsia="zh-CN" w:bidi="ar"/>
              </w:rPr>
              <w:br w:type="textWrapping"/>
            </w:r>
            <w:r>
              <w:rPr>
                <w:rStyle w:val="143"/>
                <w:rFonts w:hint="eastAsia" w:ascii="宋体" w:hAnsi="宋体" w:eastAsia="宋体" w:cs="宋体"/>
                <w:color w:val="auto"/>
                <w:sz w:val="21"/>
                <w:szCs w:val="21"/>
                <w:lang w:val="en-US" w:eastAsia="zh-CN" w:bidi="ar"/>
              </w:rPr>
              <w:t>7-1.基本参数和尺寸mm：①台长L：检验结果≥2741。②台宽W：检验结果≥1525。③台面离地高度（成年）H：检验结果≥760。④球台边框高度H1（含球台面板厚度）：检验结果≤52。⑤半张台面对角线之差：检验结果为1。⑥半张台面平面度：检验结果≤3。⑦端、边线宽度：检验结果为20.0。⑧中线宽度：检验结果为3。⑨中线对称度：检验结果≤1。⑩中线与网间距离：检验结果≤30。⑪中线与端线间距：检验结果≤5。</w:t>
            </w:r>
            <w:r>
              <w:rPr>
                <w:rStyle w:val="143"/>
                <w:rFonts w:hint="eastAsia" w:ascii="宋体" w:hAnsi="宋体" w:eastAsia="宋体" w:cs="宋体"/>
                <w:color w:val="auto"/>
                <w:sz w:val="21"/>
                <w:szCs w:val="21"/>
                <w:lang w:val="en-US" w:eastAsia="zh-CN" w:bidi="ar"/>
              </w:rPr>
              <w:br w:type="textWrapping"/>
            </w:r>
            <w:r>
              <w:rPr>
                <w:rStyle w:val="143"/>
                <w:rFonts w:hint="eastAsia" w:ascii="宋体" w:hAnsi="宋体" w:eastAsia="宋体" w:cs="宋体"/>
                <w:color w:val="auto"/>
                <w:sz w:val="21"/>
                <w:szCs w:val="21"/>
                <w:lang w:val="en-US" w:eastAsia="zh-CN" w:bidi="ar"/>
              </w:rPr>
              <w:t>7-2.脚架体外侧安装距离，mm：①距端线外侧：检验结果≥250。②距边线外侧：检验解雇≥150。</w:t>
            </w:r>
            <w:r>
              <w:rPr>
                <w:rStyle w:val="143"/>
                <w:rFonts w:hint="eastAsia" w:ascii="宋体" w:hAnsi="宋体" w:eastAsia="宋体" w:cs="宋体"/>
                <w:color w:val="auto"/>
                <w:sz w:val="21"/>
                <w:szCs w:val="21"/>
                <w:lang w:val="en-US" w:eastAsia="zh-CN" w:bidi="ar"/>
              </w:rPr>
              <w:br w:type="textWrapping"/>
            </w:r>
            <w:r>
              <w:rPr>
                <w:rStyle w:val="143"/>
                <w:rFonts w:hint="eastAsia" w:ascii="宋体" w:hAnsi="宋体" w:eastAsia="宋体" w:cs="宋体"/>
                <w:color w:val="auto"/>
                <w:sz w:val="21"/>
                <w:szCs w:val="21"/>
                <w:lang w:val="en-US" w:eastAsia="zh-CN" w:bidi="ar"/>
              </w:rPr>
              <w:t>7-3.脚架体横撑离地高度，mm：①端线位置下面，检验结果≥450。②边线位置下面：检验结果≥370。</w:t>
            </w:r>
            <w:r>
              <w:rPr>
                <w:rStyle w:val="143"/>
                <w:rFonts w:hint="eastAsia" w:ascii="宋体" w:hAnsi="宋体" w:eastAsia="宋体" w:cs="宋体"/>
                <w:color w:val="auto"/>
                <w:sz w:val="21"/>
                <w:szCs w:val="21"/>
                <w:lang w:val="en-US" w:eastAsia="zh-CN" w:bidi="ar"/>
              </w:rPr>
              <w:br w:type="textWrapping"/>
            </w:r>
            <w:r>
              <w:rPr>
                <w:rStyle w:val="143"/>
                <w:rFonts w:hint="eastAsia" w:ascii="宋体" w:hAnsi="宋体" w:eastAsia="宋体" w:cs="宋体"/>
                <w:color w:val="auto"/>
                <w:sz w:val="21"/>
                <w:szCs w:val="21"/>
                <w:lang w:val="en-US" w:eastAsia="zh-CN" w:bidi="ar"/>
              </w:rPr>
              <w:t>7-4.球网组件连接区的自由空间要求，mm：①宽度：检验结果为95。②深度：检验结果≥1525。③组件连接区：底面应有保护垫板，检查结果为符合技术要求。</w:t>
            </w:r>
            <w:r>
              <w:rPr>
                <w:rStyle w:val="143"/>
                <w:rFonts w:hint="eastAsia" w:ascii="宋体" w:hAnsi="宋体" w:eastAsia="宋体" w:cs="宋体"/>
                <w:color w:val="auto"/>
                <w:sz w:val="21"/>
                <w:szCs w:val="21"/>
                <w:lang w:val="en-US" w:eastAsia="zh-CN" w:bidi="ar"/>
              </w:rPr>
              <w:br w:type="textWrapping"/>
            </w:r>
            <w:r>
              <w:rPr>
                <w:rStyle w:val="143"/>
                <w:rFonts w:hint="eastAsia" w:ascii="宋体" w:hAnsi="宋体" w:eastAsia="宋体" w:cs="宋体"/>
                <w:color w:val="auto"/>
                <w:sz w:val="21"/>
                <w:szCs w:val="21"/>
                <w:lang w:val="en-US" w:eastAsia="zh-CN" w:bidi="ar"/>
              </w:rPr>
              <w:t>7-5.球台外观质量：①球台面颜色：应为深暗色（如蓝色、绿色），球台不应有严重反光、刷痕、明显斑点、气泡、凹凸等缺陷，检验结果为符合技术要求。②球台油漆：应牢固，球台在正常使用过程中以乒乓球不染上球台台面颜色为准，检验结果为符合技术要求。③球台的端、边线和中线：应为白色，漆膜厚度不应有手感凸起，检验结果为符合技术要求。④球台整体：应无开裂、脱胶、明显翘曲等缺陷，检验结果为符合技术要求。⑤球台角架体颜色：不应用白色或荧光色，检验结果为符合技术要求。</w:t>
            </w:r>
            <w:r>
              <w:rPr>
                <w:rStyle w:val="143"/>
                <w:rFonts w:hint="eastAsia" w:ascii="宋体" w:hAnsi="宋体" w:eastAsia="宋体" w:cs="宋体"/>
                <w:color w:val="auto"/>
                <w:sz w:val="21"/>
                <w:szCs w:val="21"/>
                <w:lang w:val="en-US" w:eastAsia="zh-CN" w:bidi="ar"/>
              </w:rPr>
              <w:br w:type="textWrapping"/>
            </w:r>
            <w:r>
              <w:rPr>
                <w:rStyle w:val="143"/>
                <w:rFonts w:hint="eastAsia" w:ascii="宋体" w:hAnsi="宋体" w:eastAsia="宋体" w:cs="宋体"/>
                <w:color w:val="auto"/>
                <w:sz w:val="21"/>
                <w:szCs w:val="21"/>
                <w:lang w:val="en-US" w:eastAsia="zh-CN" w:bidi="ar"/>
              </w:rPr>
              <w:t>7-6.弹性，mm：检验结果≥240。</w:t>
            </w:r>
            <w:r>
              <w:rPr>
                <w:rStyle w:val="143"/>
                <w:rFonts w:hint="eastAsia" w:ascii="宋体" w:hAnsi="宋体" w:eastAsia="宋体" w:cs="宋体"/>
                <w:color w:val="auto"/>
                <w:sz w:val="21"/>
                <w:szCs w:val="21"/>
                <w:lang w:val="en-US" w:eastAsia="zh-CN" w:bidi="ar"/>
              </w:rPr>
              <w:br w:type="textWrapping"/>
            </w:r>
            <w:r>
              <w:rPr>
                <w:rStyle w:val="143"/>
                <w:rFonts w:hint="eastAsia" w:ascii="宋体" w:hAnsi="宋体" w:eastAsia="宋体" w:cs="宋体"/>
                <w:color w:val="auto"/>
                <w:sz w:val="21"/>
                <w:szCs w:val="21"/>
                <w:lang w:val="en-US" w:eastAsia="zh-CN" w:bidi="ar"/>
              </w:rPr>
              <w:t>7-7.球台稳定性，mm：检验结果≤4。</w:t>
            </w:r>
            <w:r>
              <w:rPr>
                <w:rStyle w:val="143"/>
                <w:rFonts w:hint="eastAsia" w:ascii="宋体" w:hAnsi="宋体" w:eastAsia="宋体" w:cs="宋体"/>
                <w:color w:val="auto"/>
                <w:sz w:val="21"/>
                <w:szCs w:val="21"/>
                <w:lang w:val="en-US" w:eastAsia="zh-CN" w:bidi="ar"/>
              </w:rPr>
              <w:br w:type="textWrapping"/>
            </w:r>
            <w:r>
              <w:rPr>
                <w:rStyle w:val="143"/>
                <w:rFonts w:hint="eastAsia" w:ascii="宋体" w:hAnsi="宋体" w:eastAsia="宋体" w:cs="宋体"/>
                <w:color w:val="auto"/>
                <w:sz w:val="21"/>
                <w:szCs w:val="21"/>
                <w:lang w:val="en-US" w:eastAsia="zh-CN" w:bidi="ar"/>
              </w:rPr>
              <w:t>7-8.斜面稳定性：球台在8°的斜面上应保持稳定，检验结果为符合技术要求。</w:t>
            </w:r>
            <w:r>
              <w:rPr>
                <w:rStyle w:val="143"/>
                <w:rFonts w:hint="eastAsia" w:ascii="宋体" w:hAnsi="宋体" w:eastAsia="宋体" w:cs="宋体"/>
                <w:color w:val="auto"/>
                <w:sz w:val="21"/>
                <w:szCs w:val="21"/>
                <w:lang w:val="en-US" w:eastAsia="zh-CN" w:bidi="ar"/>
              </w:rPr>
              <w:br w:type="textWrapping"/>
            </w:r>
            <w:r>
              <w:rPr>
                <w:rStyle w:val="143"/>
                <w:rFonts w:hint="eastAsia" w:ascii="宋体" w:hAnsi="宋体" w:eastAsia="宋体" w:cs="宋体"/>
                <w:color w:val="auto"/>
                <w:sz w:val="21"/>
                <w:szCs w:val="21"/>
                <w:lang w:val="en-US" w:eastAsia="zh-CN" w:bidi="ar"/>
              </w:rPr>
              <w:t>7-9.球台静载荷（80kg）：不应有损坏或失去平衡而倒塌的现象，检验结果为符合技术要求。</w:t>
            </w:r>
            <w:r>
              <w:rPr>
                <w:rStyle w:val="143"/>
                <w:rFonts w:hint="eastAsia" w:ascii="宋体" w:hAnsi="宋体" w:eastAsia="宋体" w:cs="宋体"/>
                <w:color w:val="auto"/>
                <w:sz w:val="21"/>
                <w:szCs w:val="21"/>
                <w:lang w:val="en-US" w:eastAsia="zh-CN" w:bidi="ar"/>
              </w:rPr>
              <w:br w:type="textWrapping"/>
            </w:r>
            <w:r>
              <w:rPr>
                <w:rStyle w:val="143"/>
                <w:rFonts w:hint="eastAsia" w:ascii="宋体" w:hAnsi="宋体" w:eastAsia="宋体" w:cs="宋体"/>
                <w:color w:val="auto"/>
                <w:sz w:val="21"/>
                <w:szCs w:val="21"/>
                <w:lang w:val="en-US" w:eastAsia="zh-CN" w:bidi="ar"/>
              </w:rPr>
              <w:t>7-10.玩具材料中可迁移元素的最大限量要求：其他玩具材料（除造型黏土和指画颜料）：①锑（Sb）：技术要求≤60mg/kg，检验结果为未检出。②砷（As）：技术要求≤25mg/kg，检验结果为未检出。③钡（Ba）：技术要求≤1000mg/kg，检验结果≤7.1mg/kg。④镉（Cd）：技术要求≤75mg/kg，检验结果为0.3mg/kg。⑤铬（Cr）：技术要求≤60mg/kg，检验结果≤6.5mg/kg。⑥铅（Pb）：技术要求≤90mg/kg，检验结果≤13.8mg/kg。⑦汞（Hg）：技术要求≤60mg/kg，检验结果为未检出。⑧硒（Se）：技术要求≤500mg/kg，检验结果为未检出。</w:t>
            </w:r>
          </w:p>
        </w:tc>
      </w:tr>
      <w:tr w14:paraId="7EE8C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top"/>
          </w:tcPr>
          <w:p w14:paraId="49F3892F">
            <w:pPr>
              <w:pStyle w:val="46"/>
              <w:keepNext w:val="0"/>
              <w:keepLines w:val="0"/>
              <w:pageBreakBefore w:val="0"/>
              <w:kinsoku/>
              <w:wordWrap/>
              <w:overflowPunct/>
              <w:topLinePunct w:val="0"/>
              <w:bidi w:val="0"/>
              <w:spacing w:line="440" w:lineRule="exact"/>
              <w:ind w:firstLine="0" w:firstLineChars="0"/>
              <w:rPr>
                <w:rFonts w:hint="default" w:ascii="宋体" w:hAnsi="宋体" w:eastAsia="宋体" w:cs="宋体"/>
                <w:b w:val="0"/>
                <w:bCs/>
                <w:color w:val="auto"/>
                <w:kern w:val="0"/>
                <w:sz w:val="21"/>
                <w:szCs w:val="21"/>
                <w:lang w:val="en-US" w:eastAsia="zh-CN"/>
              </w:rPr>
            </w:pPr>
            <w:r>
              <w:rPr>
                <w:rFonts w:hint="eastAsia" w:hAnsi="宋体" w:cs="宋体"/>
                <w:b w:val="0"/>
                <w:bCs/>
                <w:color w:val="auto"/>
                <w:kern w:val="0"/>
                <w:sz w:val="21"/>
                <w:szCs w:val="21"/>
                <w:lang w:val="en-US" w:eastAsia="zh-CN"/>
              </w:rPr>
              <w:t>37</w:t>
            </w:r>
          </w:p>
        </w:tc>
        <w:tc>
          <w:tcPr>
            <w:tcW w:w="1215" w:type="dxa"/>
            <w:noWrap w:val="0"/>
            <w:vAlign w:val="center"/>
          </w:tcPr>
          <w:p w14:paraId="5D7BB22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羽毛球网架</w:t>
            </w:r>
          </w:p>
        </w:tc>
        <w:tc>
          <w:tcPr>
            <w:tcW w:w="804" w:type="dxa"/>
            <w:noWrap w:val="0"/>
            <w:vAlign w:val="center"/>
          </w:tcPr>
          <w:p w14:paraId="4D3AFCD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付</w:t>
            </w:r>
          </w:p>
        </w:tc>
        <w:tc>
          <w:tcPr>
            <w:tcW w:w="765" w:type="dxa"/>
            <w:gridSpan w:val="2"/>
            <w:noWrap w:val="0"/>
            <w:vAlign w:val="center"/>
          </w:tcPr>
          <w:p w14:paraId="63B3C9B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6</w:t>
            </w:r>
          </w:p>
        </w:tc>
        <w:tc>
          <w:tcPr>
            <w:tcW w:w="6351" w:type="dxa"/>
            <w:noWrap w:val="0"/>
            <w:vAlign w:val="center"/>
          </w:tcPr>
          <w:p w14:paraId="5089E42C">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1.规格：不小于6.1×0.75m；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2.材质：2#锦纶，网孔1.2～2cm；3cm白色包边。</w:t>
            </w:r>
          </w:p>
        </w:tc>
      </w:tr>
      <w:tr w14:paraId="31FE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5" w:type="dxa"/>
            <w:gridSpan w:val="6"/>
            <w:noWrap w:val="0"/>
            <w:vAlign w:val="top"/>
          </w:tcPr>
          <w:p w14:paraId="2AF5690E">
            <w:pPr>
              <w:keepNext w:val="0"/>
              <w:keepLines w:val="0"/>
              <w:pageBreakBefore w:val="0"/>
              <w:widowControl/>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lang w:eastAsia="zh-CN"/>
              </w:rPr>
            </w:pPr>
            <w:r>
              <w:rPr>
                <w:rFonts w:hint="eastAsia" w:ascii="宋体" w:hAnsi="宋体" w:eastAsia="宋体" w:cs="宋体"/>
                <w:b/>
                <w:bCs w:val="0"/>
                <w:color w:val="auto"/>
                <w:sz w:val="21"/>
                <w:szCs w:val="21"/>
                <w:shd w:val="clear" w:color="auto" w:fill="FFFFFF"/>
                <w:lang w:val="en-US" w:eastAsia="zh-CN"/>
              </w:rPr>
              <w:t>（三）</w:t>
            </w:r>
            <w:r>
              <w:rPr>
                <w:rFonts w:hint="eastAsia" w:ascii="宋体" w:hAnsi="宋体" w:eastAsia="宋体" w:cs="宋体"/>
                <w:b/>
                <w:bCs w:val="0"/>
                <w:color w:val="auto"/>
                <w:sz w:val="21"/>
                <w:szCs w:val="21"/>
                <w:shd w:val="clear" w:color="auto" w:fill="FFFFFF"/>
              </w:rPr>
              <w:t>音乐专用教室及设备</w:t>
            </w:r>
          </w:p>
        </w:tc>
      </w:tr>
      <w:tr w14:paraId="5B78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top"/>
          </w:tcPr>
          <w:p w14:paraId="6EFD10EE">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Cs/>
                <w:color w:val="auto"/>
                <w:sz w:val="21"/>
                <w:szCs w:val="21"/>
                <w:lang w:bidi="ar"/>
              </w:rPr>
            </w:pPr>
            <w:r>
              <w:rPr>
                <w:rFonts w:hint="eastAsia" w:ascii="宋体" w:hAnsi="宋体" w:eastAsia="宋体" w:cs="宋体"/>
                <w:b/>
                <w:bCs w:val="0"/>
                <w:color w:val="auto"/>
                <w:sz w:val="21"/>
                <w:szCs w:val="21"/>
              </w:rPr>
              <w:t>序号</w:t>
            </w:r>
          </w:p>
        </w:tc>
        <w:tc>
          <w:tcPr>
            <w:tcW w:w="1215" w:type="dxa"/>
            <w:noWrap w:val="0"/>
            <w:vAlign w:val="top"/>
          </w:tcPr>
          <w:p w14:paraId="11051A77">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Cs/>
                <w:color w:val="auto"/>
                <w:sz w:val="21"/>
                <w:szCs w:val="21"/>
                <w:lang w:bidi="ar"/>
              </w:rPr>
            </w:pPr>
            <w:r>
              <w:rPr>
                <w:rFonts w:hint="eastAsia" w:ascii="宋体" w:hAnsi="宋体" w:eastAsia="宋体" w:cs="宋体"/>
                <w:b/>
                <w:bCs w:val="0"/>
                <w:color w:val="auto"/>
                <w:sz w:val="21"/>
                <w:szCs w:val="21"/>
              </w:rPr>
              <w:t>货物名称</w:t>
            </w:r>
          </w:p>
        </w:tc>
        <w:tc>
          <w:tcPr>
            <w:tcW w:w="804" w:type="dxa"/>
            <w:noWrap w:val="0"/>
            <w:vAlign w:val="top"/>
          </w:tcPr>
          <w:p w14:paraId="2F70FCEE">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Cs/>
                <w:color w:val="auto"/>
                <w:sz w:val="21"/>
                <w:szCs w:val="21"/>
                <w:lang w:bidi="ar"/>
              </w:rPr>
            </w:pPr>
            <w:r>
              <w:rPr>
                <w:rFonts w:hint="eastAsia" w:ascii="宋体" w:hAnsi="宋体" w:eastAsia="宋体" w:cs="宋体"/>
                <w:b/>
                <w:bCs w:val="0"/>
                <w:color w:val="auto"/>
                <w:sz w:val="21"/>
                <w:szCs w:val="21"/>
              </w:rPr>
              <w:t>单位</w:t>
            </w:r>
          </w:p>
        </w:tc>
        <w:tc>
          <w:tcPr>
            <w:tcW w:w="765" w:type="dxa"/>
            <w:gridSpan w:val="2"/>
            <w:noWrap w:val="0"/>
            <w:vAlign w:val="top"/>
          </w:tcPr>
          <w:p w14:paraId="1094990A">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Cs/>
                <w:color w:val="auto"/>
                <w:sz w:val="21"/>
                <w:szCs w:val="21"/>
                <w:lang w:bidi="ar"/>
              </w:rPr>
            </w:pPr>
            <w:r>
              <w:rPr>
                <w:rFonts w:hint="eastAsia" w:ascii="宋体" w:hAnsi="宋体" w:eastAsia="宋体" w:cs="宋体"/>
                <w:b/>
                <w:bCs w:val="0"/>
                <w:color w:val="auto"/>
                <w:sz w:val="21"/>
                <w:szCs w:val="21"/>
              </w:rPr>
              <w:t>数量</w:t>
            </w:r>
          </w:p>
        </w:tc>
        <w:tc>
          <w:tcPr>
            <w:tcW w:w="6351" w:type="dxa"/>
            <w:noWrap w:val="0"/>
            <w:vAlign w:val="top"/>
          </w:tcPr>
          <w:p w14:paraId="2025F72D">
            <w:pPr>
              <w:pStyle w:val="46"/>
              <w:keepNext w:val="0"/>
              <w:keepLines w:val="0"/>
              <w:pageBreakBefore w:val="0"/>
              <w:kinsoku/>
              <w:wordWrap/>
              <w:overflowPunct/>
              <w:topLinePunct w:val="0"/>
              <w:bidi w:val="0"/>
              <w:snapToGrid/>
              <w:spacing w:line="440" w:lineRule="exact"/>
              <w:ind w:firstLine="310" w:firstLineChars="147"/>
              <w:rPr>
                <w:rFonts w:hint="eastAsia" w:ascii="宋体" w:hAnsi="宋体" w:eastAsia="宋体" w:cs="宋体"/>
                <w:bCs/>
                <w:color w:val="auto"/>
                <w:sz w:val="21"/>
                <w:szCs w:val="21"/>
                <w:shd w:val="clear" w:color="auto" w:fill="FFFFFF"/>
              </w:rPr>
            </w:pPr>
            <w:r>
              <w:rPr>
                <w:rFonts w:hint="eastAsia" w:ascii="宋体" w:hAnsi="宋体" w:eastAsia="宋体" w:cs="宋体"/>
                <w:b/>
                <w:bCs w:val="0"/>
                <w:color w:val="auto"/>
                <w:sz w:val="21"/>
                <w:szCs w:val="21"/>
              </w:rPr>
              <w:t>技术参数、规格及要求</w:t>
            </w:r>
          </w:p>
        </w:tc>
      </w:tr>
      <w:tr w14:paraId="1AF7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59CF8BF">
            <w:pPr>
              <w:pStyle w:val="46"/>
              <w:keepNext w:val="0"/>
              <w:keepLines w:val="0"/>
              <w:pageBreakBefore w:val="0"/>
              <w:kinsoku/>
              <w:wordWrap/>
              <w:overflowPunct/>
              <w:topLinePunct w:val="0"/>
              <w:bidi w:val="0"/>
              <w:spacing w:line="440" w:lineRule="exact"/>
              <w:ind w:firstLine="0" w:firstLineChars="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w:t>
            </w:r>
          </w:p>
        </w:tc>
        <w:tc>
          <w:tcPr>
            <w:tcW w:w="1215" w:type="dxa"/>
            <w:noWrap w:val="0"/>
            <w:vAlign w:val="center"/>
          </w:tcPr>
          <w:p w14:paraId="129B036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bCs/>
                <w:color w:val="auto"/>
                <w:sz w:val="21"/>
                <w:szCs w:val="21"/>
                <w:lang w:bidi="ar"/>
              </w:rPr>
              <w:t>电子钢琴</w:t>
            </w:r>
          </w:p>
        </w:tc>
        <w:tc>
          <w:tcPr>
            <w:tcW w:w="804" w:type="dxa"/>
            <w:noWrap w:val="0"/>
            <w:vAlign w:val="center"/>
          </w:tcPr>
          <w:p w14:paraId="58FA5EF0">
            <w:pPr>
              <w:pStyle w:val="46"/>
              <w:keepNext w:val="0"/>
              <w:keepLines w:val="0"/>
              <w:pageBreakBefore w:val="0"/>
              <w:kinsoku/>
              <w:wordWrap/>
              <w:overflowPunct/>
              <w:topLinePunct w:val="0"/>
              <w:bidi w:val="0"/>
              <w:spacing w:line="440" w:lineRule="exact"/>
              <w:ind w:firstLine="0" w:firstLineChars="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台</w:t>
            </w:r>
          </w:p>
        </w:tc>
        <w:tc>
          <w:tcPr>
            <w:tcW w:w="765" w:type="dxa"/>
            <w:gridSpan w:val="2"/>
            <w:noWrap w:val="0"/>
            <w:vAlign w:val="center"/>
          </w:tcPr>
          <w:p w14:paraId="31ED04D4">
            <w:pPr>
              <w:pStyle w:val="46"/>
              <w:keepNext w:val="0"/>
              <w:keepLines w:val="0"/>
              <w:pageBreakBefore w:val="0"/>
              <w:kinsoku/>
              <w:wordWrap/>
              <w:overflowPunct/>
              <w:topLinePunct w:val="0"/>
              <w:bidi w:val="0"/>
              <w:spacing w:line="440" w:lineRule="exact"/>
              <w:ind w:firstLine="0" w:firstLineChars="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3</w:t>
            </w:r>
            <w:r>
              <w:rPr>
                <w:rFonts w:hint="eastAsia" w:hAnsi="宋体" w:cs="宋体"/>
                <w:bCs/>
                <w:color w:val="auto"/>
                <w:sz w:val="21"/>
                <w:szCs w:val="21"/>
                <w:lang w:val="en-US" w:eastAsia="zh-CN" w:bidi="ar"/>
              </w:rPr>
              <w:t>9</w:t>
            </w:r>
          </w:p>
        </w:tc>
        <w:tc>
          <w:tcPr>
            <w:tcW w:w="6351" w:type="dxa"/>
            <w:noWrap w:val="0"/>
            <w:vAlign w:val="center"/>
          </w:tcPr>
          <w:p w14:paraId="5713BF2F">
            <w:pPr>
              <w:keepNext w:val="0"/>
              <w:keepLines w:val="0"/>
              <w:pageBreakBefore w:val="0"/>
              <w:widowControl/>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1.键盘 88键 （A-1 – C7）；白键表面仿象牙颜色，磨砂黑键。</w:t>
            </w:r>
          </w:p>
          <w:p w14:paraId="7B87DC89">
            <w:pPr>
              <w:keepNext w:val="0"/>
              <w:keepLines w:val="0"/>
              <w:pageBreakBefore w:val="0"/>
              <w:widowControl/>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2.力度：灵敏度≥4种（强力/中等/柔和/固定），通过A</w:t>
            </w:r>
            <w:r>
              <w:rPr>
                <w:rFonts w:hint="eastAsia" w:ascii="宋体" w:hAnsi="宋体" w:eastAsia="宋体" w:cs="宋体"/>
                <w:bCs/>
                <w:color w:val="auto"/>
                <w:sz w:val="21"/>
                <w:szCs w:val="21"/>
                <w:shd w:val="clear" w:color="auto" w:fill="FFFFFF"/>
                <w:lang w:eastAsia="zh-CN"/>
              </w:rPr>
              <w:t>6.</w:t>
            </w:r>
            <w:r>
              <w:rPr>
                <w:rFonts w:hint="eastAsia" w:ascii="宋体" w:hAnsi="宋体" w:eastAsia="宋体" w:cs="宋体"/>
                <w:bCs/>
                <w:color w:val="auto"/>
                <w:sz w:val="21"/>
                <w:szCs w:val="21"/>
                <w:shd w:val="clear" w:color="auto" w:fill="FFFFFF"/>
              </w:rPr>
              <w:t>A#</w:t>
            </w:r>
            <w:r>
              <w:rPr>
                <w:rFonts w:hint="eastAsia" w:ascii="宋体" w:hAnsi="宋体" w:eastAsia="宋体" w:cs="宋体"/>
                <w:bCs/>
                <w:color w:val="auto"/>
                <w:sz w:val="21"/>
                <w:szCs w:val="21"/>
                <w:shd w:val="clear" w:color="auto" w:fill="FFFFFF"/>
                <w:lang w:eastAsia="zh-CN"/>
              </w:rPr>
              <w:t>6.</w:t>
            </w:r>
            <w:r>
              <w:rPr>
                <w:rFonts w:hint="eastAsia" w:ascii="宋体" w:hAnsi="宋体" w:eastAsia="宋体" w:cs="宋体"/>
                <w:bCs/>
                <w:color w:val="auto"/>
                <w:sz w:val="21"/>
                <w:szCs w:val="21"/>
                <w:shd w:val="clear" w:color="auto" w:fill="FFFFFF"/>
              </w:rPr>
              <w:t>B</w:t>
            </w:r>
            <w:r>
              <w:rPr>
                <w:rFonts w:hint="eastAsia" w:ascii="宋体" w:hAnsi="宋体" w:eastAsia="宋体" w:cs="宋体"/>
                <w:bCs/>
                <w:color w:val="auto"/>
                <w:sz w:val="21"/>
                <w:szCs w:val="21"/>
                <w:shd w:val="clear" w:color="auto" w:fill="FFFFFF"/>
                <w:lang w:eastAsia="zh-CN"/>
              </w:rPr>
              <w:t>6.</w:t>
            </w:r>
            <w:r>
              <w:rPr>
                <w:rFonts w:hint="eastAsia" w:ascii="宋体" w:hAnsi="宋体" w:eastAsia="宋体" w:cs="宋体"/>
                <w:bCs/>
                <w:color w:val="auto"/>
                <w:sz w:val="21"/>
                <w:szCs w:val="21"/>
                <w:shd w:val="clear" w:color="auto" w:fill="FFFFFF"/>
              </w:rPr>
              <w:t>C7设置力度，控制键盘轻重。</w:t>
            </w:r>
          </w:p>
          <w:p w14:paraId="05D88722">
            <w:pPr>
              <w:keepNext w:val="0"/>
              <w:keepLines w:val="0"/>
              <w:pageBreakBefore w:val="0"/>
              <w:widowControl/>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 xml:space="preserve">3.音源:要求为不低于纯正的大三角钢琴声音引擎采样，音色≥24种内置音色，复音数≥192种；伴奏≥20种 </w:t>
            </w:r>
          </w:p>
          <w:p w14:paraId="53DD6869">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shd w:val="clear" w:color="auto" w:fill="FFFFFF"/>
              </w:rPr>
              <w:t>★4.功能：必须具备电子钢琴控制器功能（智能设备应用程序—数码钢琴控制器能通过iPhone/iPad/iPod touch上运行的专门开发的电子钢琴控制器应用程序，能远程控制电子钢琴。此应用程序能在屏幕上显示各种参数，直观的可视化方</w:t>
            </w:r>
            <w:r>
              <w:rPr>
                <w:rFonts w:hint="eastAsia" w:ascii="宋体" w:hAnsi="宋体" w:eastAsia="宋体" w:cs="宋体"/>
                <w:bCs/>
                <w:color w:val="auto"/>
                <w:sz w:val="21"/>
                <w:szCs w:val="21"/>
                <w:highlight w:val="none"/>
                <w:shd w:val="clear" w:color="auto" w:fill="FFFFFF"/>
              </w:rPr>
              <w:t>式进行设置和教学）（竞标时须提供证明材料：包括但不限于厂家证明或功能截图或国家认可的第三方检测报告）。</w:t>
            </w:r>
          </w:p>
          <w:p w14:paraId="61FB6943">
            <w:pPr>
              <w:keepNext w:val="0"/>
              <w:keepLines w:val="0"/>
              <w:pageBreakBefore w:val="0"/>
              <w:widowControl/>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5.效果/功能：≥4种混响类型，具有制音踏板共鸣、声音增强功能。</w:t>
            </w:r>
          </w:p>
          <w:p w14:paraId="0BBDE83B">
            <w:pPr>
              <w:keepNext w:val="0"/>
              <w:keepLines w:val="0"/>
              <w:pageBreakBefore w:val="0"/>
              <w:widowControl/>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6.其他功能;不少于双音色、分割、双人演奏、Intelligent Acoustic Control（IAC，智能声学控制）功能；自动关机功能。</w:t>
            </w:r>
          </w:p>
          <w:p w14:paraId="2A0D2997">
            <w:pPr>
              <w:keepNext w:val="0"/>
              <w:keepLines w:val="0"/>
              <w:pageBreakBefore w:val="0"/>
              <w:widowControl/>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7.内置乐曲：≥71首（21首音色示范乐曲 + 50首预设世界钢琴名曲（有详细的曲目））。</w:t>
            </w:r>
          </w:p>
          <w:p w14:paraId="6E8FE5C3">
            <w:pPr>
              <w:keepNext w:val="0"/>
              <w:keepLines w:val="0"/>
              <w:pageBreakBefore w:val="0"/>
              <w:widowControl/>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9.乐曲录音：1个用户乐曲2个音轨。</w:t>
            </w:r>
          </w:p>
          <w:p w14:paraId="65C51BE5">
            <w:pPr>
              <w:keepNext w:val="0"/>
              <w:keepLines w:val="0"/>
              <w:pageBreakBefore w:val="0"/>
              <w:widowControl/>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10.音频蓝牙功能：有。</w:t>
            </w:r>
          </w:p>
          <w:p w14:paraId="29468A2E">
            <w:pPr>
              <w:keepNext w:val="0"/>
              <w:keepLines w:val="0"/>
              <w:pageBreakBefore w:val="0"/>
              <w:widowControl/>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11.节拍器功能：</w:t>
            </w:r>
          </w:p>
          <w:p w14:paraId="5F19ED71">
            <w:pPr>
              <w:keepNext w:val="0"/>
              <w:keepLines w:val="0"/>
              <w:pageBreakBefore w:val="0"/>
              <w:widowControl/>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（1）≥10种节奏。</w:t>
            </w:r>
          </w:p>
          <w:p w14:paraId="16E567B3">
            <w:pPr>
              <w:keepNext w:val="0"/>
              <w:keepLines w:val="0"/>
              <w:pageBreakBefore w:val="0"/>
              <w:widowControl/>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（2）速度调节≥5–280。</w:t>
            </w:r>
          </w:p>
          <w:p w14:paraId="4B403893">
            <w:pPr>
              <w:keepNext w:val="0"/>
              <w:keepLines w:val="0"/>
              <w:pageBreakBefore w:val="0"/>
              <w:widowControl/>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12.连接接口≥以下接口： DC IN (12V)、PHONES *2</w:t>
            </w:r>
          </w:p>
          <w:p w14:paraId="375A54BB">
            <w:pPr>
              <w:keepNext w:val="0"/>
              <w:keepLines w:val="0"/>
              <w:pageBreakBefore w:val="0"/>
              <w:widowControl/>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13.不少于三个踏板；木架。</w:t>
            </w:r>
          </w:p>
        </w:tc>
      </w:tr>
      <w:tr w14:paraId="5D16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A2C0713">
            <w:pPr>
              <w:pStyle w:val="46"/>
              <w:keepNext w:val="0"/>
              <w:keepLines w:val="0"/>
              <w:pageBreakBefore w:val="0"/>
              <w:kinsoku/>
              <w:wordWrap/>
              <w:overflowPunct/>
              <w:topLinePunct w:val="0"/>
              <w:bidi w:val="0"/>
              <w:spacing w:line="440" w:lineRule="exact"/>
              <w:ind w:firstLine="0" w:firstLineChars="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2</w:t>
            </w:r>
          </w:p>
        </w:tc>
        <w:tc>
          <w:tcPr>
            <w:tcW w:w="1215" w:type="dxa"/>
            <w:noWrap w:val="0"/>
            <w:vAlign w:val="center"/>
          </w:tcPr>
          <w:p w14:paraId="7527BC7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color w:val="auto"/>
                <w:sz w:val="21"/>
                <w:szCs w:val="21"/>
              </w:rPr>
              <w:t>谱架</w:t>
            </w:r>
          </w:p>
        </w:tc>
        <w:tc>
          <w:tcPr>
            <w:tcW w:w="804" w:type="dxa"/>
            <w:noWrap w:val="0"/>
            <w:vAlign w:val="center"/>
          </w:tcPr>
          <w:p w14:paraId="0D66EE54">
            <w:pPr>
              <w:keepNext w:val="0"/>
              <w:keepLines w:val="0"/>
              <w:pageBreakBefore w:val="0"/>
              <w:kinsoku/>
              <w:wordWrap/>
              <w:overflowPunct/>
              <w:topLinePunct w:val="0"/>
              <w:bidi w:val="0"/>
              <w:spacing w:line="440" w:lineRule="exact"/>
              <w:ind w:firstLine="0" w:firstLineChars="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个</w:t>
            </w:r>
          </w:p>
        </w:tc>
        <w:tc>
          <w:tcPr>
            <w:tcW w:w="765" w:type="dxa"/>
            <w:gridSpan w:val="2"/>
            <w:noWrap w:val="0"/>
            <w:vAlign w:val="center"/>
          </w:tcPr>
          <w:p w14:paraId="27558292">
            <w:pPr>
              <w:keepNext w:val="0"/>
              <w:keepLines w:val="0"/>
              <w:pageBreakBefore w:val="0"/>
              <w:kinsoku/>
              <w:wordWrap/>
              <w:overflowPunct/>
              <w:topLinePunct w:val="0"/>
              <w:bidi w:val="0"/>
              <w:spacing w:line="440" w:lineRule="exact"/>
              <w:ind w:firstLine="0" w:firstLineChars="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2</w:t>
            </w:r>
          </w:p>
        </w:tc>
        <w:tc>
          <w:tcPr>
            <w:tcW w:w="6351" w:type="dxa"/>
            <w:noWrap w:val="0"/>
            <w:vAlign w:val="center"/>
          </w:tcPr>
          <w:p w14:paraId="654108CB">
            <w:pPr>
              <w:keepNext w:val="0"/>
              <w:keepLines w:val="0"/>
              <w:pageBreakBefore w:val="0"/>
              <w:widowControl/>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适合所有乐器配套使用</w:t>
            </w:r>
          </w:p>
          <w:p w14:paraId="217E636A">
            <w:pPr>
              <w:keepNext w:val="0"/>
              <w:keepLines w:val="0"/>
              <w:pageBreakBefore w:val="0"/>
              <w:widowControl/>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材料：铁、铝合金</w:t>
            </w:r>
          </w:p>
          <w:p w14:paraId="76E80C31">
            <w:pPr>
              <w:keepNext w:val="0"/>
              <w:keepLines w:val="0"/>
              <w:pageBreakBefore w:val="0"/>
              <w:widowControl/>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普板尺寸：500*340mm</w:t>
            </w:r>
          </w:p>
          <w:p w14:paraId="006ECA9F">
            <w:pPr>
              <w:keepNext w:val="0"/>
              <w:keepLines w:val="0"/>
              <w:pageBreakBefore w:val="0"/>
              <w:widowControl/>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整体高度：730-1400mm</w:t>
            </w:r>
          </w:p>
          <w:p w14:paraId="17CDD5B4">
            <w:pPr>
              <w:keepNext w:val="0"/>
              <w:keepLines w:val="0"/>
              <w:pageBreakBefore w:val="0"/>
              <w:widowControl/>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外表处理工艺：静电喷粉</w:t>
            </w:r>
          </w:p>
          <w:p w14:paraId="7759BB51">
            <w:pPr>
              <w:keepNext w:val="0"/>
              <w:keepLines w:val="0"/>
              <w:pageBreakBefore w:val="0"/>
              <w:widowControl/>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净重：1.85kg</w:t>
            </w:r>
          </w:p>
        </w:tc>
      </w:tr>
      <w:tr w14:paraId="3415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E8B7128">
            <w:pPr>
              <w:pStyle w:val="46"/>
              <w:keepNext w:val="0"/>
              <w:keepLines w:val="0"/>
              <w:pageBreakBefore w:val="0"/>
              <w:kinsoku/>
              <w:wordWrap/>
              <w:overflowPunct/>
              <w:topLinePunct w:val="0"/>
              <w:bidi w:val="0"/>
              <w:spacing w:line="440" w:lineRule="exact"/>
              <w:ind w:firstLine="0" w:firstLineChars="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3</w:t>
            </w:r>
          </w:p>
        </w:tc>
        <w:tc>
          <w:tcPr>
            <w:tcW w:w="1215" w:type="dxa"/>
            <w:noWrap w:val="0"/>
            <w:vAlign w:val="center"/>
          </w:tcPr>
          <w:p w14:paraId="3B600B0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节拍器</w:t>
            </w:r>
          </w:p>
        </w:tc>
        <w:tc>
          <w:tcPr>
            <w:tcW w:w="804" w:type="dxa"/>
            <w:noWrap w:val="0"/>
            <w:vAlign w:val="center"/>
          </w:tcPr>
          <w:p w14:paraId="5763792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只</w:t>
            </w:r>
          </w:p>
        </w:tc>
        <w:tc>
          <w:tcPr>
            <w:tcW w:w="765" w:type="dxa"/>
            <w:gridSpan w:val="2"/>
            <w:noWrap w:val="0"/>
            <w:vAlign w:val="center"/>
          </w:tcPr>
          <w:p w14:paraId="4FC5FA8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6B1B36B4">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纯金属大机心、时尚的外观设计、使用方便、节拍精确、铃声悦耳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速度范围：40-208拍/分。</w:t>
            </w:r>
          </w:p>
        </w:tc>
      </w:tr>
      <w:tr w14:paraId="622B2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B88B9D6">
            <w:pPr>
              <w:pStyle w:val="46"/>
              <w:keepNext w:val="0"/>
              <w:keepLines w:val="0"/>
              <w:pageBreakBefore w:val="0"/>
              <w:kinsoku/>
              <w:wordWrap/>
              <w:overflowPunct/>
              <w:topLinePunct w:val="0"/>
              <w:bidi w:val="0"/>
              <w:spacing w:line="440" w:lineRule="exact"/>
              <w:ind w:firstLine="0" w:firstLineChars="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4</w:t>
            </w:r>
          </w:p>
        </w:tc>
        <w:tc>
          <w:tcPr>
            <w:tcW w:w="1215" w:type="dxa"/>
            <w:noWrap w:val="0"/>
            <w:vAlign w:val="center"/>
          </w:tcPr>
          <w:p w14:paraId="03F73AD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口琴</w:t>
            </w:r>
          </w:p>
        </w:tc>
        <w:tc>
          <w:tcPr>
            <w:tcW w:w="804" w:type="dxa"/>
            <w:noWrap w:val="0"/>
            <w:vAlign w:val="center"/>
          </w:tcPr>
          <w:p w14:paraId="1B663BB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019DA61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5FF88217">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24孔C调不锈钢盖板口琴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尺寸约17.5*2*2.5cm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重量约200g</w:t>
            </w:r>
          </w:p>
        </w:tc>
      </w:tr>
      <w:tr w14:paraId="4B1D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18D6FDF">
            <w:pPr>
              <w:pStyle w:val="46"/>
              <w:keepNext w:val="0"/>
              <w:keepLines w:val="0"/>
              <w:pageBreakBefore w:val="0"/>
              <w:kinsoku/>
              <w:wordWrap/>
              <w:overflowPunct/>
              <w:topLinePunct w:val="0"/>
              <w:bidi w:val="0"/>
              <w:spacing w:line="440" w:lineRule="exact"/>
              <w:ind w:firstLine="0" w:firstLineChars="0"/>
              <w:jc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5</w:t>
            </w:r>
          </w:p>
        </w:tc>
        <w:tc>
          <w:tcPr>
            <w:tcW w:w="1215" w:type="dxa"/>
            <w:noWrap w:val="0"/>
            <w:vAlign w:val="center"/>
          </w:tcPr>
          <w:p w14:paraId="78AEC04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吉他</w:t>
            </w:r>
          </w:p>
        </w:tc>
        <w:tc>
          <w:tcPr>
            <w:tcW w:w="804" w:type="dxa"/>
            <w:noWrap w:val="0"/>
            <w:vAlign w:val="center"/>
          </w:tcPr>
          <w:p w14:paraId="729B96E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把</w:t>
            </w:r>
          </w:p>
        </w:tc>
        <w:tc>
          <w:tcPr>
            <w:tcW w:w="765" w:type="dxa"/>
            <w:gridSpan w:val="2"/>
            <w:noWrap w:val="0"/>
            <w:vAlign w:val="center"/>
          </w:tcPr>
          <w:p w14:paraId="1E1587D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20</w:t>
            </w:r>
          </w:p>
        </w:tc>
        <w:tc>
          <w:tcPr>
            <w:tcW w:w="6351" w:type="dxa"/>
            <w:noWrap w:val="0"/>
            <w:vAlign w:val="center"/>
          </w:tcPr>
          <w:p w14:paraId="0521E9F3">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旋钮：封闭式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指板：玫瑰木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弦线：常规型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下码：玫瑰木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包边：双边黄龟甲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琴枕：常规型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面板、侧板、背板：桃花芯</w:t>
            </w:r>
          </w:p>
        </w:tc>
      </w:tr>
      <w:tr w14:paraId="003F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5" w:type="dxa"/>
            <w:gridSpan w:val="6"/>
            <w:noWrap w:val="0"/>
            <w:vAlign w:val="top"/>
          </w:tcPr>
          <w:p w14:paraId="65E147B7">
            <w:pPr>
              <w:keepNext w:val="0"/>
              <w:keepLines w:val="0"/>
              <w:pageBreakBefore w:val="0"/>
              <w:widowControl/>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lang w:val="en-US" w:eastAsia="zh-CN"/>
              </w:rPr>
            </w:pPr>
            <w:r>
              <w:rPr>
                <w:rFonts w:hint="eastAsia" w:ascii="宋体" w:hAnsi="宋体" w:cs="宋体"/>
                <w:b/>
                <w:bCs w:val="0"/>
                <w:color w:val="auto"/>
                <w:sz w:val="21"/>
                <w:szCs w:val="21"/>
                <w:shd w:val="clear" w:color="auto" w:fill="FFFFFF"/>
                <w:lang w:val="en-US" w:eastAsia="zh-CN"/>
              </w:rPr>
              <w:t>（四）</w:t>
            </w:r>
            <w:r>
              <w:rPr>
                <w:rFonts w:hint="eastAsia" w:ascii="宋体" w:hAnsi="宋体" w:eastAsia="宋体" w:cs="宋体"/>
                <w:b/>
                <w:bCs w:val="0"/>
                <w:color w:val="auto"/>
                <w:sz w:val="21"/>
                <w:szCs w:val="21"/>
                <w:shd w:val="clear" w:color="auto" w:fill="FFFFFF"/>
                <w:lang w:val="en-US" w:eastAsia="zh-CN"/>
              </w:rPr>
              <w:t>物理</w:t>
            </w:r>
          </w:p>
        </w:tc>
      </w:tr>
      <w:tr w14:paraId="57B0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top"/>
          </w:tcPr>
          <w:p w14:paraId="1B9F8F11">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Cs/>
                <w:color w:val="auto"/>
                <w:sz w:val="21"/>
                <w:szCs w:val="21"/>
                <w:lang w:bidi="ar"/>
              </w:rPr>
            </w:pPr>
            <w:r>
              <w:rPr>
                <w:rFonts w:hint="eastAsia" w:ascii="宋体" w:hAnsi="宋体" w:eastAsia="宋体" w:cs="宋体"/>
                <w:b/>
                <w:bCs w:val="0"/>
                <w:color w:val="auto"/>
                <w:sz w:val="21"/>
                <w:szCs w:val="21"/>
              </w:rPr>
              <w:t>序号</w:t>
            </w:r>
          </w:p>
        </w:tc>
        <w:tc>
          <w:tcPr>
            <w:tcW w:w="1215" w:type="dxa"/>
            <w:noWrap w:val="0"/>
            <w:vAlign w:val="top"/>
          </w:tcPr>
          <w:p w14:paraId="4E47929E">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Cs/>
                <w:color w:val="auto"/>
                <w:sz w:val="21"/>
                <w:szCs w:val="21"/>
                <w:lang w:bidi="ar"/>
              </w:rPr>
            </w:pPr>
            <w:r>
              <w:rPr>
                <w:rFonts w:hint="eastAsia" w:ascii="宋体" w:hAnsi="宋体" w:eastAsia="宋体" w:cs="宋体"/>
                <w:b/>
                <w:bCs w:val="0"/>
                <w:color w:val="auto"/>
                <w:sz w:val="21"/>
                <w:szCs w:val="21"/>
              </w:rPr>
              <w:t>货物名称</w:t>
            </w:r>
          </w:p>
        </w:tc>
        <w:tc>
          <w:tcPr>
            <w:tcW w:w="804" w:type="dxa"/>
            <w:noWrap w:val="0"/>
            <w:vAlign w:val="top"/>
          </w:tcPr>
          <w:p w14:paraId="44876CE3">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Cs/>
                <w:color w:val="auto"/>
                <w:sz w:val="21"/>
                <w:szCs w:val="21"/>
                <w:lang w:bidi="ar"/>
              </w:rPr>
            </w:pPr>
            <w:r>
              <w:rPr>
                <w:rFonts w:hint="eastAsia" w:ascii="宋体" w:hAnsi="宋体" w:eastAsia="宋体" w:cs="宋体"/>
                <w:b/>
                <w:bCs w:val="0"/>
                <w:color w:val="auto"/>
                <w:sz w:val="21"/>
                <w:szCs w:val="21"/>
              </w:rPr>
              <w:t>单位</w:t>
            </w:r>
          </w:p>
        </w:tc>
        <w:tc>
          <w:tcPr>
            <w:tcW w:w="765" w:type="dxa"/>
            <w:gridSpan w:val="2"/>
            <w:noWrap w:val="0"/>
            <w:vAlign w:val="top"/>
          </w:tcPr>
          <w:p w14:paraId="2FB83097">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Cs/>
                <w:color w:val="auto"/>
                <w:sz w:val="21"/>
                <w:szCs w:val="21"/>
                <w:lang w:bidi="ar"/>
              </w:rPr>
            </w:pPr>
            <w:r>
              <w:rPr>
                <w:rFonts w:hint="eastAsia" w:ascii="宋体" w:hAnsi="宋体" w:eastAsia="宋体" w:cs="宋体"/>
                <w:b/>
                <w:bCs w:val="0"/>
                <w:color w:val="auto"/>
                <w:sz w:val="21"/>
                <w:szCs w:val="21"/>
              </w:rPr>
              <w:t>数量</w:t>
            </w:r>
          </w:p>
        </w:tc>
        <w:tc>
          <w:tcPr>
            <w:tcW w:w="6351" w:type="dxa"/>
            <w:noWrap w:val="0"/>
            <w:vAlign w:val="top"/>
          </w:tcPr>
          <w:p w14:paraId="2924A86E">
            <w:pPr>
              <w:pStyle w:val="46"/>
              <w:keepNext w:val="0"/>
              <w:keepLines w:val="0"/>
              <w:pageBreakBefore w:val="0"/>
              <w:kinsoku/>
              <w:wordWrap/>
              <w:overflowPunct/>
              <w:topLinePunct w:val="0"/>
              <w:bidi w:val="0"/>
              <w:snapToGrid/>
              <w:spacing w:line="440" w:lineRule="exact"/>
              <w:ind w:firstLine="310" w:firstLineChars="147"/>
              <w:rPr>
                <w:rFonts w:hint="eastAsia" w:ascii="宋体" w:hAnsi="宋体" w:eastAsia="宋体" w:cs="宋体"/>
                <w:bCs/>
                <w:color w:val="auto"/>
                <w:sz w:val="21"/>
                <w:szCs w:val="21"/>
                <w:shd w:val="clear" w:color="auto" w:fill="FFFFFF"/>
              </w:rPr>
            </w:pPr>
            <w:r>
              <w:rPr>
                <w:rFonts w:hint="eastAsia" w:ascii="宋体" w:hAnsi="宋体" w:eastAsia="宋体" w:cs="宋体"/>
                <w:b/>
                <w:bCs w:val="0"/>
                <w:color w:val="auto"/>
                <w:sz w:val="21"/>
                <w:szCs w:val="21"/>
              </w:rPr>
              <w:t>技术参数、规格及要求</w:t>
            </w:r>
          </w:p>
        </w:tc>
      </w:tr>
      <w:tr w14:paraId="48C0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484279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1215" w:type="dxa"/>
            <w:noWrap w:val="0"/>
            <w:vAlign w:val="center"/>
          </w:tcPr>
          <w:p w14:paraId="64BD665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计算机数据采集处理系统</w:t>
            </w:r>
          </w:p>
        </w:tc>
        <w:tc>
          <w:tcPr>
            <w:tcW w:w="804" w:type="dxa"/>
            <w:noWrap w:val="0"/>
            <w:vAlign w:val="center"/>
          </w:tcPr>
          <w:p w14:paraId="0618533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74B6F92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C011C50">
            <w:pPr>
              <w:keepNext w:val="0"/>
              <w:keepLines w:val="0"/>
              <w:pageBreakBefore w:val="0"/>
              <w:widowControl/>
              <w:suppressLineNumbers w:val="0"/>
              <w:kinsoku/>
              <w:wordWrap/>
              <w:overflowPunct/>
              <w:topLinePunct w:val="0"/>
              <w:bidi w:val="0"/>
              <w:snapToGrid/>
              <w:spacing w:line="440" w:lineRule="exact"/>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有通用界面软件系统，智能接口，可配套专用实验仪器，详细配置如下：</w:t>
            </w:r>
          </w:p>
          <w:p w14:paraId="42B557C6">
            <w:pPr>
              <w:keepNext w:val="0"/>
              <w:keepLines w:val="0"/>
              <w:pageBreakBefore w:val="0"/>
              <w:widowControl/>
              <w:suppressLineNumbers w:val="0"/>
              <w:kinsoku/>
              <w:wordWrap/>
              <w:overflowPunct/>
              <w:topLinePunct w:val="0"/>
              <w:bidi w:val="0"/>
              <w:snapToGrid/>
              <w:spacing w:line="440" w:lineRule="exact"/>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多量程电压传感器：量程1≥-0.3V～0.3V，分辨率≤0.001V；量程2≥-3V～3V，分辨率≤0.003V；量程3≥-20V～20V，分辨率≤0.01V；</w:t>
            </w:r>
          </w:p>
          <w:p w14:paraId="6894098B">
            <w:pPr>
              <w:keepNext w:val="0"/>
              <w:keepLines w:val="0"/>
              <w:pageBreakBefore w:val="0"/>
              <w:widowControl/>
              <w:suppressLineNumbers w:val="0"/>
              <w:kinsoku/>
              <w:wordWrap/>
              <w:overflowPunct/>
              <w:topLinePunct w:val="0"/>
              <w:bidi w:val="0"/>
              <w:snapToGrid/>
              <w:spacing w:line="440" w:lineRule="exact"/>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ype-C接口，可以通过USB数据线直接与计算机通讯，不需要通过数据采集器；自带不少于5个功能按键，可以通过按键进行量程选择、调零、开始、暂停、复位等操作；自带不少于2个不同方位M5螺纹孔，方便多方位与其他固定装置（如铁架台等）配套使用；（提供第三方检测机构出具的依据GB/T2423.1-200</w:t>
            </w:r>
            <w:r>
              <w:rPr>
                <w:rFonts w:hint="eastAsia" w:ascii="宋体" w:hAnsi="宋体" w:cs="宋体"/>
                <w:i w:val="0"/>
                <w:iCs w:val="0"/>
                <w:color w:val="auto"/>
                <w:kern w:val="0"/>
                <w:sz w:val="21"/>
                <w:szCs w:val="21"/>
                <w:u w:val="none"/>
                <w:lang w:val="en-US" w:eastAsia="zh-CN" w:bidi="ar"/>
              </w:rPr>
              <w:t>8.</w:t>
            </w:r>
            <w:r>
              <w:rPr>
                <w:rFonts w:hint="eastAsia" w:ascii="宋体" w:hAnsi="宋体" w:eastAsia="宋体" w:cs="宋体"/>
                <w:i w:val="0"/>
                <w:iCs w:val="0"/>
                <w:color w:val="auto"/>
                <w:kern w:val="0"/>
                <w:sz w:val="21"/>
                <w:szCs w:val="21"/>
                <w:u w:val="none"/>
                <w:lang w:val="en-US" w:eastAsia="zh-CN" w:bidi="ar"/>
              </w:rPr>
              <w:t>GB/T2423.2-2008《电工电子产品环境试验》低温及高温试验合格的检测报告）</w:t>
            </w:r>
          </w:p>
          <w:p w14:paraId="166B27FA">
            <w:pPr>
              <w:keepNext w:val="0"/>
              <w:keepLines w:val="0"/>
              <w:pageBreakBefore w:val="0"/>
              <w:widowControl/>
              <w:suppressLineNumbers w:val="0"/>
              <w:kinsoku/>
              <w:wordWrap/>
              <w:overflowPunct/>
              <w:topLinePunct w:val="0"/>
              <w:bidi w:val="0"/>
              <w:snapToGrid/>
              <w:spacing w:line="440" w:lineRule="exact"/>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光照强度传感器：量程≥0~60000lux，分辨率≤1lux，USB数据接口，可通过USB连接线直接与计算机通讯，自带2个螺纹孔固定位；</w:t>
            </w:r>
          </w:p>
          <w:p w14:paraId="7A33F6B6">
            <w:pPr>
              <w:keepNext w:val="0"/>
              <w:keepLines w:val="0"/>
              <w:pageBreakBefore w:val="0"/>
              <w:widowControl/>
              <w:suppressLineNumbers w:val="0"/>
              <w:kinsoku/>
              <w:wordWrap/>
              <w:overflowPunct/>
              <w:topLinePunct w:val="0"/>
              <w:bidi w:val="0"/>
              <w:snapToGrid/>
              <w:spacing w:line="440" w:lineRule="exact"/>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力传感器：量程≥-50N~+50N，分辨率≤0.01N，USB数据接口，可通过USB连接线直接与计算机通讯，自带2个螺纹孔固定位；</w:t>
            </w:r>
          </w:p>
          <w:p w14:paraId="412A19A1">
            <w:pPr>
              <w:keepNext w:val="0"/>
              <w:keepLines w:val="0"/>
              <w:pageBreakBefore w:val="0"/>
              <w:widowControl/>
              <w:suppressLineNumbers w:val="0"/>
              <w:kinsoku/>
              <w:wordWrap/>
              <w:overflowPunct/>
              <w:topLinePunct w:val="0"/>
              <w:bidi w:val="0"/>
              <w:snapToGrid/>
              <w:spacing w:line="440" w:lineRule="exact"/>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位移传感器：量程≥0.01m~1.5m，分辨率≤0.1mm，USB数据接口，可通过USB连接线直接与计算机通讯，自带2个螺纹孔固定位；</w:t>
            </w:r>
          </w:p>
          <w:p w14:paraId="19F36DEE">
            <w:pPr>
              <w:keepNext w:val="0"/>
              <w:keepLines w:val="0"/>
              <w:pageBreakBefore w:val="0"/>
              <w:widowControl/>
              <w:suppressLineNumbers w:val="0"/>
              <w:kinsoku/>
              <w:wordWrap/>
              <w:overflowPunct/>
              <w:topLinePunct w:val="0"/>
              <w:bidi w:val="0"/>
              <w:snapToGrid/>
              <w:spacing w:line="440" w:lineRule="exact"/>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磁感应强度传感器：量程≥-84mT~+84mT，分辨率≤0.1mT，USB数据接口，可通过USB连接线直接与计算机通讯，自带2个螺纹孔固定位；</w:t>
            </w:r>
          </w:p>
          <w:p w14:paraId="3B8C1CC1">
            <w:pPr>
              <w:keepNext w:val="0"/>
              <w:keepLines w:val="0"/>
              <w:pageBreakBefore w:val="0"/>
              <w:widowControl/>
              <w:suppressLineNumbers w:val="0"/>
              <w:kinsoku/>
              <w:wordWrap/>
              <w:overflowPunct/>
              <w:topLinePunct w:val="0"/>
              <w:bidi w:val="0"/>
              <w:snapToGrid/>
              <w:spacing w:line="440" w:lineRule="exact"/>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压强传感器：量程≥0~700kPa，分辨率≤0.1kPa，USB数据接口，可通过USB连接线直接与计算机通讯，自带2个螺纹孔固定位；</w:t>
            </w:r>
          </w:p>
          <w:p w14:paraId="27BAEDC9">
            <w:pPr>
              <w:keepNext w:val="0"/>
              <w:keepLines w:val="0"/>
              <w:pageBreakBefore w:val="0"/>
              <w:widowControl/>
              <w:suppressLineNumbers w:val="0"/>
              <w:kinsoku/>
              <w:wordWrap/>
              <w:overflowPunct/>
              <w:topLinePunct w:val="0"/>
              <w:bidi w:val="0"/>
              <w:snapToGrid/>
              <w:spacing w:line="440" w:lineRule="exact"/>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声音传感器：量程≥20~20000 Hz，分辨率≤1Hz，USB数据接口，可通过USB连接线直接与计算机通讯，自带2个螺纹孔固定位；</w:t>
            </w:r>
          </w:p>
          <w:p w14:paraId="3CC5BCCA">
            <w:pPr>
              <w:keepNext w:val="0"/>
              <w:keepLines w:val="0"/>
              <w:pageBreakBefore w:val="0"/>
              <w:widowControl/>
              <w:suppressLineNumbers w:val="0"/>
              <w:kinsoku/>
              <w:wordWrap/>
              <w:overflowPunct/>
              <w:topLinePunct w:val="0"/>
              <w:bidi w:val="0"/>
              <w:snapToGrid/>
              <w:spacing w:line="440" w:lineRule="exact"/>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温度传感器：量程≥-50℃~+200℃，分辨率≤0.01℃，USB数据接口，可通过USB连接线直接与计算机通讯，自带2个螺纹孔固定位；</w:t>
            </w:r>
          </w:p>
          <w:p w14:paraId="02AC177E">
            <w:pPr>
              <w:keepNext w:val="0"/>
              <w:keepLines w:val="0"/>
              <w:pageBreakBefore w:val="0"/>
              <w:widowControl/>
              <w:suppressLineNumbers w:val="0"/>
              <w:kinsoku/>
              <w:wordWrap/>
              <w:overflowPunct/>
              <w:topLinePunct w:val="0"/>
              <w:bidi w:val="0"/>
              <w:snapToGrid/>
              <w:spacing w:line="440" w:lineRule="exact"/>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光电门传感器：量程≥0-∞，分辨率≤ 0.01mS，USB数据接口，可通过USB连接线直接与计算机通讯，自带2个螺纹孔固定位；</w:t>
            </w:r>
          </w:p>
          <w:p w14:paraId="68607546">
            <w:pPr>
              <w:keepNext w:val="0"/>
              <w:keepLines w:val="0"/>
              <w:pageBreakBefore w:val="0"/>
              <w:widowControl/>
              <w:suppressLineNumbers w:val="0"/>
              <w:kinsoku/>
              <w:wordWrap/>
              <w:overflowPunct/>
              <w:topLinePunct w:val="0"/>
              <w:bidi w:val="0"/>
              <w:snapToGrid/>
              <w:spacing w:line="440" w:lineRule="exact"/>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微电流传感器：量程≥-30μA~+30μA，分辨率≤0.01μA，USB数据接口，可通过USB连接线直接与计算机通讯，自带2个螺纹孔固定位；</w:t>
            </w:r>
          </w:p>
          <w:p w14:paraId="661B604F">
            <w:pPr>
              <w:keepNext w:val="0"/>
              <w:keepLines w:val="0"/>
              <w:pageBreakBefore w:val="0"/>
              <w:widowControl/>
              <w:suppressLineNumbers w:val="0"/>
              <w:kinsoku/>
              <w:wordWrap/>
              <w:overflowPunct/>
              <w:topLinePunct w:val="0"/>
              <w:bidi w:val="0"/>
              <w:snapToGrid/>
              <w:spacing w:line="440" w:lineRule="exact"/>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电流传感器：量程≥-3A~+3A，分辨率≤0.01A，USB数据接口，可通过USB连接线直接与计算机通讯，自带2个螺纹孔固定位；</w:t>
            </w:r>
          </w:p>
          <w:p w14:paraId="5D78A76B">
            <w:pPr>
              <w:keepNext w:val="0"/>
              <w:keepLines w:val="0"/>
              <w:pageBreakBefore w:val="0"/>
              <w:widowControl/>
              <w:suppressLineNumbers w:val="0"/>
              <w:kinsoku/>
              <w:wordWrap/>
              <w:overflowPunct/>
              <w:topLinePunct w:val="0"/>
              <w:bidi w:val="0"/>
              <w:snapToGrid/>
              <w:spacing w:line="440" w:lineRule="exact"/>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数据分析软件：支持不少于20通道并行采集；自动识别新插入传感器并自动运行；支持自由设置传感器初始状态；支持多种数据显示方式(包括数字、曲线、混合、列表)；具有多种采集模式（自动采集和手动采集，自动采集频率可选）；可以添加常用公式和自定义公式；具有多种数据分析功能包括拟合、积分、微分、计算频率等；具有多曲线模式，可以多种曲线同时采集同时分析；传感器界面支持裁剪部分曲线并暂存，方便快速采集多组数据；支持多段曲线原样输出，多段曲线对齐等功能，方便快速对比实验结果；支持断续采集，防止因意外操作不得不终止实验时，无需重新开启采集；支持对选中的数据进行复制，可复制到除本软件以外的任何地方；无需借助第三方软件，可以直接将实验报告上传到教师端；</w:t>
            </w:r>
          </w:p>
          <w:p w14:paraId="3ECC0758">
            <w:pPr>
              <w:keepNext w:val="0"/>
              <w:keepLines w:val="0"/>
              <w:pageBreakBefore w:val="0"/>
              <w:widowControl/>
              <w:suppressLineNumbers w:val="0"/>
              <w:kinsoku/>
              <w:wordWrap/>
              <w:overflowPunct/>
              <w:topLinePunct w:val="0"/>
              <w:bidi w:val="0"/>
              <w:snapToGrid/>
              <w:spacing w:line="440" w:lineRule="exact"/>
              <w:jc w:val="left"/>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铝合金箱及各种配件：铝合金材质收纳箱1个，传感器数据线4条，通用连接套件1对，软件U盘1个，彩色实验手册1本。</w:t>
            </w:r>
          </w:p>
        </w:tc>
      </w:tr>
      <w:tr w14:paraId="1E80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D69DE8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1215" w:type="dxa"/>
            <w:noWrap w:val="0"/>
            <w:vAlign w:val="center"/>
          </w:tcPr>
          <w:p w14:paraId="03D9842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计算器</w:t>
            </w:r>
          </w:p>
        </w:tc>
        <w:tc>
          <w:tcPr>
            <w:tcW w:w="804" w:type="dxa"/>
            <w:noWrap w:val="0"/>
            <w:vAlign w:val="center"/>
          </w:tcPr>
          <w:p w14:paraId="482D960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7F0675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top"/>
          </w:tcPr>
          <w:p w14:paraId="4DAF9E50">
            <w:pPr>
              <w:keepNext w:val="0"/>
              <w:keepLines w:val="0"/>
              <w:pageBreakBefore w:val="0"/>
              <w:widowControl/>
              <w:suppressLineNumbers w:val="0"/>
              <w:kinsoku/>
              <w:wordWrap/>
              <w:overflowPunct/>
              <w:topLinePunct w:val="0"/>
              <w:bidi w:val="0"/>
              <w:snapToGrid/>
              <w:spacing w:line="440" w:lineRule="exact"/>
              <w:jc w:val="left"/>
              <w:textAlignment w:val="top"/>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1.有工程塑料和电子元件组成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2.翻盖式，按键数量44个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3.单行显示，显示位数为10位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4.可进行加、减、乘、除、平方根及三角函数等运算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5.外观尺寸130*75mm</w:t>
            </w:r>
          </w:p>
        </w:tc>
      </w:tr>
      <w:tr w14:paraId="3932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BBA72B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w:t>
            </w:r>
          </w:p>
        </w:tc>
        <w:tc>
          <w:tcPr>
            <w:tcW w:w="1215" w:type="dxa"/>
            <w:noWrap w:val="0"/>
            <w:vAlign w:val="center"/>
          </w:tcPr>
          <w:p w14:paraId="5D298E2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打孔器</w:t>
            </w:r>
          </w:p>
        </w:tc>
        <w:tc>
          <w:tcPr>
            <w:tcW w:w="804" w:type="dxa"/>
            <w:noWrap w:val="0"/>
            <w:vAlign w:val="center"/>
          </w:tcPr>
          <w:p w14:paraId="14D3BA3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FC560D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70D6F65">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1.实验室常用工具，供对胶塞和木塞打孔用。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2.有三支不同孔径带手柄的空芯钻头、顶屑杆（通条）组成。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3.每支空芯管长度为82㎜，管外径分别为6.8.10mm。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4.钻头用无缝钢管制成，表面镀铬。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5.顶屑杆直径φ3×91㎜。</w:t>
            </w:r>
          </w:p>
        </w:tc>
      </w:tr>
      <w:tr w14:paraId="74D3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DE9EAF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4</w:t>
            </w:r>
          </w:p>
        </w:tc>
        <w:tc>
          <w:tcPr>
            <w:tcW w:w="1215" w:type="dxa"/>
            <w:noWrap w:val="0"/>
            <w:vAlign w:val="center"/>
          </w:tcPr>
          <w:p w14:paraId="5CE2C35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直联泵</w:t>
            </w:r>
          </w:p>
        </w:tc>
        <w:tc>
          <w:tcPr>
            <w:tcW w:w="804" w:type="dxa"/>
            <w:noWrap w:val="0"/>
            <w:vAlign w:val="center"/>
          </w:tcPr>
          <w:p w14:paraId="61352BD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2BB8130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7840583">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1.由电机、泵体、机械密封三部分组成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2.整体外观为家用型水泵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3.工作电压：220V，功率125W，最高扬程：30m,最大流量：1.8m³/h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4.外形尺寸：208*154*220mm</w:t>
            </w:r>
          </w:p>
        </w:tc>
      </w:tr>
      <w:tr w14:paraId="225B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C46344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1215" w:type="dxa"/>
            <w:noWrap w:val="0"/>
            <w:vAlign w:val="center"/>
          </w:tcPr>
          <w:p w14:paraId="402A782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两用气筒</w:t>
            </w:r>
          </w:p>
        </w:tc>
        <w:tc>
          <w:tcPr>
            <w:tcW w:w="804" w:type="dxa"/>
            <w:noWrap w:val="0"/>
            <w:vAlign w:val="center"/>
          </w:tcPr>
          <w:p w14:paraId="0D82D3E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54AA5A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DBF63B3">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1.由工程塑料外壳、金属拉杆、木质手柄组成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2.为手持式，抽气和充气两用、抽气与充气垂直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3.整体长度为328mm,气管直径为28mm,手柄长度为76mm</w:t>
            </w:r>
          </w:p>
        </w:tc>
      </w:tr>
      <w:tr w14:paraId="63D3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1A87A7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6</w:t>
            </w:r>
          </w:p>
        </w:tc>
        <w:tc>
          <w:tcPr>
            <w:tcW w:w="1215" w:type="dxa"/>
            <w:noWrap w:val="0"/>
            <w:vAlign w:val="center"/>
          </w:tcPr>
          <w:p w14:paraId="591FD44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抽气筒</w:t>
            </w:r>
          </w:p>
        </w:tc>
        <w:tc>
          <w:tcPr>
            <w:tcW w:w="804" w:type="dxa"/>
            <w:noWrap w:val="0"/>
            <w:vAlign w:val="center"/>
          </w:tcPr>
          <w:p w14:paraId="4395EAC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49B185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24FCB72">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1.由工程塑料外壳、金属拉杆、塑料手柄、抽气针组成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2.为手持式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3.整体长度为325mm,气管直径为35mm,手柄长度为55mm</w:t>
            </w:r>
          </w:p>
        </w:tc>
      </w:tr>
      <w:tr w14:paraId="6558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116E9F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7</w:t>
            </w:r>
          </w:p>
        </w:tc>
        <w:tc>
          <w:tcPr>
            <w:tcW w:w="1215" w:type="dxa"/>
            <w:noWrap w:val="0"/>
            <w:vAlign w:val="center"/>
          </w:tcPr>
          <w:p w14:paraId="09E9A2D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打气筒</w:t>
            </w:r>
          </w:p>
        </w:tc>
        <w:tc>
          <w:tcPr>
            <w:tcW w:w="804" w:type="dxa"/>
            <w:noWrap w:val="0"/>
            <w:vAlign w:val="center"/>
          </w:tcPr>
          <w:p w14:paraId="17908AC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2350C8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69B4464">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1.有气筒、软管、气嘴、固定脚圈组成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2.整体采用高强度塑料制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3.整体长度为208mm、气筒直径29mm</w:t>
            </w:r>
          </w:p>
        </w:tc>
      </w:tr>
      <w:tr w14:paraId="0348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C966E8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8</w:t>
            </w:r>
          </w:p>
        </w:tc>
        <w:tc>
          <w:tcPr>
            <w:tcW w:w="1215" w:type="dxa"/>
            <w:noWrap w:val="0"/>
            <w:vAlign w:val="center"/>
          </w:tcPr>
          <w:p w14:paraId="701EA26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抽气盘</w:t>
            </w:r>
          </w:p>
        </w:tc>
        <w:tc>
          <w:tcPr>
            <w:tcW w:w="804" w:type="dxa"/>
            <w:noWrap w:val="0"/>
            <w:vAlign w:val="center"/>
          </w:tcPr>
          <w:p w14:paraId="35363D6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1FD90D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58F082D">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1.由抽气盘、钟罩、音乐发生器、凡士林及橡胶垫圈组成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2.抽气盘为塑料制，抽气口为铜制，有开关阀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3.钟罩为玻璃制，直径150mm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4.整体抽气盘直径185mm、高288mm</w:t>
            </w:r>
          </w:p>
        </w:tc>
      </w:tr>
      <w:tr w14:paraId="7B9E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F869D9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9</w:t>
            </w:r>
          </w:p>
        </w:tc>
        <w:tc>
          <w:tcPr>
            <w:tcW w:w="1215" w:type="dxa"/>
            <w:noWrap w:val="0"/>
            <w:vAlign w:val="center"/>
          </w:tcPr>
          <w:p w14:paraId="02707B4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吹风机</w:t>
            </w:r>
          </w:p>
        </w:tc>
        <w:tc>
          <w:tcPr>
            <w:tcW w:w="804" w:type="dxa"/>
            <w:noWrap w:val="0"/>
            <w:vAlign w:val="center"/>
          </w:tcPr>
          <w:p w14:paraId="5E1A8AA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FC53C9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995E27D">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1.由塑料底座、金属机身、出气口等组成，用做小型气源，可稳定供给弹簧振子工作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2.工作电压220v,功率20w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3.排气量为20L/min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4.外观尺寸：160*90*100mm</w:t>
            </w:r>
          </w:p>
        </w:tc>
      </w:tr>
      <w:tr w14:paraId="3E29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951F33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w:t>
            </w:r>
          </w:p>
        </w:tc>
        <w:tc>
          <w:tcPr>
            <w:tcW w:w="1215" w:type="dxa"/>
            <w:noWrap w:val="0"/>
            <w:vAlign w:val="center"/>
          </w:tcPr>
          <w:p w14:paraId="5A198E6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仪器车</w:t>
            </w:r>
          </w:p>
        </w:tc>
        <w:tc>
          <w:tcPr>
            <w:tcW w:w="804" w:type="dxa"/>
            <w:noWrap w:val="0"/>
            <w:vAlign w:val="center"/>
          </w:tcPr>
          <w:p w14:paraId="78B4711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辆</w:t>
            </w:r>
          </w:p>
        </w:tc>
        <w:tc>
          <w:tcPr>
            <w:tcW w:w="765" w:type="dxa"/>
            <w:gridSpan w:val="2"/>
            <w:noWrap w:val="0"/>
            <w:vAlign w:val="center"/>
          </w:tcPr>
          <w:p w14:paraId="6931199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6FA63F9">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1.双层仪器车和万向转动轮组成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2.整理支柱采用不低于20*20mm的方管弯制而成；托盘采用钢板折制，托盘尺寸不小于56*40mm,托盘边栏高度26mm，整体静电喷涂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3.双层托盘层距大约36mm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4.安装完整体尺寸：600mm×400mm×800mm</w:t>
            </w:r>
          </w:p>
        </w:tc>
      </w:tr>
      <w:tr w14:paraId="4195A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13D3A8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11</w:t>
            </w:r>
          </w:p>
        </w:tc>
        <w:tc>
          <w:tcPr>
            <w:tcW w:w="1215" w:type="dxa"/>
            <w:noWrap w:val="0"/>
            <w:vAlign w:val="center"/>
          </w:tcPr>
          <w:p w14:paraId="6A207E8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充磁器</w:t>
            </w:r>
          </w:p>
        </w:tc>
        <w:tc>
          <w:tcPr>
            <w:tcW w:w="804" w:type="dxa"/>
            <w:noWrap w:val="0"/>
            <w:vAlign w:val="center"/>
          </w:tcPr>
          <w:p w14:paraId="72AD7D5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1A7FA16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407F30B">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1.由底座、充磁线圈、电路装置及操作开关组成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2.可进行条形磁铁、梯形磁铁的充磁和消磁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3.工作电压：220V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4.充磁孔为长方形,尺寸为25*15mm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5.整体尺寸为：124*620*600mm</w:t>
            </w:r>
          </w:p>
        </w:tc>
      </w:tr>
      <w:tr w14:paraId="1C05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D5B332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12</w:t>
            </w:r>
          </w:p>
        </w:tc>
        <w:tc>
          <w:tcPr>
            <w:tcW w:w="1215" w:type="dxa"/>
            <w:noWrap w:val="0"/>
            <w:vAlign w:val="center"/>
          </w:tcPr>
          <w:p w14:paraId="6B69CE0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生物显微镜</w:t>
            </w:r>
          </w:p>
        </w:tc>
        <w:tc>
          <w:tcPr>
            <w:tcW w:w="804" w:type="dxa"/>
            <w:noWrap w:val="0"/>
            <w:vAlign w:val="center"/>
          </w:tcPr>
          <w:p w14:paraId="0114AB9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6D3FE7E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FF2B87C">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1.由底座、反光镜、载物台、转换器、镜桶、粗调旋钮、微调旋钮、物镜、目镜等组成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2.总放大倍数：640X</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3.物镜：4X、10X、40X</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4.转换器：三孔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5.目镜：H10X,H16X</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6.五孔圆盘光栏，可选孔径为20mm、8mm、5mm、4mm、3mm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7.包装方式：ABS塑料手提箱包装。</w:t>
            </w:r>
          </w:p>
        </w:tc>
      </w:tr>
      <w:tr w14:paraId="735A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B09CEF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13</w:t>
            </w:r>
          </w:p>
        </w:tc>
        <w:tc>
          <w:tcPr>
            <w:tcW w:w="1215" w:type="dxa"/>
            <w:noWrap w:val="0"/>
            <w:vAlign w:val="center"/>
          </w:tcPr>
          <w:p w14:paraId="1C6D0FE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望远镜</w:t>
            </w:r>
          </w:p>
        </w:tc>
        <w:tc>
          <w:tcPr>
            <w:tcW w:w="804" w:type="dxa"/>
            <w:noWrap w:val="0"/>
            <w:vAlign w:val="center"/>
          </w:tcPr>
          <w:p w14:paraId="725BB5F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6BFF92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8397175">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1.由塑料外壳、调节旋钮、目镜组、物镜组及内部棱镜组构成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2.为双筒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3.最大展开宽度176mm,目镜直径38mm,物镜直径45mm</w:t>
            </w:r>
          </w:p>
        </w:tc>
      </w:tr>
      <w:tr w14:paraId="60CB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036191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14</w:t>
            </w:r>
          </w:p>
        </w:tc>
        <w:tc>
          <w:tcPr>
            <w:tcW w:w="1215" w:type="dxa"/>
            <w:noWrap w:val="0"/>
            <w:vAlign w:val="center"/>
          </w:tcPr>
          <w:p w14:paraId="5FA25F3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酒精喷灯</w:t>
            </w:r>
          </w:p>
        </w:tc>
        <w:tc>
          <w:tcPr>
            <w:tcW w:w="804" w:type="dxa"/>
            <w:noWrap w:val="0"/>
            <w:vAlign w:val="center"/>
          </w:tcPr>
          <w:p w14:paraId="0FE32B5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12BC00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163D9DE">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1.由壶体、预热杯、喷火管、火苗调节杆等组成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2.整体为铜制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3.整体高度为134mm,壶体直径为102mm</w:t>
            </w:r>
          </w:p>
        </w:tc>
      </w:tr>
      <w:tr w14:paraId="08EB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6D40BF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15</w:t>
            </w:r>
          </w:p>
        </w:tc>
        <w:tc>
          <w:tcPr>
            <w:tcW w:w="1215" w:type="dxa"/>
            <w:noWrap w:val="0"/>
            <w:vAlign w:val="center"/>
          </w:tcPr>
          <w:p w14:paraId="1C390AA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注射器</w:t>
            </w:r>
          </w:p>
        </w:tc>
        <w:tc>
          <w:tcPr>
            <w:tcW w:w="804" w:type="dxa"/>
            <w:noWrap w:val="0"/>
            <w:vAlign w:val="center"/>
          </w:tcPr>
          <w:p w14:paraId="6E6B9A4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5B8097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7B0BCA01">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1.为工业用塑料注射器，不含针头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2.为100ml,最小刻度为2ml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3.注射器直径35mm,长度185mm</w:t>
            </w:r>
          </w:p>
        </w:tc>
      </w:tr>
      <w:tr w14:paraId="5894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FC359B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16</w:t>
            </w:r>
          </w:p>
        </w:tc>
        <w:tc>
          <w:tcPr>
            <w:tcW w:w="1215" w:type="dxa"/>
            <w:noWrap w:val="0"/>
            <w:vAlign w:val="center"/>
          </w:tcPr>
          <w:p w14:paraId="589FDAA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透明盛液筒</w:t>
            </w:r>
          </w:p>
        </w:tc>
        <w:tc>
          <w:tcPr>
            <w:tcW w:w="804" w:type="dxa"/>
            <w:noWrap w:val="0"/>
            <w:vAlign w:val="center"/>
          </w:tcPr>
          <w:p w14:paraId="446961B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0C9930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132482DC">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1.由聚苯乙烯塑料制成，透明度好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2.上孔径100mm,深300mm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3.产业上有毫米刻度的标尺</w:t>
            </w:r>
          </w:p>
        </w:tc>
      </w:tr>
      <w:tr w14:paraId="1E56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322028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17</w:t>
            </w:r>
          </w:p>
        </w:tc>
        <w:tc>
          <w:tcPr>
            <w:tcW w:w="1215" w:type="dxa"/>
            <w:noWrap w:val="0"/>
            <w:vAlign w:val="center"/>
          </w:tcPr>
          <w:p w14:paraId="507E77F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透明水槽</w:t>
            </w:r>
          </w:p>
        </w:tc>
        <w:tc>
          <w:tcPr>
            <w:tcW w:w="804" w:type="dxa"/>
            <w:noWrap w:val="0"/>
            <w:vAlign w:val="center"/>
          </w:tcPr>
          <w:p w14:paraId="1830612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5B3CE9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C0DEC95">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1.为透明塑料制水槽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2.规格：250mm*180mm*100mm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3.外侧有四根加强筋，增加硬度，壁厚不低于2mm</w:t>
            </w:r>
          </w:p>
        </w:tc>
      </w:tr>
      <w:tr w14:paraId="648A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033728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18</w:t>
            </w:r>
          </w:p>
        </w:tc>
        <w:tc>
          <w:tcPr>
            <w:tcW w:w="1215" w:type="dxa"/>
            <w:noWrap w:val="0"/>
            <w:vAlign w:val="center"/>
          </w:tcPr>
          <w:p w14:paraId="5199D43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物理支架</w:t>
            </w:r>
          </w:p>
        </w:tc>
        <w:tc>
          <w:tcPr>
            <w:tcW w:w="804" w:type="dxa"/>
            <w:noWrap w:val="0"/>
            <w:vAlign w:val="center"/>
          </w:tcPr>
          <w:p w14:paraId="259B5F6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B4E66A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206ED8F5">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1.物理实验室通用仪器，可组装成垂直、平行、吊挂、夹持、放置等多种实验支架。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2.有A型座各1个，立杆两支，平行夹2只，垂直夹2只，烧瓶夹1只，万向夹1只，台边夹1只，大铁环1个，吊钩4只，吊钩杆1个，绝缘杆1支。</w:t>
            </w:r>
          </w:p>
        </w:tc>
      </w:tr>
      <w:tr w14:paraId="0275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9A6D5D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19</w:t>
            </w:r>
          </w:p>
        </w:tc>
        <w:tc>
          <w:tcPr>
            <w:tcW w:w="1215" w:type="dxa"/>
            <w:noWrap w:val="0"/>
            <w:vAlign w:val="center"/>
          </w:tcPr>
          <w:p w14:paraId="58E8663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方座支架</w:t>
            </w:r>
          </w:p>
        </w:tc>
        <w:tc>
          <w:tcPr>
            <w:tcW w:w="804" w:type="dxa"/>
            <w:noWrap w:val="0"/>
            <w:vAlign w:val="center"/>
          </w:tcPr>
          <w:p w14:paraId="6969347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E42FE8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0B958B53">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1.组成：矩形底座、立杆、烧瓶夹、大小铁环、垂直夹。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2.方座支架的底座由铁板冲压而成，尺寸为210×135mm，立杆直径为φ10mm，一端有M8螺纹，底座和立杆表面做防锈处理。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3.底座放置平稳，无明显晃动现象，支承夹持可靠。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4.立杆与方座组装后垂直。</w:t>
            </w:r>
          </w:p>
        </w:tc>
      </w:tr>
      <w:tr w14:paraId="38FC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A2F367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20</w:t>
            </w:r>
          </w:p>
        </w:tc>
        <w:tc>
          <w:tcPr>
            <w:tcW w:w="1215" w:type="dxa"/>
            <w:noWrap w:val="0"/>
            <w:vAlign w:val="center"/>
          </w:tcPr>
          <w:p w14:paraId="5254A40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多功能实验支架</w:t>
            </w:r>
          </w:p>
        </w:tc>
        <w:tc>
          <w:tcPr>
            <w:tcW w:w="804" w:type="dxa"/>
            <w:noWrap w:val="0"/>
            <w:vAlign w:val="center"/>
          </w:tcPr>
          <w:p w14:paraId="7868D03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3D2742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5ABE0276">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1.由支架由支座、立杆、大小铁圈、滴定夹、万能夹、烧瓶夹等组成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2.可组装多种支架满足不同的实验要求</w:t>
            </w:r>
          </w:p>
        </w:tc>
      </w:tr>
      <w:tr w14:paraId="5FCA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F96FC0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21</w:t>
            </w:r>
          </w:p>
        </w:tc>
        <w:tc>
          <w:tcPr>
            <w:tcW w:w="1215" w:type="dxa"/>
            <w:noWrap w:val="0"/>
            <w:vAlign w:val="center"/>
          </w:tcPr>
          <w:p w14:paraId="752376D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升降台</w:t>
            </w:r>
          </w:p>
        </w:tc>
        <w:tc>
          <w:tcPr>
            <w:tcW w:w="804" w:type="dxa"/>
            <w:noWrap w:val="0"/>
            <w:vAlign w:val="center"/>
          </w:tcPr>
          <w:p w14:paraId="295EFEE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0A4B803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3E3FFEE2">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1.由上面板、下面板、旋转轴、手轮等组成。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2.升降范围0-180mm,载重10kg。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3.工作台面:上面板200mmx200mm,下底板200mmx200mm。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4.上下面板均采用铁板喷塑而成，其它金属表面均电镀处理。</w:t>
            </w:r>
          </w:p>
        </w:tc>
      </w:tr>
      <w:tr w14:paraId="02A8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BD683C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22</w:t>
            </w:r>
          </w:p>
        </w:tc>
        <w:tc>
          <w:tcPr>
            <w:tcW w:w="1215" w:type="dxa"/>
            <w:noWrap w:val="0"/>
            <w:vAlign w:val="center"/>
          </w:tcPr>
          <w:p w14:paraId="0B6306D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三脚架</w:t>
            </w:r>
          </w:p>
        </w:tc>
        <w:tc>
          <w:tcPr>
            <w:tcW w:w="804" w:type="dxa"/>
            <w:noWrap w:val="0"/>
            <w:vAlign w:val="center"/>
          </w:tcPr>
          <w:p w14:paraId="007C24E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CF3BF1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5EA3A13E">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1.由铁环和三只脚焊接而成，表面喷涂处理。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2.铁环内径：φ78mm，外径 φ90mm。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3.脚采用φ6mm 圆钢制作，脚高 130mm。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4.的三只脚脚距相等。</w:t>
            </w:r>
          </w:p>
        </w:tc>
      </w:tr>
      <w:tr w14:paraId="7BEF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74E20A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23</w:t>
            </w:r>
          </w:p>
        </w:tc>
        <w:tc>
          <w:tcPr>
            <w:tcW w:w="1215" w:type="dxa"/>
            <w:noWrap w:val="0"/>
            <w:vAlign w:val="center"/>
          </w:tcPr>
          <w:p w14:paraId="437FF6D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高中学生电源</w:t>
            </w:r>
          </w:p>
        </w:tc>
        <w:tc>
          <w:tcPr>
            <w:tcW w:w="804" w:type="dxa"/>
            <w:noWrap w:val="0"/>
            <w:vAlign w:val="center"/>
          </w:tcPr>
          <w:p w14:paraId="30C2C66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0AA7825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7089D789">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1.为实验用交直流电源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2.输出电压：交流2V～16V，3A，每2V一档；直流2V～16V，2A，每2V一档；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3.有过载保护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4.接线口为香蕉插头接口</w:t>
            </w:r>
          </w:p>
        </w:tc>
      </w:tr>
      <w:tr w14:paraId="0D18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20E4BC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24</w:t>
            </w:r>
          </w:p>
        </w:tc>
        <w:tc>
          <w:tcPr>
            <w:tcW w:w="1215" w:type="dxa"/>
            <w:noWrap w:val="0"/>
            <w:vAlign w:val="center"/>
          </w:tcPr>
          <w:p w14:paraId="7634563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高中学生电源</w:t>
            </w:r>
          </w:p>
        </w:tc>
        <w:tc>
          <w:tcPr>
            <w:tcW w:w="804" w:type="dxa"/>
            <w:noWrap w:val="0"/>
            <w:vAlign w:val="center"/>
          </w:tcPr>
          <w:p w14:paraId="306EE0D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4F3D902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531EABAE">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1.为实验用双路电源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2.直流稳压双路输出：0V～12V/1.5A,连续可调，两路可串联使用，有过载保护功能。交流输出：0V～15V/3A,连续可调，正弦波，带不低于2.5级电压表，有过载保护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3.接线口为香蕉插头接口</w:t>
            </w:r>
          </w:p>
        </w:tc>
      </w:tr>
      <w:tr w14:paraId="4085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5BE76F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25</w:t>
            </w:r>
          </w:p>
        </w:tc>
        <w:tc>
          <w:tcPr>
            <w:tcW w:w="1215" w:type="dxa"/>
            <w:noWrap w:val="0"/>
            <w:vAlign w:val="center"/>
          </w:tcPr>
          <w:p w14:paraId="3B349AC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高中教学电源</w:t>
            </w:r>
          </w:p>
        </w:tc>
        <w:tc>
          <w:tcPr>
            <w:tcW w:w="804" w:type="dxa"/>
            <w:noWrap w:val="0"/>
            <w:vAlign w:val="center"/>
          </w:tcPr>
          <w:p w14:paraId="40E2706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45C2DBA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FF4B0ED">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1.为实验用交直流电源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2.输出电压：交流：2V～24V，每2V一档，2V～6V/12A，8V～12V/6A，14V～24V/3A；直流稳压：1.25V～25V分档连续可调，2V～6V/6A，8V～12V/4A，14V～24V/2A；40A、8s自动关断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3.接线口为香蕉插头接口</w:t>
            </w:r>
          </w:p>
        </w:tc>
      </w:tr>
      <w:tr w14:paraId="1A6C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0AB41D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26</w:t>
            </w:r>
          </w:p>
        </w:tc>
        <w:tc>
          <w:tcPr>
            <w:tcW w:w="1215" w:type="dxa"/>
            <w:noWrap w:val="0"/>
            <w:vAlign w:val="center"/>
          </w:tcPr>
          <w:p w14:paraId="02670E2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蓄电池</w:t>
            </w:r>
          </w:p>
        </w:tc>
        <w:tc>
          <w:tcPr>
            <w:tcW w:w="804" w:type="dxa"/>
            <w:noWrap w:val="0"/>
            <w:vAlign w:val="center"/>
          </w:tcPr>
          <w:p w14:paraId="718CA4E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570F91C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2F782ED8">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1.为密封式蓄电池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2.规格：6V，6Ah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3.尺寸：70*45*98mm</w:t>
            </w:r>
          </w:p>
        </w:tc>
      </w:tr>
      <w:tr w14:paraId="4238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FAF4D3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27</w:t>
            </w:r>
          </w:p>
        </w:tc>
        <w:tc>
          <w:tcPr>
            <w:tcW w:w="1215" w:type="dxa"/>
            <w:noWrap w:val="0"/>
            <w:vAlign w:val="center"/>
          </w:tcPr>
          <w:p w14:paraId="0BE0E69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调压变压器</w:t>
            </w:r>
          </w:p>
        </w:tc>
        <w:tc>
          <w:tcPr>
            <w:tcW w:w="804" w:type="dxa"/>
            <w:noWrap w:val="0"/>
            <w:vAlign w:val="center"/>
          </w:tcPr>
          <w:p w14:paraId="034105B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39977BB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AF0DD22">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1.为接触式调压变压器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2.输入电压220V,输出电压0-250V，额定容量2kVA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3.为金属制，外观呈正六棱柱型，边长115mm,高115mm</w:t>
            </w:r>
          </w:p>
        </w:tc>
      </w:tr>
      <w:tr w14:paraId="52A6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BD7A0D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28</w:t>
            </w:r>
          </w:p>
        </w:tc>
        <w:tc>
          <w:tcPr>
            <w:tcW w:w="1215" w:type="dxa"/>
            <w:noWrap w:val="0"/>
            <w:vAlign w:val="center"/>
          </w:tcPr>
          <w:p w14:paraId="31DE17C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电池盒</w:t>
            </w:r>
          </w:p>
        </w:tc>
        <w:tc>
          <w:tcPr>
            <w:tcW w:w="804" w:type="dxa"/>
            <w:noWrap w:val="0"/>
            <w:vAlign w:val="center"/>
          </w:tcPr>
          <w:p w14:paraId="4921493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组</w:t>
            </w:r>
          </w:p>
        </w:tc>
        <w:tc>
          <w:tcPr>
            <w:tcW w:w="765" w:type="dxa"/>
            <w:gridSpan w:val="2"/>
            <w:noWrap w:val="0"/>
            <w:vAlign w:val="center"/>
          </w:tcPr>
          <w:p w14:paraId="4E58F84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79538AD2">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1.为单节1号塑料电池盒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2.可以串联，带接线柱，每组4个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3.外观尺寸：70*40*37mm</w:t>
            </w:r>
          </w:p>
        </w:tc>
      </w:tr>
      <w:tr w14:paraId="35E9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37368C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29</w:t>
            </w:r>
          </w:p>
        </w:tc>
        <w:tc>
          <w:tcPr>
            <w:tcW w:w="1215" w:type="dxa"/>
            <w:noWrap w:val="0"/>
            <w:vAlign w:val="center"/>
          </w:tcPr>
          <w:p w14:paraId="69E503C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感应圈</w:t>
            </w:r>
          </w:p>
        </w:tc>
        <w:tc>
          <w:tcPr>
            <w:tcW w:w="804" w:type="dxa"/>
            <w:noWrap w:val="0"/>
            <w:vAlign w:val="center"/>
          </w:tcPr>
          <w:p w14:paraId="6F02FE4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561AFE9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1A976A1">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1.由主机、放电杆和放电针组成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2.高压脉冲电压：5KV-50KV,放电火花距离：5mm-100mm,高压工作时间：15分钟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3.直流输出电流：400W，2mA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4.整体尺寸：270*130*220mm</w:t>
            </w:r>
          </w:p>
        </w:tc>
      </w:tr>
      <w:tr w14:paraId="7529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3270D5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30</w:t>
            </w:r>
          </w:p>
        </w:tc>
        <w:tc>
          <w:tcPr>
            <w:tcW w:w="1215" w:type="dxa"/>
            <w:noWrap w:val="0"/>
            <w:vAlign w:val="center"/>
          </w:tcPr>
          <w:p w14:paraId="30DCF48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直流高压电源</w:t>
            </w:r>
          </w:p>
        </w:tc>
        <w:tc>
          <w:tcPr>
            <w:tcW w:w="804" w:type="dxa"/>
            <w:noWrap w:val="0"/>
            <w:vAlign w:val="center"/>
          </w:tcPr>
          <w:p w14:paraId="393DE70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132731F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61F3CE9">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1.为教学用直流高压电源，有指针电表显示电压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2.输出电压：250V、300V、600V、1000V、1200V、1500V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3.输出电流：250V和300V档时0.2A；其他档0.1A；有过载保护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4.外观尺寸：265*105*210mm</w:t>
            </w:r>
          </w:p>
        </w:tc>
      </w:tr>
      <w:tr w14:paraId="725A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BD613F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31</w:t>
            </w:r>
          </w:p>
        </w:tc>
        <w:tc>
          <w:tcPr>
            <w:tcW w:w="1215" w:type="dxa"/>
            <w:noWrap w:val="0"/>
            <w:vAlign w:val="center"/>
          </w:tcPr>
          <w:p w14:paraId="68F7FC9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电子起电机</w:t>
            </w:r>
          </w:p>
        </w:tc>
        <w:tc>
          <w:tcPr>
            <w:tcW w:w="804" w:type="dxa"/>
            <w:noWrap w:val="0"/>
            <w:vAlign w:val="center"/>
          </w:tcPr>
          <w:p w14:paraId="3BB154A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47CA744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5DB34A03">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1.由电压表、调谐旋钮、电源开关和点开关等组成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2.工作电压：DC6V；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3.主机外观尺寸：195*158*86mm</w:t>
            </w:r>
          </w:p>
        </w:tc>
      </w:tr>
      <w:tr w14:paraId="7167D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40F3B5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32</w:t>
            </w:r>
          </w:p>
        </w:tc>
        <w:tc>
          <w:tcPr>
            <w:tcW w:w="1215" w:type="dxa"/>
            <w:noWrap w:val="0"/>
            <w:vAlign w:val="center"/>
          </w:tcPr>
          <w:p w14:paraId="4310C72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教学用铅酸蓄电池充电器</w:t>
            </w:r>
          </w:p>
        </w:tc>
        <w:tc>
          <w:tcPr>
            <w:tcW w:w="804" w:type="dxa"/>
            <w:noWrap w:val="0"/>
            <w:vAlign w:val="center"/>
          </w:tcPr>
          <w:p w14:paraId="3397758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61C76D7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EB80A4E">
            <w:pPr>
              <w:keepNext w:val="0"/>
              <w:keepLines w:val="0"/>
              <w:pageBreakBefore w:val="0"/>
              <w:widowControl/>
              <w:suppressLineNumbers w:val="0"/>
              <w:kinsoku/>
              <w:wordWrap/>
              <w:overflowPunct/>
              <w:topLinePunct w:val="0"/>
              <w:bidi w:val="0"/>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1.由单片机控制，可同时为28组可调内阻电池进行恒流充电，也可对6V4Ah、6V10Ah、6V15Ah的教学用普通铅蓄电池充电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2.充电电压和终止电压数字显示，可进行充电倒计时设定，倒计时数字显示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3.外观尺寸：280*200*140mm,重量：3Kg</w:t>
            </w:r>
          </w:p>
        </w:tc>
      </w:tr>
      <w:tr w14:paraId="0237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8E2ED8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33</w:t>
            </w:r>
          </w:p>
        </w:tc>
        <w:tc>
          <w:tcPr>
            <w:tcW w:w="1215" w:type="dxa"/>
            <w:noWrap w:val="0"/>
            <w:vAlign w:val="center"/>
          </w:tcPr>
          <w:p w14:paraId="0AE55D8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木直尺</w:t>
            </w:r>
          </w:p>
        </w:tc>
        <w:tc>
          <w:tcPr>
            <w:tcW w:w="804" w:type="dxa"/>
            <w:noWrap w:val="0"/>
            <w:vAlign w:val="center"/>
          </w:tcPr>
          <w:p w14:paraId="1E4B2F0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只</w:t>
            </w:r>
          </w:p>
        </w:tc>
        <w:tc>
          <w:tcPr>
            <w:tcW w:w="765" w:type="dxa"/>
            <w:gridSpan w:val="2"/>
            <w:noWrap w:val="0"/>
            <w:vAlign w:val="center"/>
          </w:tcPr>
          <w:p w14:paraId="1475108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3644C6D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1.为木质直尺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2.上有100cm标尺，毫米刻度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3.采用优质木材，做脱水干燥处理，宽28mm,厚8mm</w:t>
            </w:r>
          </w:p>
        </w:tc>
      </w:tr>
      <w:tr w14:paraId="3296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28C1C7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34</w:t>
            </w:r>
          </w:p>
        </w:tc>
        <w:tc>
          <w:tcPr>
            <w:tcW w:w="1215" w:type="dxa"/>
            <w:noWrap w:val="0"/>
            <w:vAlign w:val="center"/>
          </w:tcPr>
          <w:p w14:paraId="6E6BE6E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钢直尺</w:t>
            </w:r>
          </w:p>
        </w:tc>
        <w:tc>
          <w:tcPr>
            <w:tcW w:w="804" w:type="dxa"/>
            <w:noWrap w:val="0"/>
            <w:vAlign w:val="center"/>
          </w:tcPr>
          <w:p w14:paraId="4C8B7E3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只</w:t>
            </w:r>
          </w:p>
        </w:tc>
        <w:tc>
          <w:tcPr>
            <w:tcW w:w="765" w:type="dxa"/>
            <w:gridSpan w:val="2"/>
            <w:noWrap w:val="0"/>
            <w:vAlign w:val="center"/>
          </w:tcPr>
          <w:p w14:paraId="435F660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3199533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1.为钢制直尺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2.一面有200mm长的毫米标尺，另一面为英寸标尺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3.宽26mm</w:t>
            </w:r>
          </w:p>
        </w:tc>
      </w:tr>
      <w:tr w14:paraId="1F50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B26782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35</w:t>
            </w:r>
          </w:p>
        </w:tc>
        <w:tc>
          <w:tcPr>
            <w:tcW w:w="1215" w:type="dxa"/>
            <w:noWrap w:val="0"/>
            <w:vAlign w:val="center"/>
          </w:tcPr>
          <w:p w14:paraId="7117337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钢直尺</w:t>
            </w:r>
          </w:p>
        </w:tc>
        <w:tc>
          <w:tcPr>
            <w:tcW w:w="804" w:type="dxa"/>
            <w:noWrap w:val="0"/>
            <w:vAlign w:val="center"/>
          </w:tcPr>
          <w:p w14:paraId="2B2C5CB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只</w:t>
            </w:r>
          </w:p>
        </w:tc>
        <w:tc>
          <w:tcPr>
            <w:tcW w:w="765" w:type="dxa"/>
            <w:gridSpan w:val="2"/>
            <w:noWrap w:val="0"/>
            <w:vAlign w:val="center"/>
          </w:tcPr>
          <w:p w14:paraId="0C75986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60F13DB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1.为钢制直尺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2.一面有600mm长的毫米标尺，另一面为英寸标尺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3.宽26mm</w:t>
            </w:r>
          </w:p>
        </w:tc>
      </w:tr>
      <w:tr w14:paraId="7F7A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22916B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36</w:t>
            </w:r>
          </w:p>
        </w:tc>
        <w:tc>
          <w:tcPr>
            <w:tcW w:w="1215" w:type="dxa"/>
            <w:noWrap w:val="0"/>
            <w:vAlign w:val="center"/>
          </w:tcPr>
          <w:p w14:paraId="5AEFD68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钢卷尺</w:t>
            </w:r>
          </w:p>
        </w:tc>
        <w:tc>
          <w:tcPr>
            <w:tcW w:w="804" w:type="dxa"/>
            <w:noWrap w:val="0"/>
            <w:vAlign w:val="center"/>
          </w:tcPr>
          <w:p w14:paraId="43C4FBE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盒</w:t>
            </w:r>
          </w:p>
        </w:tc>
        <w:tc>
          <w:tcPr>
            <w:tcW w:w="765" w:type="dxa"/>
            <w:gridSpan w:val="2"/>
            <w:noWrap w:val="0"/>
            <w:vAlign w:val="center"/>
          </w:tcPr>
          <w:p w14:paraId="37D8C66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4C06759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1.由尺盒、尺、定位锁和固定按钮组成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2.卷尺长2m,精度值1mm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3.卷尺宽12mm,</w:t>
            </w:r>
          </w:p>
        </w:tc>
      </w:tr>
      <w:tr w14:paraId="2A31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29FEA0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37</w:t>
            </w:r>
          </w:p>
        </w:tc>
        <w:tc>
          <w:tcPr>
            <w:tcW w:w="1215" w:type="dxa"/>
            <w:noWrap w:val="0"/>
            <w:vAlign w:val="center"/>
          </w:tcPr>
          <w:p w14:paraId="14CA23A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游标卡尺</w:t>
            </w:r>
          </w:p>
        </w:tc>
        <w:tc>
          <w:tcPr>
            <w:tcW w:w="804" w:type="dxa"/>
            <w:noWrap w:val="0"/>
            <w:vAlign w:val="center"/>
          </w:tcPr>
          <w:p w14:paraId="4F44359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把</w:t>
            </w:r>
          </w:p>
        </w:tc>
        <w:tc>
          <w:tcPr>
            <w:tcW w:w="765" w:type="dxa"/>
            <w:gridSpan w:val="2"/>
            <w:noWrap w:val="0"/>
            <w:vAlign w:val="center"/>
          </w:tcPr>
          <w:p w14:paraId="7F3E464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65D7850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1.由标尺和游标组成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2.测量长度150mm，精度值0.02mm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3.整体长度为235mm,标尺款16mm, 厚4mm</w:t>
            </w:r>
          </w:p>
        </w:tc>
      </w:tr>
      <w:tr w14:paraId="06AC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267053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38</w:t>
            </w:r>
          </w:p>
        </w:tc>
        <w:tc>
          <w:tcPr>
            <w:tcW w:w="1215" w:type="dxa"/>
            <w:noWrap w:val="0"/>
            <w:vAlign w:val="center"/>
          </w:tcPr>
          <w:p w14:paraId="16FA9A9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游标卡尺</w:t>
            </w:r>
          </w:p>
        </w:tc>
        <w:tc>
          <w:tcPr>
            <w:tcW w:w="804" w:type="dxa"/>
            <w:noWrap w:val="0"/>
            <w:vAlign w:val="center"/>
          </w:tcPr>
          <w:p w14:paraId="58BC0F6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把</w:t>
            </w:r>
          </w:p>
        </w:tc>
        <w:tc>
          <w:tcPr>
            <w:tcW w:w="765" w:type="dxa"/>
            <w:gridSpan w:val="2"/>
            <w:noWrap w:val="0"/>
            <w:vAlign w:val="center"/>
          </w:tcPr>
          <w:p w14:paraId="6D43696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3DD8AA5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1.由标尺和游标组成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2.测量长度150mm，精度值0.05mm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3.整体长度为235mm,标尺款16mm, 厚4mm</w:t>
            </w:r>
          </w:p>
        </w:tc>
      </w:tr>
      <w:tr w14:paraId="6CBE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188C01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39</w:t>
            </w:r>
          </w:p>
        </w:tc>
        <w:tc>
          <w:tcPr>
            <w:tcW w:w="1215" w:type="dxa"/>
            <w:noWrap w:val="0"/>
            <w:vAlign w:val="center"/>
          </w:tcPr>
          <w:p w14:paraId="1916191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外径千分尺</w:t>
            </w:r>
          </w:p>
        </w:tc>
        <w:tc>
          <w:tcPr>
            <w:tcW w:w="804" w:type="dxa"/>
            <w:noWrap w:val="0"/>
            <w:vAlign w:val="center"/>
          </w:tcPr>
          <w:p w14:paraId="35935F6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只</w:t>
            </w:r>
          </w:p>
        </w:tc>
        <w:tc>
          <w:tcPr>
            <w:tcW w:w="765" w:type="dxa"/>
            <w:gridSpan w:val="2"/>
            <w:noWrap w:val="0"/>
            <w:vAlign w:val="center"/>
          </w:tcPr>
          <w:p w14:paraId="1E41C67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78655F0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1.为金属制外径千分尺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2.测量长度25mm，精度值0.01mm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3.整体长135mm,宽50mm</w:t>
            </w:r>
          </w:p>
        </w:tc>
      </w:tr>
      <w:tr w14:paraId="4D75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28C209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40</w:t>
            </w:r>
          </w:p>
        </w:tc>
        <w:tc>
          <w:tcPr>
            <w:tcW w:w="1215" w:type="dxa"/>
            <w:noWrap w:val="0"/>
            <w:vAlign w:val="center"/>
          </w:tcPr>
          <w:p w14:paraId="438761A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数显游标卡尺</w:t>
            </w:r>
          </w:p>
        </w:tc>
        <w:tc>
          <w:tcPr>
            <w:tcW w:w="804" w:type="dxa"/>
            <w:noWrap w:val="0"/>
            <w:vAlign w:val="center"/>
          </w:tcPr>
          <w:p w14:paraId="1293AF9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把</w:t>
            </w:r>
          </w:p>
        </w:tc>
        <w:tc>
          <w:tcPr>
            <w:tcW w:w="765" w:type="dxa"/>
            <w:gridSpan w:val="2"/>
            <w:noWrap w:val="0"/>
            <w:vAlign w:val="center"/>
          </w:tcPr>
          <w:p w14:paraId="0892DFF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F2E32B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1.由卡尺、显示屏和电池组成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2.卡尺测量长度150mm，精度值0.01mm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3.由不锈钢制造，整体长234mm,宽15mm</w:t>
            </w:r>
          </w:p>
        </w:tc>
      </w:tr>
      <w:tr w14:paraId="2EDA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B15BB3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41</w:t>
            </w:r>
          </w:p>
        </w:tc>
        <w:tc>
          <w:tcPr>
            <w:tcW w:w="1215" w:type="dxa"/>
            <w:noWrap w:val="0"/>
            <w:vAlign w:val="center"/>
          </w:tcPr>
          <w:p w14:paraId="7DA4526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物理天平</w:t>
            </w:r>
          </w:p>
        </w:tc>
        <w:tc>
          <w:tcPr>
            <w:tcW w:w="804" w:type="dxa"/>
            <w:noWrap w:val="0"/>
            <w:vAlign w:val="center"/>
          </w:tcPr>
          <w:p w14:paraId="11D0DEB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7F7A4F0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FBBDC5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1.由横梁、油码、调节平衡螺母、吊耳、支架、立柱、感量调节器、读数指针、读数标牌、吊篮、秤盘、底座、水准器、水平螺钉、开关旋钮、砝码等组成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2.测量范围：500g，精度值0.02g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3.安装完毕后总高375mm,秤盘直径118mm</w:t>
            </w:r>
          </w:p>
        </w:tc>
      </w:tr>
      <w:tr w14:paraId="5453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FA06C1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42</w:t>
            </w:r>
          </w:p>
        </w:tc>
        <w:tc>
          <w:tcPr>
            <w:tcW w:w="1215" w:type="dxa"/>
            <w:noWrap w:val="0"/>
            <w:vAlign w:val="center"/>
          </w:tcPr>
          <w:p w14:paraId="171787C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学生天平</w:t>
            </w:r>
          </w:p>
        </w:tc>
        <w:tc>
          <w:tcPr>
            <w:tcW w:w="804" w:type="dxa"/>
            <w:noWrap w:val="0"/>
            <w:vAlign w:val="center"/>
          </w:tcPr>
          <w:p w14:paraId="2F4C383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40018C8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42F476B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1.由横梁、油码、调节平衡螺母、吊耳、支架、立柱、感量调节器、读数指针、读数标牌、吊篮、秤盘、底座、水平螺钉、开关旋钮、砝码等组成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2.测量范围：200g，精度值0.02g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3.安装完毕后外观尺寸：300*280*185mm，秤盘直径90mm</w:t>
            </w:r>
          </w:p>
        </w:tc>
      </w:tr>
      <w:tr w14:paraId="2535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12CAC9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43</w:t>
            </w:r>
          </w:p>
        </w:tc>
        <w:tc>
          <w:tcPr>
            <w:tcW w:w="1215" w:type="dxa"/>
            <w:noWrap w:val="0"/>
            <w:vAlign w:val="center"/>
          </w:tcPr>
          <w:p w14:paraId="444C46E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托盘天平</w:t>
            </w:r>
          </w:p>
        </w:tc>
        <w:tc>
          <w:tcPr>
            <w:tcW w:w="804" w:type="dxa"/>
            <w:noWrap w:val="0"/>
            <w:vAlign w:val="center"/>
          </w:tcPr>
          <w:p w14:paraId="069FB63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54AC893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8A16E1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1.由底座、横梁、平衡螺母、标尺、游标、指针、刻度盘、托盘和砝码组成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2.最大称量值：200g,精度值0.2g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3.底座金属制，尺寸为188*70mm；托盘塑料制直径84mm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4.砝码定位包装：100g*1.50g*1.20g*2.10g*1.5g*1</w:t>
            </w:r>
          </w:p>
        </w:tc>
      </w:tr>
      <w:tr w14:paraId="24FE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F45487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44</w:t>
            </w:r>
          </w:p>
        </w:tc>
        <w:tc>
          <w:tcPr>
            <w:tcW w:w="1215" w:type="dxa"/>
            <w:noWrap w:val="0"/>
            <w:vAlign w:val="center"/>
          </w:tcPr>
          <w:p w14:paraId="2A2D6A4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托盘天平</w:t>
            </w:r>
          </w:p>
        </w:tc>
        <w:tc>
          <w:tcPr>
            <w:tcW w:w="804" w:type="dxa"/>
            <w:noWrap w:val="0"/>
            <w:vAlign w:val="center"/>
          </w:tcPr>
          <w:p w14:paraId="6DB894F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3E0B10E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1320568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1.由底座、横梁、平衡螺母、标尺、游标、指针、刻度盘、托盘和砝码组成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2.最大称量值：500g,精度值0.5g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3.底座金属制，尺寸为254*75mm；托盘塑料制直径106mm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4.砝码定位包装：200g*1.100g*2.50g*1.20g*2.10g*1</w:t>
            </w:r>
          </w:p>
        </w:tc>
      </w:tr>
      <w:tr w14:paraId="6799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C02167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45</w:t>
            </w:r>
          </w:p>
        </w:tc>
        <w:tc>
          <w:tcPr>
            <w:tcW w:w="1215" w:type="dxa"/>
            <w:noWrap w:val="0"/>
            <w:vAlign w:val="center"/>
          </w:tcPr>
          <w:p w14:paraId="58571AB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电子天平</w:t>
            </w:r>
          </w:p>
        </w:tc>
        <w:tc>
          <w:tcPr>
            <w:tcW w:w="804" w:type="dxa"/>
            <w:noWrap w:val="0"/>
            <w:vAlign w:val="center"/>
          </w:tcPr>
          <w:p w14:paraId="1D87B2C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1ACAA66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3A2311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1.由主机、秤盘、防风罩、电源线和校准砝码组成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2.最大称量：100g，精度值0.01g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3.主机尺寸：230*186*50mm,秤盘直径130mm</w:t>
            </w:r>
          </w:p>
        </w:tc>
      </w:tr>
      <w:tr w14:paraId="7D71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8F79C5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46</w:t>
            </w:r>
          </w:p>
        </w:tc>
        <w:tc>
          <w:tcPr>
            <w:tcW w:w="1215" w:type="dxa"/>
            <w:noWrap w:val="0"/>
            <w:vAlign w:val="center"/>
          </w:tcPr>
          <w:p w14:paraId="3E5BDE8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电子天平</w:t>
            </w:r>
          </w:p>
        </w:tc>
        <w:tc>
          <w:tcPr>
            <w:tcW w:w="804" w:type="dxa"/>
            <w:noWrap w:val="0"/>
            <w:vAlign w:val="center"/>
          </w:tcPr>
          <w:p w14:paraId="7949811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7E41A4D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8C26E3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1.由主机、秤盘、电源线和校准砝码组成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2.最大称量：1000g，精度值0.1g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3.主机尺寸：230*186*50mm,秤盘直径130mm</w:t>
            </w:r>
          </w:p>
        </w:tc>
      </w:tr>
      <w:tr w14:paraId="1940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420DE5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47</w:t>
            </w:r>
          </w:p>
        </w:tc>
        <w:tc>
          <w:tcPr>
            <w:tcW w:w="1215" w:type="dxa"/>
            <w:noWrap w:val="0"/>
            <w:vAlign w:val="center"/>
          </w:tcPr>
          <w:p w14:paraId="40A149C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指针式体重计</w:t>
            </w:r>
          </w:p>
        </w:tc>
        <w:tc>
          <w:tcPr>
            <w:tcW w:w="804" w:type="dxa"/>
            <w:noWrap w:val="0"/>
            <w:vAlign w:val="center"/>
          </w:tcPr>
          <w:p w14:paraId="5119C85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01EF669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E6A942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1.由底座、立杆、刻度盘和测量杆组成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2.测量范围：体重最大称量160Kg,精度值500g；身高70-190cm,精度值0.5cm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3.承重板面积：370*270mm,外形尺寸：910*340*290mm，净重9Kg</w:t>
            </w:r>
          </w:p>
        </w:tc>
      </w:tr>
      <w:tr w14:paraId="4BF7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A23560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48</w:t>
            </w:r>
          </w:p>
        </w:tc>
        <w:tc>
          <w:tcPr>
            <w:tcW w:w="1215" w:type="dxa"/>
            <w:noWrap w:val="0"/>
            <w:vAlign w:val="center"/>
          </w:tcPr>
          <w:p w14:paraId="0366A78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金属钩码</w:t>
            </w:r>
          </w:p>
        </w:tc>
        <w:tc>
          <w:tcPr>
            <w:tcW w:w="804" w:type="dxa"/>
            <w:noWrap w:val="0"/>
            <w:vAlign w:val="center"/>
          </w:tcPr>
          <w:p w14:paraId="0130550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3ADD96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6B3E8D0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1.为圆柱形组合钩码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2.组成：50g×4，200g×2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3.50g直径25mm，200g直径30mm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4.为铁质镀锌，塑料盒装</w:t>
            </w:r>
          </w:p>
        </w:tc>
      </w:tr>
      <w:tr w14:paraId="0802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369E88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49</w:t>
            </w:r>
          </w:p>
        </w:tc>
        <w:tc>
          <w:tcPr>
            <w:tcW w:w="1215" w:type="dxa"/>
            <w:noWrap w:val="0"/>
            <w:vAlign w:val="center"/>
          </w:tcPr>
          <w:p w14:paraId="43BB0A3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金属槽码</w:t>
            </w:r>
          </w:p>
        </w:tc>
        <w:tc>
          <w:tcPr>
            <w:tcW w:w="804" w:type="dxa"/>
            <w:noWrap w:val="0"/>
            <w:vAlign w:val="center"/>
          </w:tcPr>
          <w:p w14:paraId="105FB5E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08F7E67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65B1CF2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1.由槽码和槽码盘组成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2.槽码：2g×3，5g×2，10g×2，20g×2，50g×2，100g×2，200g×2；槽码盘为金属制，10g和5g各1个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3.槽码为金属制，表面镀铬，塑料盒装</w:t>
            </w:r>
          </w:p>
        </w:tc>
      </w:tr>
      <w:tr w14:paraId="22B8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BEEBD9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50</w:t>
            </w:r>
          </w:p>
        </w:tc>
        <w:tc>
          <w:tcPr>
            <w:tcW w:w="1215" w:type="dxa"/>
            <w:noWrap w:val="0"/>
            <w:vAlign w:val="center"/>
          </w:tcPr>
          <w:p w14:paraId="337F26C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机械停表</w:t>
            </w:r>
          </w:p>
        </w:tc>
        <w:tc>
          <w:tcPr>
            <w:tcW w:w="804" w:type="dxa"/>
            <w:noWrap w:val="0"/>
            <w:vAlign w:val="center"/>
          </w:tcPr>
          <w:p w14:paraId="35527E2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块</w:t>
            </w:r>
          </w:p>
        </w:tc>
        <w:tc>
          <w:tcPr>
            <w:tcW w:w="765" w:type="dxa"/>
            <w:gridSpan w:val="2"/>
            <w:noWrap w:val="0"/>
            <w:vAlign w:val="center"/>
          </w:tcPr>
          <w:p w14:paraId="30E4F56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4DC322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1.为教学用机械秒表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2.单圈计时30s,总计时15分，精度值0.1s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3.秒表直径50mm</w:t>
            </w:r>
          </w:p>
        </w:tc>
      </w:tr>
      <w:tr w14:paraId="3AC2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C3FDD4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51</w:t>
            </w:r>
          </w:p>
        </w:tc>
        <w:tc>
          <w:tcPr>
            <w:tcW w:w="1215" w:type="dxa"/>
            <w:noWrap w:val="0"/>
            <w:vAlign w:val="center"/>
          </w:tcPr>
          <w:p w14:paraId="5953960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电子停表</w:t>
            </w:r>
          </w:p>
        </w:tc>
        <w:tc>
          <w:tcPr>
            <w:tcW w:w="804" w:type="dxa"/>
            <w:noWrap w:val="0"/>
            <w:vAlign w:val="center"/>
          </w:tcPr>
          <w:p w14:paraId="136A01E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块</w:t>
            </w:r>
          </w:p>
        </w:tc>
        <w:tc>
          <w:tcPr>
            <w:tcW w:w="765" w:type="dxa"/>
            <w:gridSpan w:val="2"/>
            <w:noWrap w:val="0"/>
            <w:vAlign w:val="center"/>
          </w:tcPr>
          <w:p w14:paraId="531AA25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6B9FC05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1.为双道计时电子停表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2.可显示时间日历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3.精度0.01S</w:t>
            </w:r>
          </w:p>
        </w:tc>
      </w:tr>
      <w:tr w14:paraId="552C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B57AD1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52</w:t>
            </w:r>
          </w:p>
        </w:tc>
        <w:tc>
          <w:tcPr>
            <w:tcW w:w="1215" w:type="dxa"/>
            <w:noWrap w:val="0"/>
            <w:vAlign w:val="center"/>
          </w:tcPr>
          <w:p w14:paraId="12BB45A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电火花计时器</w:t>
            </w:r>
          </w:p>
        </w:tc>
        <w:tc>
          <w:tcPr>
            <w:tcW w:w="804" w:type="dxa"/>
            <w:noWrap w:val="0"/>
            <w:vAlign w:val="center"/>
          </w:tcPr>
          <w:p w14:paraId="1C3D24A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27AEE5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395FF4C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1.由计时器、重锤、纸带、复写纸、固定夹等组成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2.为单频率：0.02s，火花距离不小于10mm，平均电流不大于0.5mA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3.计时器外观尺寸：65mm*150mm*42mm</w:t>
            </w:r>
          </w:p>
        </w:tc>
      </w:tr>
      <w:tr w14:paraId="0677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148A3F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53</w:t>
            </w:r>
          </w:p>
        </w:tc>
        <w:tc>
          <w:tcPr>
            <w:tcW w:w="1215" w:type="dxa"/>
            <w:noWrap w:val="0"/>
            <w:vAlign w:val="center"/>
          </w:tcPr>
          <w:p w14:paraId="7EBAB69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电火花计时器</w:t>
            </w:r>
          </w:p>
        </w:tc>
        <w:tc>
          <w:tcPr>
            <w:tcW w:w="804" w:type="dxa"/>
            <w:noWrap w:val="0"/>
            <w:vAlign w:val="center"/>
          </w:tcPr>
          <w:p w14:paraId="358F346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AF2CF9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02F07B4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1.由计时器、重锤、纸带、复写纸、固定夹等组成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2.多频率：0.01s、0.02s、0.05s；迹点大小可以调节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3.主机尺寸156*60*51mm</w:t>
            </w:r>
          </w:p>
        </w:tc>
      </w:tr>
      <w:tr w14:paraId="166A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BB8359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54</w:t>
            </w:r>
          </w:p>
        </w:tc>
        <w:tc>
          <w:tcPr>
            <w:tcW w:w="1215" w:type="dxa"/>
            <w:noWrap w:val="0"/>
            <w:vAlign w:val="center"/>
          </w:tcPr>
          <w:p w14:paraId="3D558C3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电磁打点计时器</w:t>
            </w:r>
          </w:p>
        </w:tc>
        <w:tc>
          <w:tcPr>
            <w:tcW w:w="804" w:type="dxa"/>
            <w:noWrap w:val="0"/>
            <w:vAlign w:val="center"/>
          </w:tcPr>
          <w:p w14:paraId="2ABBA0B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8A35AA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1DDBB17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1.由计时器、重锤、纸带、复写纸、固定夹等组成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2.工作电压AC9V，50Hz,打点周期0.02秒，周期相对误差不大于1%，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3.计时器外观尺寸：151mm*71mm</w:t>
            </w:r>
          </w:p>
        </w:tc>
      </w:tr>
      <w:tr w14:paraId="58E7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5A386D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55</w:t>
            </w:r>
          </w:p>
        </w:tc>
        <w:tc>
          <w:tcPr>
            <w:tcW w:w="1215" w:type="dxa"/>
            <w:noWrap w:val="0"/>
            <w:vAlign w:val="center"/>
          </w:tcPr>
          <w:p w14:paraId="4DE2A27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数字计时器</w:t>
            </w:r>
          </w:p>
        </w:tc>
        <w:tc>
          <w:tcPr>
            <w:tcW w:w="804" w:type="dxa"/>
            <w:noWrap w:val="0"/>
            <w:vAlign w:val="center"/>
          </w:tcPr>
          <w:p w14:paraId="5605CA4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5FDB735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5C6AB2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1.由计时器和2个光电门组成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2.显示：4位LED数码管；计时速度：0.1mS；检测控头：2路；电磁铁控制:1路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3.外形尺寸198*160*88</w:t>
            </w:r>
          </w:p>
        </w:tc>
      </w:tr>
      <w:tr w14:paraId="6667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73E60C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56</w:t>
            </w:r>
          </w:p>
        </w:tc>
        <w:tc>
          <w:tcPr>
            <w:tcW w:w="1215" w:type="dxa"/>
            <w:noWrap w:val="0"/>
            <w:vAlign w:val="center"/>
          </w:tcPr>
          <w:p w14:paraId="5B457F4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频闪光源</w:t>
            </w:r>
          </w:p>
        </w:tc>
        <w:tc>
          <w:tcPr>
            <w:tcW w:w="804" w:type="dxa"/>
            <w:noWrap w:val="0"/>
            <w:vAlign w:val="center"/>
          </w:tcPr>
          <w:p w14:paraId="12890B5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45B8417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7F745C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1.为实验用运动频闪观测仪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2.测试量程：1-9999Hz； 分辨率：1Hz； 闪光频率：1-9999Hz； 调节精度：1Hz；输入电压：AC220V,50Hz；功  耗：＜15W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3.塑料外壳、尺寸198*160*88</w:t>
            </w:r>
          </w:p>
        </w:tc>
      </w:tr>
      <w:tr w14:paraId="68F9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7B7338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57</w:t>
            </w:r>
          </w:p>
        </w:tc>
        <w:tc>
          <w:tcPr>
            <w:tcW w:w="1215" w:type="dxa"/>
            <w:noWrap w:val="0"/>
            <w:vAlign w:val="center"/>
          </w:tcPr>
          <w:p w14:paraId="6CD2DC6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温度计</w:t>
            </w:r>
          </w:p>
        </w:tc>
        <w:tc>
          <w:tcPr>
            <w:tcW w:w="804" w:type="dxa"/>
            <w:noWrap w:val="0"/>
            <w:vAlign w:val="center"/>
          </w:tcPr>
          <w:p w14:paraId="63AF376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21689D3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30907E6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1.为棒式红液温度计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2.测量范围：0℃～100℃，精度值1℃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3.为玻璃制，直径5.5mm,有保护套</w:t>
            </w:r>
          </w:p>
        </w:tc>
      </w:tr>
      <w:tr w14:paraId="4A03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4183D4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58</w:t>
            </w:r>
          </w:p>
        </w:tc>
        <w:tc>
          <w:tcPr>
            <w:tcW w:w="1215" w:type="dxa"/>
            <w:noWrap w:val="0"/>
            <w:vAlign w:val="center"/>
          </w:tcPr>
          <w:p w14:paraId="3248108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温度计</w:t>
            </w:r>
          </w:p>
        </w:tc>
        <w:tc>
          <w:tcPr>
            <w:tcW w:w="804" w:type="dxa"/>
            <w:noWrap w:val="0"/>
            <w:vAlign w:val="center"/>
          </w:tcPr>
          <w:p w14:paraId="4AEEE58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43012D8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49AE1DA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1.为棒式水银温度计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2.测量范围：0℃～200℃，精度值2℃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3.为玻璃制，直径5.5mm,有保护套</w:t>
            </w:r>
          </w:p>
        </w:tc>
      </w:tr>
      <w:tr w14:paraId="7986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63AD29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59</w:t>
            </w:r>
          </w:p>
        </w:tc>
        <w:tc>
          <w:tcPr>
            <w:tcW w:w="1215" w:type="dxa"/>
            <w:noWrap w:val="0"/>
            <w:vAlign w:val="center"/>
          </w:tcPr>
          <w:p w14:paraId="003459A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数字测温计</w:t>
            </w:r>
          </w:p>
        </w:tc>
        <w:tc>
          <w:tcPr>
            <w:tcW w:w="804" w:type="dxa"/>
            <w:noWrap w:val="0"/>
            <w:vAlign w:val="center"/>
          </w:tcPr>
          <w:p w14:paraId="7CFC4A9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901EAC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672A10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1.由显示屏和探针组成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2.测量范围：-50℃～300℃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3.探针长度145mm</w:t>
            </w:r>
          </w:p>
        </w:tc>
      </w:tr>
      <w:tr w14:paraId="06C6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64696F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60</w:t>
            </w:r>
          </w:p>
        </w:tc>
        <w:tc>
          <w:tcPr>
            <w:tcW w:w="1215" w:type="dxa"/>
            <w:noWrap w:val="0"/>
            <w:vAlign w:val="center"/>
          </w:tcPr>
          <w:p w14:paraId="5E2207B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电子体温计</w:t>
            </w:r>
          </w:p>
        </w:tc>
        <w:tc>
          <w:tcPr>
            <w:tcW w:w="804" w:type="dxa"/>
            <w:noWrap w:val="0"/>
            <w:vAlign w:val="center"/>
          </w:tcPr>
          <w:p w14:paraId="5814AB3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031DBCC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CBAAB1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1.为接触式电子体温计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2.精度值0.1℃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3.长度122mm</w:t>
            </w:r>
          </w:p>
        </w:tc>
      </w:tr>
      <w:tr w14:paraId="6979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4F9A77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61</w:t>
            </w:r>
          </w:p>
        </w:tc>
        <w:tc>
          <w:tcPr>
            <w:tcW w:w="1215" w:type="dxa"/>
            <w:noWrap w:val="0"/>
            <w:vAlign w:val="center"/>
          </w:tcPr>
          <w:p w14:paraId="2D8666E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红外人体表面温度快速筛检仪</w:t>
            </w:r>
          </w:p>
        </w:tc>
        <w:tc>
          <w:tcPr>
            <w:tcW w:w="804" w:type="dxa"/>
            <w:noWrap w:val="0"/>
            <w:vAlign w:val="center"/>
          </w:tcPr>
          <w:p w14:paraId="1573852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EE47BA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35A389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1.为医用红外额温计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2.测量方式：非接触式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3.测量精度0.2，分辨率0.1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4.尺寸：150*94*44mm</w:t>
            </w:r>
          </w:p>
        </w:tc>
      </w:tr>
      <w:tr w14:paraId="412A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2A6167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62</w:t>
            </w:r>
          </w:p>
        </w:tc>
        <w:tc>
          <w:tcPr>
            <w:tcW w:w="1215" w:type="dxa"/>
            <w:noWrap w:val="0"/>
            <w:vAlign w:val="center"/>
          </w:tcPr>
          <w:p w14:paraId="37A2ED6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寒暑表</w:t>
            </w:r>
          </w:p>
        </w:tc>
        <w:tc>
          <w:tcPr>
            <w:tcW w:w="804" w:type="dxa"/>
            <w:noWrap w:val="0"/>
            <w:vAlign w:val="center"/>
          </w:tcPr>
          <w:p w14:paraId="29A49A6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只</w:t>
            </w:r>
          </w:p>
        </w:tc>
        <w:tc>
          <w:tcPr>
            <w:tcW w:w="765" w:type="dxa"/>
            <w:gridSpan w:val="2"/>
            <w:noWrap w:val="0"/>
            <w:vAlign w:val="center"/>
          </w:tcPr>
          <w:p w14:paraId="7A3B187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AE66FF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1.由温度计和刻度板组成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2.显示范围：摄氏度-30℃～50℃，精度值2℃；华氏度-20℉～120℉，精度值2℉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3.尺寸：207*55mm</w:t>
            </w:r>
          </w:p>
        </w:tc>
      </w:tr>
      <w:tr w14:paraId="0C25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3DA1BC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63</w:t>
            </w:r>
          </w:p>
        </w:tc>
        <w:tc>
          <w:tcPr>
            <w:tcW w:w="1215" w:type="dxa"/>
            <w:noWrap w:val="0"/>
            <w:vAlign w:val="center"/>
          </w:tcPr>
          <w:p w14:paraId="21B5D8D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条形盒测力计</w:t>
            </w:r>
          </w:p>
        </w:tc>
        <w:tc>
          <w:tcPr>
            <w:tcW w:w="804" w:type="dxa"/>
            <w:noWrap w:val="0"/>
            <w:vAlign w:val="center"/>
          </w:tcPr>
          <w:p w14:paraId="0CAA662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DF8979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0383E67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 xml:space="preserve">1． 由方形弹簧盒（带刻板）、弹簧、提环、挂钩、指针等组成。零点可调。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2.规格：10N。 精度值0.2N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3.总长207mm,宽36mm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4.两边分别为N和g两种标尺</w:t>
            </w:r>
          </w:p>
        </w:tc>
      </w:tr>
      <w:tr w14:paraId="0FF3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CE185F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64</w:t>
            </w:r>
          </w:p>
        </w:tc>
        <w:tc>
          <w:tcPr>
            <w:tcW w:w="1215" w:type="dxa"/>
            <w:noWrap w:val="0"/>
            <w:vAlign w:val="center"/>
          </w:tcPr>
          <w:p w14:paraId="39A6493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条形盒测力计</w:t>
            </w:r>
          </w:p>
        </w:tc>
        <w:tc>
          <w:tcPr>
            <w:tcW w:w="804" w:type="dxa"/>
            <w:noWrap w:val="0"/>
            <w:vAlign w:val="center"/>
          </w:tcPr>
          <w:p w14:paraId="4161558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67EBE3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14</w:t>
            </w:r>
          </w:p>
        </w:tc>
        <w:tc>
          <w:tcPr>
            <w:tcW w:w="6351" w:type="dxa"/>
            <w:noWrap w:val="0"/>
            <w:vAlign w:val="center"/>
          </w:tcPr>
          <w:p w14:paraId="130F894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 xml:space="preserve">1． 由方形弹簧盒（带刻板）、弹簧、提环、挂钩、指针等组成。零点可调。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2.规格：5N。 精度值0.1N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3.总长207mm,宽36mm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4.两边分别为N和g两种标尺</w:t>
            </w:r>
          </w:p>
        </w:tc>
      </w:tr>
      <w:tr w14:paraId="2F3B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B5E75B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65</w:t>
            </w:r>
          </w:p>
        </w:tc>
        <w:tc>
          <w:tcPr>
            <w:tcW w:w="1215" w:type="dxa"/>
            <w:noWrap w:val="0"/>
            <w:vAlign w:val="center"/>
          </w:tcPr>
          <w:p w14:paraId="3B45858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条形盒测力计</w:t>
            </w:r>
          </w:p>
        </w:tc>
        <w:tc>
          <w:tcPr>
            <w:tcW w:w="804" w:type="dxa"/>
            <w:noWrap w:val="0"/>
            <w:vAlign w:val="center"/>
          </w:tcPr>
          <w:p w14:paraId="7AC4C98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E8537D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14</w:t>
            </w:r>
          </w:p>
        </w:tc>
        <w:tc>
          <w:tcPr>
            <w:tcW w:w="6351" w:type="dxa"/>
            <w:noWrap w:val="0"/>
            <w:vAlign w:val="center"/>
          </w:tcPr>
          <w:p w14:paraId="22FF873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 xml:space="preserve">1． 由方形弹簧盒（带刻板）、弹簧、提环、挂钩、指针等组成。零点可调。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2.规格：2.5N。 精度值0.05N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3.总长207mm,宽36mm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4.两边分别为N和g两种标尺</w:t>
            </w:r>
          </w:p>
        </w:tc>
      </w:tr>
      <w:tr w14:paraId="0406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67EF7A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66</w:t>
            </w:r>
          </w:p>
        </w:tc>
        <w:tc>
          <w:tcPr>
            <w:tcW w:w="1215" w:type="dxa"/>
            <w:noWrap w:val="0"/>
            <w:vAlign w:val="center"/>
          </w:tcPr>
          <w:p w14:paraId="0CEF151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条形盒测力计</w:t>
            </w:r>
          </w:p>
        </w:tc>
        <w:tc>
          <w:tcPr>
            <w:tcW w:w="804" w:type="dxa"/>
            <w:noWrap w:val="0"/>
            <w:vAlign w:val="center"/>
          </w:tcPr>
          <w:p w14:paraId="19868CB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4DAE39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14</w:t>
            </w:r>
          </w:p>
        </w:tc>
        <w:tc>
          <w:tcPr>
            <w:tcW w:w="6351" w:type="dxa"/>
            <w:noWrap w:val="0"/>
            <w:vAlign w:val="center"/>
          </w:tcPr>
          <w:p w14:paraId="77FB75A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 xml:space="preserve">1． 由方形弹簧盒（带刻板）、弹簧、提环、挂钩、指针等组成。零点可调。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2.规格：1N。 精度值0.05N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3.总长207mm,宽36mm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4.两边分别为N和g两种标尺</w:t>
            </w:r>
          </w:p>
        </w:tc>
      </w:tr>
      <w:tr w14:paraId="77DA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8F275B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67</w:t>
            </w:r>
          </w:p>
        </w:tc>
        <w:tc>
          <w:tcPr>
            <w:tcW w:w="1215" w:type="dxa"/>
            <w:noWrap w:val="0"/>
            <w:vAlign w:val="center"/>
          </w:tcPr>
          <w:p w14:paraId="57DAFD0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圆盘测力计</w:t>
            </w:r>
          </w:p>
        </w:tc>
        <w:tc>
          <w:tcPr>
            <w:tcW w:w="804" w:type="dxa"/>
            <w:noWrap w:val="0"/>
            <w:vAlign w:val="center"/>
          </w:tcPr>
          <w:p w14:paraId="7227DB2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62B8CA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4EC98F0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1.由两个圆盘、横梁、两个载物台、两个砝码环、两个支承刃、接杆和滑轮组成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2.圆盘直径20N,测量范围-5N～0～5N,精度值0.1N，零点可调，刻度盘半边显示力、另半边显示圆盘角度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3.滑轮有磁性</w:t>
            </w:r>
          </w:p>
        </w:tc>
      </w:tr>
      <w:tr w14:paraId="53D5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C9E470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68</w:t>
            </w:r>
          </w:p>
        </w:tc>
        <w:tc>
          <w:tcPr>
            <w:tcW w:w="1215" w:type="dxa"/>
            <w:noWrap w:val="0"/>
            <w:vAlign w:val="center"/>
          </w:tcPr>
          <w:p w14:paraId="384FEC4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拉压测力计</w:t>
            </w:r>
          </w:p>
        </w:tc>
        <w:tc>
          <w:tcPr>
            <w:tcW w:w="804" w:type="dxa"/>
            <w:noWrap w:val="0"/>
            <w:vAlign w:val="center"/>
          </w:tcPr>
          <w:p w14:paraId="1CBFDB7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FA4D71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4427A29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1.由刻度板、弹簧、指针、拉压杆、悬挂定位装置等组成。指针可调。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2.量程0～10N,精度值：0.2N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3.整理为金属制，尺寸：400*32mm</w:t>
            </w:r>
          </w:p>
        </w:tc>
      </w:tr>
      <w:tr w14:paraId="79E7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410824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69</w:t>
            </w:r>
          </w:p>
        </w:tc>
        <w:tc>
          <w:tcPr>
            <w:tcW w:w="1215" w:type="dxa"/>
            <w:noWrap w:val="0"/>
            <w:vAlign w:val="center"/>
          </w:tcPr>
          <w:p w14:paraId="4DDC37F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双向测力计</w:t>
            </w:r>
          </w:p>
        </w:tc>
        <w:tc>
          <w:tcPr>
            <w:tcW w:w="804" w:type="dxa"/>
            <w:noWrap w:val="0"/>
            <w:vAlign w:val="center"/>
          </w:tcPr>
          <w:p w14:paraId="5DAFCFD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C6D9A6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6921295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1.由刻度板、弹簧、指针、双向挂钩等组成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2.整体长250mm</w:t>
            </w:r>
          </w:p>
        </w:tc>
      </w:tr>
      <w:tr w14:paraId="236F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87C368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70</w:t>
            </w:r>
          </w:p>
        </w:tc>
        <w:tc>
          <w:tcPr>
            <w:tcW w:w="1215" w:type="dxa"/>
            <w:noWrap w:val="0"/>
            <w:vAlign w:val="center"/>
          </w:tcPr>
          <w:p w14:paraId="31E57E6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演示数字测力计</w:t>
            </w:r>
          </w:p>
        </w:tc>
        <w:tc>
          <w:tcPr>
            <w:tcW w:w="804" w:type="dxa"/>
            <w:noWrap w:val="0"/>
            <w:vAlign w:val="center"/>
          </w:tcPr>
          <w:p w14:paraId="3594EAD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A5C141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AD4881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1.为实验用数字测力计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2.量程2N或200g，最大量程3N或300g，超过最大量程蜂鸣器会报警；分辨率：0.001N或0.1g；差≤0.2％、采样率：80次／秒。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3.电源：3节7号AAA电池。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4.数字尺寸：≥2.5cm×4cm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5.外形尺寸166*70*28mm</w:t>
            </w:r>
          </w:p>
        </w:tc>
      </w:tr>
      <w:tr w14:paraId="7E4A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040DDC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71</w:t>
            </w:r>
          </w:p>
        </w:tc>
        <w:tc>
          <w:tcPr>
            <w:tcW w:w="1215" w:type="dxa"/>
            <w:noWrap w:val="0"/>
            <w:vAlign w:val="center"/>
          </w:tcPr>
          <w:p w14:paraId="26F3437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学生数字测力计</w:t>
            </w:r>
          </w:p>
        </w:tc>
        <w:tc>
          <w:tcPr>
            <w:tcW w:w="804" w:type="dxa"/>
            <w:noWrap w:val="0"/>
            <w:vAlign w:val="center"/>
          </w:tcPr>
          <w:p w14:paraId="4CD29DF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608A4E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6070379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1.为实验用数字测力计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2.量程2N或200g，最大量程3N或300g，超过最大量程蜂鸣器会报警；分辨率：0.001N或0.1g；差≤0.2％、采样率：80次／秒。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3.电源：3节7号AAA电池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4.外形尺寸166*70*28mm</w:t>
            </w:r>
          </w:p>
        </w:tc>
      </w:tr>
      <w:tr w14:paraId="01A9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90A47B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72</w:t>
            </w:r>
          </w:p>
        </w:tc>
        <w:tc>
          <w:tcPr>
            <w:tcW w:w="1215" w:type="dxa"/>
            <w:noWrap w:val="0"/>
            <w:vAlign w:val="center"/>
          </w:tcPr>
          <w:p w14:paraId="766081A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高中数字演示电表</w:t>
            </w:r>
          </w:p>
        </w:tc>
        <w:tc>
          <w:tcPr>
            <w:tcW w:w="804" w:type="dxa"/>
            <w:noWrap w:val="0"/>
            <w:vAlign w:val="center"/>
          </w:tcPr>
          <w:p w14:paraId="50FF8DC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只</w:t>
            </w:r>
          </w:p>
        </w:tc>
        <w:tc>
          <w:tcPr>
            <w:tcW w:w="765" w:type="dxa"/>
            <w:gridSpan w:val="2"/>
            <w:noWrap w:val="0"/>
            <w:vAlign w:val="center"/>
          </w:tcPr>
          <w:p w14:paraId="26A5900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754ADBB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1.由数字电表、电源线、支架和表笔组成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2.最大显示4-1/2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3.量程：直流电压2V～600V；交流电压：60V～600V；电阻：2KΩ～20MΩ；电流：0～200mA；检流0～600μA；温度：0～150℃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4.电表外观尺寸：285*315*32mm</w:t>
            </w:r>
          </w:p>
        </w:tc>
      </w:tr>
      <w:tr w14:paraId="580B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383340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73</w:t>
            </w:r>
          </w:p>
        </w:tc>
        <w:tc>
          <w:tcPr>
            <w:tcW w:w="1215" w:type="dxa"/>
            <w:noWrap w:val="0"/>
            <w:vAlign w:val="center"/>
          </w:tcPr>
          <w:p w14:paraId="528DA46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绝缘电阻表</w:t>
            </w:r>
          </w:p>
        </w:tc>
        <w:tc>
          <w:tcPr>
            <w:tcW w:w="804" w:type="dxa"/>
            <w:noWrap w:val="0"/>
            <w:vAlign w:val="center"/>
          </w:tcPr>
          <w:p w14:paraId="7D49BC7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只</w:t>
            </w:r>
          </w:p>
        </w:tc>
        <w:tc>
          <w:tcPr>
            <w:tcW w:w="765" w:type="dxa"/>
            <w:gridSpan w:val="2"/>
            <w:noWrap w:val="0"/>
            <w:vAlign w:val="center"/>
          </w:tcPr>
          <w:p w14:paraId="0EC378B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70F8BE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1.用于测量各种电机、电缆、变压器、元器件、家用电器等设备的绝缘电阻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2.额定电压：500V；测量范围：0～500MΩ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3.刻度弧长65mm，外观尺寸：205*120*145mm</w:t>
            </w:r>
          </w:p>
        </w:tc>
      </w:tr>
      <w:tr w14:paraId="1050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D8F370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74</w:t>
            </w:r>
          </w:p>
        </w:tc>
        <w:tc>
          <w:tcPr>
            <w:tcW w:w="1215" w:type="dxa"/>
            <w:noWrap w:val="0"/>
            <w:vAlign w:val="center"/>
          </w:tcPr>
          <w:p w14:paraId="2B5D440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直流电流表</w:t>
            </w:r>
          </w:p>
        </w:tc>
        <w:tc>
          <w:tcPr>
            <w:tcW w:w="804" w:type="dxa"/>
            <w:noWrap w:val="0"/>
            <w:vAlign w:val="center"/>
          </w:tcPr>
          <w:p w14:paraId="4B7FF30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只</w:t>
            </w:r>
          </w:p>
        </w:tc>
        <w:tc>
          <w:tcPr>
            <w:tcW w:w="765" w:type="dxa"/>
            <w:gridSpan w:val="2"/>
            <w:noWrap w:val="0"/>
            <w:vAlign w:val="center"/>
          </w:tcPr>
          <w:p w14:paraId="478B96A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3AB8060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1.为实验用指针式直流电流表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2.双量程：-0.2～0～0.6A；-1～0～3A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3.准确度等级：2.5级</w:t>
            </w:r>
          </w:p>
        </w:tc>
      </w:tr>
      <w:tr w14:paraId="2479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06A213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75</w:t>
            </w:r>
          </w:p>
        </w:tc>
        <w:tc>
          <w:tcPr>
            <w:tcW w:w="1215" w:type="dxa"/>
            <w:noWrap w:val="0"/>
            <w:vAlign w:val="center"/>
          </w:tcPr>
          <w:p w14:paraId="49C33F7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直流电压表</w:t>
            </w:r>
          </w:p>
        </w:tc>
        <w:tc>
          <w:tcPr>
            <w:tcW w:w="804" w:type="dxa"/>
            <w:noWrap w:val="0"/>
            <w:vAlign w:val="center"/>
          </w:tcPr>
          <w:p w14:paraId="7F9EB70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只</w:t>
            </w:r>
          </w:p>
        </w:tc>
        <w:tc>
          <w:tcPr>
            <w:tcW w:w="765" w:type="dxa"/>
            <w:gridSpan w:val="2"/>
            <w:noWrap w:val="0"/>
            <w:vAlign w:val="center"/>
          </w:tcPr>
          <w:p w14:paraId="49F9036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6A776A0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1.为实验用指针式直流电压表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2.双量程：-1～0～3V；-5～0～15V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3.准确度等级：2.5级</w:t>
            </w:r>
          </w:p>
        </w:tc>
      </w:tr>
      <w:tr w14:paraId="4971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3B3C43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76</w:t>
            </w:r>
          </w:p>
        </w:tc>
        <w:tc>
          <w:tcPr>
            <w:tcW w:w="1215" w:type="dxa"/>
            <w:noWrap w:val="0"/>
            <w:vAlign w:val="center"/>
          </w:tcPr>
          <w:p w14:paraId="3C2A355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灵敏电流计</w:t>
            </w:r>
          </w:p>
        </w:tc>
        <w:tc>
          <w:tcPr>
            <w:tcW w:w="804" w:type="dxa"/>
            <w:noWrap w:val="0"/>
            <w:vAlign w:val="center"/>
          </w:tcPr>
          <w:p w14:paraId="7E41FDD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只</w:t>
            </w:r>
          </w:p>
        </w:tc>
        <w:tc>
          <w:tcPr>
            <w:tcW w:w="765" w:type="dxa"/>
            <w:gridSpan w:val="2"/>
            <w:noWrap w:val="0"/>
            <w:vAlign w:val="center"/>
          </w:tcPr>
          <w:p w14:paraId="2F6B313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53AF9E5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1.为实验用指针式灵敏电流计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2.灵敏度：-300μA～0～300μA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3.准确度等级：2.5级</w:t>
            </w:r>
          </w:p>
        </w:tc>
      </w:tr>
      <w:tr w14:paraId="3070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8E929E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77</w:t>
            </w:r>
          </w:p>
        </w:tc>
        <w:tc>
          <w:tcPr>
            <w:tcW w:w="1215" w:type="dxa"/>
            <w:noWrap w:val="0"/>
            <w:vAlign w:val="center"/>
          </w:tcPr>
          <w:p w14:paraId="30F1D71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多用电表</w:t>
            </w:r>
          </w:p>
        </w:tc>
        <w:tc>
          <w:tcPr>
            <w:tcW w:w="804" w:type="dxa"/>
            <w:noWrap w:val="0"/>
            <w:vAlign w:val="center"/>
          </w:tcPr>
          <w:p w14:paraId="3305813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只</w:t>
            </w:r>
          </w:p>
        </w:tc>
        <w:tc>
          <w:tcPr>
            <w:tcW w:w="765" w:type="dxa"/>
            <w:gridSpan w:val="2"/>
            <w:noWrap w:val="0"/>
            <w:vAlign w:val="center"/>
          </w:tcPr>
          <w:p w14:paraId="560BE91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66B84F5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1.为MF47型多用电表，由电表和表笔组成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量程：直流电流：0～0.5～5～50～500mA、2.5级，10A、5级；直流电压0～2500V、5级，0～0.25～0.5～2.5～10～50～250～500～1000V、2.5级；交流电压0～10～50～250～500～1000～2500V、5级；电阻R×1.R×10.R×100.R×1K、R×10K，中心值16.5；温度-10℃～100℃；电容μFC×1.C×10.C×100.C×1000；电平-10～+22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3.外形尺寸：165*113*52mm</w:t>
            </w:r>
          </w:p>
        </w:tc>
      </w:tr>
      <w:tr w14:paraId="4459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82CF2B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78</w:t>
            </w:r>
          </w:p>
        </w:tc>
        <w:tc>
          <w:tcPr>
            <w:tcW w:w="1215" w:type="dxa"/>
            <w:noWrap w:val="0"/>
            <w:vAlign w:val="center"/>
          </w:tcPr>
          <w:p w14:paraId="0EA1906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多用电表</w:t>
            </w:r>
          </w:p>
        </w:tc>
        <w:tc>
          <w:tcPr>
            <w:tcW w:w="804" w:type="dxa"/>
            <w:noWrap w:val="0"/>
            <w:vAlign w:val="center"/>
          </w:tcPr>
          <w:p w14:paraId="78B208A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只</w:t>
            </w:r>
          </w:p>
        </w:tc>
        <w:tc>
          <w:tcPr>
            <w:tcW w:w="765" w:type="dxa"/>
            <w:gridSpan w:val="2"/>
            <w:noWrap w:val="0"/>
            <w:vAlign w:val="center"/>
          </w:tcPr>
          <w:p w14:paraId="2D72A33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0810426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1.由电表、表笔、电池等组成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2.LED液晶显示，最大显示：1999（3-1/2）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3.量程：直流电压0～200mV～2V～20V～200V～600V；交流电压0～200V～600V；直流电流0～20μA～200μA～2mA～20mA～200mA～10A；电阻0～200Ω～2kΩ～20kΩ～200kΩ～20MΩ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3.可进行二极管通断测试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4.尺寸：138*72*35mm</w:t>
            </w:r>
          </w:p>
        </w:tc>
      </w:tr>
      <w:tr w14:paraId="1027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5A40C5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79</w:t>
            </w:r>
          </w:p>
        </w:tc>
        <w:tc>
          <w:tcPr>
            <w:tcW w:w="1215" w:type="dxa"/>
            <w:noWrap w:val="0"/>
            <w:vAlign w:val="center"/>
          </w:tcPr>
          <w:p w14:paraId="08BE335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多用电表</w:t>
            </w:r>
          </w:p>
        </w:tc>
        <w:tc>
          <w:tcPr>
            <w:tcW w:w="804" w:type="dxa"/>
            <w:noWrap w:val="0"/>
            <w:vAlign w:val="center"/>
          </w:tcPr>
          <w:p w14:paraId="2F5CED9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只</w:t>
            </w:r>
          </w:p>
        </w:tc>
        <w:tc>
          <w:tcPr>
            <w:tcW w:w="765" w:type="dxa"/>
            <w:gridSpan w:val="2"/>
            <w:noWrap w:val="0"/>
            <w:vAlign w:val="center"/>
          </w:tcPr>
          <w:p w14:paraId="14C604F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E61AF7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1.由电表、表笔、鳄鱼夹、电池、电表袋等组成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2.LED液晶显示，最大显示：19999（4-1/2）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量程：直流电压0～200mV～2V～20V～200V～1000V；交流电压0～200mV～2V～20V～200V～750V；直流电流0～200μA～2000μA～20mA～200mA～20A；交流电流0～20mA～20mA0～20A；电阻0～200Ω～2kΩ～20kΩ～200kΩ～2MΩ～20MΩ～200MΩ；电容0～200μF～200μF；频率0～2M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3.可进行二极管通断测试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4.尺寸：186*92*52mm</w:t>
            </w:r>
          </w:p>
        </w:tc>
      </w:tr>
      <w:tr w14:paraId="6851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96E833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80</w:t>
            </w:r>
          </w:p>
        </w:tc>
        <w:tc>
          <w:tcPr>
            <w:tcW w:w="1215" w:type="dxa"/>
            <w:noWrap w:val="0"/>
            <w:vAlign w:val="center"/>
          </w:tcPr>
          <w:p w14:paraId="4FA9C91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交流电流表</w:t>
            </w:r>
          </w:p>
        </w:tc>
        <w:tc>
          <w:tcPr>
            <w:tcW w:w="804" w:type="dxa"/>
            <w:noWrap w:val="0"/>
            <w:vAlign w:val="center"/>
          </w:tcPr>
          <w:p w14:paraId="0E91385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只</w:t>
            </w:r>
          </w:p>
        </w:tc>
        <w:tc>
          <w:tcPr>
            <w:tcW w:w="765" w:type="dxa"/>
            <w:gridSpan w:val="2"/>
            <w:noWrap w:val="0"/>
            <w:vAlign w:val="center"/>
          </w:tcPr>
          <w:p w14:paraId="73FF62D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1F8BF7D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1.为实验用指针式交流电流表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2.双量程：0～100mA，精度值10mA；0～500mA，精度值10mA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3.准确度等级：2.5级，最大误差不超过满刻度值的±2.5%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4.阻尼时间≤4s,降压≤75mV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5.外形尺寸：138*100*97mm</w:t>
            </w:r>
          </w:p>
        </w:tc>
      </w:tr>
      <w:tr w14:paraId="5FA9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6CB9D7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81</w:t>
            </w:r>
          </w:p>
        </w:tc>
        <w:tc>
          <w:tcPr>
            <w:tcW w:w="1215" w:type="dxa"/>
            <w:noWrap w:val="0"/>
            <w:vAlign w:val="center"/>
          </w:tcPr>
          <w:p w14:paraId="13B7A13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演示电流电压表</w:t>
            </w:r>
          </w:p>
        </w:tc>
        <w:tc>
          <w:tcPr>
            <w:tcW w:w="804" w:type="dxa"/>
            <w:noWrap w:val="0"/>
            <w:vAlign w:val="center"/>
          </w:tcPr>
          <w:p w14:paraId="11620CF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2455DB0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5919762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1.用于演示实验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2.可测量电流、电压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3.电流可测直流和交流；直流有毫安级2挡10×、100×，安培级2挡1×、5×；交流有毫安级2挡10×、100×，交流有安培级2挡1×、5×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4.电压可测直流和交流；直流有2挡5×、10×；交流有3挡10×、50×、250×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5.尺寸275*297*109mm</w:t>
            </w:r>
          </w:p>
        </w:tc>
      </w:tr>
      <w:tr w14:paraId="0D5D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9DF838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82</w:t>
            </w:r>
          </w:p>
        </w:tc>
        <w:tc>
          <w:tcPr>
            <w:tcW w:w="1215" w:type="dxa"/>
            <w:noWrap w:val="0"/>
            <w:vAlign w:val="center"/>
          </w:tcPr>
          <w:p w14:paraId="0CDA236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演示微电流电阻表</w:t>
            </w:r>
          </w:p>
        </w:tc>
        <w:tc>
          <w:tcPr>
            <w:tcW w:w="804" w:type="dxa"/>
            <w:noWrap w:val="0"/>
            <w:vAlign w:val="center"/>
          </w:tcPr>
          <w:p w14:paraId="41F516D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072CD7B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B4900B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1.为教学用演示微电流电阻表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2.测量范围：检流-50～0～50μA；直流电流0～100μA；直流电压0～1～2.5～5～10～25～50～10～150～250V；电阻1～100Ω、10～1KΩ、100～10KΩ、1KΩ～100KΩ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3.阻尼时间≤6S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4.外形尺寸：276*115*298mm</w:t>
            </w:r>
          </w:p>
        </w:tc>
      </w:tr>
      <w:tr w14:paraId="1304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8F0104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83</w:t>
            </w:r>
          </w:p>
        </w:tc>
        <w:tc>
          <w:tcPr>
            <w:tcW w:w="1215" w:type="dxa"/>
            <w:noWrap w:val="0"/>
            <w:vAlign w:val="center"/>
          </w:tcPr>
          <w:p w14:paraId="7E96B21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教学示波器</w:t>
            </w:r>
          </w:p>
        </w:tc>
        <w:tc>
          <w:tcPr>
            <w:tcW w:w="804" w:type="dxa"/>
            <w:noWrap w:val="0"/>
            <w:vAlign w:val="center"/>
          </w:tcPr>
          <w:p w14:paraId="163E02B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47184EF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784E53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1.为教学用示波器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2.带宽：DC～5MHz（-3dB）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3.偏转系数：不大于20mVp-p/格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4.扫描频率：10Hz～100KHz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5.触发方式：内、外触发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6.示波管有效显示面：8*10格,1格=10mm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7.外形尺寸：160*265*410mm</w:t>
            </w:r>
          </w:p>
        </w:tc>
      </w:tr>
      <w:tr w14:paraId="0A66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02888D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84</w:t>
            </w:r>
          </w:p>
        </w:tc>
        <w:tc>
          <w:tcPr>
            <w:tcW w:w="1215" w:type="dxa"/>
            <w:noWrap w:val="0"/>
            <w:vAlign w:val="center"/>
          </w:tcPr>
          <w:p w14:paraId="3F27BDA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学生示波器</w:t>
            </w:r>
          </w:p>
        </w:tc>
        <w:tc>
          <w:tcPr>
            <w:tcW w:w="804" w:type="dxa"/>
            <w:noWrap w:val="0"/>
            <w:vAlign w:val="center"/>
          </w:tcPr>
          <w:p w14:paraId="113BA78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2D9A0C3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7DF4FB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1.为实验用示波器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2.带宽：DC～2MHz（-3dB）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3.偏转系数：不大于50mV/格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4.扫描频率：10Hz～100KHz分四挡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5.触发方式：内触发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6.示波管有效显示面：8*10格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7.外形尺寸：130*195*280mm</w:t>
            </w:r>
          </w:p>
        </w:tc>
      </w:tr>
      <w:tr w14:paraId="5D5B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A44DE0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85</w:t>
            </w:r>
          </w:p>
        </w:tc>
        <w:tc>
          <w:tcPr>
            <w:tcW w:w="1215" w:type="dxa"/>
            <w:noWrap w:val="0"/>
            <w:vAlign w:val="center"/>
          </w:tcPr>
          <w:p w14:paraId="0C9188D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示波器</w:t>
            </w:r>
          </w:p>
        </w:tc>
        <w:tc>
          <w:tcPr>
            <w:tcW w:w="804" w:type="dxa"/>
            <w:noWrap w:val="0"/>
            <w:vAlign w:val="center"/>
          </w:tcPr>
          <w:p w14:paraId="17298FC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264A2E2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6231A7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1.为实验用单踪示波器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2.带宽：DC～10MHz（-3dB）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3.偏转系数：5mV/DIV～20V/DIV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4.扫描时间系数：0.1μs/DIV～0.1s/DIV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5.触发方式：自然、常态、TV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6.示波管有效显示面：8*10格,1格=6mm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7.外形尺寸：130*195*280mm</w:t>
            </w:r>
          </w:p>
        </w:tc>
      </w:tr>
      <w:tr w14:paraId="39FC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77C970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86</w:t>
            </w:r>
          </w:p>
        </w:tc>
        <w:tc>
          <w:tcPr>
            <w:tcW w:w="1215" w:type="dxa"/>
            <w:noWrap w:val="0"/>
            <w:vAlign w:val="center"/>
          </w:tcPr>
          <w:p w14:paraId="6CB1398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示波器</w:t>
            </w:r>
          </w:p>
        </w:tc>
        <w:tc>
          <w:tcPr>
            <w:tcW w:w="804" w:type="dxa"/>
            <w:noWrap w:val="0"/>
            <w:vAlign w:val="center"/>
          </w:tcPr>
          <w:p w14:paraId="51B39A6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3F33D58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44DFBF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1.为教学用双踪慢扫描示波器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2.带宽：DC～15MHz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3.偏转系数：5mV/DIV～20V/DIV按1.2.5顺序分12档，扩展×5达1mv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4.扫描时间系数：0.2μs/DIV～0.5s/DIV按1.2.5分20档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5.触发方式：内、外、交替、电源、TV-V、TV-H、锁定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6.扫描方式：自动、常态、扩展×10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6.示波管有效显示面：8*10格，1格=10mm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7.外形尺寸：310*150*455mm</w:t>
            </w:r>
          </w:p>
        </w:tc>
      </w:tr>
      <w:tr w14:paraId="1921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2D0379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87</w:t>
            </w:r>
          </w:p>
        </w:tc>
        <w:tc>
          <w:tcPr>
            <w:tcW w:w="1215" w:type="dxa"/>
            <w:noWrap w:val="0"/>
            <w:vAlign w:val="center"/>
          </w:tcPr>
          <w:p w14:paraId="37389D1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电阻箱</w:t>
            </w:r>
          </w:p>
        </w:tc>
        <w:tc>
          <w:tcPr>
            <w:tcW w:w="804" w:type="dxa"/>
            <w:noWrap w:val="0"/>
            <w:vAlign w:val="center"/>
          </w:tcPr>
          <w:p w14:paraId="24B4D66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DD63C3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3CED40F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1.为旋钮式电阻箱</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2.阻值可调范围：0～9999Ω，最小进步值为1Ω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3.尺寸：140*100*50mm</w:t>
            </w:r>
          </w:p>
        </w:tc>
      </w:tr>
      <w:tr w14:paraId="16C3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B932F8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88</w:t>
            </w:r>
          </w:p>
        </w:tc>
        <w:tc>
          <w:tcPr>
            <w:tcW w:w="1215" w:type="dxa"/>
            <w:noWrap w:val="0"/>
            <w:vAlign w:val="center"/>
          </w:tcPr>
          <w:p w14:paraId="7F04B8D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电阻箱</w:t>
            </w:r>
          </w:p>
        </w:tc>
        <w:tc>
          <w:tcPr>
            <w:tcW w:w="804" w:type="dxa"/>
            <w:noWrap w:val="0"/>
            <w:vAlign w:val="center"/>
          </w:tcPr>
          <w:p w14:paraId="5A38CE7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64EACA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575AEE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1.为旋钮式电阻箱</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2.阻值可调范围：0～99999.9Ω，最小进步值为0.1Ω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3.尺寸：165*125*64mm</w:t>
            </w:r>
          </w:p>
        </w:tc>
      </w:tr>
      <w:tr w14:paraId="6A59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2A6CE6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89</w:t>
            </w:r>
          </w:p>
        </w:tc>
        <w:tc>
          <w:tcPr>
            <w:tcW w:w="1215" w:type="dxa"/>
            <w:noWrap w:val="0"/>
            <w:vAlign w:val="center"/>
          </w:tcPr>
          <w:p w14:paraId="2101E52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携式直流单双臂电桥</w:t>
            </w:r>
          </w:p>
        </w:tc>
        <w:tc>
          <w:tcPr>
            <w:tcW w:w="804" w:type="dxa"/>
            <w:noWrap w:val="0"/>
            <w:vAlign w:val="center"/>
          </w:tcPr>
          <w:p w14:paraId="4B3B3C5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61A9D64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1A85CC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1.为教学用电桥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2.总有效量程：1Ω～9.999MΩ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3.量程系数：×0.001.×0.01.×0.1.×1.×10.×100.×1000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4.外形尺寸：230*175*135mm</w:t>
            </w:r>
          </w:p>
        </w:tc>
      </w:tr>
      <w:tr w14:paraId="0B21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AF6D88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90</w:t>
            </w:r>
          </w:p>
        </w:tc>
        <w:tc>
          <w:tcPr>
            <w:tcW w:w="1215" w:type="dxa"/>
            <w:noWrap w:val="0"/>
            <w:vAlign w:val="center"/>
          </w:tcPr>
          <w:p w14:paraId="4BCAFBE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微电流放大器</w:t>
            </w:r>
          </w:p>
        </w:tc>
        <w:tc>
          <w:tcPr>
            <w:tcW w:w="804" w:type="dxa"/>
            <w:noWrap w:val="0"/>
            <w:vAlign w:val="center"/>
          </w:tcPr>
          <w:p w14:paraId="13AF821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3BCB009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6B60DC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1.由输入端、输出端、放大调节、电源开关和电源指示组成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2.需要配合灵敏电流计使用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3.电源电压：DC6V；放大倍数：不小于600倍；输入电流：0.5～10μA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4.尺寸：132*86*65mm</w:t>
            </w:r>
          </w:p>
        </w:tc>
      </w:tr>
      <w:tr w14:paraId="1249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26648F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91</w:t>
            </w:r>
          </w:p>
        </w:tc>
        <w:tc>
          <w:tcPr>
            <w:tcW w:w="1215" w:type="dxa"/>
            <w:noWrap w:val="0"/>
            <w:vAlign w:val="center"/>
          </w:tcPr>
          <w:p w14:paraId="1E38C7B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虚拟电子测试仪器系统</w:t>
            </w:r>
          </w:p>
        </w:tc>
        <w:tc>
          <w:tcPr>
            <w:tcW w:w="804" w:type="dxa"/>
            <w:noWrap w:val="0"/>
            <w:vAlign w:val="center"/>
          </w:tcPr>
          <w:p w14:paraId="29DA643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441C26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A9E7CF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1.由电脑示波器前置盒、BNC头输入信号线、音频信号输出线、电脑示波器程序软盘等组成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2.通过本仪器可以了解示波器、信号发生器、频率计、频谱仪的基本原理和使用方法</w:t>
            </w:r>
          </w:p>
        </w:tc>
      </w:tr>
      <w:tr w14:paraId="5D43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4E76E4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92</w:t>
            </w:r>
          </w:p>
        </w:tc>
        <w:tc>
          <w:tcPr>
            <w:tcW w:w="1215" w:type="dxa"/>
            <w:noWrap w:val="0"/>
            <w:vAlign w:val="center"/>
          </w:tcPr>
          <w:p w14:paraId="0BA7B73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湿度计</w:t>
            </w:r>
          </w:p>
        </w:tc>
        <w:tc>
          <w:tcPr>
            <w:tcW w:w="804" w:type="dxa"/>
            <w:noWrap w:val="0"/>
            <w:vAlign w:val="center"/>
          </w:tcPr>
          <w:p w14:paraId="6B79911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FDB3CA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DC6E5E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1.为指针式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2.可显示温度和湿度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3.尺寸188*188*16mm</w:t>
            </w:r>
          </w:p>
        </w:tc>
      </w:tr>
      <w:tr w14:paraId="4908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1B0246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93</w:t>
            </w:r>
          </w:p>
        </w:tc>
        <w:tc>
          <w:tcPr>
            <w:tcW w:w="1215" w:type="dxa"/>
            <w:noWrap w:val="0"/>
            <w:vAlign w:val="center"/>
          </w:tcPr>
          <w:p w14:paraId="5A02AAD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空盒气压表</w:t>
            </w:r>
          </w:p>
        </w:tc>
        <w:tc>
          <w:tcPr>
            <w:tcW w:w="804" w:type="dxa"/>
            <w:noWrap w:val="0"/>
            <w:vAlign w:val="center"/>
          </w:tcPr>
          <w:p w14:paraId="4369661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0BEB0C4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F1449F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1.由气压计、橡胶管和打气囊组成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2.标尺范围：80～106KPa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3.气压计尺寸：φ147*88mm</w:t>
            </w:r>
          </w:p>
        </w:tc>
      </w:tr>
      <w:tr w14:paraId="66E6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475F2F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94</w:t>
            </w:r>
          </w:p>
        </w:tc>
        <w:tc>
          <w:tcPr>
            <w:tcW w:w="1215" w:type="dxa"/>
            <w:noWrap w:val="0"/>
            <w:vAlign w:val="center"/>
          </w:tcPr>
          <w:p w14:paraId="127E937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露点测定器</w:t>
            </w:r>
          </w:p>
        </w:tc>
        <w:tc>
          <w:tcPr>
            <w:tcW w:w="804" w:type="dxa"/>
            <w:noWrap w:val="0"/>
            <w:vAlign w:val="center"/>
          </w:tcPr>
          <w:p w14:paraId="50FE600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724521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92C0C4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1.由测定筒、比较环、搅拌器、支杆、底座等组成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2.总高238mm</w:t>
            </w:r>
          </w:p>
        </w:tc>
      </w:tr>
      <w:tr w14:paraId="2071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8E716A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95</w:t>
            </w:r>
          </w:p>
        </w:tc>
        <w:tc>
          <w:tcPr>
            <w:tcW w:w="1215" w:type="dxa"/>
            <w:noWrap w:val="0"/>
            <w:vAlign w:val="center"/>
          </w:tcPr>
          <w:p w14:paraId="46079EB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量角器(圆等分器)</w:t>
            </w:r>
          </w:p>
        </w:tc>
        <w:tc>
          <w:tcPr>
            <w:tcW w:w="804" w:type="dxa"/>
            <w:noWrap w:val="0"/>
            <w:vAlign w:val="center"/>
          </w:tcPr>
          <w:p w14:paraId="40F4EE5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858CE9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4794573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1.为木质量角器，木材做脱水干燥处理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2.为半圆形，直径50cm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3.印有0°～180°，单位刻度1°</w:t>
            </w:r>
          </w:p>
        </w:tc>
      </w:tr>
      <w:tr w14:paraId="2BE2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B685B5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96</w:t>
            </w:r>
          </w:p>
        </w:tc>
        <w:tc>
          <w:tcPr>
            <w:tcW w:w="1215" w:type="dxa"/>
            <w:noWrap w:val="0"/>
            <w:vAlign w:val="center"/>
          </w:tcPr>
          <w:p w14:paraId="48C8064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惯性演示器</w:t>
            </w:r>
          </w:p>
        </w:tc>
        <w:tc>
          <w:tcPr>
            <w:tcW w:w="804" w:type="dxa"/>
            <w:noWrap w:val="0"/>
            <w:vAlign w:val="center"/>
          </w:tcPr>
          <w:p w14:paraId="698A3BA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B9E376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59BE57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1.由底座、立柱、钢球、弹片，薄形钢片和钢球组成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2.钢球直径不小于18mm</w:t>
            </w:r>
          </w:p>
        </w:tc>
      </w:tr>
      <w:tr w14:paraId="0C31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1576E1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97</w:t>
            </w:r>
          </w:p>
        </w:tc>
        <w:tc>
          <w:tcPr>
            <w:tcW w:w="1215" w:type="dxa"/>
            <w:noWrap w:val="0"/>
            <w:vAlign w:val="center"/>
          </w:tcPr>
          <w:p w14:paraId="7A5F4E1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摩擦计</w:t>
            </w:r>
          </w:p>
        </w:tc>
        <w:tc>
          <w:tcPr>
            <w:tcW w:w="804" w:type="dxa"/>
            <w:noWrap w:val="0"/>
            <w:vAlign w:val="center"/>
          </w:tcPr>
          <w:p w14:paraId="5179A04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A8E75F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334FAAC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1.由摩擦板和摩擦块组成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2.摩擦板尺寸：500*50*10mm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3.摩擦块尺寸：100*40*30mm，上面有2个砝码孔，顶端有挂钩</w:t>
            </w:r>
          </w:p>
        </w:tc>
      </w:tr>
      <w:tr w14:paraId="0208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089048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98</w:t>
            </w:r>
          </w:p>
        </w:tc>
        <w:tc>
          <w:tcPr>
            <w:tcW w:w="1215" w:type="dxa"/>
            <w:noWrap w:val="0"/>
            <w:vAlign w:val="center"/>
          </w:tcPr>
          <w:p w14:paraId="484965D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螺旋弹簧组</w:t>
            </w:r>
          </w:p>
        </w:tc>
        <w:tc>
          <w:tcPr>
            <w:tcW w:w="804" w:type="dxa"/>
            <w:noWrap w:val="0"/>
            <w:vAlign w:val="center"/>
          </w:tcPr>
          <w:p w14:paraId="2FD655C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组</w:t>
            </w:r>
          </w:p>
        </w:tc>
        <w:tc>
          <w:tcPr>
            <w:tcW w:w="765" w:type="dxa"/>
            <w:gridSpan w:val="2"/>
            <w:noWrap w:val="0"/>
            <w:vAlign w:val="center"/>
          </w:tcPr>
          <w:p w14:paraId="1ADBC03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F1E238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1.由拉力极限分别为0.5 N、1 N、2N的3种弹簧构成；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2.弹簧主体由钢丝绕成；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3.各弹簧带长50 mm 挂钩（有指针）。</w:t>
            </w:r>
          </w:p>
        </w:tc>
      </w:tr>
      <w:tr w14:paraId="1878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1838E7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99</w:t>
            </w:r>
          </w:p>
        </w:tc>
        <w:tc>
          <w:tcPr>
            <w:tcW w:w="1215" w:type="dxa"/>
            <w:noWrap w:val="0"/>
            <w:vAlign w:val="center"/>
          </w:tcPr>
          <w:p w14:paraId="291C9C0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螺旋弹簧组</w:t>
            </w:r>
          </w:p>
        </w:tc>
        <w:tc>
          <w:tcPr>
            <w:tcW w:w="804" w:type="dxa"/>
            <w:noWrap w:val="0"/>
            <w:vAlign w:val="center"/>
          </w:tcPr>
          <w:p w14:paraId="211EA0C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只</w:t>
            </w:r>
          </w:p>
        </w:tc>
        <w:tc>
          <w:tcPr>
            <w:tcW w:w="765" w:type="dxa"/>
            <w:gridSpan w:val="2"/>
            <w:noWrap w:val="0"/>
            <w:vAlign w:val="center"/>
          </w:tcPr>
          <w:p w14:paraId="571648C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3CAB63E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1.由拉力极限分别为3 N、5 N的2种弹簧构成；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2.弹簧主体由钢丝绕成；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3.各弹簧带长50 mm 挂钩（有指针）。</w:t>
            </w:r>
          </w:p>
        </w:tc>
      </w:tr>
      <w:tr w14:paraId="461D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993DF6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100</w:t>
            </w:r>
          </w:p>
        </w:tc>
        <w:tc>
          <w:tcPr>
            <w:tcW w:w="1215" w:type="dxa"/>
            <w:noWrap w:val="0"/>
            <w:vAlign w:val="center"/>
          </w:tcPr>
          <w:p w14:paraId="48CAC50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帕斯卡球</w:t>
            </w:r>
          </w:p>
        </w:tc>
        <w:tc>
          <w:tcPr>
            <w:tcW w:w="804" w:type="dxa"/>
            <w:noWrap w:val="0"/>
            <w:vAlign w:val="center"/>
          </w:tcPr>
          <w:p w14:paraId="43CA940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584221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4BE905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1.由带孔球和活塞组成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2.球在不同方向有10个孔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3.整体长度325mm,球直径81mm</w:t>
            </w:r>
          </w:p>
        </w:tc>
      </w:tr>
      <w:tr w14:paraId="54B3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CE90F4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101</w:t>
            </w:r>
          </w:p>
        </w:tc>
        <w:tc>
          <w:tcPr>
            <w:tcW w:w="1215" w:type="dxa"/>
            <w:noWrap w:val="0"/>
            <w:vAlign w:val="center"/>
          </w:tcPr>
          <w:p w14:paraId="27DE89B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摩擦力演示器</w:t>
            </w:r>
          </w:p>
        </w:tc>
        <w:tc>
          <w:tcPr>
            <w:tcW w:w="804" w:type="dxa"/>
            <w:noWrap w:val="0"/>
            <w:vAlign w:val="center"/>
          </w:tcPr>
          <w:p w14:paraId="329BBE6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4A7AF23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F3D6A2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1.由电机、皮带、支架、测力计和带线木块组成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2.电机功率50W，无极调速，电机尺寸：310*110*98mm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3.皮带长度500mm,宽40mm</w:t>
            </w:r>
          </w:p>
        </w:tc>
      </w:tr>
      <w:tr w14:paraId="2CC6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FF78BD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102</w:t>
            </w:r>
          </w:p>
        </w:tc>
        <w:tc>
          <w:tcPr>
            <w:tcW w:w="1215" w:type="dxa"/>
            <w:noWrap w:val="0"/>
            <w:vAlign w:val="center"/>
          </w:tcPr>
          <w:p w14:paraId="15700BB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微小形变演示器</w:t>
            </w:r>
          </w:p>
        </w:tc>
        <w:tc>
          <w:tcPr>
            <w:tcW w:w="804" w:type="dxa"/>
            <w:noWrap w:val="0"/>
            <w:vAlign w:val="center"/>
          </w:tcPr>
          <w:p w14:paraId="4DA7F8A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8D1C4C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F2B5E9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1.由螺丝、支架、半导体激光光源、平面镜等组成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2.平面镜尺寸：120*70mm</w:t>
            </w:r>
          </w:p>
        </w:tc>
      </w:tr>
      <w:tr w14:paraId="3FE6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82830A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103</w:t>
            </w:r>
          </w:p>
        </w:tc>
        <w:tc>
          <w:tcPr>
            <w:tcW w:w="1215" w:type="dxa"/>
            <w:noWrap w:val="0"/>
            <w:vAlign w:val="center"/>
          </w:tcPr>
          <w:p w14:paraId="40688A2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力的合成分解演示器</w:t>
            </w:r>
          </w:p>
        </w:tc>
        <w:tc>
          <w:tcPr>
            <w:tcW w:w="804" w:type="dxa"/>
            <w:noWrap w:val="0"/>
            <w:vAlign w:val="center"/>
          </w:tcPr>
          <w:p w14:paraId="4A10112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74B1A6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BDA482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1.有底座、立杆、圆盘、测力计等组成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2.底座为三角底座、稳定性强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3.立杆金属制、镀铬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4.塑料圆盘上有标尺</w:t>
            </w:r>
          </w:p>
        </w:tc>
      </w:tr>
      <w:tr w14:paraId="12A3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1172D9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104</w:t>
            </w:r>
          </w:p>
        </w:tc>
        <w:tc>
          <w:tcPr>
            <w:tcW w:w="1215" w:type="dxa"/>
            <w:noWrap w:val="0"/>
            <w:vAlign w:val="center"/>
          </w:tcPr>
          <w:p w14:paraId="2499101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支杆定滑轮和桌边夹组</w:t>
            </w:r>
          </w:p>
        </w:tc>
        <w:tc>
          <w:tcPr>
            <w:tcW w:w="804" w:type="dxa"/>
            <w:noWrap w:val="0"/>
            <w:vAlign w:val="center"/>
          </w:tcPr>
          <w:p w14:paraId="19F2AF9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FC2688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6856DF0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1.由单滑轮、桌边夹、尼龙线，小铁环等组成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2.支杆高度可调，桌边夹的夹持厚度70 mm，夹入深度40 mm，支杆长度145mm，单滑轮外径 40 mm，轮毂厚 10 mm 轮缘厚 8 mm。</w:t>
            </w:r>
          </w:p>
        </w:tc>
      </w:tr>
      <w:tr w14:paraId="1E2F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151997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105</w:t>
            </w:r>
          </w:p>
        </w:tc>
        <w:tc>
          <w:tcPr>
            <w:tcW w:w="1215" w:type="dxa"/>
            <w:noWrap w:val="0"/>
            <w:vAlign w:val="center"/>
          </w:tcPr>
          <w:p w14:paraId="1757DD6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高中静力学演示教具</w:t>
            </w:r>
          </w:p>
        </w:tc>
        <w:tc>
          <w:tcPr>
            <w:tcW w:w="804" w:type="dxa"/>
            <w:noWrap w:val="0"/>
            <w:vAlign w:val="center"/>
          </w:tcPr>
          <w:p w14:paraId="180340D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E3D892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E30D6C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双向测力计2个、压簧对2支、量角器1只、加长杆4支、销钉6只、接插叉2支、接插头2支、接钩2支、力矩盘1只、小车2辆、车钩4只、大滑轮2个、小滑轮4个、平直导轨1只、惯性块2个、重锤1只、双向插头2只、滑轮连杆2只、滑轮挂钩2只、支承杆6支、调节杆2支、钢丝挂钩10支、钢丝卡环4只、色圈4片、拉簧2只、实验底板4块、支座1套、紧固销10只、小接插座20只、塑料吊环4只、细绳5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2.外包装为木箱，包装尺寸：650*430*105mm</w:t>
            </w:r>
          </w:p>
        </w:tc>
      </w:tr>
      <w:tr w14:paraId="73DE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7C2096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106</w:t>
            </w:r>
          </w:p>
        </w:tc>
        <w:tc>
          <w:tcPr>
            <w:tcW w:w="1215" w:type="dxa"/>
            <w:noWrap w:val="0"/>
            <w:vAlign w:val="center"/>
          </w:tcPr>
          <w:p w14:paraId="731CB18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高中力学演示板</w:t>
            </w:r>
          </w:p>
        </w:tc>
        <w:tc>
          <w:tcPr>
            <w:tcW w:w="804" w:type="dxa"/>
            <w:noWrap w:val="0"/>
            <w:vAlign w:val="center"/>
          </w:tcPr>
          <w:p w14:paraId="6F9E035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422BDA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A2F769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双向测力计2个、压簧对2支、加长杆4支、销钉4只、接插叉2支、接插头2支、接钩2支、双向插头2只、小车2辆、车钩4只、描迹笔2支、大滑轮2个、小滑轮4个、平直导轨1只、平抛导轨1支、斜抛导轨1支、接网框1只、惯性块2个、重锤1只、单向插头2只、滑轮连杆2只、滑轮挂钩2只、支承杆6支、调节杆2支、钢丝挂钩10支、钢丝卡环4只、色圈4片、卡子1只、量角器1只、力矩盘1只、直角支板4只、拉簧2只、实验底板4块、紧固销36只、小接插座40只、塑料吊环4只、细绳5米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2.外包装为木箱，包装尺寸：650*430*105mm</w:t>
            </w:r>
          </w:p>
        </w:tc>
      </w:tr>
      <w:tr w14:paraId="2C65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AC9558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107</w:t>
            </w:r>
          </w:p>
        </w:tc>
        <w:tc>
          <w:tcPr>
            <w:tcW w:w="1215" w:type="dxa"/>
            <w:noWrap w:val="0"/>
            <w:vAlign w:val="center"/>
          </w:tcPr>
          <w:p w14:paraId="4D9F25C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滚摆</w:t>
            </w:r>
          </w:p>
        </w:tc>
        <w:tc>
          <w:tcPr>
            <w:tcW w:w="804" w:type="dxa"/>
            <w:noWrap w:val="0"/>
            <w:vAlign w:val="center"/>
          </w:tcPr>
          <w:p w14:paraId="2F495D8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7D46F2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14C360D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1.由摆体（摆轮和摆轴）、悬线和支架等组成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2.摆轮采用金属材质，直径125 mm；摆轴采用钢材制作，直径10 mm，长150 mm；支架高400 mm，横梁长220 mm；摆体质量为0.6 kg～0.8 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3.摆体前10 次的回升累计递减量≤65 mm。</w:t>
            </w:r>
          </w:p>
        </w:tc>
      </w:tr>
      <w:tr w14:paraId="0C34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BBE68A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108</w:t>
            </w:r>
          </w:p>
        </w:tc>
        <w:tc>
          <w:tcPr>
            <w:tcW w:w="1215" w:type="dxa"/>
            <w:noWrap w:val="0"/>
            <w:vAlign w:val="center"/>
          </w:tcPr>
          <w:p w14:paraId="7CBAF27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离心轨道</w:t>
            </w:r>
          </w:p>
        </w:tc>
        <w:tc>
          <w:tcPr>
            <w:tcW w:w="804" w:type="dxa"/>
            <w:noWrap w:val="0"/>
            <w:vAlign w:val="center"/>
          </w:tcPr>
          <w:p w14:paraId="6A2C4E3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CE85E7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DCBAD2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1.由底座、支架、钢球和环形轨道等组成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2.环形轨道为铝合金制，有释放装置和捕球装置，圆环外径130mm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3.底座为塑料制，尺寸：280mm*110mm</w:t>
            </w:r>
          </w:p>
        </w:tc>
      </w:tr>
      <w:tr w14:paraId="4054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10AFA7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109</w:t>
            </w:r>
          </w:p>
        </w:tc>
        <w:tc>
          <w:tcPr>
            <w:tcW w:w="1215" w:type="dxa"/>
            <w:noWrap w:val="0"/>
            <w:vAlign w:val="center"/>
          </w:tcPr>
          <w:p w14:paraId="7F05A57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手摇离心转台</w:t>
            </w:r>
          </w:p>
        </w:tc>
        <w:tc>
          <w:tcPr>
            <w:tcW w:w="804" w:type="dxa"/>
            <w:noWrap w:val="0"/>
            <w:vAlign w:val="center"/>
          </w:tcPr>
          <w:p w14:paraId="375C98E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32E9016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E313C0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1.由底座、套管、制动螺钉、皮带、支杆、手动轮、偏心轴、从动轮和钩组成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2.底座尺寸：235*117mm；手动轮直径220mm；总高480mm</w:t>
            </w:r>
          </w:p>
        </w:tc>
      </w:tr>
      <w:tr w14:paraId="08D0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034B89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110</w:t>
            </w:r>
          </w:p>
        </w:tc>
        <w:tc>
          <w:tcPr>
            <w:tcW w:w="1215" w:type="dxa"/>
            <w:noWrap w:val="0"/>
            <w:vAlign w:val="center"/>
          </w:tcPr>
          <w:p w14:paraId="7AF0B0F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电动离心转台</w:t>
            </w:r>
          </w:p>
        </w:tc>
        <w:tc>
          <w:tcPr>
            <w:tcW w:w="804" w:type="dxa"/>
            <w:noWrap w:val="0"/>
            <w:vAlign w:val="center"/>
          </w:tcPr>
          <w:p w14:paraId="42BB5F4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0565CDB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E03CF3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1.由机箱、电机、调速器、连接套管、支杆等组成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2.机箱台面尺寸：300*300mm</w:t>
            </w:r>
          </w:p>
        </w:tc>
      </w:tr>
      <w:tr w14:paraId="01F1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86D97E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111</w:t>
            </w:r>
          </w:p>
        </w:tc>
        <w:tc>
          <w:tcPr>
            <w:tcW w:w="1215" w:type="dxa"/>
            <w:noWrap w:val="0"/>
            <w:vAlign w:val="center"/>
          </w:tcPr>
          <w:p w14:paraId="397B2AF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毛钱管(牛顿管)</w:t>
            </w:r>
          </w:p>
        </w:tc>
        <w:tc>
          <w:tcPr>
            <w:tcW w:w="804" w:type="dxa"/>
            <w:noWrap w:val="0"/>
            <w:vAlign w:val="center"/>
          </w:tcPr>
          <w:p w14:paraId="01CFD3D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2E1482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485B34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1.由玻璃管、抽气口、金属片、羽毛等组成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2.玻璃管外径5cm,长115cm</w:t>
            </w:r>
          </w:p>
        </w:tc>
      </w:tr>
      <w:tr w14:paraId="67C6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A59E7D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112</w:t>
            </w:r>
          </w:p>
        </w:tc>
        <w:tc>
          <w:tcPr>
            <w:tcW w:w="1215" w:type="dxa"/>
            <w:noWrap w:val="0"/>
            <w:vAlign w:val="center"/>
          </w:tcPr>
          <w:p w14:paraId="22B70B1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伽利略理想斜面演示器</w:t>
            </w:r>
          </w:p>
        </w:tc>
        <w:tc>
          <w:tcPr>
            <w:tcW w:w="804" w:type="dxa"/>
            <w:noWrap w:val="0"/>
            <w:vAlign w:val="center"/>
          </w:tcPr>
          <w:p w14:paraId="30E9256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67A687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DA9568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1.由基座、斜面轨道、斜面调节块、护球器、高度标尺、钢球、支脚和调平支架等组成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2.轨道长度为1200mm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3.基座为塑钢制，长1140mm</w:t>
            </w:r>
          </w:p>
        </w:tc>
      </w:tr>
      <w:tr w14:paraId="0F26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72EAED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113</w:t>
            </w:r>
          </w:p>
        </w:tc>
        <w:tc>
          <w:tcPr>
            <w:tcW w:w="1215" w:type="dxa"/>
            <w:noWrap w:val="0"/>
            <w:vAlign w:val="center"/>
          </w:tcPr>
          <w:p w14:paraId="3EAC3B5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运动合成分解演示器</w:t>
            </w:r>
          </w:p>
        </w:tc>
        <w:tc>
          <w:tcPr>
            <w:tcW w:w="804" w:type="dxa"/>
            <w:noWrap w:val="0"/>
            <w:vAlign w:val="center"/>
          </w:tcPr>
          <w:p w14:paraId="26A831C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0D959C0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0010C6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1.由小车、画板、画笔、X向传动装置、Y向传动装置、控制系统、电源线等组成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2.控制系统由X向换向开关、Y向换向开关、Y向调速旋钮、X向运动按键、Y向运动按键、合运动操作键</w:t>
            </w:r>
          </w:p>
        </w:tc>
      </w:tr>
      <w:tr w14:paraId="7DE9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F296C3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114</w:t>
            </w:r>
          </w:p>
        </w:tc>
        <w:tc>
          <w:tcPr>
            <w:tcW w:w="1215" w:type="dxa"/>
            <w:noWrap w:val="0"/>
            <w:vAlign w:val="center"/>
          </w:tcPr>
          <w:p w14:paraId="46B3E5F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演示轨道小车</w:t>
            </w:r>
          </w:p>
        </w:tc>
        <w:tc>
          <w:tcPr>
            <w:tcW w:w="804" w:type="dxa"/>
            <w:noWrap w:val="0"/>
            <w:vAlign w:val="center"/>
          </w:tcPr>
          <w:p w14:paraId="65B46CC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9200FB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AE4866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1.由铝合金轨道、牵引线、小车、砝码桶等组成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2.轨道一端带计时器架，一端带滑轮、有调平螺钉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3.整体长度135cm,轨道长120cm,轨道宽7cm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4.小车尺寸：12*7.5cm,带6个砝码孔</w:t>
            </w:r>
          </w:p>
        </w:tc>
      </w:tr>
      <w:tr w14:paraId="4E40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52208F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115</w:t>
            </w:r>
          </w:p>
        </w:tc>
        <w:tc>
          <w:tcPr>
            <w:tcW w:w="1215" w:type="dxa"/>
            <w:noWrap w:val="0"/>
            <w:vAlign w:val="center"/>
          </w:tcPr>
          <w:p w14:paraId="52E450E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轨道小车</w:t>
            </w:r>
          </w:p>
        </w:tc>
        <w:tc>
          <w:tcPr>
            <w:tcW w:w="804" w:type="dxa"/>
            <w:noWrap w:val="0"/>
            <w:vAlign w:val="center"/>
          </w:tcPr>
          <w:p w14:paraId="7993DBC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658E26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0A5A9E8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1.由铝合金轨道、牵引线、小车、砝码桶等组成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2.轨道一端带计时器架，一端带滑轮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3.整体长度105cm,轨道长90cm，轨道宽5.2cm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4.小车质量200g</w:t>
            </w:r>
          </w:p>
        </w:tc>
      </w:tr>
      <w:tr w14:paraId="5E50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E59935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116</w:t>
            </w:r>
          </w:p>
        </w:tc>
        <w:tc>
          <w:tcPr>
            <w:tcW w:w="1215" w:type="dxa"/>
            <w:noWrap w:val="0"/>
            <w:vAlign w:val="center"/>
          </w:tcPr>
          <w:p w14:paraId="4AF0C35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轨道小车</w:t>
            </w:r>
          </w:p>
        </w:tc>
        <w:tc>
          <w:tcPr>
            <w:tcW w:w="804" w:type="dxa"/>
            <w:noWrap w:val="0"/>
            <w:vAlign w:val="center"/>
          </w:tcPr>
          <w:p w14:paraId="04ED047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A64C4A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4753FFB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1.由轨道、电火花固定夹、小车、细线、导线等组成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2.采用轨道打点式，打点有效距离不小于600mm可调点迹大小；打点频率：25Hz、50 Hz、100 Hz可切换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3.轨道为塑钢制，外形尺寸：1100*140*90mm</w:t>
            </w:r>
          </w:p>
        </w:tc>
      </w:tr>
      <w:tr w14:paraId="2D12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19B800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117</w:t>
            </w:r>
          </w:p>
        </w:tc>
        <w:tc>
          <w:tcPr>
            <w:tcW w:w="1215" w:type="dxa"/>
            <w:noWrap w:val="0"/>
            <w:vAlign w:val="center"/>
          </w:tcPr>
          <w:p w14:paraId="60EE6CA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演示斜面小车</w:t>
            </w:r>
          </w:p>
        </w:tc>
        <w:tc>
          <w:tcPr>
            <w:tcW w:w="804" w:type="dxa"/>
            <w:noWrap w:val="0"/>
            <w:vAlign w:val="center"/>
          </w:tcPr>
          <w:p w14:paraId="793DCA6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B0A62F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F0BB45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1.由斜面板、底板、小车、支撑杆、摩擦块和滑轮等组成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2.斜面板、底板为木质，长度分别为80cm、120cm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3.摩擦块尺寸：100*80*40mm；正面有4个砝码孔，侧面有两个砝码孔，孔径26mm</w:t>
            </w:r>
          </w:p>
        </w:tc>
      </w:tr>
      <w:tr w14:paraId="18A6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DEE314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118</w:t>
            </w:r>
          </w:p>
        </w:tc>
        <w:tc>
          <w:tcPr>
            <w:tcW w:w="1215" w:type="dxa"/>
            <w:noWrap w:val="0"/>
            <w:vAlign w:val="center"/>
          </w:tcPr>
          <w:p w14:paraId="61D01C3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斜面小车</w:t>
            </w:r>
          </w:p>
        </w:tc>
        <w:tc>
          <w:tcPr>
            <w:tcW w:w="804" w:type="dxa"/>
            <w:noWrap w:val="0"/>
            <w:vAlign w:val="center"/>
          </w:tcPr>
          <w:p w14:paraId="2B99CED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94F29A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1C1997A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1.由斜面、小车、滑块、吊桶和支撑杆组成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2.斜面一端有滑轮，尺寸810*100*20mm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3.摩擦块尺寸：100*80*40mm；正面有4个砝码孔，侧面有两个砝码孔</w:t>
            </w:r>
          </w:p>
        </w:tc>
      </w:tr>
      <w:tr w14:paraId="3CF6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96DD6E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119</w:t>
            </w:r>
          </w:p>
        </w:tc>
        <w:tc>
          <w:tcPr>
            <w:tcW w:w="1215" w:type="dxa"/>
            <w:noWrap w:val="0"/>
            <w:vAlign w:val="center"/>
          </w:tcPr>
          <w:p w14:paraId="40345EA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气垫导轨</w:t>
            </w:r>
          </w:p>
        </w:tc>
        <w:tc>
          <w:tcPr>
            <w:tcW w:w="804" w:type="dxa"/>
            <w:noWrap w:val="0"/>
            <w:vAlign w:val="center"/>
          </w:tcPr>
          <w:p w14:paraId="6D45C1B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59A4273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3A134B1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1.由轨道、附件盒、调平装置、滑块、接气口等组成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2.导轨长度1200mm；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3.导轨进气口的外径：φ30mm；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4.滑块长度121mm，质量约155g</w:t>
            </w:r>
          </w:p>
        </w:tc>
      </w:tr>
      <w:tr w14:paraId="06A9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194A74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120</w:t>
            </w:r>
          </w:p>
        </w:tc>
        <w:tc>
          <w:tcPr>
            <w:tcW w:w="1215" w:type="dxa"/>
            <w:noWrap w:val="0"/>
            <w:vAlign w:val="center"/>
          </w:tcPr>
          <w:p w14:paraId="3003A57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小型气源</w:t>
            </w:r>
          </w:p>
        </w:tc>
        <w:tc>
          <w:tcPr>
            <w:tcW w:w="804" w:type="dxa"/>
            <w:noWrap w:val="0"/>
            <w:vAlign w:val="center"/>
          </w:tcPr>
          <w:p w14:paraId="00DBA1F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0D0CFD9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3D468B0E">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由气泵和气管组成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2.气泵外箱为塑料制                      </w:t>
            </w:r>
          </w:p>
          <w:p w14:paraId="6AC9A1E1">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 xml:space="preserve">3.软管直径32/36mm；尺寸φ225*260 mm </w:t>
            </w:r>
          </w:p>
        </w:tc>
      </w:tr>
      <w:tr w14:paraId="243A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4A58A5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121</w:t>
            </w:r>
          </w:p>
        </w:tc>
        <w:tc>
          <w:tcPr>
            <w:tcW w:w="1215" w:type="dxa"/>
            <w:noWrap w:val="0"/>
            <w:vAlign w:val="center"/>
          </w:tcPr>
          <w:p w14:paraId="110F4D2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自由落体实验仪</w:t>
            </w:r>
          </w:p>
        </w:tc>
        <w:tc>
          <w:tcPr>
            <w:tcW w:w="804" w:type="dxa"/>
            <w:noWrap w:val="0"/>
            <w:vAlign w:val="center"/>
          </w:tcPr>
          <w:p w14:paraId="4A64932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079276F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3EFE0E5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1.由支架和立杆组成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2.仪器总高：1.4m；实验有效高度：1.2m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3.立杆为塑钢制</w:t>
            </w:r>
          </w:p>
        </w:tc>
      </w:tr>
      <w:tr w14:paraId="14A1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89B24D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122</w:t>
            </w:r>
          </w:p>
        </w:tc>
        <w:tc>
          <w:tcPr>
            <w:tcW w:w="1215" w:type="dxa"/>
            <w:noWrap w:val="0"/>
            <w:vAlign w:val="center"/>
          </w:tcPr>
          <w:p w14:paraId="411F45E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牛顿第二定律演示仪</w:t>
            </w:r>
          </w:p>
        </w:tc>
        <w:tc>
          <w:tcPr>
            <w:tcW w:w="804" w:type="dxa"/>
            <w:noWrap w:val="0"/>
            <w:vAlign w:val="center"/>
          </w:tcPr>
          <w:p w14:paraId="2B9A34D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34A032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8AC3EB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1.由轨道、小车、塑料桶、联动杆、细线等组成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2.轨道为铝合金制，上下双层结构，贴有毫米刻度标尺，顶端有可调螺丝，底部有调平螺丝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3.外观尺寸：1050*120*200mm</w:t>
            </w:r>
          </w:p>
        </w:tc>
      </w:tr>
      <w:tr w14:paraId="5EB5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0EEB56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123</w:t>
            </w:r>
          </w:p>
        </w:tc>
        <w:tc>
          <w:tcPr>
            <w:tcW w:w="1215" w:type="dxa"/>
            <w:noWrap w:val="0"/>
            <w:vAlign w:val="center"/>
          </w:tcPr>
          <w:p w14:paraId="5A84D35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牛顿第二定律实验仪</w:t>
            </w:r>
          </w:p>
        </w:tc>
        <w:tc>
          <w:tcPr>
            <w:tcW w:w="804" w:type="dxa"/>
            <w:noWrap w:val="0"/>
            <w:vAlign w:val="center"/>
          </w:tcPr>
          <w:p w14:paraId="686C56B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12B4DA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1D3AF80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1.由轨道、小车、塑料桶、联动杆、细线等组成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2.轨道为铝合金制，上下双层结构，贴有毫米刻度标尺，顶端有可调螺丝，底部有调平螺丝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3.外观尺寸：950*120*200mm</w:t>
            </w:r>
          </w:p>
        </w:tc>
      </w:tr>
      <w:tr w14:paraId="28F3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C4404E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124</w:t>
            </w:r>
          </w:p>
        </w:tc>
        <w:tc>
          <w:tcPr>
            <w:tcW w:w="1215" w:type="dxa"/>
            <w:noWrap w:val="0"/>
            <w:vAlign w:val="center"/>
          </w:tcPr>
          <w:p w14:paraId="517016A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反冲运动演示器</w:t>
            </w:r>
          </w:p>
        </w:tc>
        <w:tc>
          <w:tcPr>
            <w:tcW w:w="804" w:type="dxa"/>
            <w:noWrap w:val="0"/>
            <w:vAlign w:val="center"/>
          </w:tcPr>
          <w:p w14:paraId="0DA11E6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DC405A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CB64EC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1.由金属筒、橡皮塞、小车和铝杯组成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2.重要部件由金属制，小车尺寸94*64*20mm，金属筒尺寸φ16*82mm</w:t>
            </w:r>
          </w:p>
        </w:tc>
      </w:tr>
      <w:tr w14:paraId="3FF8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AA2588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125</w:t>
            </w:r>
          </w:p>
        </w:tc>
        <w:tc>
          <w:tcPr>
            <w:tcW w:w="1215" w:type="dxa"/>
            <w:noWrap w:val="0"/>
            <w:vAlign w:val="center"/>
          </w:tcPr>
          <w:p w14:paraId="28C0FCA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超重失重演示器</w:t>
            </w:r>
          </w:p>
        </w:tc>
        <w:tc>
          <w:tcPr>
            <w:tcW w:w="804" w:type="dxa"/>
            <w:noWrap w:val="0"/>
            <w:vAlign w:val="center"/>
          </w:tcPr>
          <w:p w14:paraId="54C4612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B913FD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3ADE40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1.由可升降的圆盘测力计、槽码、导轨、定滑轮、传动索、砝码吊袋、桌夹、支架等组成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2.圆盘测力计极限值为2N,精度值0.02N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3.槽码为3*50g</w:t>
            </w:r>
          </w:p>
        </w:tc>
      </w:tr>
      <w:tr w14:paraId="0638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4A9600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126</w:t>
            </w:r>
          </w:p>
        </w:tc>
        <w:tc>
          <w:tcPr>
            <w:tcW w:w="1215" w:type="dxa"/>
            <w:noWrap w:val="0"/>
            <w:vAlign w:val="center"/>
          </w:tcPr>
          <w:p w14:paraId="27D3997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超重失重演示器</w:t>
            </w:r>
          </w:p>
        </w:tc>
        <w:tc>
          <w:tcPr>
            <w:tcW w:w="804" w:type="dxa"/>
            <w:noWrap w:val="0"/>
            <w:vAlign w:val="center"/>
          </w:tcPr>
          <w:p w14:paraId="7643190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72C591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C7782E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1.由可升降的圆盘测力计、槽码、导轨、定滑轮、传动索、砝码吊袋、桌夹、支架等组成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2.圆盘测力计极限值为2N,精度值0.02N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3.槽码为3*50g</w:t>
            </w:r>
          </w:p>
        </w:tc>
      </w:tr>
      <w:tr w14:paraId="7795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B914E9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127</w:t>
            </w:r>
          </w:p>
        </w:tc>
        <w:tc>
          <w:tcPr>
            <w:tcW w:w="1215" w:type="dxa"/>
            <w:noWrap w:val="0"/>
            <w:vAlign w:val="center"/>
          </w:tcPr>
          <w:p w14:paraId="6462224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动能势能演示器</w:t>
            </w:r>
          </w:p>
        </w:tc>
        <w:tc>
          <w:tcPr>
            <w:tcW w:w="804" w:type="dxa"/>
            <w:noWrap w:val="0"/>
            <w:vAlign w:val="center"/>
          </w:tcPr>
          <w:p w14:paraId="3788894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553A4A6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40B164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1.由刻度板、支杆、大滑块、槽板、固定螺母、底座、大弹簧、弹簧释放手柄、圆筒、小滑块、定位圈支杆、定位圈、吊线和钢球组成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2.底座尺寸：420*120mm，整体高度390mm</w:t>
            </w:r>
          </w:p>
        </w:tc>
      </w:tr>
      <w:tr w14:paraId="315AC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E0DE08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128</w:t>
            </w:r>
          </w:p>
        </w:tc>
        <w:tc>
          <w:tcPr>
            <w:tcW w:w="1215" w:type="dxa"/>
            <w:noWrap w:val="0"/>
            <w:vAlign w:val="center"/>
          </w:tcPr>
          <w:p w14:paraId="26CF566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平抛竖落仪</w:t>
            </w:r>
          </w:p>
        </w:tc>
        <w:tc>
          <w:tcPr>
            <w:tcW w:w="804" w:type="dxa"/>
            <w:noWrap w:val="0"/>
            <w:vAlign w:val="center"/>
          </w:tcPr>
          <w:p w14:paraId="0951B6A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D83147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72063F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1.由底板、带圆窝的角铁、弹簧、扳机等组成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2.为手持式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3.底板尺寸：170*50mm</w:t>
            </w:r>
          </w:p>
        </w:tc>
      </w:tr>
      <w:tr w14:paraId="7E21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D0C957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129</w:t>
            </w:r>
          </w:p>
        </w:tc>
        <w:tc>
          <w:tcPr>
            <w:tcW w:w="1215" w:type="dxa"/>
            <w:noWrap w:val="0"/>
            <w:vAlign w:val="center"/>
          </w:tcPr>
          <w:p w14:paraId="4CA7517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平抛运动实验器</w:t>
            </w:r>
          </w:p>
        </w:tc>
        <w:tc>
          <w:tcPr>
            <w:tcW w:w="804" w:type="dxa"/>
            <w:noWrap w:val="0"/>
            <w:vAlign w:val="center"/>
          </w:tcPr>
          <w:p w14:paraId="39FA129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B2F420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5F52D3B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1.由斜槽轨道、接球板、底座、金属小球，玻璃球、铜线坠，尼龙线等组成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2.所有部件均为金属制，表面静电喷涂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3.尺寸：仪器高37cm，背板宽为24cm。</w:t>
            </w:r>
          </w:p>
        </w:tc>
      </w:tr>
      <w:tr w14:paraId="1BC6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6154DF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130</w:t>
            </w:r>
          </w:p>
        </w:tc>
        <w:tc>
          <w:tcPr>
            <w:tcW w:w="1215" w:type="dxa"/>
            <w:noWrap w:val="0"/>
            <w:vAlign w:val="center"/>
          </w:tcPr>
          <w:p w14:paraId="2735D4D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平抛和碰撞实验器</w:t>
            </w:r>
          </w:p>
        </w:tc>
        <w:tc>
          <w:tcPr>
            <w:tcW w:w="804" w:type="dxa"/>
            <w:noWrap w:val="0"/>
            <w:vAlign w:val="center"/>
          </w:tcPr>
          <w:p w14:paraId="1F1E5C5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07EBA4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2D0DBBB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1.由斜槽轨道、接球板、底座、金属小球，玻璃球、铜线坠，尼龙线、支球总成等组成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2.所有部件均为金属制，表面静电喷涂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3.尺寸：仪器高37cm，背板宽为24cm。</w:t>
            </w:r>
          </w:p>
        </w:tc>
      </w:tr>
      <w:tr w14:paraId="7815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260865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131</w:t>
            </w:r>
          </w:p>
        </w:tc>
        <w:tc>
          <w:tcPr>
            <w:tcW w:w="1215" w:type="dxa"/>
            <w:noWrap w:val="0"/>
            <w:vAlign w:val="center"/>
          </w:tcPr>
          <w:p w14:paraId="2A7F765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碰撞实验器</w:t>
            </w:r>
          </w:p>
        </w:tc>
        <w:tc>
          <w:tcPr>
            <w:tcW w:w="804" w:type="dxa"/>
            <w:noWrap w:val="0"/>
            <w:vAlign w:val="center"/>
          </w:tcPr>
          <w:p w14:paraId="4DBEE8B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394A6E7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468AA27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1.由底座、铝合金轨道、金属球、玻璃球、塑料球、重锤、球夹等组成。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2.底座尺寸250mm×10mm。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3.铝合金轨道长300mm，平直槽长90mm。</w:t>
            </w:r>
          </w:p>
        </w:tc>
      </w:tr>
      <w:tr w14:paraId="389A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19DFCD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132</w:t>
            </w:r>
          </w:p>
        </w:tc>
        <w:tc>
          <w:tcPr>
            <w:tcW w:w="1215" w:type="dxa"/>
            <w:noWrap w:val="0"/>
            <w:vAlign w:val="center"/>
          </w:tcPr>
          <w:p w14:paraId="3D73E27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冲击摆实验器</w:t>
            </w:r>
          </w:p>
        </w:tc>
        <w:tc>
          <w:tcPr>
            <w:tcW w:w="804" w:type="dxa"/>
            <w:noWrap w:val="0"/>
            <w:vAlign w:val="center"/>
          </w:tcPr>
          <w:p w14:paraId="21A53A3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65FCDCF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A8573B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1.由弹簧枪、冲击摆、指示器和钢制组成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2.弹簧枪由枪管、弹簧、枪栓和扳机组成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3.冲击摆由四根摆线、摆线调节器、支架和摆块组成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4.指示器由角度盘和指针组成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5.整体尺寸：400*120*350mm</w:t>
            </w:r>
          </w:p>
        </w:tc>
      </w:tr>
      <w:tr w14:paraId="2F42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E11E45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133</w:t>
            </w:r>
          </w:p>
        </w:tc>
        <w:tc>
          <w:tcPr>
            <w:tcW w:w="1215" w:type="dxa"/>
            <w:noWrap w:val="0"/>
            <w:vAlign w:val="center"/>
          </w:tcPr>
          <w:p w14:paraId="5FA7F5A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运动频闪观测仪</w:t>
            </w:r>
          </w:p>
        </w:tc>
        <w:tc>
          <w:tcPr>
            <w:tcW w:w="804" w:type="dxa"/>
            <w:noWrap w:val="0"/>
            <w:vAlign w:val="center"/>
          </w:tcPr>
          <w:p w14:paraId="61469A7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5DD829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A69B5F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1.为实验用运动频闪观测仪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2.测试量程：1-9999Hz； 分辨率：1Hz； 闪光频率：1-9999Hz； 调节精度：1Hz；输入电压：AC220V,50Hz；功  耗：＜15W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3.塑料外壳、尺寸198*160*88</w:t>
            </w:r>
          </w:p>
        </w:tc>
      </w:tr>
      <w:tr w14:paraId="1B8C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3961BB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134</w:t>
            </w:r>
          </w:p>
        </w:tc>
        <w:tc>
          <w:tcPr>
            <w:tcW w:w="1215" w:type="dxa"/>
            <w:noWrap w:val="0"/>
            <w:vAlign w:val="center"/>
          </w:tcPr>
          <w:p w14:paraId="74E6717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二维空间—时间描迹仪</w:t>
            </w:r>
          </w:p>
        </w:tc>
        <w:tc>
          <w:tcPr>
            <w:tcW w:w="804" w:type="dxa"/>
            <w:noWrap w:val="0"/>
            <w:vAlign w:val="center"/>
          </w:tcPr>
          <w:p w14:paraId="175E045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C71805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8968BF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1.由塑料支架、抛体、导电玻璃、墨粉纸、后板、磁压条等组成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2.外观尺寸：250*120*426mm</w:t>
            </w:r>
          </w:p>
        </w:tc>
      </w:tr>
      <w:tr w14:paraId="3C7B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1DB47E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135</w:t>
            </w:r>
          </w:p>
        </w:tc>
        <w:tc>
          <w:tcPr>
            <w:tcW w:w="1215" w:type="dxa"/>
            <w:noWrap w:val="0"/>
            <w:vAlign w:val="center"/>
          </w:tcPr>
          <w:p w14:paraId="27B7DE6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向心力演示器</w:t>
            </w:r>
          </w:p>
        </w:tc>
        <w:tc>
          <w:tcPr>
            <w:tcW w:w="804" w:type="dxa"/>
            <w:noWrap w:val="0"/>
            <w:vAlign w:val="center"/>
          </w:tcPr>
          <w:p w14:paraId="1B11901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68B9CD7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B072A5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1.由底座、变速盘、套筒、标尺、弹簧、传送带、摇手、金属球等组成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2.手摇式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3.尺寸48*20*30cm</w:t>
            </w:r>
          </w:p>
        </w:tc>
      </w:tr>
      <w:tr w14:paraId="40EE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E05F15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136</w:t>
            </w:r>
          </w:p>
        </w:tc>
        <w:tc>
          <w:tcPr>
            <w:tcW w:w="1215" w:type="dxa"/>
            <w:noWrap w:val="0"/>
            <w:vAlign w:val="center"/>
          </w:tcPr>
          <w:p w14:paraId="44AFD64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向心力实验器</w:t>
            </w:r>
          </w:p>
        </w:tc>
        <w:tc>
          <w:tcPr>
            <w:tcW w:w="804" w:type="dxa"/>
            <w:noWrap w:val="0"/>
            <w:vAlign w:val="center"/>
          </w:tcPr>
          <w:p w14:paraId="568DB4B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46F5598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5A7E387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1.由底座、导杆、平衡体、周期测定盘、捻柄、配重体、圆柱体、弹簧、半径指示器、弹簧拉杆、转轴等组成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2.整体为金属制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3.底座尺寸：242*120mm</w:t>
            </w:r>
          </w:p>
        </w:tc>
      </w:tr>
      <w:tr w14:paraId="6AC4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588B9F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137</w:t>
            </w:r>
          </w:p>
        </w:tc>
        <w:tc>
          <w:tcPr>
            <w:tcW w:w="1215" w:type="dxa"/>
            <w:noWrap w:val="0"/>
            <w:vAlign w:val="center"/>
          </w:tcPr>
          <w:p w14:paraId="0735B11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凹凸桥演示器</w:t>
            </w:r>
          </w:p>
        </w:tc>
        <w:tc>
          <w:tcPr>
            <w:tcW w:w="804" w:type="dxa"/>
            <w:noWrap w:val="0"/>
            <w:vAlign w:val="center"/>
          </w:tcPr>
          <w:p w14:paraId="0F35BAC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FEAB0C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B915FA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1.由两根平行凹凸轨、支架、钢球和轨道间隙调节器等组成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2.框架为铁板喷塑，外形尺寸558*200*230mm</w:t>
            </w:r>
          </w:p>
        </w:tc>
      </w:tr>
      <w:tr w14:paraId="29AC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CC9F27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138</w:t>
            </w:r>
          </w:p>
        </w:tc>
        <w:tc>
          <w:tcPr>
            <w:tcW w:w="1215" w:type="dxa"/>
            <w:noWrap w:val="0"/>
            <w:vAlign w:val="center"/>
          </w:tcPr>
          <w:p w14:paraId="3E249F4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演示力矩盘</w:t>
            </w:r>
          </w:p>
        </w:tc>
        <w:tc>
          <w:tcPr>
            <w:tcW w:w="804" w:type="dxa"/>
            <w:noWrap w:val="0"/>
            <w:vAlign w:val="center"/>
          </w:tcPr>
          <w:p w14:paraId="4B92A3E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B46B05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559A0D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1.由圆盘、立杆、底座和6个带线的空心销组成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2.圆盘直径270mm,盘面有4个同心圆，均匀分布小孔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3.三脚底座，金属立杆长40mm</w:t>
            </w:r>
          </w:p>
        </w:tc>
      </w:tr>
      <w:tr w14:paraId="0D85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CB2DC7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139</w:t>
            </w:r>
          </w:p>
        </w:tc>
        <w:tc>
          <w:tcPr>
            <w:tcW w:w="1215" w:type="dxa"/>
            <w:noWrap w:val="0"/>
            <w:vAlign w:val="center"/>
          </w:tcPr>
          <w:p w14:paraId="3151329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力矩盘</w:t>
            </w:r>
          </w:p>
        </w:tc>
        <w:tc>
          <w:tcPr>
            <w:tcW w:w="804" w:type="dxa"/>
            <w:noWrap w:val="0"/>
            <w:vAlign w:val="center"/>
          </w:tcPr>
          <w:p w14:paraId="0F98A52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618640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64CADD2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1.由圆盘、立杆、底座和6个带线的空心销组成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2.圆盘直径270mm,盘面有4个同心圆，均匀分布小孔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3.三脚底座，金属立杆长40mm</w:t>
            </w:r>
          </w:p>
        </w:tc>
      </w:tr>
      <w:tr w14:paraId="6759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A4CF0F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140</w:t>
            </w:r>
          </w:p>
        </w:tc>
        <w:tc>
          <w:tcPr>
            <w:tcW w:w="1215" w:type="dxa"/>
            <w:noWrap w:val="0"/>
            <w:vAlign w:val="center"/>
          </w:tcPr>
          <w:p w14:paraId="60AB0E9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动量传递演示器(碰撞球)</w:t>
            </w:r>
          </w:p>
        </w:tc>
        <w:tc>
          <w:tcPr>
            <w:tcW w:w="804" w:type="dxa"/>
            <w:noWrap w:val="0"/>
            <w:vAlign w:val="center"/>
          </w:tcPr>
          <w:p w14:paraId="131C337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A813A2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BFCF44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1.由底座、支架和5个吊线钢球组成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2.外观尺寸182*150*180mm</w:t>
            </w:r>
          </w:p>
        </w:tc>
      </w:tr>
      <w:tr w14:paraId="150A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94EBD5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141</w:t>
            </w:r>
          </w:p>
        </w:tc>
        <w:tc>
          <w:tcPr>
            <w:tcW w:w="1215" w:type="dxa"/>
            <w:noWrap w:val="0"/>
            <w:vAlign w:val="center"/>
          </w:tcPr>
          <w:p w14:paraId="1E250CD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微重力实验装置</w:t>
            </w:r>
          </w:p>
        </w:tc>
        <w:tc>
          <w:tcPr>
            <w:tcW w:w="804" w:type="dxa"/>
            <w:noWrap w:val="0"/>
            <w:vAlign w:val="center"/>
          </w:tcPr>
          <w:p w14:paraId="1C327BF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8FAB97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CD815D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1.自由落体坐标系和静止坐标系与计算机等配合使用，高速60帧以上摄像捕捉，可截取有效实验图像的播放，界面带测绘功能和打印功能。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2.外观尺寸不小于1800cm*65m*65cm，平台有效行程不小于100cm。外形尺寸680*680*1800mm</w:t>
            </w:r>
          </w:p>
        </w:tc>
      </w:tr>
      <w:tr w14:paraId="7A9F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7206AD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142</w:t>
            </w:r>
          </w:p>
        </w:tc>
        <w:tc>
          <w:tcPr>
            <w:tcW w:w="1215" w:type="dxa"/>
            <w:noWrap w:val="0"/>
            <w:vAlign w:val="center"/>
          </w:tcPr>
          <w:p w14:paraId="6644A0A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音叉</w:t>
            </w:r>
          </w:p>
        </w:tc>
        <w:tc>
          <w:tcPr>
            <w:tcW w:w="804" w:type="dxa"/>
            <w:noWrap w:val="0"/>
            <w:vAlign w:val="center"/>
          </w:tcPr>
          <w:p w14:paraId="4DB5EBE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E63336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134D2E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1.由共鸣箱、音叉、橡皮锤组成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2.共鸣箱为木质，尺寸为：298*92*52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3.音叉为钢制，表面镀铬，频率为256Hz，叉枝截面8.5*5.5mm,音叉臂长200.5mm</w:t>
            </w:r>
          </w:p>
        </w:tc>
      </w:tr>
      <w:tr w14:paraId="4429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EF69EE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143</w:t>
            </w:r>
          </w:p>
        </w:tc>
        <w:tc>
          <w:tcPr>
            <w:tcW w:w="1215" w:type="dxa"/>
            <w:noWrap w:val="0"/>
            <w:vAlign w:val="center"/>
          </w:tcPr>
          <w:p w14:paraId="0011F80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音叉</w:t>
            </w:r>
          </w:p>
        </w:tc>
        <w:tc>
          <w:tcPr>
            <w:tcW w:w="804" w:type="dxa"/>
            <w:noWrap w:val="0"/>
            <w:vAlign w:val="center"/>
          </w:tcPr>
          <w:p w14:paraId="7E288F6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E9836C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B1A130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1.由共鸣箱、音叉、橡皮锤组成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2.共鸣箱为木质，尺寸为：149*92*52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3.音叉为钢制，表面镀铬，频率为512Hz，叉枝截面8.5*5.5mm,音叉臂长154mm</w:t>
            </w:r>
          </w:p>
        </w:tc>
      </w:tr>
      <w:tr w14:paraId="2592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F674DC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144</w:t>
            </w:r>
          </w:p>
        </w:tc>
        <w:tc>
          <w:tcPr>
            <w:tcW w:w="1215" w:type="dxa"/>
            <w:noWrap w:val="0"/>
            <w:vAlign w:val="center"/>
          </w:tcPr>
          <w:p w14:paraId="61E68C4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纵波演示器</w:t>
            </w:r>
          </w:p>
        </w:tc>
        <w:tc>
          <w:tcPr>
            <w:tcW w:w="804" w:type="dxa"/>
            <w:noWrap w:val="0"/>
            <w:vAlign w:val="center"/>
          </w:tcPr>
          <w:p w14:paraId="5C8F091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7242D8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BB542B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1.由边框、横杆10根、振源2只、弹簧、反光白布、棉线等组成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2.组装完毕后演示长度不小于100cm</w:t>
            </w:r>
          </w:p>
        </w:tc>
      </w:tr>
      <w:tr w14:paraId="1522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11140F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145</w:t>
            </w:r>
          </w:p>
        </w:tc>
        <w:tc>
          <w:tcPr>
            <w:tcW w:w="1215" w:type="dxa"/>
            <w:noWrap w:val="0"/>
            <w:vAlign w:val="center"/>
          </w:tcPr>
          <w:p w14:paraId="26BFB61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声速测量仪</w:t>
            </w:r>
          </w:p>
        </w:tc>
        <w:tc>
          <w:tcPr>
            <w:tcW w:w="804" w:type="dxa"/>
            <w:noWrap w:val="0"/>
            <w:vAlign w:val="center"/>
          </w:tcPr>
          <w:p w14:paraId="6CE3F3B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321784A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BA20AB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1.由触发器、铃、传感器及数据线组成，采用测量声音在固定距离上传输的时间来计算声音的速度，采用传感器将声能转换成电能，用数字计时器测量传播的时间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2.需配合数字计时器使用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3.工作环境温度:-10℃--40℃,传感器间距3-4m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4.触发器尺寸：130mm*85mm*65mm</w:t>
            </w:r>
          </w:p>
        </w:tc>
      </w:tr>
      <w:tr w14:paraId="160E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07B802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146</w:t>
            </w:r>
          </w:p>
        </w:tc>
        <w:tc>
          <w:tcPr>
            <w:tcW w:w="1215" w:type="dxa"/>
            <w:noWrap w:val="0"/>
            <w:vAlign w:val="center"/>
          </w:tcPr>
          <w:p w14:paraId="77FC0E2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共振音叉</w:t>
            </w:r>
          </w:p>
        </w:tc>
        <w:tc>
          <w:tcPr>
            <w:tcW w:w="804" w:type="dxa"/>
            <w:noWrap w:val="0"/>
            <w:vAlign w:val="center"/>
          </w:tcPr>
          <w:p w14:paraId="463FA59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对</w:t>
            </w:r>
          </w:p>
        </w:tc>
        <w:tc>
          <w:tcPr>
            <w:tcW w:w="765" w:type="dxa"/>
            <w:gridSpan w:val="2"/>
            <w:noWrap w:val="0"/>
            <w:vAlign w:val="center"/>
          </w:tcPr>
          <w:p w14:paraId="06C98F2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0464B4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1.由2个相同共鸣箱、2个相同音叉、橡皮锤和变频箍组成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2.共鸣箱为木质，尺寸为：178*92*52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3.音叉为钢制，表面镀铬，频率为440Hz，叉枝截面16*6.5mm,音叉臂长109mm,臂间距17mm</w:t>
            </w:r>
          </w:p>
        </w:tc>
      </w:tr>
      <w:tr w14:paraId="3184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3054FE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147</w:t>
            </w:r>
          </w:p>
        </w:tc>
        <w:tc>
          <w:tcPr>
            <w:tcW w:w="1215" w:type="dxa"/>
            <w:noWrap w:val="0"/>
            <w:vAlign w:val="center"/>
          </w:tcPr>
          <w:p w14:paraId="276AAB7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纵横波演示器</w:t>
            </w:r>
          </w:p>
        </w:tc>
        <w:tc>
          <w:tcPr>
            <w:tcW w:w="804" w:type="dxa"/>
            <w:noWrap w:val="0"/>
            <w:vAlign w:val="center"/>
          </w:tcPr>
          <w:p w14:paraId="113160E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47EF9BD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F095BF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1.由演示箱和摇把组成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2.演示箱为金属制，一面是纵波，另一面是横波，没面均有16个振子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3.外观尺寸570*205*265mm</w:t>
            </w:r>
          </w:p>
        </w:tc>
      </w:tr>
      <w:tr w14:paraId="493B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C79C19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148</w:t>
            </w:r>
          </w:p>
        </w:tc>
        <w:tc>
          <w:tcPr>
            <w:tcW w:w="1215" w:type="dxa"/>
            <w:noWrap w:val="0"/>
            <w:vAlign w:val="center"/>
          </w:tcPr>
          <w:p w14:paraId="3480031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绳波演示器</w:t>
            </w:r>
          </w:p>
        </w:tc>
        <w:tc>
          <w:tcPr>
            <w:tcW w:w="804" w:type="dxa"/>
            <w:noWrap w:val="0"/>
            <w:vAlign w:val="center"/>
          </w:tcPr>
          <w:p w14:paraId="21E43DF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B223C4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C959AA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1.由主机、钩码和线绳组成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2.可演示横波、行波、驻波、模拟偏振；幅度、振幅为数字化控制，精度1Hz，数码显示，可调范围0-9999Hz.。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3.振荡器由信号产生器推动喇叭振荡，数字显示；支架有刻度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4.外形尺寸1215*160*136mm</w:t>
            </w:r>
          </w:p>
        </w:tc>
      </w:tr>
      <w:tr w14:paraId="1BB9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C2863E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149</w:t>
            </w:r>
          </w:p>
        </w:tc>
        <w:tc>
          <w:tcPr>
            <w:tcW w:w="1215" w:type="dxa"/>
            <w:noWrap w:val="0"/>
            <w:vAlign w:val="center"/>
          </w:tcPr>
          <w:p w14:paraId="67C6DE6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波动弹簧</w:t>
            </w:r>
          </w:p>
        </w:tc>
        <w:tc>
          <w:tcPr>
            <w:tcW w:w="804" w:type="dxa"/>
            <w:noWrap w:val="0"/>
            <w:vAlign w:val="center"/>
          </w:tcPr>
          <w:p w14:paraId="45A7FE6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0E377C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4F0937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1.为扁钢丝弹簧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2.外径71mm,长80mm</w:t>
            </w:r>
          </w:p>
        </w:tc>
      </w:tr>
      <w:tr w14:paraId="07FC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4CBAA9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150</w:t>
            </w:r>
          </w:p>
        </w:tc>
        <w:tc>
          <w:tcPr>
            <w:tcW w:w="1215" w:type="dxa"/>
            <w:noWrap w:val="0"/>
            <w:vAlign w:val="center"/>
          </w:tcPr>
          <w:p w14:paraId="0171236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波动演示器</w:t>
            </w:r>
          </w:p>
        </w:tc>
        <w:tc>
          <w:tcPr>
            <w:tcW w:w="804" w:type="dxa"/>
            <w:noWrap w:val="0"/>
            <w:vAlign w:val="center"/>
          </w:tcPr>
          <w:p w14:paraId="35C17A8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5149FA1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BFF9EF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1.由演示箱和摇把组成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2.演示箱为金属制，一面是纵波，另一面是横波，没面均有16个振子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3.外观尺寸570*205*265mm</w:t>
            </w:r>
          </w:p>
        </w:tc>
      </w:tr>
      <w:tr w14:paraId="7A5A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CD5A6C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151</w:t>
            </w:r>
          </w:p>
        </w:tc>
        <w:tc>
          <w:tcPr>
            <w:tcW w:w="1215" w:type="dxa"/>
            <w:noWrap w:val="0"/>
            <w:vAlign w:val="center"/>
          </w:tcPr>
          <w:p w14:paraId="39B49F7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发波水槽</w:t>
            </w:r>
          </w:p>
        </w:tc>
        <w:tc>
          <w:tcPr>
            <w:tcW w:w="804" w:type="dxa"/>
            <w:noWrap w:val="0"/>
            <w:vAlign w:val="center"/>
          </w:tcPr>
          <w:p w14:paraId="4434AD1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2C0389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364CA9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1.由壳体、水槽、振动源、面板控制器、光源及附件等组成，波附件为：单振子、双振子、平面波振子及挡板2块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2.利用水波的投影显示波的形成、传播、反射、干涉和衍射等现象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3.频率0-9999Hz,连续可调；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4.外观尺寸：333*333*355mm</w:t>
            </w:r>
          </w:p>
        </w:tc>
      </w:tr>
      <w:tr w14:paraId="2D59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7FAD8B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152</w:t>
            </w:r>
          </w:p>
        </w:tc>
        <w:tc>
          <w:tcPr>
            <w:tcW w:w="1215" w:type="dxa"/>
            <w:noWrap w:val="0"/>
            <w:vAlign w:val="center"/>
          </w:tcPr>
          <w:p w14:paraId="483BFF1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发波水槽</w:t>
            </w:r>
          </w:p>
        </w:tc>
        <w:tc>
          <w:tcPr>
            <w:tcW w:w="804" w:type="dxa"/>
            <w:noWrap w:val="0"/>
            <w:vAlign w:val="center"/>
          </w:tcPr>
          <w:p w14:paraId="289B43D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DE9707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ADC63B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1.由振源、电源、水槽和调速旋钮等组成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2.水槽为透明有机玻璃制，可配合投影器投影</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3.振源工作电压DC3V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4.外观尺寸：330*280*32mm</w:t>
            </w:r>
          </w:p>
        </w:tc>
      </w:tr>
      <w:tr w14:paraId="0F1F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2741A2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153</w:t>
            </w:r>
          </w:p>
        </w:tc>
        <w:tc>
          <w:tcPr>
            <w:tcW w:w="1215" w:type="dxa"/>
            <w:noWrap w:val="0"/>
            <w:vAlign w:val="center"/>
          </w:tcPr>
          <w:p w14:paraId="118E520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弹簧振子</w:t>
            </w:r>
          </w:p>
        </w:tc>
        <w:tc>
          <w:tcPr>
            <w:tcW w:w="804" w:type="dxa"/>
            <w:noWrap w:val="0"/>
            <w:vAlign w:val="center"/>
          </w:tcPr>
          <w:p w14:paraId="2BFCF46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67E8ED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6D9A6F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1.由导轨、滑块、弹簧、刻度尺、进气管等组成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2.整体尺寸：298*98*100mm</w:t>
            </w:r>
          </w:p>
        </w:tc>
      </w:tr>
      <w:tr w14:paraId="78DC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542702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154</w:t>
            </w:r>
          </w:p>
        </w:tc>
        <w:tc>
          <w:tcPr>
            <w:tcW w:w="1215" w:type="dxa"/>
            <w:noWrap w:val="0"/>
            <w:vAlign w:val="center"/>
          </w:tcPr>
          <w:p w14:paraId="672966F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弹簧振子</w:t>
            </w:r>
          </w:p>
        </w:tc>
        <w:tc>
          <w:tcPr>
            <w:tcW w:w="804" w:type="dxa"/>
            <w:noWrap w:val="0"/>
            <w:vAlign w:val="center"/>
          </w:tcPr>
          <w:p w14:paraId="1133BC8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45D131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61D081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1.由底座、立杆、弹簧和标尺组成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2.底座尺寸：450*80mm,立杆长410mm</w:t>
            </w:r>
          </w:p>
        </w:tc>
      </w:tr>
      <w:tr w14:paraId="526A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22F7F4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155</w:t>
            </w:r>
          </w:p>
        </w:tc>
        <w:tc>
          <w:tcPr>
            <w:tcW w:w="1215" w:type="dxa"/>
            <w:noWrap w:val="0"/>
            <w:vAlign w:val="center"/>
          </w:tcPr>
          <w:p w14:paraId="57FA70D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弹簧振子振动图像描绘器</w:t>
            </w:r>
          </w:p>
        </w:tc>
        <w:tc>
          <w:tcPr>
            <w:tcW w:w="804" w:type="dxa"/>
            <w:noWrap w:val="0"/>
            <w:vAlign w:val="center"/>
          </w:tcPr>
          <w:p w14:paraId="1D3969D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6063A13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7669B4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1.由铝合框体、走纸装置、描迹纸、火花描迹器、气垫式弹簧振子等组成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2.气垫为有机玻璃，长220mm高40mm，排布均匀，11个1.2mm小孔；走纸装置用减速电机60转/秒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3.外观尺寸315*350*120mm</w:t>
            </w:r>
          </w:p>
        </w:tc>
      </w:tr>
      <w:tr w14:paraId="405E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CE048B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156</w:t>
            </w:r>
          </w:p>
        </w:tc>
        <w:tc>
          <w:tcPr>
            <w:tcW w:w="1215" w:type="dxa"/>
            <w:noWrap w:val="0"/>
            <w:vAlign w:val="center"/>
          </w:tcPr>
          <w:p w14:paraId="3015C75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简谐振动投影演示器</w:t>
            </w:r>
          </w:p>
        </w:tc>
        <w:tc>
          <w:tcPr>
            <w:tcW w:w="804" w:type="dxa"/>
            <w:noWrap w:val="0"/>
            <w:vAlign w:val="center"/>
          </w:tcPr>
          <w:p w14:paraId="627929D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256E4A2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F27D09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 xml:space="preserve">1.由铝合金框架、激光源、振动弹片及入射镜光屏、电机、反射镜及支架等组成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2.利用激光通过振动弹片反射镜投影在光屏上所形成正弦或余弦的规律变化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3.外形尺寸320*210*150mm</w:t>
            </w:r>
          </w:p>
        </w:tc>
      </w:tr>
      <w:tr w14:paraId="18C1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179191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157</w:t>
            </w:r>
          </w:p>
        </w:tc>
        <w:tc>
          <w:tcPr>
            <w:tcW w:w="1215" w:type="dxa"/>
            <w:noWrap w:val="0"/>
            <w:vAlign w:val="center"/>
          </w:tcPr>
          <w:p w14:paraId="0C8EFB8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匀速圆周运动投影器</w:t>
            </w:r>
          </w:p>
        </w:tc>
        <w:tc>
          <w:tcPr>
            <w:tcW w:w="804" w:type="dxa"/>
            <w:noWrap w:val="0"/>
            <w:vAlign w:val="center"/>
          </w:tcPr>
          <w:p w14:paraId="2728C07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23072F3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6ABFD4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1.由吊杆、指示灯、电磁铁、电磁铁开关、电机开关、电位器、单摆球、转盘、小球、电流插座、机箱等组成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2.用于演示质点作匀速圆周运动的投影式简谐运动外形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3.尺寸350*250*50mm</w:t>
            </w:r>
          </w:p>
        </w:tc>
      </w:tr>
      <w:tr w14:paraId="7DA7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DA8614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158</w:t>
            </w:r>
          </w:p>
        </w:tc>
        <w:tc>
          <w:tcPr>
            <w:tcW w:w="1215" w:type="dxa"/>
            <w:noWrap w:val="0"/>
            <w:vAlign w:val="center"/>
          </w:tcPr>
          <w:p w14:paraId="285711E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单摆组</w:t>
            </w:r>
          </w:p>
        </w:tc>
        <w:tc>
          <w:tcPr>
            <w:tcW w:w="804" w:type="dxa"/>
            <w:noWrap w:val="0"/>
            <w:vAlign w:val="center"/>
          </w:tcPr>
          <w:p w14:paraId="0D8DC13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组</w:t>
            </w:r>
          </w:p>
        </w:tc>
        <w:tc>
          <w:tcPr>
            <w:tcW w:w="765" w:type="dxa"/>
            <w:gridSpan w:val="2"/>
            <w:noWrap w:val="0"/>
            <w:vAlign w:val="center"/>
          </w:tcPr>
          <w:p w14:paraId="5CBCC07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60B6D00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1.由5个摆球和根摆线组成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2.五个摆球分别为Φ16带孔钢球 1 个，Φ20带孔钢球 1 个，Φ16带孔塑料球2个，Φ18带孔塑料球 1 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3.塑料盒包装。</w:t>
            </w:r>
          </w:p>
        </w:tc>
      </w:tr>
      <w:tr w14:paraId="276C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166F8F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159</w:t>
            </w:r>
          </w:p>
        </w:tc>
        <w:tc>
          <w:tcPr>
            <w:tcW w:w="1215" w:type="dxa"/>
            <w:noWrap w:val="0"/>
            <w:vAlign w:val="center"/>
          </w:tcPr>
          <w:p w14:paraId="5611ACA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单摆振动图像演示器</w:t>
            </w:r>
          </w:p>
        </w:tc>
        <w:tc>
          <w:tcPr>
            <w:tcW w:w="804" w:type="dxa"/>
            <w:noWrap w:val="0"/>
            <w:vAlign w:val="center"/>
          </w:tcPr>
          <w:p w14:paraId="1108C95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08BBE64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3139BF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1.由底座、单摆锤、立杆、电磁铁及电机等组成，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2.外观尺寸350*320*50mm</w:t>
            </w:r>
          </w:p>
        </w:tc>
      </w:tr>
      <w:tr w14:paraId="5C14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FC4C4A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160</w:t>
            </w:r>
          </w:p>
        </w:tc>
        <w:tc>
          <w:tcPr>
            <w:tcW w:w="1215" w:type="dxa"/>
            <w:noWrap w:val="0"/>
            <w:vAlign w:val="center"/>
          </w:tcPr>
          <w:p w14:paraId="64AF9C2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单摆运动规律演示器</w:t>
            </w:r>
          </w:p>
        </w:tc>
        <w:tc>
          <w:tcPr>
            <w:tcW w:w="804" w:type="dxa"/>
            <w:noWrap w:val="0"/>
            <w:vAlign w:val="center"/>
          </w:tcPr>
          <w:p w14:paraId="4441AC2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05FCDDC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7D15CF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1.由圆盘座、立柱、横杆、偏角标尺、偏角指针、摆球、空腔摆球、光电门、摆线等组成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2.圆盘座带调平螺钉；上标尺有0～20°偏角标尺，下标尺有0～10°偏角标尺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3.底座直径250mm</w:t>
            </w:r>
          </w:p>
        </w:tc>
      </w:tr>
      <w:tr w14:paraId="3E22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32D2C3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161</w:t>
            </w:r>
          </w:p>
        </w:tc>
        <w:tc>
          <w:tcPr>
            <w:tcW w:w="1215" w:type="dxa"/>
            <w:noWrap w:val="0"/>
            <w:vAlign w:val="center"/>
          </w:tcPr>
          <w:p w14:paraId="603249A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受迫振动和共振演示器</w:t>
            </w:r>
          </w:p>
        </w:tc>
        <w:tc>
          <w:tcPr>
            <w:tcW w:w="804" w:type="dxa"/>
            <w:noWrap w:val="0"/>
            <w:vAlign w:val="center"/>
          </w:tcPr>
          <w:p w14:paraId="0B52215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36AD9CD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6FBA10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1.由支架和5个摆长不等的塑料球、策动摆等组成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2.塑料球直径28mm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3.支架为塑钢制，尺寸为425*200*468mm</w:t>
            </w:r>
          </w:p>
        </w:tc>
      </w:tr>
      <w:tr w14:paraId="5878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EDDA65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162</w:t>
            </w:r>
          </w:p>
        </w:tc>
        <w:tc>
          <w:tcPr>
            <w:tcW w:w="1215" w:type="dxa"/>
            <w:noWrap w:val="0"/>
            <w:vAlign w:val="center"/>
          </w:tcPr>
          <w:p w14:paraId="1B3783B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共振演示器</w:t>
            </w:r>
          </w:p>
        </w:tc>
        <w:tc>
          <w:tcPr>
            <w:tcW w:w="804" w:type="dxa"/>
            <w:noWrap w:val="0"/>
            <w:vAlign w:val="center"/>
          </w:tcPr>
          <w:p w14:paraId="710EAAA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3076554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6E0C3D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1.由电机、偏心轮、振子、弹簧、支架等组成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2.工作电压：DC14V～16V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3.尺寸400*200*350mm</w:t>
            </w:r>
          </w:p>
        </w:tc>
      </w:tr>
      <w:tr w14:paraId="45E11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20E8E4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163</w:t>
            </w:r>
          </w:p>
        </w:tc>
        <w:tc>
          <w:tcPr>
            <w:tcW w:w="1215" w:type="dxa"/>
            <w:noWrap w:val="0"/>
            <w:vAlign w:val="center"/>
          </w:tcPr>
          <w:p w14:paraId="3D89B19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内聚力演示器</w:t>
            </w:r>
          </w:p>
        </w:tc>
        <w:tc>
          <w:tcPr>
            <w:tcW w:w="804" w:type="dxa"/>
            <w:noWrap w:val="0"/>
            <w:vAlign w:val="center"/>
          </w:tcPr>
          <w:p w14:paraId="5404893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8F5DFD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12A2DC4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1.由带挂钩的铅块和刮削器组成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2.铅块长50mm</w:t>
            </w:r>
          </w:p>
        </w:tc>
      </w:tr>
      <w:tr w14:paraId="0B1C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F96DB2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164</w:t>
            </w:r>
          </w:p>
        </w:tc>
        <w:tc>
          <w:tcPr>
            <w:tcW w:w="1215" w:type="dxa"/>
            <w:noWrap w:val="0"/>
            <w:vAlign w:val="center"/>
          </w:tcPr>
          <w:p w14:paraId="5B3DFC1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空气压缩引火仪</w:t>
            </w:r>
          </w:p>
        </w:tc>
        <w:tc>
          <w:tcPr>
            <w:tcW w:w="804" w:type="dxa"/>
            <w:noWrap w:val="0"/>
            <w:vAlign w:val="center"/>
          </w:tcPr>
          <w:p w14:paraId="37E82DF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FD2D8B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07A764A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1.由手柄、连杆、端盖、密封圈、螺母、气缸和底座组成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2.底座直径60mm,气缸高160mm</w:t>
            </w:r>
          </w:p>
        </w:tc>
      </w:tr>
      <w:tr w14:paraId="733B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492754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165</w:t>
            </w:r>
          </w:p>
        </w:tc>
        <w:tc>
          <w:tcPr>
            <w:tcW w:w="1215" w:type="dxa"/>
            <w:noWrap w:val="0"/>
            <w:vAlign w:val="center"/>
          </w:tcPr>
          <w:p w14:paraId="73F3471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双金属片</w:t>
            </w:r>
          </w:p>
        </w:tc>
        <w:tc>
          <w:tcPr>
            <w:tcW w:w="804" w:type="dxa"/>
            <w:noWrap w:val="0"/>
            <w:vAlign w:val="center"/>
          </w:tcPr>
          <w:p w14:paraId="462B12C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457AFC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F5C0CF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1.由手柄和双金属片组成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2.双金属片的尺寸为：196*14</w:t>
            </w:r>
          </w:p>
        </w:tc>
      </w:tr>
      <w:tr w14:paraId="057E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882122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166</w:t>
            </w:r>
          </w:p>
        </w:tc>
        <w:tc>
          <w:tcPr>
            <w:tcW w:w="1215" w:type="dxa"/>
            <w:noWrap w:val="0"/>
            <w:vAlign w:val="center"/>
          </w:tcPr>
          <w:p w14:paraId="230EC75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气体做功内能减少演示器</w:t>
            </w:r>
          </w:p>
        </w:tc>
        <w:tc>
          <w:tcPr>
            <w:tcW w:w="804" w:type="dxa"/>
            <w:noWrap w:val="0"/>
            <w:vAlign w:val="center"/>
          </w:tcPr>
          <w:p w14:paraId="64D73B4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385AEA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120CBA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1.由底座、背景板、透明圆筒、胶塞、酒精槽、橡皮管组成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2.透明圆筒尺寸φ：66*145mm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3.底板尺寸：215*130mm</w:t>
            </w:r>
          </w:p>
        </w:tc>
      </w:tr>
      <w:tr w14:paraId="27A1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130ADE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167</w:t>
            </w:r>
          </w:p>
        </w:tc>
        <w:tc>
          <w:tcPr>
            <w:tcW w:w="1215" w:type="dxa"/>
            <w:noWrap w:val="0"/>
            <w:vAlign w:val="center"/>
          </w:tcPr>
          <w:p w14:paraId="52CC977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纸盆扬声器</w:t>
            </w:r>
          </w:p>
        </w:tc>
        <w:tc>
          <w:tcPr>
            <w:tcW w:w="804" w:type="dxa"/>
            <w:noWrap w:val="0"/>
            <w:vAlign w:val="center"/>
          </w:tcPr>
          <w:p w14:paraId="40B0BBB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7AE9B24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DF0F1A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1.为纸盘喇叭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 φ210*75mm</w:t>
            </w:r>
          </w:p>
        </w:tc>
      </w:tr>
      <w:tr w14:paraId="6987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9F283A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168</w:t>
            </w:r>
          </w:p>
        </w:tc>
        <w:tc>
          <w:tcPr>
            <w:tcW w:w="1215" w:type="dxa"/>
            <w:noWrap w:val="0"/>
            <w:vAlign w:val="center"/>
          </w:tcPr>
          <w:p w14:paraId="483C5C4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油膜实验器</w:t>
            </w:r>
          </w:p>
        </w:tc>
        <w:tc>
          <w:tcPr>
            <w:tcW w:w="804" w:type="dxa"/>
            <w:noWrap w:val="0"/>
            <w:vAlign w:val="center"/>
          </w:tcPr>
          <w:p w14:paraId="72567B9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76271C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78F4BB1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1.由托盘、盖板、注射器、滴管等组成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2.托盘为金属制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3.盖板为透明有机玻璃制，上印有方形小格</w:t>
            </w:r>
          </w:p>
        </w:tc>
      </w:tr>
      <w:tr w14:paraId="51A1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FB7EBF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169</w:t>
            </w:r>
          </w:p>
        </w:tc>
        <w:tc>
          <w:tcPr>
            <w:tcW w:w="1215" w:type="dxa"/>
            <w:noWrap w:val="0"/>
            <w:vAlign w:val="center"/>
          </w:tcPr>
          <w:p w14:paraId="2E7BA8C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侵润和不侵润现象演示器</w:t>
            </w:r>
          </w:p>
        </w:tc>
        <w:tc>
          <w:tcPr>
            <w:tcW w:w="804" w:type="dxa"/>
            <w:noWrap w:val="0"/>
            <w:vAlign w:val="center"/>
          </w:tcPr>
          <w:p w14:paraId="290162C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7F4C6C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3A4419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1.由透明塑料槽、滴管和玻璃片组成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2.玻璃片有2块，一块涂蜡，一块不涂蜡</w:t>
            </w:r>
          </w:p>
        </w:tc>
      </w:tr>
      <w:tr w14:paraId="67AF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0F0FD5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170</w:t>
            </w:r>
          </w:p>
        </w:tc>
        <w:tc>
          <w:tcPr>
            <w:tcW w:w="1215" w:type="dxa"/>
            <w:noWrap w:val="0"/>
            <w:vAlign w:val="center"/>
          </w:tcPr>
          <w:p w14:paraId="5128EDB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液体表面张力演示器</w:t>
            </w:r>
          </w:p>
        </w:tc>
        <w:tc>
          <w:tcPr>
            <w:tcW w:w="804" w:type="dxa"/>
            <w:noWrap w:val="0"/>
            <w:vAlign w:val="center"/>
          </w:tcPr>
          <w:p w14:paraId="08F81BE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B39E7D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B9DEC9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1.由半球环、双环、棉线环、棉线圈环、金属框架、钢丝圈等组成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2.圈环直径40mm,长133mm；金属框架边长40mm,长140mm</w:t>
            </w:r>
          </w:p>
        </w:tc>
      </w:tr>
      <w:tr w14:paraId="007F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F6B81A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171</w:t>
            </w:r>
          </w:p>
        </w:tc>
        <w:tc>
          <w:tcPr>
            <w:tcW w:w="1215" w:type="dxa"/>
            <w:noWrap w:val="0"/>
            <w:vAlign w:val="center"/>
          </w:tcPr>
          <w:p w14:paraId="62CA423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液体表面张力实验器</w:t>
            </w:r>
          </w:p>
        </w:tc>
        <w:tc>
          <w:tcPr>
            <w:tcW w:w="804" w:type="dxa"/>
            <w:noWrap w:val="0"/>
            <w:vAlign w:val="center"/>
          </w:tcPr>
          <w:p w14:paraId="4C3C97B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364D2E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0F3E592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1.由半球环、双环、棉线环、棉线圈环、金属框架、钢丝圈等组成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2.圈环直径40mm,长133mm；金属框架边长40mm,长140mm</w:t>
            </w:r>
          </w:p>
        </w:tc>
      </w:tr>
      <w:tr w14:paraId="0C0B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55C192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172</w:t>
            </w:r>
          </w:p>
        </w:tc>
        <w:tc>
          <w:tcPr>
            <w:tcW w:w="1215" w:type="dxa"/>
            <w:noWrap w:val="0"/>
            <w:vAlign w:val="center"/>
          </w:tcPr>
          <w:p w14:paraId="71A678F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毛细现象演示器</w:t>
            </w:r>
          </w:p>
        </w:tc>
        <w:tc>
          <w:tcPr>
            <w:tcW w:w="804" w:type="dxa"/>
            <w:noWrap w:val="0"/>
            <w:vAlign w:val="center"/>
          </w:tcPr>
          <w:p w14:paraId="6D857F7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FD9ABB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59C7D5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1.由水槽、支架和玻璃管组成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2.玻璃管共5根，长140mm,内径各不相同</w:t>
            </w:r>
          </w:p>
        </w:tc>
      </w:tr>
      <w:tr w14:paraId="5C1D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FF6DA9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173</w:t>
            </w:r>
          </w:p>
        </w:tc>
        <w:tc>
          <w:tcPr>
            <w:tcW w:w="1215" w:type="dxa"/>
            <w:noWrap w:val="0"/>
            <w:vAlign w:val="center"/>
          </w:tcPr>
          <w:p w14:paraId="67792AC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伽尔顿板(道尔顿板)</w:t>
            </w:r>
          </w:p>
        </w:tc>
        <w:tc>
          <w:tcPr>
            <w:tcW w:w="804" w:type="dxa"/>
            <w:noWrap w:val="0"/>
            <w:vAlign w:val="center"/>
          </w:tcPr>
          <w:p w14:paraId="458DAE6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1A792CC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FFCBD8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1.由有机玻璃板、阵列钉子、V型槽、插板、狭槽等组成。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2.有机玻璃厚度3mm，小球直径6mm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3.尺寸420*30*318mm</w:t>
            </w:r>
          </w:p>
        </w:tc>
      </w:tr>
      <w:tr w14:paraId="5E28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EB8AD6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174</w:t>
            </w:r>
          </w:p>
        </w:tc>
        <w:tc>
          <w:tcPr>
            <w:tcW w:w="1215" w:type="dxa"/>
            <w:noWrap w:val="0"/>
            <w:vAlign w:val="center"/>
          </w:tcPr>
          <w:p w14:paraId="087BB09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气体定律实验器</w:t>
            </w:r>
          </w:p>
        </w:tc>
        <w:tc>
          <w:tcPr>
            <w:tcW w:w="804" w:type="dxa"/>
            <w:noWrap w:val="0"/>
            <w:vAlign w:val="center"/>
          </w:tcPr>
          <w:p w14:paraId="7D17707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F6FD9C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6F81A11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1.由注射器、胶帽和底座等组成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2.为塑料制，外观尺寸：80*45*30mm</w:t>
            </w:r>
          </w:p>
        </w:tc>
      </w:tr>
      <w:tr w14:paraId="06F2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DB27DF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175</w:t>
            </w:r>
          </w:p>
        </w:tc>
        <w:tc>
          <w:tcPr>
            <w:tcW w:w="1215" w:type="dxa"/>
            <w:noWrap w:val="0"/>
            <w:vAlign w:val="center"/>
          </w:tcPr>
          <w:p w14:paraId="4CF20AE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玻意耳定律演示器</w:t>
            </w:r>
          </w:p>
        </w:tc>
        <w:tc>
          <w:tcPr>
            <w:tcW w:w="804" w:type="dxa"/>
            <w:noWrap w:val="0"/>
            <w:vAlign w:val="center"/>
          </w:tcPr>
          <w:p w14:paraId="3599F10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FB5272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507E56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 xml:space="preserve">1.由带刻度气室、压力表、放气阀、底座等组成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2.外形尺寸284*125*180mm</w:t>
            </w:r>
          </w:p>
        </w:tc>
      </w:tr>
      <w:tr w14:paraId="24DF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EF2278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176</w:t>
            </w:r>
          </w:p>
        </w:tc>
        <w:tc>
          <w:tcPr>
            <w:tcW w:w="1215" w:type="dxa"/>
            <w:noWrap w:val="0"/>
            <w:vAlign w:val="center"/>
          </w:tcPr>
          <w:p w14:paraId="5462DF8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盖·吕萨克定律演示器</w:t>
            </w:r>
          </w:p>
        </w:tc>
        <w:tc>
          <w:tcPr>
            <w:tcW w:w="804" w:type="dxa"/>
            <w:noWrap w:val="0"/>
            <w:vAlign w:val="center"/>
          </w:tcPr>
          <w:p w14:paraId="5438516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C61DF4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3D8169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1.仪器由尺度板、玻璃管、橡皮塞、烧瓶、温度计、支脚、胶头滴管等组成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2.尺度板为铁质喷塑，外形尺寸：528*92*20mm</w:t>
            </w:r>
          </w:p>
        </w:tc>
      </w:tr>
      <w:tr w14:paraId="1145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87C819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177</w:t>
            </w:r>
          </w:p>
        </w:tc>
        <w:tc>
          <w:tcPr>
            <w:tcW w:w="1215" w:type="dxa"/>
            <w:noWrap w:val="0"/>
            <w:vAlign w:val="center"/>
          </w:tcPr>
          <w:p w14:paraId="3C30C60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气压模拟演示器</w:t>
            </w:r>
          </w:p>
        </w:tc>
        <w:tc>
          <w:tcPr>
            <w:tcW w:w="804" w:type="dxa"/>
            <w:noWrap w:val="0"/>
            <w:vAlign w:val="center"/>
          </w:tcPr>
          <w:p w14:paraId="2489A83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647741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CDDF1B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1.用于解释气压微观，由底座、电源接线柱、旋钮、开关、演示筒等组成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2.演示筒为透明塑料，尺寸：φ105*150</w:t>
            </w:r>
          </w:p>
        </w:tc>
      </w:tr>
      <w:tr w14:paraId="207C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00D6D1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178</w:t>
            </w:r>
          </w:p>
        </w:tc>
        <w:tc>
          <w:tcPr>
            <w:tcW w:w="1215" w:type="dxa"/>
            <w:noWrap w:val="0"/>
            <w:vAlign w:val="center"/>
          </w:tcPr>
          <w:p w14:paraId="7364CAE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饱和水汽膨胀液化演示器</w:t>
            </w:r>
          </w:p>
        </w:tc>
        <w:tc>
          <w:tcPr>
            <w:tcW w:w="804" w:type="dxa"/>
            <w:noWrap w:val="0"/>
            <w:vAlign w:val="center"/>
          </w:tcPr>
          <w:p w14:paraId="191ECB5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206865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17B9E6F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1.由打气筒、储气瓶、转能堵头、转能堵孔堵头固定棒等组成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2.外形尺寸 285*125*115mm</w:t>
            </w:r>
          </w:p>
        </w:tc>
      </w:tr>
      <w:tr w14:paraId="1C7B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8CBA5E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179</w:t>
            </w:r>
          </w:p>
        </w:tc>
        <w:tc>
          <w:tcPr>
            <w:tcW w:w="1215" w:type="dxa"/>
            <w:noWrap w:val="0"/>
            <w:vAlign w:val="center"/>
          </w:tcPr>
          <w:p w14:paraId="14DE265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玻棒(附丝绸)</w:t>
            </w:r>
          </w:p>
        </w:tc>
        <w:tc>
          <w:tcPr>
            <w:tcW w:w="804" w:type="dxa"/>
            <w:noWrap w:val="0"/>
            <w:vAlign w:val="center"/>
          </w:tcPr>
          <w:p w14:paraId="235D2EC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对</w:t>
            </w:r>
          </w:p>
        </w:tc>
        <w:tc>
          <w:tcPr>
            <w:tcW w:w="765" w:type="dxa"/>
            <w:gridSpan w:val="2"/>
            <w:noWrap w:val="0"/>
            <w:vAlign w:val="center"/>
          </w:tcPr>
          <w:p w14:paraId="16DFC99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06E8C5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1.由两根有机玻璃棒和一块丝绸组成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2.玻璃棒长度为30cm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3.带电后使箔片验电器张开角度不小于45度</w:t>
            </w:r>
          </w:p>
        </w:tc>
      </w:tr>
      <w:tr w14:paraId="73E3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50770C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180</w:t>
            </w:r>
          </w:p>
        </w:tc>
        <w:tc>
          <w:tcPr>
            <w:tcW w:w="1215" w:type="dxa"/>
            <w:noWrap w:val="0"/>
            <w:vAlign w:val="center"/>
          </w:tcPr>
          <w:p w14:paraId="3E09D09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胶棒(附毛皮)</w:t>
            </w:r>
          </w:p>
        </w:tc>
        <w:tc>
          <w:tcPr>
            <w:tcW w:w="804" w:type="dxa"/>
            <w:noWrap w:val="0"/>
            <w:vAlign w:val="center"/>
          </w:tcPr>
          <w:p w14:paraId="57BA54A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对</w:t>
            </w:r>
          </w:p>
        </w:tc>
        <w:tc>
          <w:tcPr>
            <w:tcW w:w="765" w:type="dxa"/>
            <w:gridSpan w:val="2"/>
            <w:noWrap w:val="0"/>
            <w:vAlign w:val="center"/>
          </w:tcPr>
          <w:p w14:paraId="60E14B5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EB36D1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1.由两根胶棒和一块丝绸组成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2.胶棒长度为30cm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3.带电后使箔片验电器张开角度不小于45度</w:t>
            </w:r>
          </w:p>
        </w:tc>
      </w:tr>
      <w:tr w14:paraId="1DBF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2252BB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181</w:t>
            </w:r>
          </w:p>
        </w:tc>
        <w:tc>
          <w:tcPr>
            <w:tcW w:w="1215" w:type="dxa"/>
            <w:noWrap w:val="0"/>
            <w:vAlign w:val="center"/>
          </w:tcPr>
          <w:p w14:paraId="2D5B19C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箔片验电器</w:t>
            </w:r>
          </w:p>
        </w:tc>
        <w:tc>
          <w:tcPr>
            <w:tcW w:w="804" w:type="dxa"/>
            <w:noWrap w:val="0"/>
            <w:vAlign w:val="center"/>
          </w:tcPr>
          <w:p w14:paraId="5573158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对</w:t>
            </w:r>
          </w:p>
        </w:tc>
        <w:tc>
          <w:tcPr>
            <w:tcW w:w="765" w:type="dxa"/>
            <w:gridSpan w:val="2"/>
            <w:noWrap w:val="0"/>
            <w:vAlign w:val="center"/>
          </w:tcPr>
          <w:p w14:paraId="6C9BED7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142752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1.由底座、外壳、 绝缘套筒、金属杆、集电板、箔片和刻度板组成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2.底座尺寸：115*73mm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3.透明外壳尺寸：86*43*86mm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4.每套两只</w:t>
            </w:r>
          </w:p>
        </w:tc>
      </w:tr>
      <w:tr w14:paraId="582F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D167BA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182</w:t>
            </w:r>
          </w:p>
        </w:tc>
        <w:tc>
          <w:tcPr>
            <w:tcW w:w="1215" w:type="dxa"/>
            <w:noWrap w:val="0"/>
            <w:vAlign w:val="center"/>
          </w:tcPr>
          <w:p w14:paraId="67BA141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箔片验电器</w:t>
            </w:r>
          </w:p>
        </w:tc>
        <w:tc>
          <w:tcPr>
            <w:tcW w:w="804" w:type="dxa"/>
            <w:noWrap w:val="0"/>
            <w:vAlign w:val="center"/>
          </w:tcPr>
          <w:p w14:paraId="05C5143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对</w:t>
            </w:r>
          </w:p>
        </w:tc>
        <w:tc>
          <w:tcPr>
            <w:tcW w:w="765" w:type="dxa"/>
            <w:gridSpan w:val="2"/>
            <w:noWrap w:val="0"/>
            <w:vAlign w:val="center"/>
          </w:tcPr>
          <w:p w14:paraId="6F7B1DC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558A32B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1.由透明容器、金属杆和箔片组成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2.透明容器尺寸：50*30*63mm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3.每套2个</w:t>
            </w:r>
          </w:p>
        </w:tc>
      </w:tr>
      <w:tr w14:paraId="23C9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76B367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183</w:t>
            </w:r>
          </w:p>
        </w:tc>
        <w:tc>
          <w:tcPr>
            <w:tcW w:w="1215" w:type="dxa"/>
            <w:noWrap w:val="0"/>
            <w:vAlign w:val="center"/>
          </w:tcPr>
          <w:p w14:paraId="407665E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指针验电器</w:t>
            </w:r>
          </w:p>
        </w:tc>
        <w:tc>
          <w:tcPr>
            <w:tcW w:w="804" w:type="dxa"/>
            <w:noWrap w:val="0"/>
            <w:vAlign w:val="center"/>
          </w:tcPr>
          <w:p w14:paraId="43AC7AD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对</w:t>
            </w:r>
          </w:p>
        </w:tc>
        <w:tc>
          <w:tcPr>
            <w:tcW w:w="765" w:type="dxa"/>
            <w:gridSpan w:val="2"/>
            <w:noWrap w:val="0"/>
            <w:vAlign w:val="center"/>
          </w:tcPr>
          <w:p w14:paraId="31EAE4D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B661B5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1.由底座、金属圆筒、绝缘套筒、金属杆、指针架、指针、接线柱等组成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2.每套有2只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3.底座直径106mm,金属圆筒直径192mm,两面有透明玻璃</w:t>
            </w:r>
          </w:p>
        </w:tc>
      </w:tr>
      <w:tr w14:paraId="346D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6FAB15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184</w:t>
            </w:r>
          </w:p>
        </w:tc>
        <w:tc>
          <w:tcPr>
            <w:tcW w:w="1215" w:type="dxa"/>
            <w:noWrap w:val="0"/>
            <w:vAlign w:val="center"/>
          </w:tcPr>
          <w:p w14:paraId="3719325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感应起电机</w:t>
            </w:r>
          </w:p>
        </w:tc>
        <w:tc>
          <w:tcPr>
            <w:tcW w:w="804" w:type="dxa"/>
            <w:noWrap w:val="0"/>
            <w:vAlign w:val="center"/>
          </w:tcPr>
          <w:p w14:paraId="4A17CD5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213AAD9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D54D32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1.由底座、莱顿瓶、支架、放电叉绝缘柄、集电杆、放电叉杆、导电层、中和电刷、电刷杆、上轴及螺钉、莱顿瓶盖、导电弹簧、大皮带轮、连接片等组成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2.底座尺寸290*185mm，圆盘直径210mm</w:t>
            </w:r>
          </w:p>
        </w:tc>
      </w:tr>
      <w:tr w14:paraId="7A65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89F18D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185</w:t>
            </w:r>
          </w:p>
        </w:tc>
        <w:tc>
          <w:tcPr>
            <w:tcW w:w="1215" w:type="dxa"/>
            <w:noWrap w:val="0"/>
            <w:vAlign w:val="center"/>
          </w:tcPr>
          <w:p w14:paraId="2D914D9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枕形导体</w:t>
            </w:r>
          </w:p>
        </w:tc>
        <w:tc>
          <w:tcPr>
            <w:tcW w:w="804" w:type="dxa"/>
            <w:noWrap w:val="0"/>
            <w:vAlign w:val="center"/>
          </w:tcPr>
          <w:p w14:paraId="7741372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副</w:t>
            </w:r>
          </w:p>
        </w:tc>
        <w:tc>
          <w:tcPr>
            <w:tcW w:w="765" w:type="dxa"/>
            <w:gridSpan w:val="2"/>
            <w:noWrap w:val="0"/>
            <w:vAlign w:val="center"/>
          </w:tcPr>
          <w:p w14:paraId="497937F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C50B70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1.有导体、绝缘立柱、底座组成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2.导体直径60mm,长度86mm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3.枕形导体总高177mm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4.每套2个</w:t>
            </w:r>
          </w:p>
        </w:tc>
      </w:tr>
      <w:tr w14:paraId="69DB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5E3515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186</w:t>
            </w:r>
          </w:p>
        </w:tc>
        <w:tc>
          <w:tcPr>
            <w:tcW w:w="1215" w:type="dxa"/>
            <w:noWrap w:val="0"/>
            <w:vAlign w:val="center"/>
          </w:tcPr>
          <w:p w14:paraId="371B95E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小灯座</w:t>
            </w:r>
          </w:p>
        </w:tc>
        <w:tc>
          <w:tcPr>
            <w:tcW w:w="804" w:type="dxa"/>
            <w:noWrap w:val="0"/>
            <w:vAlign w:val="center"/>
          </w:tcPr>
          <w:p w14:paraId="1793224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4C2FC3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40</w:t>
            </w:r>
          </w:p>
        </w:tc>
        <w:tc>
          <w:tcPr>
            <w:tcW w:w="6351" w:type="dxa"/>
            <w:noWrap w:val="0"/>
            <w:vAlign w:val="center"/>
          </w:tcPr>
          <w:p w14:paraId="4131651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1.由底座、接线柱、灯座、连接片组成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2.底座尺寸：73*24*10mm</w:t>
            </w:r>
          </w:p>
        </w:tc>
      </w:tr>
      <w:tr w14:paraId="2036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2C74C7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187</w:t>
            </w:r>
          </w:p>
        </w:tc>
        <w:tc>
          <w:tcPr>
            <w:tcW w:w="1215" w:type="dxa"/>
            <w:noWrap w:val="0"/>
            <w:vAlign w:val="center"/>
          </w:tcPr>
          <w:p w14:paraId="6A36879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单刀开关</w:t>
            </w:r>
          </w:p>
        </w:tc>
        <w:tc>
          <w:tcPr>
            <w:tcW w:w="804" w:type="dxa"/>
            <w:noWrap w:val="0"/>
            <w:vAlign w:val="center"/>
          </w:tcPr>
          <w:p w14:paraId="086B1CF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632590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14</w:t>
            </w:r>
          </w:p>
        </w:tc>
        <w:tc>
          <w:tcPr>
            <w:tcW w:w="6351" w:type="dxa"/>
            <w:noWrap w:val="0"/>
            <w:vAlign w:val="center"/>
          </w:tcPr>
          <w:p w14:paraId="73C1383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1.由底座、接线柱、闸刀、闸刀座、连接片组成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2.底座尺寸：73*24*10mm</w:t>
            </w:r>
          </w:p>
        </w:tc>
      </w:tr>
      <w:tr w14:paraId="2FE2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475E76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188</w:t>
            </w:r>
          </w:p>
        </w:tc>
        <w:tc>
          <w:tcPr>
            <w:tcW w:w="1215" w:type="dxa"/>
            <w:noWrap w:val="0"/>
            <w:vAlign w:val="center"/>
          </w:tcPr>
          <w:p w14:paraId="17F75D1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滑动变阻器</w:t>
            </w:r>
          </w:p>
        </w:tc>
        <w:tc>
          <w:tcPr>
            <w:tcW w:w="804" w:type="dxa"/>
            <w:noWrap w:val="0"/>
            <w:vAlign w:val="center"/>
          </w:tcPr>
          <w:p w14:paraId="69A520D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EC6020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695C3C4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1.由支架、滑竿、铜线、瓷管、滑头、接线柱等组成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2.规格：20Ω，2A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3.支架为铁制，滑竿为6mm六角型</w:t>
            </w:r>
          </w:p>
        </w:tc>
      </w:tr>
      <w:tr w14:paraId="5E40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DF6A10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189</w:t>
            </w:r>
          </w:p>
        </w:tc>
        <w:tc>
          <w:tcPr>
            <w:tcW w:w="1215" w:type="dxa"/>
            <w:noWrap w:val="0"/>
            <w:vAlign w:val="center"/>
          </w:tcPr>
          <w:p w14:paraId="3321BE9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滑动变阻器</w:t>
            </w:r>
          </w:p>
        </w:tc>
        <w:tc>
          <w:tcPr>
            <w:tcW w:w="804" w:type="dxa"/>
            <w:noWrap w:val="0"/>
            <w:vAlign w:val="center"/>
          </w:tcPr>
          <w:p w14:paraId="4264CA3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7571FA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733DDEE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1.由支架、滑竿、铜线、瓷管、滑头、接线柱等组成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2.规格：50Ω，1.5A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3.支架为铁制，滑竿为6mm六角型</w:t>
            </w:r>
          </w:p>
        </w:tc>
      </w:tr>
      <w:tr w14:paraId="0381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1AAA90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190</w:t>
            </w:r>
          </w:p>
        </w:tc>
        <w:tc>
          <w:tcPr>
            <w:tcW w:w="1215" w:type="dxa"/>
            <w:noWrap w:val="0"/>
            <w:vAlign w:val="center"/>
          </w:tcPr>
          <w:p w14:paraId="40A5313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滑动变阻器</w:t>
            </w:r>
          </w:p>
        </w:tc>
        <w:tc>
          <w:tcPr>
            <w:tcW w:w="804" w:type="dxa"/>
            <w:noWrap w:val="0"/>
            <w:vAlign w:val="center"/>
          </w:tcPr>
          <w:p w14:paraId="29541D5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ABF470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2C090C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1.由支架、滑竿、铜线、瓷管、滑头、接线柱等组成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2.规格：200Ω，1.25A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3.支架为铁制，滑竿为6mm六角型</w:t>
            </w:r>
          </w:p>
        </w:tc>
      </w:tr>
      <w:tr w14:paraId="094D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FB210F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191</w:t>
            </w:r>
          </w:p>
        </w:tc>
        <w:tc>
          <w:tcPr>
            <w:tcW w:w="1215" w:type="dxa"/>
            <w:noWrap w:val="0"/>
            <w:vAlign w:val="center"/>
          </w:tcPr>
          <w:p w14:paraId="2CEDEBC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电阻定律演示器</w:t>
            </w:r>
          </w:p>
        </w:tc>
        <w:tc>
          <w:tcPr>
            <w:tcW w:w="804" w:type="dxa"/>
            <w:noWrap w:val="0"/>
            <w:vAlign w:val="center"/>
          </w:tcPr>
          <w:p w14:paraId="210B446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7BA02AD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FEA84F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1.由底板、接线柱和金属丝组成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2.底板为木质，尺寸：795*118*14mm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3.金属丝共四根，铜丝和铁丝各1根，镍铬丝2根</w:t>
            </w:r>
          </w:p>
        </w:tc>
      </w:tr>
      <w:tr w14:paraId="55BD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551EA7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192</w:t>
            </w:r>
          </w:p>
        </w:tc>
        <w:tc>
          <w:tcPr>
            <w:tcW w:w="1215" w:type="dxa"/>
            <w:noWrap w:val="0"/>
            <w:vAlign w:val="center"/>
          </w:tcPr>
          <w:p w14:paraId="49C0E2E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电阻定律实验器</w:t>
            </w:r>
          </w:p>
        </w:tc>
        <w:tc>
          <w:tcPr>
            <w:tcW w:w="804" w:type="dxa"/>
            <w:noWrap w:val="0"/>
            <w:vAlign w:val="center"/>
          </w:tcPr>
          <w:p w14:paraId="00AC73C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65F5EF5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6E48CED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1.由底板、接线柱和金属丝组成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2.底板为木质，尺寸：545*108*14mm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3.金属丝共四根，铜丝和铁丝各1根，镍铬丝2根</w:t>
            </w:r>
          </w:p>
        </w:tc>
      </w:tr>
      <w:tr w14:paraId="4F20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872D16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193</w:t>
            </w:r>
          </w:p>
        </w:tc>
        <w:tc>
          <w:tcPr>
            <w:tcW w:w="1215" w:type="dxa"/>
            <w:noWrap w:val="0"/>
            <w:vAlign w:val="center"/>
          </w:tcPr>
          <w:p w14:paraId="17D9B74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演示线路实验板</w:t>
            </w:r>
          </w:p>
        </w:tc>
        <w:tc>
          <w:tcPr>
            <w:tcW w:w="804" w:type="dxa"/>
            <w:noWrap w:val="0"/>
            <w:vAlign w:val="center"/>
          </w:tcPr>
          <w:p w14:paraId="0D86F95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101C10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1DA5EC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1.由单刀开关2只、单刀双掷开关2只、电池盒座6只、指示灯2只、线绕电阻4只、金属膜电阻3只、电位器3只、二极管6只、三极管2只、可变电容器  1只、金属膜电容器2只、苯烯电容器1只、电解电容器5只、线圈连磁棒1付、电感1只、A表符号3只、V表符号3只、空位2只、扬声器1只、功放板1块、发光二极管1只、接线柱座6只、线路板6块、三角板6块、压紧螺杆2根、压钩2根、压杆2根、吊环5只、开口销钉20只、小接插座60只、电珠9只、电阻丝3只、接线夹2只、线路图1张、说明书1本、合格证1张、仪器箱2只、双头线30根、叉头线18根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2.为插孔式，插孔板6张，每张尺寸为：72*24cm</w:t>
            </w:r>
          </w:p>
        </w:tc>
      </w:tr>
      <w:tr w14:paraId="4C8A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67E010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194</w:t>
            </w:r>
          </w:p>
        </w:tc>
        <w:tc>
          <w:tcPr>
            <w:tcW w:w="1215" w:type="dxa"/>
            <w:noWrap w:val="0"/>
            <w:vAlign w:val="center"/>
          </w:tcPr>
          <w:p w14:paraId="06B92AA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学生线路实验板</w:t>
            </w:r>
          </w:p>
        </w:tc>
        <w:tc>
          <w:tcPr>
            <w:tcW w:w="804" w:type="dxa"/>
            <w:noWrap w:val="0"/>
            <w:vAlign w:val="center"/>
          </w:tcPr>
          <w:p w14:paraId="5439DD6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F38A55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59EDC73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电阻器9块、可变电容器1块、电容器7块、反馈线圈1块、电感器1块、二极管2块、三极管2块、单极开关2块、双极开关1块、耳机1只、镍铬丝1根、康铜丝1根、紧固销6只、电池座4只、导线56根、三角支板2只、吊环2只、走线插座20只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2.为插孔式，插孔板2张，每张尺寸为：24*36cm</w:t>
            </w:r>
          </w:p>
        </w:tc>
      </w:tr>
      <w:tr w14:paraId="1622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617BE9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195</w:t>
            </w:r>
          </w:p>
        </w:tc>
        <w:tc>
          <w:tcPr>
            <w:tcW w:w="1215" w:type="dxa"/>
            <w:noWrap w:val="0"/>
            <w:vAlign w:val="center"/>
          </w:tcPr>
          <w:p w14:paraId="10A3672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单刀双掷开关</w:t>
            </w:r>
          </w:p>
        </w:tc>
        <w:tc>
          <w:tcPr>
            <w:tcW w:w="804" w:type="dxa"/>
            <w:noWrap w:val="0"/>
            <w:vAlign w:val="center"/>
          </w:tcPr>
          <w:p w14:paraId="1E8B522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6B7008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77C1001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1.由底座、接线柱、闸刀、闸刀座、连接片组成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2.有3个接线柱，开关可以向两边开启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2.底座尺寸：75*24*10mm</w:t>
            </w:r>
          </w:p>
        </w:tc>
      </w:tr>
      <w:tr w14:paraId="785D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34D6D4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196</w:t>
            </w:r>
          </w:p>
        </w:tc>
        <w:tc>
          <w:tcPr>
            <w:tcW w:w="1215" w:type="dxa"/>
            <w:noWrap w:val="0"/>
            <w:vAlign w:val="center"/>
          </w:tcPr>
          <w:p w14:paraId="6D0F959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双刀双掷开关</w:t>
            </w:r>
          </w:p>
        </w:tc>
        <w:tc>
          <w:tcPr>
            <w:tcW w:w="804" w:type="dxa"/>
            <w:noWrap w:val="0"/>
            <w:vAlign w:val="center"/>
          </w:tcPr>
          <w:p w14:paraId="6E1742D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D46C29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32C9A0E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1.由底座、接线柱、闸刀、闸刀座、连接片组成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2.有6个接线柱，开关可以向两边开启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2.底座尺寸：75*52*10mm</w:t>
            </w:r>
          </w:p>
        </w:tc>
      </w:tr>
      <w:tr w14:paraId="1E7C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E54434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197</w:t>
            </w:r>
          </w:p>
        </w:tc>
        <w:tc>
          <w:tcPr>
            <w:tcW w:w="1215" w:type="dxa"/>
            <w:noWrap w:val="0"/>
            <w:vAlign w:val="center"/>
          </w:tcPr>
          <w:p w14:paraId="7AF55A6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焦耳定律演示器</w:t>
            </w:r>
          </w:p>
        </w:tc>
        <w:tc>
          <w:tcPr>
            <w:tcW w:w="804" w:type="dxa"/>
            <w:noWrap w:val="0"/>
            <w:vAlign w:val="center"/>
          </w:tcPr>
          <w:p w14:paraId="762B4FF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C1E2D2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1AECC8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1.由贮气盒、气门螺帽、连接软管、玻璃管、接线柱、支架板等组成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2.支架板上有刻度标尺，面板尺寸：290*245mm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3.电源：DC6V</w:t>
            </w:r>
          </w:p>
        </w:tc>
      </w:tr>
      <w:tr w14:paraId="7383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67128B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198</w:t>
            </w:r>
          </w:p>
        </w:tc>
        <w:tc>
          <w:tcPr>
            <w:tcW w:w="1215" w:type="dxa"/>
            <w:noWrap w:val="0"/>
            <w:vAlign w:val="center"/>
          </w:tcPr>
          <w:p w14:paraId="2374CD6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保险丝作用演示器</w:t>
            </w:r>
          </w:p>
        </w:tc>
        <w:tc>
          <w:tcPr>
            <w:tcW w:w="804" w:type="dxa"/>
            <w:noWrap w:val="0"/>
            <w:vAlign w:val="center"/>
          </w:tcPr>
          <w:p w14:paraId="1866DEC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BE00FA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071842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1.由演示板、铜丝、塑料管、保险丝和灯泡组成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2.铜丝有φ0.5mm和φ0.3mm；软管φ2mm9根；保险丝φ1mm；12V21W灯泡3个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3.演示板的尺寸：493*205mm</w:t>
            </w:r>
          </w:p>
        </w:tc>
      </w:tr>
      <w:tr w14:paraId="3998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B0179F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199</w:t>
            </w:r>
          </w:p>
        </w:tc>
        <w:tc>
          <w:tcPr>
            <w:tcW w:w="1215" w:type="dxa"/>
            <w:noWrap w:val="0"/>
            <w:vAlign w:val="center"/>
          </w:tcPr>
          <w:p w14:paraId="5ABE5F9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范氏起电机</w:t>
            </w:r>
          </w:p>
        </w:tc>
        <w:tc>
          <w:tcPr>
            <w:tcW w:w="804" w:type="dxa"/>
            <w:noWrap w:val="0"/>
            <w:vAlign w:val="center"/>
          </w:tcPr>
          <w:p w14:paraId="58A6C52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2B162E9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2B5536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1.由蓄电球、调整螺丝、 集电流、皮带轮、有机玻璃圆筒、像胶带、电动机、白炽灯开关、底座、电源开关、接地插孔、干燥用白炽灯、放电球、放电球绝缘杆等组成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2.电源电压：交流220V；整机功耗：70W；蓄电球直径：200mm；放电球直径：60mm；火花距离：≥60mm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3.尺寸：300*200*600mm</w:t>
            </w:r>
          </w:p>
        </w:tc>
      </w:tr>
      <w:tr w14:paraId="0914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973AAD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200</w:t>
            </w:r>
          </w:p>
        </w:tc>
        <w:tc>
          <w:tcPr>
            <w:tcW w:w="1215" w:type="dxa"/>
            <w:noWrap w:val="0"/>
            <w:vAlign w:val="center"/>
          </w:tcPr>
          <w:p w14:paraId="2372B64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球形导体</w:t>
            </w:r>
          </w:p>
        </w:tc>
        <w:tc>
          <w:tcPr>
            <w:tcW w:w="804" w:type="dxa"/>
            <w:noWrap w:val="0"/>
            <w:vAlign w:val="center"/>
          </w:tcPr>
          <w:p w14:paraId="7BFD2FF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6AAD53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29B593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1.由金属球、绝缘杆和底座组成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2.底座为塑料制直径102mm；金属球为空心，直径90mm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3.整体高度为210mm</w:t>
            </w:r>
          </w:p>
        </w:tc>
      </w:tr>
      <w:tr w14:paraId="0303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47CC82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201</w:t>
            </w:r>
          </w:p>
        </w:tc>
        <w:tc>
          <w:tcPr>
            <w:tcW w:w="1215" w:type="dxa"/>
            <w:noWrap w:val="0"/>
            <w:vAlign w:val="center"/>
          </w:tcPr>
          <w:p w14:paraId="6EE1B35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验电器连接杆</w:t>
            </w:r>
          </w:p>
        </w:tc>
        <w:tc>
          <w:tcPr>
            <w:tcW w:w="804" w:type="dxa"/>
            <w:noWrap w:val="0"/>
            <w:vAlign w:val="center"/>
          </w:tcPr>
          <w:p w14:paraId="3B0DBC1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F7E9FC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80DD7B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1.由手柄、金属杆和紧固螺丝组成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2.手柄为有机玻璃制</w:t>
            </w:r>
          </w:p>
        </w:tc>
      </w:tr>
      <w:tr w14:paraId="0AE8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359002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w:t>
            </w:r>
          </w:p>
        </w:tc>
        <w:tc>
          <w:tcPr>
            <w:tcW w:w="1215" w:type="dxa"/>
            <w:noWrap w:val="0"/>
            <w:vAlign w:val="center"/>
          </w:tcPr>
          <w:p w14:paraId="05EEAF1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移电球(验电球)</w:t>
            </w:r>
          </w:p>
        </w:tc>
        <w:tc>
          <w:tcPr>
            <w:tcW w:w="804" w:type="dxa"/>
            <w:noWrap w:val="0"/>
            <w:vAlign w:val="center"/>
          </w:tcPr>
          <w:p w14:paraId="1E5852D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619BCC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BC721B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1.由金属球和绝缘手柄组成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2.绝缘手柄为有机玻璃制，长110mm；金属球直径16mm</w:t>
            </w:r>
          </w:p>
        </w:tc>
      </w:tr>
      <w:tr w14:paraId="2242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193071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203</w:t>
            </w:r>
          </w:p>
        </w:tc>
        <w:tc>
          <w:tcPr>
            <w:tcW w:w="1215" w:type="dxa"/>
            <w:noWrap w:val="0"/>
            <w:vAlign w:val="center"/>
          </w:tcPr>
          <w:p w14:paraId="52211D8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验电羽</w:t>
            </w:r>
          </w:p>
        </w:tc>
        <w:tc>
          <w:tcPr>
            <w:tcW w:w="804" w:type="dxa"/>
            <w:noWrap w:val="0"/>
            <w:vAlign w:val="center"/>
          </w:tcPr>
          <w:p w14:paraId="1682732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对</w:t>
            </w:r>
          </w:p>
        </w:tc>
        <w:tc>
          <w:tcPr>
            <w:tcW w:w="765" w:type="dxa"/>
            <w:gridSpan w:val="2"/>
            <w:noWrap w:val="0"/>
            <w:vAlign w:val="center"/>
          </w:tcPr>
          <w:p w14:paraId="1D1478C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A572D3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1.由底座、立柱和红绳组成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2.整体高度140mm,红绳长90mm</w:t>
            </w:r>
          </w:p>
        </w:tc>
      </w:tr>
      <w:tr w14:paraId="435E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CE9DA1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204</w:t>
            </w:r>
          </w:p>
        </w:tc>
        <w:tc>
          <w:tcPr>
            <w:tcW w:w="1215" w:type="dxa"/>
            <w:noWrap w:val="0"/>
            <w:vAlign w:val="center"/>
          </w:tcPr>
          <w:p w14:paraId="03C6DA0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验电幡</w:t>
            </w:r>
          </w:p>
        </w:tc>
        <w:tc>
          <w:tcPr>
            <w:tcW w:w="804" w:type="dxa"/>
            <w:noWrap w:val="0"/>
            <w:vAlign w:val="center"/>
          </w:tcPr>
          <w:p w14:paraId="17730C3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F921D7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8EE2B7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1.由底座和验电幡组成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2.底座共三个，直径64mm；验电幡有三个支架，穿有10根红绳，尺寸：340*110mm</w:t>
            </w:r>
          </w:p>
        </w:tc>
      </w:tr>
      <w:tr w14:paraId="502B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1171B9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205</w:t>
            </w:r>
          </w:p>
        </w:tc>
        <w:tc>
          <w:tcPr>
            <w:tcW w:w="1215" w:type="dxa"/>
            <w:noWrap w:val="0"/>
            <w:vAlign w:val="center"/>
          </w:tcPr>
          <w:p w14:paraId="1A1927F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尖形布电器</w:t>
            </w:r>
          </w:p>
        </w:tc>
        <w:tc>
          <w:tcPr>
            <w:tcW w:w="804" w:type="dxa"/>
            <w:noWrap w:val="0"/>
            <w:vAlign w:val="center"/>
          </w:tcPr>
          <w:p w14:paraId="5ECB610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8AE210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1B187F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1.由底座、支架和金属布电器组成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2.布电器顶部为圆锥形，底部为圆柱形，整体长度165mm,直径55mm</w:t>
            </w:r>
          </w:p>
        </w:tc>
      </w:tr>
      <w:tr w14:paraId="2002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1F1BED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206</w:t>
            </w:r>
          </w:p>
        </w:tc>
        <w:tc>
          <w:tcPr>
            <w:tcW w:w="1215" w:type="dxa"/>
            <w:noWrap w:val="0"/>
            <w:vAlign w:val="center"/>
          </w:tcPr>
          <w:p w14:paraId="0B08AF2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正负电荷检验器</w:t>
            </w:r>
          </w:p>
        </w:tc>
        <w:tc>
          <w:tcPr>
            <w:tcW w:w="804" w:type="dxa"/>
            <w:noWrap w:val="0"/>
            <w:vAlign w:val="center"/>
          </w:tcPr>
          <w:p w14:paraId="1A70D35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6D39513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B1D6AD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1.由机盒、探头、指示灯和开关组成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2.指示灯用红绿二极管显示正负电荷</w:t>
            </w:r>
          </w:p>
        </w:tc>
      </w:tr>
      <w:tr w14:paraId="0E4F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B4F5CB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207</w:t>
            </w:r>
          </w:p>
        </w:tc>
        <w:tc>
          <w:tcPr>
            <w:tcW w:w="1215" w:type="dxa"/>
            <w:noWrap w:val="0"/>
            <w:vAlign w:val="center"/>
          </w:tcPr>
          <w:p w14:paraId="28540CA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静电实验箱</w:t>
            </w:r>
          </w:p>
        </w:tc>
        <w:tc>
          <w:tcPr>
            <w:tcW w:w="804" w:type="dxa"/>
            <w:noWrap w:val="0"/>
            <w:vAlign w:val="center"/>
          </w:tcPr>
          <w:p w14:paraId="31DFFB2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309402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9</w:t>
            </w:r>
          </w:p>
        </w:tc>
        <w:tc>
          <w:tcPr>
            <w:tcW w:w="6351" w:type="dxa"/>
            <w:noWrap w:val="0"/>
            <w:vAlign w:val="center"/>
          </w:tcPr>
          <w:p w14:paraId="1DF6A42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1.由静电除尘装置、电场盒、植绒盒、观察装置、爆燃器、植绒粉、烟雾箱、抗静电液、电场线、抗静电液、验电羽等组成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2.可完成静电乒乓、电场线、静电屏蔽、微静电观察、钟摆小球、验电羽、静电转轮、燃气爆发、内燃机工作原理、避雷针、静电除尘、静电植绒12种实验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3.定位包装，包装箱尺寸：48*25*11cm</w:t>
            </w:r>
          </w:p>
        </w:tc>
      </w:tr>
      <w:tr w14:paraId="14B0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8605B2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208</w:t>
            </w:r>
          </w:p>
        </w:tc>
        <w:tc>
          <w:tcPr>
            <w:tcW w:w="1215" w:type="dxa"/>
            <w:noWrap w:val="0"/>
            <w:vAlign w:val="center"/>
          </w:tcPr>
          <w:p w14:paraId="772CDC1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金属网罩</w:t>
            </w:r>
          </w:p>
        </w:tc>
        <w:tc>
          <w:tcPr>
            <w:tcW w:w="804" w:type="dxa"/>
            <w:noWrap w:val="0"/>
            <w:vAlign w:val="center"/>
          </w:tcPr>
          <w:p w14:paraId="6DA3BFB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444A07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D5A8F9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1.由底盘、金属网、悬挂杆等组成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2.整体由金属制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3.金属网直径205mm,高200mm</w:t>
            </w:r>
          </w:p>
        </w:tc>
      </w:tr>
      <w:tr w14:paraId="2632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51B4BC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209</w:t>
            </w:r>
          </w:p>
        </w:tc>
        <w:tc>
          <w:tcPr>
            <w:tcW w:w="1215" w:type="dxa"/>
            <w:noWrap w:val="0"/>
            <w:vAlign w:val="center"/>
          </w:tcPr>
          <w:p w14:paraId="4D30543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电荷间作用力演示器</w:t>
            </w:r>
          </w:p>
        </w:tc>
        <w:tc>
          <w:tcPr>
            <w:tcW w:w="804" w:type="dxa"/>
            <w:noWrap w:val="0"/>
            <w:vAlign w:val="center"/>
          </w:tcPr>
          <w:p w14:paraId="39E06C7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7D9D0E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CBD607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1.由底座、支架，刻度板，小球，大球等组成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2.底座为铁质喷塑，尺寸为378*150mm；大球直径62mm</w:t>
            </w:r>
          </w:p>
        </w:tc>
      </w:tr>
      <w:tr w14:paraId="5550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FEE072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210</w:t>
            </w:r>
          </w:p>
        </w:tc>
        <w:tc>
          <w:tcPr>
            <w:tcW w:w="1215" w:type="dxa"/>
            <w:noWrap w:val="0"/>
            <w:vAlign w:val="center"/>
          </w:tcPr>
          <w:p w14:paraId="200F931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电荷间作用力实验器</w:t>
            </w:r>
          </w:p>
        </w:tc>
        <w:tc>
          <w:tcPr>
            <w:tcW w:w="804" w:type="dxa"/>
            <w:noWrap w:val="0"/>
            <w:vAlign w:val="center"/>
          </w:tcPr>
          <w:p w14:paraId="4B289DB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BFAB24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1E907EA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1.由底座、支架，刻度板，小球，大球等组成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2.底座为铁质喷塑，尺寸为282*122mm；大球直径90mm</w:t>
            </w:r>
          </w:p>
        </w:tc>
      </w:tr>
      <w:tr w14:paraId="24EA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5B5BC0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211</w:t>
            </w:r>
          </w:p>
        </w:tc>
        <w:tc>
          <w:tcPr>
            <w:tcW w:w="1215" w:type="dxa"/>
            <w:noWrap w:val="0"/>
            <w:vAlign w:val="center"/>
          </w:tcPr>
          <w:p w14:paraId="5E69679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库仑定律演示器</w:t>
            </w:r>
          </w:p>
        </w:tc>
        <w:tc>
          <w:tcPr>
            <w:tcW w:w="804" w:type="dxa"/>
            <w:noWrap w:val="0"/>
            <w:vAlign w:val="center"/>
          </w:tcPr>
          <w:p w14:paraId="2708CBE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0CCEC7A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50F3AE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 xml:space="preserve">1.由测微器调节旋钮、测微器指针、角度盘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扭丝、测微器直筒、绝缘盘、碰球指针、水平绝缘柱重块、摩擦棒、绸布、水平绝缘柱、水平绝缘柱固定器、稳定调节器、垫脚、手持绝缘棒、金属球、稳定调节器轴套、稳定调节器轴套杠杆、底盘、金属球带电球、金属球碰球、固定绝缘杆、刻度桶、绝缘杆固定塞、导电金属环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2.整体材质为有机玻璃制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3.尺寸：φ150*340mm,</w:t>
            </w:r>
          </w:p>
        </w:tc>
      </w:tr>
      <w:tr w14:paraId="55B6A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FD744C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212</w:t>
            </w:r>
          </w:p>
        </w:tc>
        <w:tc>
          <w:tcPr>
            <w:tcW w:w="1215" w:type="dxa"/>
            <w:noWrap w:val="0"/>
            <w:vAlign w:val="center"/>
          </w:tcPr>
          <w:p w14:paraId="2286D25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电场线演示器</w:t>
            </w:r>
          </w:p>
        </w:tc>
        <w:tc>
          <w:tcPr>
            <w:tcW w:w="804" w:type="dxa"/>
            <w:noWrap w:val="0"/>
            <w:vAlign w:val="center"/>
          </w:tcPr>
          <w:p w14:paraId="37B9B34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1133BC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469CA5C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1.由五块不同的电场线演示板组成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2.电场线演示板由透明密闭容器制成，尺寸为：100*80mm</w:t>
            </w:r>
          </w:p>
        </w:tc>
      </w:tr>
      <w:tr w14:paraId="25BA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90A739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213</w:t>
            </w:r>
          </w:p>
        </w:tc>
        <w:tc>
          <w:tcPr>
            <w:tcW w:w="1215" w:type="dxa"/>
            <w:noWrap w:val="0"/>
            <w:vAlign w:val="center"/>
          </w:tcPr>
          <w:p w14:paraId="2D078B1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电势演示仪</w:t>
            </w:r>
          </w:p>
        </w:tc>
        <w:tc>
          <w:tcPr>
            <w:tcW w:w="804" w:type="dxa"/>
            <w:noWrap w:val="0"/>
            <w:vAlign w:val="center"/>
          </w:tcPr>
          <w:p w14:paraId="66019AD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74C6AB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09F94F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1.由底板、接线柱、导电纸、表笔等组成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2.底板为有机玻璃制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3.尺寸：240*200*15mm</w:t>
            </w:r>
          </w:p>
        </w:tc>
      </w:tr>
      <w:tr w14:paraId="45AB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E531AD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214</w:t>
            </w:r>
          </w:p>
        </w:tc>
        <w:tc>
          <w:tcPr>
            <w:tcW w:w="1215" w:type="dxa"/>
            <w:noWrap w:val="0"/>
            <w:vAlign w:val="center"/>
          </w:tcPr>
          <w:p w14:paraId="07C0D9F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等势线描绘实验器</w:t>
            </w:r>
          </w:p>
        </w:tc>
        <w:tc>
          <w:tcPr>
            <w:tcW w:w="804" w:type="dxa"/>
            <w:noWrap w:val="0"/>
            <w:vAlign w:val="center"/>
          </w:tcPr>
          <w:p w14:paraId="6678D4F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1740E4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6B58803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1.由底板、接线柱、导电纸、表笔等组成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2.尺寸：145*105*20mm</w:t>
            </w:r>
          </w:p>
        </w:tc>
      </w:tr>
      <w:tr w14:paraId="128C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15C0A6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215</w:t>
            </w:r>
          </w:p>
        </w:tc>
        <w:tc>
          <w:tcPr>
            <w:tcW w:w="1215" w:type="dxa"/>
            <w:noWrap w:val="0"/>
            <w:vAlign w:val="center"/>
          </w:tcPr>
          <w:p w14:paraId="04A1164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平行板电容器</w:t>
            </w:r>
          </w:p>
        </w:tc>
        <w:tc>
          <w:tcPr>
            <w:tcW w:w="804" w:type="dxa"/>
            <w:noWrap w:val="0"/>
            <w:vAlign w:val="center"/>
          </w:tcPr>
          <w:p w14:paraId="5DDA496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ABC474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997414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1.由两块带底座的铝板和一块塑料板组成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2.铝板和塑料板的直径200mm；铝板的总高度270mm</w:t>
            </w:r>
          </w:p>
        </w:tc>
      </w:tr>
      <w:tr w14:paraId="4798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77AF80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216</w:t>
            </w:r>
          </w:p>
        </w:tc>
        <w:tc>
          <w:tcPr>
            <w:tcW w:w="1215" w:type="dxa"/>
            <w:noWrap w:val="0"/>
            <w:vAlign w:val="center"/>
          </w:tcPr>
          <w:p w14:paraId="7A5C346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电场中带电粒子运动模拟演示器</w:t>
            </w:r>
          </w:p>
        </w:tc>
        <w:tc>
          <w:tcPr>
            <w:tcW w:w="804" w:type="dxa"/>
            <w:noWrap w:val="0"/>
            <w:vAlign w:val="center"/>
          </w:tcPr>
          <w:p w14:paraId="78F1F60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4063F0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775FBE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1.由模拟屏、加速旋钮、偏转旋钮等组成。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2.工作电压220V，50Hz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3.模拟屏由12块规格约40mm×40mm带8×8个发光二极管的电路板组成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4.外观尺寸320*260*50mm</w:t>
            </w:r>
          </w:p>
        </w:tc>
      </w:tr>
      <w:tr w14:paraId="6719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B39C9F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217</w:t>
            </w:r>
          </w:p>
        </w:tc>
        <w:tc>
          <w:tcPr>
            <w:tcW w:w="1215" w:type="dxa"/>
            <w:noWrap w:val="0"/>
            <w:vAlign w:val="center"/>
          </w:tcPr>
          <w:p w14:paraId="595677C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常用电容器示教板</w:t>
            </w:r>
          </w:p>
        </w:tc>
        <w:tc>
          <w:tcPr>
            <w:tcW w:w="804" w:type="dxa"/>
            <w:noWrap w:val="0"/>
            <w:vAlign w:val="center"/>
          </w:tcPr>
          <w:p w14:paraId="68186BB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244D8C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F0130C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1.由电解电容器、云母电容器、陶瓷电容器、薄膜电容器、贴片电容器、微调电容器、可变电容器等组成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2.示教板尺寸340*240mm</w:t>
            </w:r>
          </w:p>
        </w:tc>
      </w:tr>
      <w:tr w14:paraId="1A91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A4C6B4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218</w:t>
            </w:r>
          </w:p>
        </w:tc>
        <w:tc>
          <w:tcPr>
            <w:tcW w:w="1215" w:type="dxa"/>
            <w:noWrap w:val="0"/>
            <w:vAlign w:val="center"/>
          </w:tcPr>
          <w:p w14:paraId="17A35BD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常用电阻器示教板</w:t>
            </w:r>
          </w:p>
        </w:tc>
        <w:tc>
          <w:tcPr>
            <w:tcW w:w="804" w:type="dxa"/>
            <w:noWrap w:val="0"/>
            <w:vAlign w:val="center"/>
          </w:tcPr>
          <w:p w14:paraId="3C3F779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0566350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1427D5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1.由仪器由定值电阻（碳膜电阻、金属膜电阻、绕线电阻、水泥电阻等）、可变电阻（电位器等）、特殊电阻（热敏电阻、光敏电阻等）组成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2.示教板尺寸340*240mm</w:t>
            </w:r>
          </w:p>
        </w:tc>
      </w:tr>
      <w:tr w14:paraId="01FE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395E61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219</w:t>
            </w:r>
          </w:p>
        </w:tc>
        <w:tc>
          <w:tcPr>
            <w:tcW w:w="1215" w:type="dxa"/>
            <w:noWrap w:val="0"/>
            <w:vAlign w:val="center"/>
          </w:tcPr>
          <w:p w14:paraId="4547542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演示可调内阻电池</w:t>
            </w:r>
          </w:p>
        </w:tc>
        <w:tc>
          <w:tcPr>
            <w:tcW w:w="804" w:type="dxa"/>
            <w:noWrap w:val="0"/>
            <w:vAlign w:val="center"/>
          </w:tcPr>
          <w:p w14:paraId="1EC50E8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BAEFE0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08B08D6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1.有透明电池盒、带电极的电池盖、鳄鱼夹、软管、注射器等组成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2.透明电池盒尺寸为：220*85*100mm</w:t>
            </w:r>
          </w:p>
        </w:tc>
      </w:tr>
      <w:tr w14:paraId="541A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A1D0A7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220</w:t>
            </w:r>
          </w:p>
        </w:tc>
        <w:tc>
          <w:tcPr>
            <w:tcW w:w="1215" w:type="dxa"/>
            <w:noWrap w:val="0"/>
            <w:vAlign w:val="center"/>
          </w:tcPr>
          <w:p w14:paraId="4F3A371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演示电桥</w:t>
            </w:r>
          </w:p>
        </w:tc>
        <w:tc>
          <w:tcPr>
            <w:tcW w:w="804" w:type="dxa"/>
            <w:noWrap w:val="0"/>
            <w:vAlign w:val="center"/>
          </w:tcPr>
          <w:p w14:paraId="3F993CB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BFBB7B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5DB32D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1.由电阻丝、刻度尺、滑键和支架组成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2.电阻丝的有效长度1000mm,线径不大于0.3的锰铜丝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3.支架为木制</w:t>
            </w:r>
          </w:p>
        </w:tc>
      </w:tr>
      <w:tr w14:paraId="6E35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3CB95C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221</w:t>
            </w:r>
          </w:p>
        </w:tc>
        <w:tc>
          <w:tcPr>
            <w:tcW w:w="1215" w:type="dxa"/>
            <w:noWrap w:val="0"/>
            <w:vAlign w:val="center"/>
          </w:tcPr>
          <w:p w14:paraId="4296524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条形磁铁</w:t>
            </w:r>
          </w:p>
        </w:tc>
        <w:tc>
          <w:tcPr>
            <w:tcW w:w="804" w:type="dxa"/>
            <w:noWrap w:val="0"/>
            <w:vAlign w:val="center"/>
          </w:tcPr>
          <w:p w14:paraId="6CD8FCE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对</w:t>
            </w:r>
          </w:p>
        </w:tc>
        <w:tc>
          <w:tcPr>
            <w:tcW w:w="765" w:type="dxa"/>
            <w:gridSpan w:val="2"/>
            <w:noWrap w:val="0"/>
            <w:vAlign w:val="center"/>
          </w:tcPr>
          <w:p w14:paraId="2E76964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7E18857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1.为铝铁碳条形磁铁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2.分红蓝两色，红色N级，蓝色S级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3.每套2个，尺寸为：180*21*11mm</w:t>
            </w:r>
          </w:p>
        </w:tc>
      </w:tr>
      <w:tr w14:paraId="04F5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E01637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222</w:t>
            </w:r>
          </w:p>
        </w:tc>
        <w:tc>
          <w:tcPr>
            <w:tcW w:w="1215" w:type="dxa"/>
            <w:noWrap w:val="0"/>
            <w:vAlign w:val="center"/>
          </w:tcPr>
          <w:p w14:paraId="069EED6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蹄形磁铁</w:t>
            </w:r>
          </w:p>
        </w:tc>
        <w:tc>
          <w:tcPr>
            <w:tcW w:w="804" w:type="dxa"/>
            <w:noWrap w:val="0"/>
            <w:vAlign w:val="center"/>
          </w:tcPr>
          <w:p w14:paraId="1D5CA18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B276AC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2CD176B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1.为铝铁碳蹄形磁铁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2.分红蓝两色，红色N级，蓝色S级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3.长度为100mm,截面面积：30*20mm</w:t>
            </w:r>
          </w:p>
        </w:tc>
      </w:tr>
      <w:tr w14:paraId="1151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9D145F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223</w:t>
            </w:r>
          </w:p>
        </w:tc>
        <w:tc>
          <w:tcPr>
            <w:tcW w:w="1215" w:type="dxa"/>
            <w:noWrap w:val="0"/>
            <w:vAlign w:val="center"/>
          </w:tcPr>
          <w:p w14:paraId="1220B09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磁感线演示器</w:t>
            </w:r>
          </w:p>
        </w:tc>
        <w:tc>
          <w:tcPr>
            <w:tcW w:w="804" w:type="dxa"/>
            <w:noWrap w:val="0"/>
            <w:vAlign w:val="center"/>
          </w:tcPr>
          <w:p w14:paraId="0E4454A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5CA67F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27E7F2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1.由铁粉盒和磁铁组成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2.铁粉盒为透明塑料制，尺寸为：207*108*30mm</w:t>
            </w:r>
          </w:p>
        </w:tc>
      </w:tr>
      <w:tr w14:paraId="5DD5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8C78E9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224</w:t>
            </w:r>
          </w:p>
        </w:tc>
        <w:tc>
          <w:tcPr>
            <w:tcW w:w="1215" w:type="dxa"/>
            <w:noWrap w:val="0"/>
            <w:vAlign w:val="center"/>
          </w:tcPr>
          <w:p w14:paraId="0AF8977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立体磁感线演示器</w:t>
            </w:r>
          </w:p>
        </w:tc>
        <w:tc>
          <w:tcPr>
            <w:tcW w:w="804" w:type="dxa"/>
            <w:noWrap w:val="0"/>
            <w:vAlign w:val="center"/>
          </w:tcPr>
          <w:p w14:paraId="538BD63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049D1D0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0BBF9F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1.由条形磁铁、蹄形磁铁、六片矩形透明磁感应板、月牙形透明磁感应板和固定支架组成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2.组装完毕尺寸：φ204*173mm</w:t>
            </w:r>
          </w:p>
        </w:tc>
      </w:tr>
      <w:tr w14:paraId="49FE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A004F0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225</w:t>
            </w:r>
          </w:p>
        </w:tc>
        <w:tc>
          <w:tcPr>
            <w:tcW w:w="1215" w:type="dxa"/>
            <w:noWrap w:val="0"/>
            <w:vAlign w:val="center"/>
          </w:tcPr>
          <w:p w14:paraId="094C7CA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磁感线演示板</w:t>
            </w:r>
          </w:p>
        </w:tc>
        <w:tc>
          <w:tcPr>
            <w:tcW w:w="804" w:type="dxa"/>
            <w:noWrap w:val="0"/>
            <w:vAlign w:val="center"/>
          </w:tcPr>
          <w:p w14:paraId="4743F4F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324402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AAE271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1.由透明穴板、方架及磁铁组成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2.透明穴板共三块，在其圆穴内封有小铁针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3.组装完毕后尺寸：254*250*40mm</w:t>
            </w:r>
          </w:p>
        </w:tc>
      </w:tr>
      <w:tr w14:paraId="7EDB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9D6C66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226</w:t>
            </w:r>
          </w:p>
        </w:tc>
        <w:tc>
          <w:tcPr>
            <w:tcW w:w="1215" w:type="dxa"/>
            <w:noWrap w:val="0"/>
            <w:vAlign w:val="center"/>
          </w:tcPr>
          <w:p w14:paraId="5637C34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电流磁场演示器</w:t>
            </w:r>
          </w:p>
        </w:tc>
        <w:tc>
          <w:tcPr>
            <w:tcW w:w="804" w:type="dxa"/>
            <w:noWrap w:val="0"/>
            <w:vAlign w:val="center"/>
          </w:tcPr>
          <w:p w14:paraId="05A141A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F540AC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63F61DE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1.由透明穴板、方形线圈、圆线圈、螺线管、接线柱等组成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2.方形线圈和圆线圈穴板尺寸：140*90mm；螺线管穴板尺寸：180*140mm</w:t>
            </w:r>
          </w:p>
        </w:tc>
      </w:tr>
      <w:tr w14:paraId="7F98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B0558A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227</w:t>
            </w:r>
          </w:p>
        </w:tc>
        <w:tc>
          <w:tcPr>
            <w:tcW w:w="1215" w:type="dxa"/>
            <w:noWrap w:val="0"/>
            <w:vAlign w:val="center"/>
          </w:tcPr>
          <w:p w14:paraId="139AD59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菱形小磁针</w:t>
            </w:r>
          </w:p>
        </w:tc>
        <w:tc>
          <w:tcPr>
            <w:tcW w:w="804" w:type="dxa"/>
            <w:noWrap w:val="0"/>
            <w:vAlign w:val="center"/>
          </w:tcPr>
          <w:p w14:paraId="4F383A4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06968A0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300DAAA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1.由磁针座和磁针组成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2.整体高度28mm；磁针呈菱形，长28mm,分红白两色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3.每套16个</w:t>
            </w:r>
          </w:p>
        </w:tc>
      </w:tr>
      <w:tr w14:paraId="651D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3BDE78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228</w:t>
            </w:r>
          </w:p>
        </w:tc>
        <w:tc>
          <w:tcPr>
            <w:tcW w:w="1215" w:type="dxa"/>
            <w:noWrap w:val="0"/>
            <w:vAlign w:val="center"/>
          </w:tcPr>
          <w:p w14:paraId="775F591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翼形磁针</w:t>
            </w:r>
          </w:p>
        </w:tc>
        <w:tc>
          <w:tcPr>
            <w:tcW w:w="804" w:type="dxa"/>
            <w:noWrap w:val="0"/>
            <w:vAlign w:val="center"/>
          </w:tcPr>
          <w:p w14:paraId="2F32425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对</w:t>
            </w:r>
          </w:p>
        </w:tc>
        <w:tc>
          <w:tcPr>
            <w:tcW w:w="765" w:type="dxa"/>
            <w:gridSpan w:val="2"/>
            <w:noWrap w:val="0"/>
            <w:vAlign w:val="center"/>
          </w:tcPr>
          <w:p w14:paraId="22C2768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5C323DB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1.由磁针座和磁针组成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2.整体高度110mm；磁针呈翼形，长140mm,分红白两色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3.每套2个</w:t>
            </w:r>
          </w:p>
        </w:tc>
      </w:tr>
      <w:tr w14:paraId="0242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5F6734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229</w:t>
            </w:r>
          </w:p>
        </w:tc>
        <w:tc>
          <w:tcPr>
            <w:tcW w:w="1215" w:type="dxa"/>
            <w:noWrap w:val="0"/>
            <w:vAlign w:val="center"/>
          </w:tcPr>
          <w:p w14:paraId="1CC141D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演示原副线圈</w:t>
            </w:r>
          </w:p>
        </w:tc>
        <w:tc>
          <w:tcPr>
            <w:tcW w:w="804" w:type="dxa"/>
            <w:noWrap w:val="0"/>
            <w:vAlign w:val="center"/>
          </w:tcPr>
          <w:p w14:paraId="57BDACA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EA929C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0CDEF9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1.由原线圈、副线圈和软铁芯组成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2.原线圈内径13mm,外径22mm, φ0.59QZ型漆包线平绕400匝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3.副线圈内径35mm,外径49mm, φ0.27QZ型漆包线平绕1150匝</w:t>
            </w:r>
          </w:p>
        </w:tc>
      </w:tr>
      <w:tr w14:paraId="033E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3FDDBB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230</w:t>
            </w:r>
          </w:p>
        </w:tc>
        <w:tc>
          <w:tcPr>
            <w:tcW w:w="1215" w:type="dxa"/>
            <w:noWrap w:val="0"/>
            <w:vAlign w:val="center"/>
          </w:tcPr>
          <w:p w14:paraId="219E0E0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原副线圈</w:t>
            </w:r>
          </w:p>
        </w:tc>
        <w:tc>
          <w:tcPr>
            <w:tcW w:w="804" w:type="dxa"/>
            <w:noWrap w:val="0"/>
            <w:vAlign w:val="center"/>
          </w:tcPr>
          <w:p w14:paraId="7A4CC91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54AF8F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0B69BCB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1.由原线圈、副线圈和软铁芯组成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2.原线圈内径11mm,外径15mm, φ0.59QZ型漆包线平绕200匝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3.副线圈内径24mm,外径30mm, φ0.27QZ型漆包线平绕270匝</w:t>
            </w:r>
          </w:p>
        </w:tc>
      </w:tr>
      <w:tr w14:paraId="78E4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A3B3E1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231</w:t>
            </w:r>
          </w:p>
        </w:tc>
        <w:tc>
          <w:tcPr>
            <w:tcW w:w="1215" w:type="dxa"/>
            <w:noWrap w:val="0"/>
            <w:vAlign w:val="center"/>
          </w:tcPr>
          <w:p w14:paraId="3B78D0F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演示电磁继电器</w:t>
            </w:r>
          </w:p>
        </w:tc>
        <w:tc>
          <w:tcPr>
            <w:tcW w:w="804" w:type="dxa"/>
            <w:noWrap w:val="0"/>
            <w:vAlign w:val="center"/>
          </w:tcPr>
          <w:p w14:paraId="0378D03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EAF48F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7EF669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1.由底座、电磁线圈、铁芯衔铁、常开触点、常闭触点等组成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2.底座尺寸：155*105mm</w:t>
            </w:r>
          </w:p>
        </w:tc>
      </w:tr>
      <w:tr w14:paraId="51E5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A0DBAD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232</w:t>
            </w:r>
          </w:p>
        </w:tc>
        <w:tc>
          <w:tcPr>
            <w:tcW w:w="1215" w:type="dxa"/>
            <w:noWrap w:val="0"/>
            <w:vAlign w:val="center"/>
          </w:tcPr>
          <w:p w14:paraId="47719C9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左右手定则演示器</w:t>
            </w:r>
          </w:p>
        </w:tc>
        <w:tc>
          <w:tcPr>
            <w:tcW w:w="804" w:type="dxa"/>
            <w:noWrap w:val="0"/>
            <w:vAlign w:val="center"/>
          </w:tcPr>
          <w:p w14:paraId="24521E4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BCB295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03892DF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1.由底座、立杆、支架和方形线圈组成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2.底座为塑料制，尺寸为154*104 mm,金属立杆高38cm,方形线圈内径60mm</w:t>
            </w:r>
          </w:p>
        </w:tc>
      </w:tr>
      <w:tr w14:paraId="6B80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9FF2CF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233</w:t>
            </w:r>
          </w:p>
        </w:tc>
        <w:tc>
          <w:tcPr>
            <w:tcW w:w="1215" w:type="dxa"/>
            <w:noWrap w:val="0"/>
            <w:vAlign w:val="center"/>
          </w:tcPr>
          <w:p w14:paraId="4D9F8DA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手摇交直流发电机</w:t>
            </w:r>
          </w:p>
        </w:tc>
        <w:tc>
          <w:tcPr>
            <w:tcW w:w="804" w:type="dxa"/>
            <w:noWrap w:val="0"/>
            <w:vAlign w:val="center"/>
          </w:tcPr>
          <w:p w14:paraId="41D9D2B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E9FDEA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031F24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1.有底座、手摇转盘、转盘支架、钻子、磁铁、灯座、灯泡、皮带等组成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2.底座为木质，29*18cm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3.手摇转盘直径14cm</w:t>
            </w:r>
          </w:p>
        </w:tc>
      </w:tr>
      <w:tr w14:paraId="25A8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4D920B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234</w:t>
            </w:r>
          </w:p>
        </w:tc>
        <w:tc>
          <w:tcPr>
            <w:tcW w:w="1215" w:type="dxa"/>
            <w:noWrap w:val="0"/>
            <w:vAlign w:val="center"/>
          </w:tcPr>
          <w:p w14:paraId="443F904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阴极射线管</w:t>
            </w:r>
          </w:p>
        </w:tc>
        <w:tc>
          <w:tcPr>
            <w:tcW w:w="804" w:type="dxa"/>
            <w:noWrap w:val="0"/>
            <w:vAlign w:val="center"/>
          </w:tcPr>
          <w:p w14:paraId="32F1087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19C95F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3ADCFE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1.由底座和磁效应管组成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2.磁效应管由挡板和荧光板组成，长300mm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3.泡沫定位包装</w:t>
            </w:r>
          </w:p>
        </w:tc>
      </w:tr>
      <w:tr w14:paraId="6088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B1C455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235</w:t>
            </w:r>
          </w:p>
        </w:tc>
        <w:tc>
          <w:tcPr>
            <w:tcW w:w="1215" w:type="dxa"/>
            <w:noWrap w:val="0"/>
            <w:vAlign w:val="center"/>
          </w:tcPr>
          <w:p w14:paraId="65F771A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阴极射线管</w:t>
            </w:r>
          </w:p>
        </w:tc>
        <w:tc>
          <w:tcPr>
            <w:tcW w:w="804" w:type="dxa"/>
            <w:noWrap w:val="0"/>
            <w:vAlign w:val="center"/>
          </w:tcPr>
          <w:p w14:paraId="44C71B4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6FFB808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2E3E4E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1.由底座和示直进管组成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2.示直进管由金属挡板、支架、阴极、阳极组成，长280mm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3.泡沫定位包装</w:t>
            </w:r>
          </w:p>
        </w:tc>
      </w:tr>
      <w:tr w14:paraId="2ECD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601D2F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236</w:t>
            </w:r>
          </w:p>
        </w:tc>
        <w:tc>
          <w:tcPr>
            <w:tcW w:w="1215" w:type="dxa"/>
            <w:noWrap w:val="0"/>
            <w:vAlign w:val="center"/>
          </w:tcPr>
          <w:p w14:paraId="1386B4E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阴极射线管</w:t>
            </w:r>
          </w:p>
        </w:tc>
        <w:tc>
          <w:tcPr>
            <w:tcW w:w="804" w:type="dxa"/>
            <w:noWrap w:val="0"/>
            <w:vAlign w:val="center"/>
          </w:tcPr>
          <w:p w14:paraId="5DBAA85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3EFE6D3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B9398D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1.由底座和机械效应管组成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2.机械效应管由导轨支架、小翼轮、圆片电极组成，长243mm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3.泡沫定位包装</w:t>
            </w:r>
          </w:p>
        </w:tc>
      </w:tr>
      <w:tr w14:paraId="678A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D2AF19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237</w:t>
            </w:r>
          </w:p>
        </w:tc>
        <w:tc>
          <w:tcPr>
            <w:tcW w:w="1215" w:type="dxa"/>
            <w:noWrap w:val="0"/>
            <w:vAlign w:val="center"/>
          </w:tcPr>
          <w:p w14:paraId="5366B41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阴极射线管</w:t>
            </w:r>
          </w:p>
        </w:tc>
        <w:tc>
          <w:tcPr>
            <w:tcW w:w="804" w:type="dxa"/>
            <w:noWrap w:val="0"/>
            <w:vAlign w:val="center"/>
          </w:tcPr>
          <w:p w14:paraId="3F1AB53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0B8CC28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88E1E2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1.由底座和静电效应管组成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2.静电效应管由挡板、荧光板、电场电极、阴极、阳极组成，长300mm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3.泡沫定位包装</w:t>
            </w:r>
          </w:p>
        </w:tc>
      </w:tr>
      <w:tr w14:paraId="649F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7586B3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238</w:t>
            </w:r>
          </w:p>
        </w:tc>
        <w:tc>
          <w:tcPr>
            <w:tcW w:w="1215" w:type="dxa"/>
            <w:noWrap w:val="0"/>
            <w:vAlign w:val="center"/>
          </w:tcPr>
          <w:p w14:paraId="7899BFA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低频信号发生器</w:t>
            </w:r>
          </w:p>
        </w:tc>
        <w:tc>
          <w:tcPr>
            <w:tcW w:w="804" w:type="dxa"/>
            <w:noWrap w:val="0"/>
            <w:vAlign w:val="center"/>
          </w:tcPr>
          <w:p w14:paraId="5E1BF0D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06B8EF0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3CFCA9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1.能产生输出正弦波、三角波、方波，并由6位数字显示输出型号频率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2.输出频率范围：5Kz-500KHz,连续工作时间：8小时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3.外观尺寸：250*200*160mm</w:t>
            </w:r>
          </w:p>
        </w:tc>
      </w:tr>
      <w:tr w14:paraId="6155B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47CE04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239</w:t>
            </w:r>
          </w:p>
        </w:tc>
        <w:tc>
          <w:tcPr>
            <w:tcW w:w="1215" w:type="dxa"/>
            <w:noWrap w:val="0"/>
            <w:vAlign w:val="center"/>
          </w:tcPr>
          <w:p w14:paraId="3FAF396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高频信号发生器</w:t>
            </w:r>
          </w:p>
        </w:tc>
        <w:tc>
          <w:tcPr>
            <w:tcW w:w="804" w:type="dxa"/>
            <w:noWrap w:val="0"/>
            <w:vAlign w:val="center"/>
          </w:tcPr>
          <w:p w14:paraId="6F03D78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4E7C4A4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C455ED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1.能产生高频信号、高频调制信号和低频信号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2.高频信号频率范围：400KHz～130MHz，五个频段，频率刻度误差＜5%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3.高频信号输出幅度：第1～4频段＞300mV，连续可调；第5频段＞50mV，连续可调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4.外观尺寸：135*100*210mm</w:t>
            </w:r>
          </w:p>
        </w:tc>
      </w:tr>
      <w:tr w14:paraId="2B51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9E9CA5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240</w:t>
            </w:r>
          </w:p>
        </w:tc>
        <w:tc>
          <w:tcPr>
            <w:tcW w:w="1215" w:type="dxa"/>
            <w:noWrap w:val="0"/>
            <w:vAlign w:val="center"/>
          </w:tcPr>
          <w:p w14:paraId="21B10E4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教学信号发生器</w:t>
            </w:r>
          </w:p>
        </w:tc>
        <w:tc>
          <w:tcPr>
            <w:tcW w:w="804" w:type="dxa"/>
            <w:noWrap w:val="0"/>
            <w:vAlign w:val="center"/>
          </w:tcPr>
          <w:p w14:paraId="6539B43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5182483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0FD7E3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1.能产生高频信号、高频调制信号、低频信号及超低频信号；低频信号部分具有锯齿波、方波和正弦波三种波形输出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2.高频正弦波：400KHz～1700KHz分段可调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3.高频调幅波：高频信号频段均可被本仪器低频正弦波信号调剂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4.正弦波：2.5KHz～400KHz，分五挡调整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5.方波：500Hz～1.5KHz，分三挡调整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6.锯齿波：500Hz～3KHz，连续可调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7.超低频：正弦波0.3～0.5Hz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8.外观尺寸：274*180*108mm</w:t>
            </w:r>
          </w:p>
        </w:tc>
      </w:tr>
      <w:tr w14:paraId="43D6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56C5B0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241</w:t>
            </w:r>
          </w:p>
        </w:tc>
        <w:tc>
          <w:tcPr>
            <w:tcW w:w="1215" w:type="dxa"/>
            <w:noWrap w:val="0"/>
            <w:vAlign w:val="center"/>
          </w:tcPr>
          <w:p w14:paraId="0404BE1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学生信号发生器</w:t>
            </w:r>
          </w:p>
        </w:tc>
        <w:tc>
          <w:tcPr>
            <w:tcW w:w="804" w:type="dxa"/>
            <w:noWrap w:val="0"/>
            <w:vAlign w:val="center"/>
          </w:tcPr>
          <w:p w14:paraId="726A0F4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2DB72A7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6374D55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1.能产生高频信号、高频调制信号和低频信号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2.高频正弦波：Ⅰ频段：500KHz～1700KHz，连续可调；Ⅱ频段：400KHz～580KHz，连续可调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3.高频调幅波：高频ⅠⅡ频段均可被本仪器低频信号调剂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3.低频正弦波：500Hz、1KHz、1.5KHz、2KHz、2.5KHz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4.外观尺寸：135*100*210mm</w:t>
            </w:r>
          </w:p>
        </w:tc>
      </w:tr>
      <w:tr w14:paraId="2229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0C30E1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242</w:t>
            </w:r>
          </w:p>
        </w:tc>
        <w:tc>
          <w:tcPr>
            <w:tcW w:w="1215" w:type="dxa"/>
            <w:noWrap w:val="0"/>
            <w:vAlign w:val="center"/>
          </w:tcPr>
          <w:p w14:paraId="057B34F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条形强磁体</w:t>
            </w:r>
          </w:p>
        </w:tc>
        <w:tc>
          <w:tcPr>
            <w:tcW w:w="804" w:type="dxa"/>
            <w:noWrap w:val="0"/>
            <w:vAlign w:val="center"/>
          </w:tcPr>
          <w:p w14:paraId="610F158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D742E3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5C6115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1.为铝铁碳条形磁铁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2.分红蓝两色，红色N级，蓝色S级,磁感应强度≥0.8</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3.每套2个，尺寸为：151*15*15mm</w:t>
            </w:r>
          </w:p>
        </w:tc>
      </w:tr>
      <w:tr w14:paraId="29B5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A67530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243</w:t>
            </w:r>
          </w:p>
        </w:tc>
        <w:tc>
          <w:tcPr>
            <w:tcW w:w="1215" w:type="dxa"/>
            <w:noWrap w:val="0"/>
            <w:vAlign w:val="center"/>
          </w:tcPr>
          <w:p w14:paraId="3BC927F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蹄形强磁体</w:t>
            </w:r>
          </w:p>
        </w:tc>
        <w:tc>
          <w:tcPr>
            <w:tcW w:w="804" w:type="dxa"/>
            <w:noWrap w:val="0"/>
            <w:vAlign w:val="center"/>
          </w:tcPr>
          <w:p w14:paraId="71316CB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977960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0CFD0B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1.为铝铁碳条形磁铁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2.分红蓝两色，红色N级，蓝色S级,磁感应强度≥0.8</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3.长100mm,截面面积30*20mm</w:t>
            </w:r>
          </w:p>
        </w:tc>
      </w:tr>
      <w:tr w14:paraId="45FC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911FAC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244</w:t>
            </w:r>
          </w:p>
        </w:tc>
        <w:tc>
          <w:tcPr>
            <w:tcW w:w="1215" w:type="dxa"/>
            <w:noWrap w:val="0"/>
            <w:vAlign w:val="center"/>
          </w:tcPr>
          <w:p w14:paraId="35FC596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强磁针</w:t>
            </w:r>
          </w:p>
        </w:tc>
        <w:tc>
          <w:tcPr>
            <w:tcW w:w="804" w:type="dxa"/>
            <w:noWrap w:val="0"/>
            <w:vAlign w:val="center"/>
          </w:tcPr>
          <w:p w14:paraId="362B5D2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087128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7876948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1.由底座和强磁针组成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2.强磁针直径12mm，长95mm</w:t>
            </w:r>
          </w:p>
        </w:tc>
      </w:tr>
      <w:tr w14:paraId="40E8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C7C184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245</w:t>
            </w:r>
          </w:p>
        </w:tc>
        <w:tc>
          <w:tcPr>
            <w:tcW w:w="1215" w:type="dxa"/>
            <w:noWrap w:val="0"/>
            <w:vAlign w:val="center"/>
          </w:tcPr>
          <w:p w14:paraId="2BCD92C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通电平行直导线相互作用演示器</w:t>
            </w:r>
          </w:p>
        </w:tc>
        <w:tc>
          <w:tcPr>
            <w:tcW w:w="804" w:type="dxa"/>
            <w:noWrap w:val="0"/>
            <w:vAlign w:val="center"/>
          </w:tcPr>
          <w:p w14:paraId="6F7B23B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FB0AD8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E7D331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1.由底座、支架、平行直导线等组成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两平行直导线为铜管，直径为Φ4mm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3.仪器尺寸200*160*550mm</w:t>
            </w:r>
          </w:p>
        </w:tc>
      </w:tr>
      <w:tr w14:paraId="4982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E62237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246</w:t>
            </w:r>
          </w:p>
        </w:tc>
        <w:tc>
          <w:tcPr>
            <w:tcW w:w="1215" w:type="dxa"/>
            <w:noWrap w:val="0"/>
            <w:vAlign w:val="center"/>
          </w:tcPr>
          <w:p w14:paraId="783B472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电流天平</w:t>
            </w:r>
          </w:p>
        </w:tc>
        <w:tc>
          <w:tcPr>
            <w:tcW w:w="804" w:type="dxa"/>
            <w:noWrap w:val="0"/>
            <w:vAlign w:val="center"/>
          </w:tcPr>
          <w:p w14:paraId="2BA9E07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7E6E4C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D1CA46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1.由底座、螺线管线圈、立柱、刻度盘、天平臂和指针组成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2.整体尺寸：247*120*250</w:t>
            </w:r>
          </w:p>
        </w:tc>
      </w:tr>
      <w:tr w14:paraId="5262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D792BF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247</w:t>
            </w:r>
          </w:p>
        </w:tc>
        <w:tc>
          <w:tcPr>
            <w:tcW w:w="1215" w:type="dxa"/>
            <w:noWrap w:val="0"/>
            <w:vAlign w:val="center"/>
          </w:tcPr>
          <w:p w14:paraId="54F50CC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安培力演示器</w:t>
            </w:r>
          </w:p>
        </w:tc>
        <w:tc>
          <w:tcPr>
            <w:tcW w:w="804" w:type="dxa"/>
            <w:noWrap w:val="0"/>
            <w:vAlign w:val="center"/>
          </w:tcPr>
          <w:p w14:paraId="7242AEE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4B3DEB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814185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1.由底座、磁极、通电线框、指针、接线柱、刻度盘组成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2.外观尺寸：130*190*310</w:t>
            </w:r>
          </w:p>
        </w:tc>
      </w:tr>
      <w:tr w14:paraId="58E9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00C129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248</w:t>
            </w:r>
          </w:p>
        </w:tc>
        <w:tc>
          <w:tcPr>
            <w:tcW w:w="1215" w:type="dxa"/>
            <w:noWrap w:val="0"/>
            <w:vAlign w:val="center"/>
          </w:tcPr>
          <w:p w14:paraId="223267E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安培力实验器</w:t>
            </w:r>
          </w:p>
        </w:tc>
        <w:tc>
          <w:tcPr>
            <w:tcW w:w="804" w:type="dxa"/>
            <w:noWrap w:val="0"/>
            <w:vAlign w:val="center"/>
          </w:tcPr>
          <w:p w14:paraId="0561590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0FCA4F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208D035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1.由底座、平行导轨、滑动杆、U形磁铁等组成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2.工作电压：DC8～12V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3.底座尺寸：155*108</w:t>
            </w:r>
          </w:p>
        </w:tc>
      </w:tr>
      <w:tr w14:paraId="67B4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100F8A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249</w:t>
            </w:r>
          </w:p>
        </w:tc>
        <w:tc>
          <w:tcPr>
            <w:tcW w:w="1215" w:type="dxa"/>
            <w:noWrap w:val="0"/>
            <w:vAlign w:val="center"/>
          </w:tcPr>
          <w:p w14:paraId="316F45F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自感现象演示器</w:t>
            </w:r>
          </w:p>
        </w:tc>
        <w:tc>
          <w:tcPr>
            <w:tcW w:w="804" w:type="dxa"/>
            <w:noWrap w:val="0"/>
            <w:vAlign w:val="center"/>
          </w:tcPr>
          <w:p w14:paraId="0ADB65A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6E83D25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B53FAA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1.由面板、支架、变压器、调节旋钮、灯泡、接线柱等组成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2.演示通电电源DC6V,演示断电电源DC4V</w:t>
            </w:r>
          </w:p>
        </w:tc>
      </w:tr>
      <w:tr w14:paraId="78F2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553D0A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250</w:t>
            </w:r>
          </w:p>
        </w:tc>
        <w:tc>
          <w:tcPr>
            <w:tcW w:w="1215" w:type="dxa"/>
            <w:noWrap w:val="0"/>
            <w:vAlign w:val="center"/>
          </w:tcPr>
          <w:p w14:paraId="35A09B6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电磁感应演示器</w:t>
            </w:r>
          </w:p>
        </w:tc>
        <w:tc>
          <w:tcPr>
            <w:tcW w:w="804" w:type="dxa"/>
            <w:noWrap w:val="0"/>
            <w:vAlign w:val="center"/>
          </w:tcPr>
          <w:p w14:paraId="14A8707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62406A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344296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1.由磁极主体、磁力线演示板、直流电机模型、直流发电机模型、交流发电机模型、转到线圈模型、悬挂直导线等组成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2.磁感应强度＞7MT；匀强磁场面积：130*110mm；磁场不均匀度≤4%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3.主体外观尺寸：199*169*173mm</w:t>
            </w:r>
          </w:p>
        </w:tc>
      </w:tr>
      <w:tr w14:paraId="33D4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73F359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251</w:t>
            </w:r>
          </w:p>
        </w:tc>
        <w:tc>
          <w:tcPr>
            <w:tcW w:w="1215" w:type="dxa"/>
            <w:noWrap w:val="0"/>
            <w:vAlign w:val="center"/>
          </w:tcPr>
          <w:p w14:paraId="5AB68BF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楞次定律演示器</w:t>
            </w:r>
          </w:p>
        </w:tc>
        <w:tc>
          <w:tcPr>
            <w:tcW w:w="804" w:type="dxa"/>
            <w:noWrap w:val="0"/>
            <w:vAlign w:val="center"/>
          </w:tcPr>
          <w:p w14:paraId="143972F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162429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065414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1.由支架和铝环组成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2.铝环有2个，一个开口环、一个闭口环，环的直径56mm,宽18mm</w:t>
            </w:r>
          </w:p>
        </w:tc>
      </w:tr>
      <w:tr w14:paraId="3B8D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423FFA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252</w:t>
            </w:r>
          </w:p>
        </w:tc>
        <w:tc>
          <w:tcPr>
            <w:tcW w:w="1215" w:type="dxa"/>
            <w:noWrap w:val="0"/>
            <w:vAlign w:val="center"/>
          </w:tcPr>
          <w:p w14:paraId="3638F22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电磁阻尼演示器</w:t>
            </w:r>
          </w:p>
        </w:tc>
        <w:tc>
          <w:tcPr>
            <w:tcW w:w="804" w:type="dxa"/>
            <w:noWrap w:val="0"/>
            <w:vAlign w:val="center"/>
          </w:tcPr>
          <w:p w14:paraId="61C40E5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5AE097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EBB304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1.由底座、支架、磁铁、强阻尼摆锤、弱阻尼摆锤等组成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2.整体为金属制，外观尺寸150*120*195mm</w:t>
            </w:r>
          </w:p>
        </w:tc>
      </w:tr>
      <w:tr w14:paraId="2B79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F1E740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253</w:t>
            </w:r>
          </w:p>
        </w:tc>
        <w:tc>
          <w:tcPr>
            <w:tcW w:w="1215" w:type="dxa"/>
            <w:noWrap w:val="0"/>
            <w:vAlign w:val="center"/>
          </w:tcPr>
          <w:p w14:paraId="6D0407C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动能发电手电筒</w:t>
            </w:r>
          </w:p>
        </w:tc>
        <w:tc>
          <w:tcPr>
            <w:tcW w:w="804" w:type="dxa"/>
            <w:noWrap w:val="0"/>
            <w:vAlign w:val="center"/>
          </w:tcPr>
          <w:p w14:paraId="5BD39BA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CD5FE2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4111E3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1.为按压式手电筒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2.手动蓄电，无需电池，三个LED灯泡照明</w:t>
            </w:r>
          </w:p>
        </w:tc>
      </w:tr>
      <w:tr w14:paraId="7CF7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5D23EF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254</w:t>
            </w:r>
          </w:p>
        </w:tc>
        <w:tc>
          <w:tcPr>
            <w:tcW w:w="1215" w:type="dxa"/>
            <w:noWrap w:val="0"/>
            <w:vAlign w:val="center"/>
          </w:tcPr>
          <w:p w14:paraId="70489A3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单匝线圈电机原理演示器</w:t>
            </w:r>
          </w:p>
        </w:tc>
        <w:tc>
          <w:tcPr>
            <w:tcW w:w="804" w:type="dxa"/>
            <w:noWrap w:val="0"/>
            <w:vAlign w:val="center"/>
          </w:tcPr>
          <w:p w14:paraId="24978E1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41FFA0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9BFC60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1.由底座、接线柱、转子、强磁铁等组成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2.转子由单根导线折制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3.底座尺寸：240*195mm</w:t>
            </w:r>
          </w:p>
        </w:tc>
      </w:tr>
      <w:tr w14:paraId="6FA5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F27563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255</w:t>
            </w:r>
          </w:p>
        </w:tc>
        <w:tc>
          <w:tcPr>
            <w:tcW w:w="1215" w:type="dxa"/>
            <w:noWrap w:val="0"/>
            <w:vAlign w:val="center"/>
          </w:tcPr>
          <w:p w14:paraId="04038D6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三相电机原理演示器</w:t>
            </w:r>
          </w:p>
        </w:tc>
        <w:tc>
          <w:tcPr>
            <w:tcW w:w="804" w:type="dxa"/>
            <w:noWrap w:val="0"/>
            <w:vAlign w:val="center"/>
          </w:tcPr>
          <w:p w14:paraId="022C354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79812A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39A984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1.由永磁式旋转磁场演示器和电磁场旋转演示器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2.永磁式旋转磁场演示器由支架和固定转轴的蹄形磁铁组成，中心有一小磁针，尺寸：φ147*140mm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3.电磁场旋转演示器由三个间隔相等的方形线圈组成，尺寸：φ147*140mm</w:t>
            </w:r>
          </w:p>
        </w:tc>
      </w:tr>
      <w:tr w14:paraId="50A9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34C954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256</w:t>
            </w:r>
          </w:p>
        </w:tc>
        <w:tc>
          <w:tcPr>
            <w:tcW w:w="1215" w:type="dxa"/>
            <w:noWrap w:val="0"/>
            <w:vAlign w:val="center"/>
          </w:tcPr>
          <w:p w14:paraId="0947485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手摇三相交流发电机</w:t>
            </w:r>
          </w:p>
        </w:tc>
        <w:tc>
          <w:tcPr>
            <w:tcW w:w="804" w:type="dxa"/>
            <w:noWrap w:val="0"/>
            <w:vAlign w:val="center"/>
          </w:tcPr>
          <w:p w14:paraId="2A78666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20E4A73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EB29EC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1.由底座、定子绕组、转子、轴承支架、几座支架、接线柱、三角形星形接线板、三角形负载板、星形负载板、传动齿轮、导线、小灯泡等组成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2.底座尺寸：351*282mm</w:t>
            </w:r>
          </w:p>
        </w:tc>
      </w:tr>
      <w:tr w14:paraId="62E4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0B338F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257</w:t>
            </w:r>
          </w:p>
        </w:tc>
        <w:tc>
          <w:tcPr>
            <w:tcW w:w="1215" w:type="dxa"/>
            <w:noWrap w:val="0"/>
            <w:vAlign w:val="center"/>
          </w:tcPr>
          <w:p w14:paraId="2BFF8A1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三线电子开关</w:t>
            </w:r>
          </w:p>
        </w:tc>
        <w:tc>
          <w:tcPr>
            <w:tcW w:w="804" w:type="dxa"/>
            <w:noWrap w:val="0"/>
            <w:vAlign w:val="center"/>
          </w:tcPr>
          <w:p w14:paraId="48E3D0B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5C37F41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65E80F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1.由电子开关部分和信号发生器组成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2.输入阻抗：100KΩ、40PF；输入信号≤10V；开关频率：100Hz～100KHz；放入系数≥3；相对位移≥6V；增幅调节比≥10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3.阶梯波信号：100Hz～100KHz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4.外观尺寸：250*120*120mm</w:t>
            </w:r>
          </w:p>
        </w:tc>
      </w:tr>
      <w:tr w14:paraId="4390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D2BE6D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258</w:t>
            </w:r>
          </w:p>
        </w:tc>
        <w:tc>
          <w:tcPr>
            <w:tcW w:w="1215" w:type="dxa"/>
            <w:noWrap w:val="0"/>
            <w:vAlign w:val="center"/>
          </w:tcPr>
          <w:p w14:paraId="0B4DACC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交流电路特性演示器</w:t>
            </w:r>
          </w:p>
        </w:tc>
        <w:tc>
          <w:tcPr>
            <w:tcW w:w="804" w:type="dxa"/>
            <w:noWrap w:val="0"/>
            <w:vAlign w:val="center"/>
          </w:tcPr>
          <w:p w14:paraId="299D526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5298513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C7B0AB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1.仪器由示教板、电感、电容、电阻、灯泡及灯座组成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2.仪器尺寸510*395*35mm</w:t>
            </w:r>
          </w:p>
        </w:tc>
      </w:tr>
      <w:tr w14:paraId="2948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5B73A0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259</w:t>
            </w:r>
          </w:p>
        </w:tc>
        <w:tc>
          <w:tcPr>
            <w:tcW w:w="1215" w:type="dxa"/>
            <w:noWrap w:val="0"/>
            <w:vAlign w:val="center"/>
          </w:tcPr>
          <w:p w14:paraId="1BE9C80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可拆变压器</w:t>
            </w:r>
          </w:p>
        </w:tc>
        <w:tc>
          <w:tcPr>
            <w:tcW w:w="804" w:type="dxa"/>
            <w:noWrap w:val="0"/>
            <w:vAlign w:val="center"/>
          </w:tcPr>
          <w:p w14:paraId="6193781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4890187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5F7705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1.用于演示初次极线圈间电压和匝数的关系、电流和匝数的关系，变压器的效率，远距离输电等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2.重要部件为金属制，可拆卸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3.外观尺寸：165*100*174mm</w:t>
            </w:r>
          </w:p>
        </w:tc>
      </w:tr>
      <w:tr w14:paraId="06EF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FAF069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260</w:t>
            </w:r>
          </w:p>
        </w:tc>
        <w:tc>
          <w:tcPr>
            <w:tcW w:w="1215" w:type="dxa"/>
            <w:noWrap w:val="0"/>
            <w:vAlign w:val="center"/>
          </w:tcPr>
          <w:p w14:paraId="2E61CC3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小型变压器</w:t>
            </w:r>
          </w:p>
        </w:tc>
        <w:tc>
          <w:tcPr>
            <w:tcW w:w="804" w:type="dxa"/>
            <w:noWrap w:val="0"/>
            <w:vAlign w:val="center"/>
          </w:tcPr>
          <w:p w14:paraId="670F332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D8CAB1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2FF422F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1.由铁芯、初级线圈、次级线圈和外壳组成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2.外观尺寸：60*50*33mm</w:t>
            </w:r>
          </w:p>
        </w:tc>
      </w:tr>
      <w:tr w14:paraId="43B8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2BADE0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261</w:t>
            </w:r>
          </w:p>
        </w:tc>
        <w:tc>
          <w:tcPr>
            <w:tcW w:w="1215" w:type="dxa"/>
            <w:noWrap w:val="0"/>
            <w:vAlign w:val="center"/>
          </w:tcPr>
          <w:p w14:paraId="38768A3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变压器原理说明器</w:t>
            </w:r>
          </w:p>
        </w:tc>
        <w:tc>
          <w:tcPr>
            <w:tcW w:w="804" w:type="dxa"/>
            <w:noWrap w:val="0"/>
            <w:vAlign w:val="center"/>
          </w:tcPr>
          <w:p w14:paraId="02A61CD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0634D07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69CBF2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1.由线圈2件、U型铁芯1件、条形铁轭1件、极掌2件、压板螺钉2件、强阻尼摆1件、弱阻尼摆1件、摆架1件、示教板1件、感应线圈1件、铝环1件、小灯泡5只等组成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2.主要部件为金属制</w:t>
            </w:r>
          </w:p>
        </w:tc>
      </w:tr>
      <w:tr w14:paraId="3838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5F85B6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262</w:t>
            </w:r>
          </w:p>
        </w:tc>
        <w:tc>
          <w:tcPr>
            <w:tcW w:w="1215" w:type="dxa"/>
            <w:noWrap w:val="0"/>
            <w:vAlign w:val="center"/>
          </w:tcPr>
          <w:p w14:paraId="170AEB9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日光灯原理演示器</w:t>
            </w:r>
          </w:p>
        </w:tc>
        <w:tc>
          <w:tcPr>
            <w:tcW w:w="804" w:type="dxa"/>
            <w:noWrap w:val="0"/>
            <w:vAlign w:val="center"/>
          </w:tcPr>
          <w:p w14:paraId="74CB815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DCA3E6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F128A8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1.由演示板、灯管、启辉器、镇流器、触发开关等组成。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2.尺寸390*520*50</w:t>
            </w:r>
          </w:p>
        </w:tc>
      </w:tr>
      <w:tr w14:paraId="2E43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825396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263</w:t>
            </w:r>
          </w:p>
        </w:tc>
        <w:tc>
          <w:tcPr>
            <w:tcW w:w="1215" w:type="dxa"/>
            <w:noWrap w:val="0"/>
            <w:vAlign w:val="center"/>
          </w:tcPr>
          <w:p w14:paraId="20E36EA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电子束演示器</w:t>
            </w:r>
          </w:p>
        </w:tc>
        <w:tc>
          <w:tcPr>
            <w:tcW w:w="804" w:type="dxa"/>
            <w:noWrap w:val="0"/>
            <w:vAlign w:val="center"/>
          </w:tcPr>
          <w:p w14:paraId="44A19EA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08DB760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83A3F5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1.有电子束管、控制器及电源组成，采用8SJ31G型静电偏转阴极射线演示管，通过加速电子束轰击荧光屏幕发光，显示电子苏轨迹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2.加速电压：0～700V连续可调；偏转电压：0～50V连续可调；偏转方向：上下左右四个；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3.外观尺寸：125*178*390mm</w:t>
            </w:r>
          </w:p>
        </w:tc>
      </w:tr>
      <w:tr w14:paraId="1490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7C9618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264</w:t>
            </w:r>
          </w:p>
        </w:tc>
        <w:tc>
          <w:tcPr>
            <w:tcW w:w="1215" w:type="dxa"/>
            <w:noWrap w:val="0"/>
            <w:vAlign w:val="center"/>
          </w:tcPr>
          <w:p w14:paraId="220CEC6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阴极射线演示器</w:t>
            </w:r>
          </w:p>
        </w:tc>
        <w:tc>
          <w:tcPr>
            <w:tcW w:w="804" w:type="dxa"/>
            <w:noWrap w:val="0"/>
            <w:vAlign w:val="center"/>
          </w:tcPr>
          <w:p w14:paraId="2BBA27B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37697E2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1FCABC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1.为热阴极射线演示器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2.加速极电压：335～440V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3.Y偏转板电压：0～70V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4.扫描频率范围：25～50Hz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5.X偏转板电压：-75～75V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6.外观尺寸：130*195*280mm</w:t>
            </w:r>
          </w:p>
        </w:tc>
      </w:tr>
      <w:tr w14:paraId="6E97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CDFF4E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265</w:t>
            </w:r>
          </w:p>
        </w:tc>
        <w:tc>
          <w:tcPr>
            <w:tcW w:w="1215" w:type="dxa"/>
            <w:noWrap w:val="0"/>
            <w:vAlign w:val="center"/>
          </w:tcPr>
          <w:p w14:paraId="0BB9417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门电路和传感器应用实验箱</w:t>
            </w:r>
          </w:p>
        </w:tc>
        <w:tc>
          <w:tcPr>
            <w:tcW w:w="804" w:type="dxa"/>
            <w:noWrap w:val="0"/>
            <w:vAlign w:val="center"/>
          </w:tcPr>
          <w:p w14:paraId="24E879F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BDF2C2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169567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1.由九个模块组成：温度传感器包括感温铁氧体、霍尔元件、干簧管、光传感器、光敏电阻、热敏电阻、非门、或门、与门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2.外观尺寸：263*203*45mm</w:t>
            </w:r>
          </w:p>
        </w:tc>
      </w:tr>
      <w:tr w14:paraId="40AA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D7C8AC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266</w:t>
            </w:r>
          </w:p>
        </w:tc>
        <w:tc>
          <w:tcPr>
            <w:tcW w:w="1215" w:type="dxa"/>
            <w:noWrap w:val="0"/>
            <w:vAlign w:val="center"/>
          </w:tcPr>
          <w:p w14:paraId="2B24283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电学元件黑箱</w:t>
            </w:r>
          </w:p>
        </w:tc>
        <w:tc>
          <w:tcPr>
            <w:tcW w:w="804" w:type="dxa"/>
            <w:noWrap w:val="0"/>
            <w:vAlign w:val="center"/>
          </w:tcPr>
          <w:p w14:paraId="355724D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054EFB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04ECB7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1.用于使用多用电表探索黑箱内的电学元件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2.主要部件为塑料制，外观尺寸138*98*48mm</w:t>
            </w:r>
          </w:p>
        </w:tc>
      </w:tr>
      <w:tr w14:paraId="52E7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2ADB67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267</w:t>
            </w:r>
          </w:p>
        </w:tc>
        <w:tc>
          <w:tcPr>
            <w:tcW w:w="1215" w:type="dxa"/>
            <w:noWrap w:val="0"/>
            <w:vAlign w:val="center"/>
          </w:tcPr>
          <w:p w14:paraId="1139819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低气压放电管组</w:t>
            </w:r>
          </w:p>
        </w:tc>
        <w:tc>
          <w:tcPr>
            <w:tcW w:w="804" w:type="dxa"/>
            <w:noWrap w:val="0"/>
            <w:vAlign w:val="center"/>
          </w:tcPr>
          <w:p w14:paraId="1C36305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429788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8FF0A3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1.由支架、放电管、鳄鱼夹导线和带绝缘手柄的金属杆组成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2.放电管共6支，尺寸均为：φ24*390mm，气压分别为：40mmHg、10mmHg、3mmHg、1mmHg、0.1mmHg、0.02mmHg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3.支架为塑料制：外观尺寸：338*118*455mm</w:t>
            </w:r>
          </w:p>
        </w:tc>
      </w:tr>
      <w:tr w14:paraId="00BF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16AAAE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268</w:t>
            </w:r>
          </w:p>
        </w:tc>
        <w:tc>
          <w:tcPr>
            <w:tcW w:w="1215" w:type="dxa"/>
            <w:noWrap w:val="0"/>
            <w:vAlign w:val="center"/>
          </w:tcPr>
          <w:p w14:paraId="719BA4B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电谐振演示器</w:t>
            </w:r>
          </w:p>
        </w:tc>
        <w:tc>
          <w:tcPr>
            <w:tcW w:w="804" w:type="dxa"/>
            <w:noWrap w:val="0"/>
            <w:vAlign w:val="center"/>
          </w:tcPr>
          <w:p w14:paraId="1A52FE1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7C0BB8E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D8224A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1.由发送器和接收器组成，发送器和接收器均有莱顿瓶、电调环、电感调节棒，发送器上有火花方电杆，接收器上有氖泡接收指示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2.发送器输入脉冲高压：0～40KV，放电间隙：0.2～2mm，振荡频率：5MHz，电感环尺寸：580*280mm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3.最大接收距离：不小于0.5m，电感环尺寸：580*280mm</w:t>
            </w:r>
          </w:p>
        </w:tc>
      </w:tr>
      <w:tr w14:paraId="0BF7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0C8CB2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269</w:t>
            </w:r>
          </w:p>
        </w:tc>
        <w:tc>
          <w:tcPr>
            <w:tcW w:w="1215" w:type="dxa"/>
            <w:noWrap w:val="0"/>
            <w:vAlign w:val="center"/>
          </w:tcPr>
          <w:p w14:paraId="3E3AA69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赫兹实验演示器</w:t>
            </w:r>
          </w:p>
        </w:tc>
        <w:tc>
          <w:tcPr>
            <w:tcW w:w="804" w:type="dxa"/>
            <w:noWrap w:val="0"/>
            <w:vAlign w:val="center"/>
          </w:tcPr>
          <w:p w14:paraId="1A0024B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1F2F91D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2F8970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1.由底座、连接金属杆、带电球、发射天线杆、接收金属杆、固定螺丝、氖泡架、接收天线杆等组成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2.反射部分和接收部分的外观尺寸均为：300*100*250mm</w:t>
            </w:r>
          </w:p>
        </w:tc>
      </w:tr>
      <w:tr w14:paraId="7B19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5090FA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270</w:t>
            </w:r>
          </w:p>
        </w:tc>
        <w:tc>
          <w:tcPr>
            <w:tcW w:w="1215" w:type="dxa"/>
            <w:noWrap w:val="0"/>
            <w:vAlign w:val="center"/>
          </w:tcPr>
          <w:p w14:paraId="2DC2749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电磁振荡演示仪</w:t>
            </w:r>
          </w:p>
        </w:tc>
        <w:tc>
          <w:tcPr>
            <w:tcW w:w="804" w:type="dxa"/>
            <w:noWrap w:val="0"/>
            <w:vAlign w:val="center"/>
          </w:tcPr>
          <w:p w14:paraId="498BDA5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617F602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89CAAE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1.由具有铁芯的电感线圈、电容器、集成电路、面板导线等组成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2.可进行减幅振荡演示和等幅振荡演示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3.面板带有原理图，原理图的线条宽度不小于3mm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4.外观尺寸：420*280*48mm</w:t>
            </w:r>
          </w:p>
        </w:tc>
      </w:tr>
      <w:tr w14:paraId="2EE8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D5903A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271</w:t>
            </w:r>
          </w:p>
        </w:tc>
        <w:tc>
          <w:tcPr>
            <w:tcW w:w="1215" w:type="dxa"/>
            <w:noWrap w:val="0"/>
            <w:vAlign w:val="center"/>
          </w:tcPr>
          <w:p w14:paraId="6A06576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电磁波的发送和接收演示器</w:t>
            </w:r>
          </w:p>
        </w:tc>
        <w:tc>
          <w:tcPr>
            <w:tcW w:w="804" w:type="dxa"/>
            <w:noWrap w:val="0"/>
            <w:vAlign w:val="center"/>
          </w:tcPr>
          <w:p w14:paraId="55C2BE3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5690A4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914F9E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1.由发射机部分和接收机部分组成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2.发射机部分由高频振荡器和天线组成；接收机部分由调谐接收器（调谐接收板和振子天线）、电表演示接收器（电表演示板和检波天线）、放大接收器（放大接收机和反射天线）组成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3.发射机工作频率：230MHz；调谐接收器接收距离≥0.5m，电表指示接收器接收距离≥3m，放大接收器接收距离≥4m</w:t>
            </w:r>
          </w:p>
        </w:tc>
      </w:tr>
      <w:tr w14:paraId="4408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C9E540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272</w:t>
            </w:r>
          </w:p>
        </w:tc>
        <w:tc>
          <w:tcPr>
            <w:tcW w:w="1215" w:type="dxa"/>
            <w:noWrap w:val="0"/>
            <w:vAlign w:val="center"/>
          </w:tcPr>
          <w:p w14:paraId="66030D9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电磁波的干涉衍射偏振演示器</w:t>
            </w:r>
          </w:p>
        </w:tc>
        <w:tc>
          <w:tcPr>
            <w:tcW w:w="804" w:type="dxa"/>
            <w:noWrap w:val="0"/>
            <w:vAlign w:val="center"/>
          </w:tcPr>
          <w:p w14:paraId="1AD22D3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100A9E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FD32AD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1.由发射器、喇叭天线接收器、振子接收器、长短连接电缆、大小反射板、石蜡棱镜、木质折射体、木质吸收体、搁架、电源线和熔丝管等组成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2.发射器工作频率：11GHz；喇叭天线接收器三十只二极管发光接收距离不小于1m，扬声器发生接收距离不小于3m</w:t>
            </w:r>
          </w:p>
        </w:tc>
      </w:tr>
      <w:tr w14:paraId="2B3D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940048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273</w:t>
            </w:r>
          </w:p>
        </w:tc>
        <w:tc>
          <w:tcPr>
            <w:tcW w:w="1215" w:type="dxa"/>
            <w:noWrap w:val="0"/>
            <w:vAlign w:val="center"/>
          </w:tcPr>
          <w:p w14:paraId="6465779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密立根油滴仪</w:t>
            </w:r>
          </w:p>
        </w:tc>
        <w:tc>
          <w:tcPr>
            <w:tcW w:w="804" w:type="dxa"/>
            <w:noWrap w:val="0"/>
            <w:vAlign w:val="center"/>
          </w:tcPr>
          <w:p w14:paraId="0410033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33A0139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7BDAF8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1.由油滴盒、测量显微镜、电源、喉头喷雾器、钟油、保险丝等组成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2.油滴盒由防风罩、隔离圈、集油器、弹簧夹、上下电极板、灯座、导光柱组成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3.显微镜目镜有分划板，刻度相当于线视场2mm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4.外观尺寸：214*269*168mm</w:t>
            </w:r>
          </w:p>
        </w:tc>
      </w:tr>
      <w:tr w14:paraId="0706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72E87F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274</w:t>
            </w:r>
          </w:p>
        </w:tc>
        <w:tc>
          <w:tcPr>
            <w:tcW w:w="1215" w:type="dxa"/>
            <w:noWrap w:val="0"/>
            <w:vAlign w:val="center"/>
          </w:tcPr>
          <w:p w14:paraId="40078B5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电子比荷实验仪</w:t>
            </w:r>
          </w:p>
        </w:tc>
        <w:tc>
          <w:tcPr>
            <w:tcW w:w="804" w:type="dxa"/>
            <w:noWrap w:val="0"/>
            <w:vAlign w:val="center"/>
          </w:tcPr>
          <w:p w14:paraId="2F54980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01D1B3A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C9D10F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1.采用纵磁场聚焦法测定电子的电量和质量之比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2.额定电压：AC220V；额定频率：50Hz；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3.最大输入功率：85W；加速电压：1000V～1200V连续可调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4.低压直流电源电流强度：0.2A～1.5A、1.5A～2.5A各档连续可调；电流方向可换向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5.螺线管单位长度匝数3800匝/米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6.外形尺寸：380*190*320mm</w:t>
            </w:r>
          </w:p>
        </w:tc>
      </w:tr>
      <w:tr w14:paraId="30DC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0E6898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275</w:t>
            </w:r>
          </w:p>
        </w:tc>
        <w:tc>
          <w:tcPr>
            <w:tcW w:w="1215" w:type="dxa"/>
            <w:noWrap w:val="0"/>
            <w:vAlign w:val="center"/>
          </w:tcPr>
          <w:p w14:paraId="29F2622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半导体致冷器</w:t>
            </w:r>
          </w:p>
        </w:tc>
        <w:tc>
          <w:tcPr>
            <w:tcW w:w="804" w:type="dxa"/>
            <w:noWrap w:val="0"/>
            <w:vAlign w:val="center"/>
          </w:tcPr>
          <w:p w14:paraId="5916DAF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7E99FF3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D2B149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1.由致冷器，水槽，风扇等组成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2.外形尺寸240*120*80mm</w:t>
            </w:r>
          </w:p>
        </w:tc>
      </w:tr>
      <w:tr w14:paraId="0C1C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220ECE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276</w:t>
            </w:r>
          </w:p>
        </w:tc>
        <w:tc>
          <w:tcPr>
            <w:tcW w:w="1215" w:type="dxa"/>
            <w:noWrap w:val="0"/>
            <w:vAlign w:val="center"/>
          </w:tcPr>
          <w:p w14:paraId="3683EA4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整流电路实验器</w:t>
            </w:r>
          </w:p>
        </w:tc>
        <w:tc>
          <w:tcPr>
            <w:tcW w:w="804" w:type="dxa"/>
            <w:noWrap w:val="0"/>
            <w:vAlign w:val="center"/>
          </w:tcPr>
          <w:p w14:paraId="6D58C42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4058374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DD0015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1.由变压器、实验面板、内部电路和导线等组成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2.工作电压：220V，50Hz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3.实验面板包含半波整流电路、半波整流电容滤波电路、半波整流π型滤波电路、全波桥式整流电路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4.外观尺寸：420*320*48mm</w:t>
            </w:r>
          </w:p>
        </w:tc>
      </w:tr>
      <w:tr w14:paraId="0937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CCEFCF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277</w:t>
            </w:r>
          </w:p>
        </w:tc>
        <w:tc>
          <w:tcPr>
            <w:tcW w:w="1215" w:type="dxa"/>
            <w:noWrap w:val="0"/>
            <w:vAlign w:val="center"/>
          </w:tcPr>
          <w:p w14:paraId="49CCF5B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光具盘</w:t>
            </w:r>
          </w:p>
        </w:tc>
        <w:tc>
          <w:tcPr>
            <w:tcW w:w="804" w:type="dxa"/>
            <w:noWrap w:val="0"/>
            <w:vAlign w:val="center"/>
          </w:tcPr>
          <w:p w14:paraId="41EB339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06D4C17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428F68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1.由演示板、演示盘、光源和光学附件组成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2.演示板金属制尺寸为660*240mm；演示盘为直径250mm的铝合金板；光源有激光光源和白炽灯光源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3.光学附件有梯形玻璃砖、等腰直角棱镜、半圆柱透镜、凹凸柱面镜、大双凸柱透镜、小双凸柱透镜、小双凹柱透镜、平面反射镜、漫反射镜、正三棱镜、双凸透镜等</w:t>
            </w:r>
          </w:p>
        </w:tc>
      </w:tr>
      <w:tr w14:paraId="248E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C95911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278</w:t>
            </w:r>
          </w:p>
        </w:tc>
        <w:tc>
          <w:tcPr>
            <w:tcW w:w="1215" w:type="dxa"/>
            <w:noWrap w:val="0"/>
            <w:vAlign w:val="center"/>
          </w:tcPr>
          <w:p w14:paraId="2A0BF14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凹面镜</w:t>
            </w:r>
          </w:p>
        </w:tc>
        <w:tc>
          <w:tcPr>
            <w:tcW w:w="804" w:type="dxa"/>
            <w:noWrap w:val="0"/>
            <w:vAlign w:val="center"/>
          </w:tcPr>
          <w:p w14:paraId="713D0B0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7E3247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A2AA5D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1.有凹面镜、支架及底座组成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2.凸透镜直径10cm,底座直径7.5cm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3.高20cm</w:t>
            </w:r>
          </w:p>
        </w:tc>
      </w:tr>
      <w:tr w14:paraId="59C9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8B5ADA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279</w:t>
            </w:r>
          </w:p>
        </w:tc>
        <w:tc>
          <w:tcPr>
            <w:tcW w:w="1215" w:type="dxa"/>
            <w:noWrap w:val="0"/>
            <w:vAlign w:val="center"/>
          </w:tcPr>
          <w:p w14:paraId="5641096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凸面镜</w:t>
            </w:r>
          </w:p>
        </w:tc>
        <w:tc>
          <w:tcPr>
            <w:tcW w:w="804" w:type="dxa"/>
            <w:noWrap w:val="0"/>
            <w:vAlign w:val="center"/>
          </w:tcPr>
          <w:p w14:paraId="1072B91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103C3B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E6668C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1.有凸面镜、支架及底座组成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2.凸透镜直径10cm,底座直径7.5cm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3.高20cm</w:t>
            </w:r>
          </w:p>
        </w:tc>
      </w:tr>
      <w:tr w14:paraId="7387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C81496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280</w:t>
            </w:r>
          </w:p>
        </w:tc>
        <w:tc>
          <w:tcPr>
            <w:tcW w:w="1215" w:type="dxa"/>
            <w:noWrap w:val="0"/>
            <w:vAlign w:val="center"/>
          </w:tcPr>
          <w:p w14:paraId="44CF03F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玻璃砖</w:t>
            </w:r>
          </w:p>
        </w:tc>
        <w:tc>
          <w:tcPr>
            <w:tcW w:w="804" w:type="dxa"/>
            <w:noWrap w:val="0"/>
            <w:vAlign w:val="center"/>
          </w:tcPr>
          <w:p w14:paraId="06E8A69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块</w:t>
            </w:r>
          </w:p>
        </w:tc>
        <w:tc>
          <w:tcPr>
            <w:tcW w:w="765" w:type="dxa"/>
            <w:gridSpan w:val="2"/>
            <w:noWrap w:val="0"/>
            <w:vAlign w:val="center"/>
          </w:tcPr>
          <w:p w14:paraId="66A653F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2224D2C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1.为梯形光学玻璃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2.玻璃砖厚度为14mm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3.玻璃砖短边长36mm,长边87mm,高34mm</w:t>
            </w:r>
          </w:p>
        </w:tc>
      </w:tr>
      <w:tr w14:paraId="6E7B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BA37AE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281</w:t>
            </w:r>
          </w:p>
        </w:tc>
        <w:tc>
          <w:tcPr>
            <w:tcW w:w="1215" w:type="dxa"/>
            <w:noWrap w:val="0"/>
            <w:vAlign w:val="center"/>
          </w:tcPr>
          <w:p w14:paraId="59ED823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光具座</w:t>
            </w:r>
          </w:p>
        </w:tc>
        <w:tc>
          <w:tcPr>
            <w:tcW w:w="804" w:type="dxa"/>
            <w:noWrap w:val="0"/>
            <w:vAlign w:val="center"/>
          </w:tcPr>
          <w:p w14:paraId="43B1514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27683B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91AA9B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1.由双轨支架、标尺、滑块和光学附件组成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2.双轨全长96cm，滑块为塑料制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3.光学附件有双凸透镜、双凹透镜、平凸透镜、毛玻璃屏、光源、烛台、1字屏和插杆</w:t>
            </w:r>
          </w:p>
        </w:tc>
      </w:tr>
      <w:tr w14:paraId="64AFF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CC833E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282</w:t>
            </w:r>
          </w:p>
        </w:tc>
        <w:tc>
          <w:tcPr>
            <w:tcW w:w="1215" w:type="dxa"/>
            <w:noWrap w:val="0"/>
            <w:vAlign w:val="center"/>
          </w:tcPr>
          <w:p w14:paraId="57DCA30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三棱镜</w:t>
            </w:r>
          </w:p>
        </w:tc>
        <w:tc>
          <w:tcPr>
            <w:tcW w:w="804" w:type="dxa"/>
            <w:noWrap w:val="0"/>
            <w:vAlign w:val="center"/>
          </w:tcPr>
          <w:p w14:paraId="46E7D59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83122D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2E8D521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1.有三棱镜、支架及底座组成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2.三棱镜边长23mm,长69mm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3.高16cm</w:t>
            </w:r>
          </w:p>
        </w:tc>
      </w:tr>
      <w:tr w14:paraId="5D1C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32BE12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283</w:t>
            </w:r>
          </w:p>
        </w:tc>
        <w:tc>
          <w:tcPr>
            <w:tcW w:w="1215" w:type="dxa"/>
            <w:noWrap w:val="0"/>
            <w:vAlign w:val="center"/>
          </w:tcPr>
          <w:p w14:paraId="1EFC57F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白光的色散与合成演示器</w:t>
            </w:r>
          </w:p>
        </w:tc>
        <w:tc>
          <w:tcPr>
            <w:tcW w:w="804" w:type="dxa"/>
            <w:noWrap w:val="0"/>
            <w:vAlign w:val="center"/>
          </w:tcPr>
          <w:p w14:paraId="1FD146D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2F74AE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C393C4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1.由2块顶角为60度的棱镜、棱镜台、光屏和光源组成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2.光源电压：DC6～8V，棱镜边长24mm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3.外观尺寸：136*88*70mm</w:t>
            </w:r>
          </w:p>
        </w:tc>
      </w:tr>
      <w:tr w14:paraId="0D6A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E34F6D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284</w:t>
            </w:r>
          </w:p>
        </w:tc>
        <w:tc>
          <w:tcPr>
            <w:tcW w:w="1215" w:type="dxa"/>
            <w:noWrap w:val="0"/>
            <w:vAlign w:val="center"/>
          </w:tcPr>
          <w:p w14:paraId="0ED5841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透镜及其应用实验器</w:t>
            </w:r>
          </w:p>
        </w:tc>
        <w:tc>
          <w:tcPr>
            <w:tcW w:w="804" w:type="dxa"/>
            <w:noWrap w:val="0"/>
            <w:vAlign w:val="center"/>
          </w:tcPr>
          <w:p w14:paraId="26FB2E8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98D1F5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9</w:t>
            </w:r>
          </w:p>
        </w:tc>
        <w:tc>
          <w:tcPr>
            <w:tcW w:w="6351" w:type="dxa"/>
            <w:noWrap w:val="0"/>
            <w:vAlign w:val="center"/>
          </w:tcPr>
          <w:p w14:paraId="73AC59F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1.由凸透镜、凹透镜、支架和底座组成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2.凸透镜有直径40mm和直径50mm各1个；凹透镜直径为40mm</w:t>
            </w:r>
          </w:p>
        </w:tc>
      </w:tr>
      <w:tr w14:paraId="688F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1F507B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285</w:t>
            </w:r>
          </w:p>
        </w:tc>
        <w:tc>
          <w:tcPr>
            <w:tcW w:w="1215" w:type="dxa"/>
            <w:noWrap w:val="0"/>
            <w:vAlign w:val="center"/>
          </w:tcPr>
          <w:p w14:paraId="190B9A0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光的折射全反射实验器</w:t>
            </w:r>
          </w:p>
        </w:tc>
        <w:tc>
          <w:tcPr>
            <w:tcW w:w="804" w:type="dxa"/>
            <w:noWrap w:val="0"/>
            <w:vAlign w:val="center"/>
          </w:tcPr>
          <w:p w14:paraId="28DA232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DB6261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w:t>
            </w:r>
          </w:p>
        </w:tc>
        <w:tc>
          <w:tcPr>
            <w:tcW w:w="6351" w:type="dxa"/>
            <w:noWrap w:val="0"/>
            <w:vAlign w:val="center"/>
          </w:tcPr>
          <w:p w14:paraId="4CFB269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1.由演示屏、折射镜、光源座、光源、反射镜、漫反射镜和底座组成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2.演示屏为金属制，印有角度标尺；光源座为磁吸式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3.整体宽度276mm，高168mm</w:t>
            </w:r>
          </w:p>
        </w:tc>
      </w:tr>
      <w:tr w14:paraId="7E12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52A4FA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286</w:t>
            </w:r>
          </w:p>
        </w:tc>
        <w:tc>
          <w:tcPr>
            <w:tcW w:w="1215" w:type="dxa"/>
            <w:noWrap w:val="0"/>
            <w:vAlign w:val="center"/>
          </w:tcPr>
          <w:p w14:paraId="1F7539C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光的干涉衍射偏振演示器</w:t>
            </w:r>
          </w:p>
        </w:tc>
        <w:tc>
          <w:tcPr>
            <w:tcW w:w="804" w:type="dxa"/>
            <w:noWrap w:val="0"/>
            <w:vAlign w:val="center"/>
          </w:tcPr>
          <w:p w14:paraId="7CD27A6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DEB52F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A808FB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1.由光具座导轨、支杆、底盘、短滑块、中滑块、长滑块、梯形具座、光源、观察筒、投影透镜、光具架、双缝、偏振片、光栅、多缝、光源单缝、衍射单缝、牛顿环、玻片反射起偏器、双面镜、毛玻璃屏等组成</w:t>
            </w:r>
          </w:p>
        </w:tc>
      </w:tr>
      <w:tr w14:paraId="3676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C14DD5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287</w:t>
            </w:r>
          </w:p>
        </w:tc>
        <w:tc>
          <w:tcPr>
            <w:tcW w:w="1215" w:type="dxa"/>
            <w:noWrap w:val="0"/>
            <w:vAlign w:val="center"/>
          </w:tcPr>
          <w:p w14:paraId="6FEA2D9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激光光学演示仪</w:t>
            </w:r>
          </w:p>
        </w:tc>
        <w:tc>
          <w:tcPr>
            <w:tcW w:w="804" w:type="dxa"/>
            <w:noWrap w:val="0"/>
            <w:vAlign w:val="center"/>
          </w:tcPr>
          <w:p w14:paraId="2E1A25F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490978C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AFF7B4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1.由激光发生器、演示板和光学附件组成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2.激光发生器由He-Ne激光器、调光旋钮、平面镜、扩束器、分束器分光镜等组成，外观尺寸：420*129*110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3.演示板尺寸为352*279mm，中心有度盘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4.光刻衍射片结构尺寸：单缝0.1；双缝0.1×0.1；三缝0.08×0.08；四缝0.06×0.12；光栅0.08×0.08.0.04×0.08；圆孔 φ0.4；方孔0.3×0.3；矩孔0.25×0.4；三角孔0.4 </w:t>
            </w:r>
          </w:p>
        </w:tc>
      </w:tr>
      <w:tr w14:paraId="2046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8BCDB2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288</w:t>
            </w:r>
          </w:p>
        </w:tc>
        <w:tc>
          <w:tcPr>
            <w:tcW w:w="1215" w:type="dxa"/>
            <w:noWrap w:val="0"/>
            <w:vAlign w:val="center"/>
          </w:tcPr>
          <w:p w14:paraId="69BA969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微型物理光学观察器</w:t>
            </w:r>
          </w:p>
        </w:tc>
        <w:tc>
          <w:tcPr>
            <w:tcW w:w="804" w:type="dxa"/>
            <w:noWrap w:val="0"/>
            <w:vAlign w:val="center"/>
          </w:tcPr>
          <w:p w14:paraId="4465509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652509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4D206B6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1.由接收屏、1#衍射片、2#衍射片、3#衍射片、激光器、机身、电池仓盖、电源开关、调节手轮等组成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2.尺寸：105*88*73mm</w:t>
            </w:r>
          </w:p>
        </w:tc>
      </w:tr>
      <w:tr w14:paraId="6F17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9974BB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289</w:t>
            </w:r>
          </w:p>
        </w:tc>
        <w:tc>
          <w:tcPr>
            <w:tcW w:w="1215" w:type="dxa"/>
            <w:noWrap w:val="0"/>
            <w:vAlign w:val="center"/>
          </w:tcPr>
          <w:p w14:paraId="61218FE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双缝干涉实验仪</w:t>
            </w:r>
          </w:p>
        </w:tc>
        <w:tc>
          <w:tcPr>
            <w:tcW w:w="804" w:type="dxa"/>
            <w:noWrap w:val="0"/>
            <w:vAlign w:val="center"/>
          </w:tcPr>
          <w:p w14:paraId="1229DD6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5EA6F43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w:t>
            </w:r>
          </w:p>
        </w:tc>
        <w:tc>
          <w:tcPr>
            <w:tcW w:w="6351" w:type="dxa"/>
            <w:noWrap w:val="0"/>
            <w:vAlign w:val="center"/>
          </w:tcPr>
          <w:p w14:paraId="4F6BA2A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1.由灯泡、照明透镜、遮光板、滤色片及片座、单狭缝及缝座、单缝管、拨杆、遮光管、接长管、测量头、游标尺、滑块、手轮、目镜、半圆形支架环组成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2.单缝管长600mm</w:t>
            </w:r>
          </w:p>
        </w:tc>
      </w:tr>
      <w:tr w14:paraId="04A0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901C18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290</w:t>
            </w:r>
          </w:p>
        </w:tc>
        <w:tc>
          <w:tcPr>
            <w:tcW w:w="1215" w:type="dxa"/>
            <w:noWrap w:val="0"/>
            <w:vAlign w:val="center"/>
          </w:tcPr>
          <w:p w14:paraId="247F4F2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牛顿环</w:t>
            </w:r>
          </w:p>
        </w:tc>
        <w:tc>
          <w:tcPr>
            <w:tcW w:w="804" w:type="dxa"/>
            <w:noWrap w:val="0"/>
            <w:vAlign w:val="center"/>
          </w:tcPr>
          <w:p w14:paraId="07615B3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B593D2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5E8FF0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1.由平凸透镜、玻璃片和外壳组成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2.外观尺寸：φ50*27mm</w:t>
            </w:r>
          </w:p>
        </w:tc>
      </w:tr>
      <w:tr w14:paraId="27CA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AC3BC9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291</w:t>
            </w:r>
          </w:p>
        </w:tc>
        <w:tc>
          <w:tcPr>
            <w:tcW w:w="1215" w:type="dxa"/>
            <w:noWrap w:val="0"/>
            <w:vAlign w:val="center"/>
          </w:tcPr>
          <w:p w14:paraId="3B5A1BD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光导纤维应用演示器</w:t>
            </w:r>
          </w:p>
        </w:tc>
        <w:tc>
          <w:tcPr>
            <w:tcW w:w="804" w:type="dxa"/>
            <w:noWrap w:val="0"/>
            <w:vAlign w:val="center"/>
          </w:tcPr>
          <w:p w14:paraId="418FBF0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38E838D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D2E5F3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1.由演示器和光导纤维组成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2.可演示光传输、图像传输、声音传输；电源电压：DC6V；接收器最大输出功率不小于0.25W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3.外观尺寸：418*218*35</w:t>
            </w:r>
          </w:p>
        </w:tc>
      </w:tr>
      <w:tr w14:paraId="4414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5184F7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292</w:t>
            </w:r>
          </w:p>
        </w:tc>
        <w:tc>
          <w:tcPr>
            <w:tcW w:w="1215" w:type="dxa"/>
            <w:noWrap w:val="0"/>
            <w:vAlign w:val="center"/>
          </w:tcPr>
          <w:p w14:paraId="52F2BD8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光的偏振观察器</w:t>
            </w:r>
          </w:p>
        </w:tc>
        <w:tc>
          <w:tcPr>
            <w:tcW w:w="804" w:type="dxa"/>
            <w:noWrap w:val="0"/>
            <w:vAlign w:val="center"/>
          </w:tcPr>
          <w:p w14:paraId="5D3EF91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40C67C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4</w:t>
            </w:r>
          </w:p>
        </w:tc>
        <w:tc>
          <w:tcPr>
            <w:tcW w:w="6351" w:type="dxa"/>
            <w:noWrap w:val="0"/>
            <w:vAlign w:val="center"/>
          </w:tcPr>
          <w:p w14:paraId="2A0C825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1.由带座框的两块偏振片组成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2.偏振片直径为30mm和40mm；座框外缘带有指示刻度，每小格值450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2.安装完毕后上口直径59mm，下口直径49mm，高40mm</w:t>
            </w:r>
          </w:p>
        </w:tc>
      </w:tr>
      <w:tr w14:paraId="6AD6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B65419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293</w:t>
            </w:r>
          </w:p>
        </w:tc>
        <w:tc>
          <w:tcPr>
            <w:tcW w:w="1215" w:type="dxa"/>
            <w:noWrap w:val="0"/>
            <w:vAlign w:val="center"/>
          </w:tcPr>
          <w:p w14:paraId="62475A2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紫外线作用演示器</w:t>
            </w:r>
          </w:p>
        </w:tc>
        <w:tc>
          <w:tcPr>
            <w:tcW w:w="804" w:type="dxa"/>
            <w:noWrap w:val="0"/>
            <w:vAlign w:val="center"/>
          </w:tcPr>
          <w:p w14:paraId="2641354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01133A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DF4774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1.由底座、支架、电源、日光灯、紫外灯、滤色片和荧光片组成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2.可以演示紫外线的存在、荧光作用、感光作用、生理作用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3.日光灯6W；紫外灯2个，波长分别为254nm、365nm；滤色片有红黄蓝绿各1片，尺寸为52*70mm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4.外观尺寸300*232*95mm</w:t>
            </w:r>
          </w:p>
        </w:tc>
      </w:tr>
      <w:tr w14:paraId="47C7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FF721E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294</w:t>
            </w:r>
          </w:p>
        </w:tc>
        <w:tc>
          <w:tcPr>
            <w:tcW w:w="1215" w:type="dxa"/>
            <w:noWrap w:val="0"/>
            <w:vAlign w:val="center"/>
          </w:tcPr>
          <w:p w14:paraId="4CAE498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红外线作用演示器</w:t>
            </w:r>
          </w:p>
        </w:tc>
        <w:tc>
          <w:tcPr>
            <w:tcW w:w="804" w:type="dxa"/>
            <w:noWrap w:val="0"/>
            <w:vAlign w:val="center"/>
          </w:tcPr>
          <w:p w14:paraId="130D749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068D8E4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E2693A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1.由红外线发现器、红外线说明器、红外线控制器组成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2.红外线发现器由平行白光光源、三棱分光镜、暗箱和红外线接收器组成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3.红外线说明器由凹面镜、热辐射物体和热敏温度计组成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4.红外线控制器由红外线发射器和红外线接收器组成</w:t>
            </w:r>
          </w:p>
        </w:tc>
      </w:tr>
      <w:tr w14:paraId="3C18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B1F988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295</w:t>
            </w:r>
          </w:p>
        </w:tc>
        <w:tc>
          <w:tcPr>
            <w:tcW w:w="1215" w:type="dxa"/>
            <w:noWrap w:val="0"/>
            <w:vAlign w:val="center"/>
          </w:tcPr>
          <w:p w14:paraId="682CA7A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手持直视分光镜</w:t>
            </w:r>
          </w:p>
        </w:tc>
        <w:tc>
          <w:tcPr>
            <w:tcW w:w="804" w:type="dxa"/>
            <w:noWrap w:val="0"/>
            <w:vAlign w:val="center"/>
          </w:tcPr>
          <w:p w14:paraId="2431756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2FC054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3BF5B9E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1.由保护片、单缝、透镜、组合棱镜等组成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2.外观尺寸：φ22*95mm</w:t>
            </w:r>
          </w:p>
        </w:tc>
      </w:tr>
      <w:tr w14:paraId="0639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24931B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296</w:t>
            </w:r>
          </w:p>
        </w:tc>
        <w:tc>
          <w:tcPr>
            <w:tcW w:w="1215" w:type="dxa"/>
            <w:noWrap w:val="0"/>
            <w:vAlign w:val="center"/>
          </w:tcPr>
          <w:p w14:paraId="5EBC6D4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棱镜分光镜</w:t>
            </w:r>
          </w:p>
        </w:tc>
        <w:tc>
          <w:tcPr>
            <w:tcW w:w="804" w:type="dxa"/>
            <w:noWrap w:val="0"/>
            <w:vAlign w:val="center"/>
          </w:tcPr>
          <w:p w14:paraId="07824A8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442F143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A5B1FA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1.由平行光管、望远镜、波长标度管、三棱镜、托盘、底座等组成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2.底座直径180mm，整体高度203mm</w:t>
            </w:r>
          </w:p>
        </w:tc>
      </w:tr>
      <w:tr w14:paraId="2C80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D97169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297</w:t>
            </w:r>
          </w:p>
        </w:tc>
        <w:tc>
          <w:tcPr>
            <w:tcW w:w="1215" w:type="dxa"/>
            <w:noWrap w:val="0"/>
            <w:vAlign w:val="center"/>
          </w:tcPr>
          <w:p w14:paraId="2B048FA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光谱管组</w:t>
            </w:r>
          </w:p>
        </w:tc>
        <w:tc>
          <w:tcPr>
            <w:tcW w:w="804" w:type="dxa"/>
            <w:noWrap w:val="0"/>
            <w:vAlign w:val="center"/>
          </w:tcPr>
          <w:p w14:paraId="25DDAC6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D4A2C6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8D3192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1.由光谱管、带绝缘手柄的金属杆和支架组成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2.光谱管共6根，分别充进氢、氦、汞、氖、氩、氮气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3.外观尺寸：170*110*282mm</w:t>
            </w:r>
          </w:p>
        </w:tc>
      </w:tr>
      <w:tr w14:paraId="55BD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034257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298</w:t>
            </w:r>
          </w:p>
        </w:tc>
        <w:tc>
          <w:tcPr>
            <w:tcW w:w="1215" w:type="dxa"/>
            <w:noWrap w:val="0"/>
            <w:vAlign w:val="center"/>
          </w:tcPr>
          <w:p w14:paraId="163E653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钠的吸收光谱演示器</w:t>
            </w:r>
          </w:p>
        </w:tc>
        <w:tc>
          <w:tcPr>
            <w:tcW w:w="804" w:type="dxa"/>
            <w:noWrap w:val="0"/>
            <w:vAlign w:val="center"/>
          </w:tcPr>
          <w:p w14:paraId="3103B63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3DFD0B8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AC01D1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1.由钠管、加热炉、分光镜、光源、底盘和立柱组成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2.加热炉工作电压：交流24V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3.光源电压：直流6V</w:t>
            </w:r>
          </w:p>
        </w:tc>
      </w:tr>
      <w:tr w14:paraId="59A8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28CE3C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299</w:t>
            </w:r>
          </w:p>
        </w:tc>
        <w:tc>
          <w:tcPr>
            <w:tcW w:w="1215" w:type="dxa"/>
            <w:noWrap w:val="0"/>
            <w:vAlign w:val="center"/>
          </w:tcPr>
          <w:p w14:paraId="1434F91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光电效应演示器</w:t>
            </w:r>
          </w:p>
        </w:tc>
        <w:tc>
          <w:tcPr>
            <w:tcW w:w="804" w:type="dxa"/>
            <w:noWrap w:val="0"/>
            <w:vAlign w:val="center"/>
          </w:tcPr>
          <w:p w14:paraId="367CB0D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5F5873C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FB92F4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1.由高压电源，微电流放大器，锌板和铜丝网，紫外光源等组成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2.锌板在紫外线照射时，电流计显示的电流应大于200μA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3.锌板尺寸：190*135mm</w:t>
            </w:r>
          </w:p>
        </w:tc>
      </w:tr>
      <w:tr w14:paraId="421A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1C5246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300</w:t>
            </w:r>
          </w:p>
        </w:tc>
        <w:tc>
          <w:tcPr>
            <w:tcW w:w="1215" w:type="dxa"/>
            <w:noWrap w:val="0"/>
            <w:vAlign w:val="center"/>
          </w:tcPr>
          <w:p w14:paraId="1529FE6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光电效应演示器</w:t>
            </w:r>
          </w:p>
        </w:tc>
        <w:tc>
          <w:tcPr>
            <w:tcW w:w="804" w:type="dxa"/>
            <w:noWrap w:val="0"/>
            <w:vAlign w:val="center"/>
          </w:tcPr>
          <w:p w14:paraId="3667999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3389F47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528F1A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1.由面板、光电管、光源选择开关、电压调节旋钮、电压表、电流表等组成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2.工作电压：DC3V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3.尺寸：420*310*50mm</w:t>
            </w:r>
          </w:p>
        </w:tc>
      </w:tr>
      <w:tr w14:paraId="70B4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B3F6F9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301</w:t>
            </w:r>
          </w:p>
        </w:tc>
        <w:tc>
          <w:tcPr>
            <w:tcW w:w="1215" w:type="dxa"/>
            <w:noWrap w:val="0"/>
            <w:vAlign w:val="center"/>
          </w:tcPr>
          <w:p w14:paraId="5D7A72B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太阳电池演示器</w:t>
            </w:r>
          </w:p>
        </w:tc>
        <w:tc>
          <w:tcPr>
            <w:tcW w:w="804" w:type="dxa"/>
            <w:noWrap w:val="0"/>
            <w:vAlign w:val="center"/>
          </w:tcPr>
          <w:p w14:paraId="3E9F65E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5C34AEF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9AC342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1.由ABS塑料底座、太阳能电池板、蜂鸣器、发光二极管、小电机、连接导线等材料组成。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2.底座尺寸为：200×150×20mm；太阳能电池板具有方向调整功能，尺寸为55×55mm；蜂鸣器直径30mm；发光二极管为红色，直径8mm</w:t>
            </w:r>
          </w:p>
        </w:tc>
      </w:tr>
      <w:tr w14:paraId="7448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B2749C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302</w:t>
            </w:r>
          </w:p>
        </w:tc>
        <w:tc>
          <w:tcPr>
            <w:tcW w:w="1215" w:type="dxa"/>
            <w:noWrap w:val="0"/>
            <w:vAlign w:val="center"/>
          </w:tcPr>
          <w:p w14:paraId="559060A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X射线演示仪</w:t>
            </w:r>
          </w:p>
        </w:tc>
        <w:tc>
          <w:tcPr>
            <w:tcW w:w="804" w:type="dxa"/>
            <w:noWrap w:val="0"/>
            <w:vAlign w:val="center"/>
          </w:tcPr>
          <w:p w14:paraId="2F45F43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0EF5175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3AA3E4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1.由热阴极X射线管、高压电源、防护机箱组成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2.X射线管由阳极、阴极、管壳、排气管、引出线、阳极棒等组成，工作高压≤30kV，阳极电流≤2mA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3.外观尺寸：420*350*260mm</w:t>
            </w:r>
          </w:p>
        </w:tc>
      </w:tr>
      <w:tr w14:paraId="635E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09DF4D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303</w:t>
            </w:r>
          </w:p>
        </w:tc>
        <w:tc>
          <w:tcPr>
            <w:tcW w:w="1215" w:type="dxa"/>
            <w:noWrap w:val="0"/>
            <w:vAlign w:val="center"/>
          </w:tcPr>
          <w:p w14:paraId="1DBF749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盖革计数器</w:t>
            </w:r>
          </w:p>
        </w:tc>
        <w:tc>
          <w:tcPr>
            <w:tcW w:w="804" w:type="dxa"/>
            <w:noWrap w:val="0"/>
            <w:vAlign w:val="center"/>
          </w:tcPr>
          <w:p w14:paraId="3AB6A5F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534D1F1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D5F336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1.用于检测放射性粒子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2.显示方式 ： 声响&gt;70dB；闪光：LED发光二极管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3.工作电源：220V±10%，50Hz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4.外形尺寸 195*160*60mm</w:t>
            </w:r>
          </w:p>
        </w:tc>
      </w:tr>
      <w:tr w14:paraId="1F6E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7F88DD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304</w:t>
            </w:r>
          </w:p>
        </w:tc>
        <w:tc>
          <w:tcPr>
            <w:tcW w:w="1215" w:type="dxa"/>
            <w:noWrap w:val="0"/>
            <w:vAlign w:val="center"/>
          </w:tcPr>
          <w:p w14:paraId="04B6B3B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威尔逊云雾室</w:t>
            </w:r>
          </w:p>
        </w:tc>
        <w:tc>
          <w:tcPr>
            <w:tcW w:w="804" w:type="dxa"/>
            <w:noWrap w:val="0"/>
            <w:vAlign w:val="center"/>
          </w:tcPr>
          <w:p w14:paraId="1C9D767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780B802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BE33C4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1.采用人造放射元素镅241（Am241),强度约0.8微居里左右，被金属外壳覆盖放射线绝不会泄露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2.外形尺寸205*180*190mm</w:t>
            </w:r>
          </w:p>
        </w:tc>
      </w:tr>
      <w:tr w14:paraId="39CC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F54EA8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305</w:t>
            </w:r>
          </w:p>
        </w:tc>
        <w:tc>
          <w:tcPr>
            <w:tcW w:w="1215" w:type="dxa"/>
            <w:noWrap w:val="0"/>
            <w:vAlign w:val="center"/>
          </w:tcPr>
          <w:p w14:paraId="45FB414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高温扩散云室</w:t>
            </w:r>
          </w:p>
        </w:tc>
        <w:tc>
          <w:tcPr>
            <w:tcW w:w="804" w:type="dxa"/>
            <w:noWrap w:val="0"/>
            <w:vAlign w:val="center"/>
          </w:tcPr>
          <w:p w14:paraId="29FCF41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23632B4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F703B5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1.采用人造放射元素镅241（Am241),强度约0.8微居里左右，被金属外壳覆盖放射线绝不会泄露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2.220V电源，演示持续不间断，云室内放射现象明显，有专用放射源盒，放射源由铝合金封装，封装壳一端有带锥度的放射孔。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放射源盒固定在箱体上，云室观察室壁厚为5mm的透明石英玻璃，上盖观察孔由两个拉板拉压连接于底部的金属固定圈上，拉板用螺丝固定弹簧向下推着拉板形成，云室内部有放射源卡口，照明灯为LED灯，箱体为金属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4.外形尺寸205*183*203mm</w:t>
            </w:r>
          </w:p>
        </w:tc>
      </w:tr>
      <w:tr w14:paraId="72E4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E69D67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306</w:t>
            </w:r>
          </w:p>
        </w:tc>
        <w:tc>
          <w:tcPr>
            <w:tcW w:w="1215" w:type="dxa"/>
            <w:noWrap w:val="0"/>
            <w:vAlign w:val="center"/>
          </w:tcPr>
          <w:p w14:paraId="60E0D9D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普朗克常量测定器</w:t>
            </w:r>
          </w:p>
        </w:tc>
        <w:tc>
          <w:tcPr>
            <w:tcW w:w="804" w:type="dxa"/>
            <w:noWrap w:val="0"/>
            <w:vAlign w:val="center"/>
          </w:tcPr>
          <w:p w14:paraId="1F60191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2E4F817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624CBB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1.受光元件：真空光电管；四种滤色片（635.570.540.490mm）；电流放大器：60db；光源220V，25W白炽灯；电源220V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2.主机尺寸280*225*120mm</w:t>
            </w:r>
          </w:p>
        </w:tc>
      </w:tr>
      <w:tr w14:paraId="2DA0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E5C27A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307</w:t>
            </w:r>
          </w:p>
        </w:tc>
        <w:tc>
          <w:tcPr>
            <w:tcW w:w="1215" w:type="dxa"/>
            <w:noWrap w:val="0"/>
            <w:vAlign w:val="center"/>
          </w:tcPr>
          <w:p w14:paraId="416CD7BF">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小车</w:t>
            </w:r>
          </w:p>
        </w:tc>
        <w:tc>
          <w:tcPr>
            <w:tcW w:w="804" w:type="dxa"/>
            <w:noWrap w:val="0"/>
            <w:vAlign w:val="center"/>
          </w:tcPr>
          <w:p w14:paraId="698E138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5F09DD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01D31B6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1.由塑料车身、金属车轮和配重块组成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2.小车整体尺寸：109*69*29mm；同一轴上两轮之间的距离60mm</w:t>
            </w:r>
          </w:p>
        </w:tc>
      </w:tr>
      <w:tr w14:paraId="2821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7810FB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308</w:t>
            </w:r>
          </w:p>
        </w:tc>
        <w:tc>
          <w:tcPr>
            <w:tcW w:w="1215" w:type="dxa"/>
            <w:noWrap w:val="0"/>
            <w:vAlign w:val="center"/>
          </w:tcPr>
          <w:p w14:paraId="3F4EF61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液压机模型</w:t>
            </w:r>
          </w:p>
        </w:tc>
        <w:tc>
          <w:tcPr>
            <w:tcW w:w="804" w:type="dxa"/>
            <w:noWrap w:val="0"/>
            <w:vAlign w:val="center"/>
          </w:tcPr>
          <w:p w14:paraId="41FDAC8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925667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E863EA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1.由大小缸体、角式截止阀、截止阀杆、手柄、压力弹簧、压弯装置、液压油和底座等组成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2.大小缸体为透明材料，其他主要部件为金属制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3.整体尺寸：250*132*288mm</w:t>
            </w:r>
          </w:p>
        </w:tc>
      </w:tr>
      <w:tr w14:paraId="75B6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7B3F2E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309</w:t>
            </w:r>
          </w:p>
        </w:tc>
        <w:tc>
          <w:tcPr>
            <w:tcW w:w="1215" w:type="dxa"/>
            <w:noWrap w:val="0"/>
            <w:vAlign w:val="center"/>
          </w:tcPr>
          <w:p w14:paraId="5FC8B40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汽油机模型</w:t>
            </w:r>
          </w:p>
        </w:tc>
        <w:tc>
          <w:tcPr>
            <w:tcW w:w="804" w:type="dxa"/>
            <w:noWrap w:val="0"/>
            <w:vAlign w:val="center"/>
          </w:tcPr>
          <w:p w14:paraId="40AE810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9EB986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456DFD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1.由进气管、进气阀、进气阀、排气阀、气缸、活塞、连杆、曲轴、火花塞、齿轮凸轮总成、飞轮、灯光控制器、挺杆等组成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2.指示灯工作电压：DC3V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3.尺寸：168*108*300mm</w:t>
            </w:r>
          </w:p>
        </w:tc>
      </w:tr>
      <w:tr w14:paraId="6641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84237F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w:t>
            </w:r>
          </w:p>
        </w:tc>
        <w:tc>
          <w:tcPr>
            <w:tcW w:w="1215" w:type="dxa"/>
            <w:noWrap w:val="0"/>
            <w:vAlign w:val="center"/>
          </w:tcPr>
          <w:p w14:paraId="0D4E1E1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柴油机模型</w:t>
            </w:r>
          </w:p>
        </w:tc>
        <w:tc>
          <w:tcPr>
            <w:tcW w:w="804" w:type="dxa"/>
            <w:noWrap w:val="0"/>
            <w:vAlign w:val="center"/>
          </w:tcPr>
          <w:p w14:paraId="021BD29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F963FE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3EEC62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1.由进气管、进气阀、进气阀、排气阀、气缸、活塞、连杆、曲轴、喷油嘴、游针、齿轮凸轮总成、飞轮、灯光控制器、挺杆等组成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2.指示灯工作电压：DC3V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3.尺寸：168*108*300mm</w:t>
            </w:r>
          </w:p>
        </w:tc>
      </w:tr>
      <w:tr w14:paraId="6360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0D9787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311</w:t>
            </w:r>
          </w:p>
        </w:tc>
        <w:tc>
          <w:tcPr>
            <w:tcW w:w="1215" w:type="dxa"/>
            <w:noWrap w:val="0"/>
            <w:vAlign w:val="center"/>
          </w:tcPr>
          <w:p w14:paraId="1FF60F2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磁分子模型</w:t>
            </w:r>
          </w:p>
        </w:tc>
        <w:tc>
          <w:tcPr>
            <w:tcW w:w="804" w:type="dxa"/>
            <w:noWrap w:val="0"/>
            <w:vAlign w:val="center"/>
          </w:tcPr>
          <w:p w14:paraId="3043001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184EF0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6BBFCB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1.由透明盒和小磁针组成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2.磁针每行6个，共6行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3.透明盒尺寸：150*104mm</w:t>
            </w:r>
          </w:p>
        </w:tc>
      </w:tr>
      <w:tr w14:paraId="3BC1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8751ED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312</w:t>
            </w:r>
          </w:p>
        </w:tc>
        <w:tc>
          <w:tcPr>
            <w:tcW w:w="1215" w:type="dxa"/>
            <w:noWrap w:val="0"/>
            <w:vAlign w:val="center"/>
          </w:tcPr>
          <w:p w14:paraId="68FF031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离心机械模型</w:t>
            </w:r>
          </w:p>
        </w:tc>
        <w:tc>
          <w:tcPr>
            <w:tcW w:w="804" w:type="dxa"/>
            <w:noWrap w:val="0"/>
            <w:vAlign w:val="center"/>
          </w:tcPr>
          <w:p w14:paraId="679FFAC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9AE3DC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B1B723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1.由节速器、干燥器、分离器组成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2.节速器由关节撑臂、速杆、螺线弹簧、滑套、金属叉、节流阀阀片等组成；为金属制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3.干燥器由塑料外筒、带孔内筒和支轴组成；主体为塑料制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4.分离器由支架和离心管组成</w:t>
            </w:r>
          </w:p>
        </w:tc>
      </w:tr>
      <w:tr w14:paraId="2B2F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35D822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313</w:t>
            </w:r>
          </w:p>
        </w:tc>
        <w:tc>
          <w:tcPr>
            <w:tcW w:w="1215" w:type="dxa"/>
            <w:noWrap w:val="0"/>
            <w:vAlign w:val="center"/>
          </w:tcPr>
          <w:p w14:paraId="2A75261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晶体空间点阵模型</w:t>
            </w:r>
          </w:p>
        </w:tc>
        <w:tc>
          <w:tcPr>
            <w:tcW w:w="804" w:type="dxa"/>
            <w:noWrap w:val="0"/>
            <w:vAlign w:val="center"/>
          </w:tcPr>
          <w:p w14:paraId="43FE7A6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9AD185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CF314A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1.由有机底板、塑料球、金属键等组成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2.可组装成食盐，金刚石，石墨等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3.塑料球直径22mm，金属键表面镀铬</w:t>
            </w:r>
          </w:p>
        </w:tc>
      </w:tr>
      <w:tr w14:paraId="17F2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82CEFA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314</w:t>
            </w:r>
          </w:p>
        </w:tc>
        <w:tc>
          <w:tcPr>
            <w:tcW w:w="1215" w:type="dxa"/>
            <w:noWrap w:val="0"/>
            <w:vAlign w:val="center"/>
          </w:tcPr>
          <w:p w14:paraId="12F6403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蒸汽机模型</w:t>
            </w:r>
          </w:p>
        </w:tc>
        <w:tc>
          <w:tcPr>
            <w:tcW w:w="804" w:type="dxa"/>
            <w:noWrap w:val="0"/>
            <w:vAlign w:val="center"/>
          </w:tcPr>
          <w:p w14:paraId="1EB8C9D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547B69C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4A8EBB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1由气缸活塞、连杆、底板、凸轮、飞轮等组成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2.由透明有机材料制；外形尺寸180*100*95mm</w:t>
            </w:r>
          </w:p>
        </w:tc>
      </w:tr>
      <w:tr w14:paraId="2F89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0C7C35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315</w:t>
            </w:r>
          </w:p>
        </w:tc>
        <w:tc>
          <w:tcPr>
            <w:tcW w:w="1215" w:type="dxa"/>
            <w:noWrap w:val="0"/>
            <w:vAlign w:val="center"/>
          </w:tcPr>
          <w:p w14:paraId="0934E1E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蒸汽轮机模型</w:t>
            </w:r>
          </w:p>
        </w:tc>
        <w:tc>
          <w:tcPr>
            <w:tcW w:w="804" w:type="dxa"/>
            <w:noWrap w:val="0"/>
            <w:vAlign w:val="center"/>
          </w:tcPr>
          <w:p w14:paraId="0A416AC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478DC26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78A753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1.为透明有机玻璃制蒸汽轮机模型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2.外形尺寸160*150*95mm</w:t>
            </w:r>
          </w:p>
        </w:tc>
      </w:tr>
      <w:tr w14:paraId="0B5D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D8992C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316</w:t>
            </w:r>
          </w:p>
        </w:tc>
        <w:tc>
          <w:tcPr>
            <w:tcW w:w="1215" w:type="dxa"/>
            <w:noWrap w:val="0"/>
            <w:vAlign w:val="center"/>
          </w:tcPr>
          <w:p w14:paraId="1B2B15E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燃气轮机模型</w:t>
            </w:r>
          </w:p>
        </w:tc>
        <w:tc>
          <w:tcPr>
            <w:tcW w:w="804" w:type="dxa"/>
            <w:noWrap w:val="0"/>
            <w:vAlign w:val="center"/>
          </w:tcPr>
          <w:p w14:paraId="1757041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134D658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F5E808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1.为透明有机玻璃制燃气轮机模型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2.外形尺寸 200*125*131mm</w:t>
            </w:r>
          </w:p>
        </w:tc>
      </w:tr>
      <w:tr w14:paraId="40CD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B99A39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317</w:t>
            </w:r>
          </w:p>
        </w:tc>
        <w:tc>
          <w:tcPr>
            <w:tcW w:w="1215" w:type="dxa"/>
            <w:noWrap w:val="0"/>
            <w:vAlign w:val="center"/>
          </w:tcPr>
          <w:p w14:paraId="0F18901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高压输变电模拟演示器</w:t>
            </w:r>
          </w:p>
        </w:tc>
        <w:tc>
          <w:tcPr>
            <w:tcW w:w="804" w:type="dxa"/>
            <w:noWrap w:val="0"/>
            <w:vAlign w:val="center"/>
          </w:tcPr>
          <w:p w14:paraId="689805C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0A70AD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4E4535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1.由演示板、升圧变压器、降圧变压器、转换开关、指示灯等组成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2.外观尺寸 520*395*35mm</w:t>
            </w:r>
          </w:p>
        </w:tc>
      </w:tr>
      <w:tr w14:paraId="2131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14CB78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318</w:t>
            </w:r>
          </w:p>
        </w:tc>
        <w:tc>
          <w:tcPr>
            <w:tcW w:w="1215" w:type="dxa"/>
            <w:noWrap w:val="0"/>
            <w:vAlign w:val="center"/>
          </w:tcPr>
          <w:p w14:paraId="767CCA9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车床变速器模型</w:t>
            </w:r>
          </w:p>
        </w:tc>
        <w:tc>
          <w:tcPr>
            <w:tcW w:w="804" w:type="dxa"/>
            <w:noWrap w:val="0"/>
            <w:vAlign w:val="center"/>
          </w:tcPr>
          <w:p w14:paraId="32D9BE7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0D9726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EE1CB3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1.为透明有机玻璃制车床变速器模型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2.外形尺寸 170*145*90mm</w:t>
            </w:r>
          </w:p>
        </w:tc>
      </w:tr>
      <w:tr w14:paraId="7B5C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6DDB10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319</w:t>
            </w:r>
          </w:p>
        </w:tc>
        <w:tc>
          <w:tcPr>
            <w:tcW w:w="1215" w:type="dxa"/>
            <w:noWrap w:val="0"/>
            <w:vAlign w:val="center"/>
          </w:tcPr>
          <w:p w14:paraId="4565B4A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汽车变速箱模型</w:t>
            </w:r>
          </w:p>
        </w:tc>
        <w:tc>
          <w:tcPr>
            <w:tcW w:w="804" w:type="dxa"/>
            <w:noWrap w:val="0"/>
            <w:vAlign w:val="center"/>
          </w:tcPr>
          <w:p w14:paraId="7981FF1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59F046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D0557F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1.为透明有机玻璃制汽车变速箱模型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2.外形尺寸 170*145*90mm</w:t>
            </w:r>
          </w:p>
        </w:tc>
      </w:tr>
      <w:tr w14:paraId="0C27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9C328E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320</w:t>
            </w:r>
          </w:p>
        </w:tc>
        <w:tc>
          <w:tcPr>
            <w:tcW w:w="1215" w:type="dxa"/>
            <w:noWrap w:val="0"/>
            <w:vAlign w:val="center"/>
          </w:tcPr>
          <w:p w14:paraId="72B1E57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机械机构模型</w:t>
            </w:r>
          </w:p>
        </w:tc>
        <w:tc>
          <w:tcPr>
            <w:tcW w:w="804" w:type="dxa"/>
            <w:noWrap w:val="0"/>
            <w:vAlign w:val="center"/>
          </w:tcPr>
          <w:p w14:paraId="0C81040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B63CCD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9169C2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1.由曲柄摇杆机构、双曲柄机构、双摇杆机构、曲柄滑块机构、凸轮机构组成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2.主体由全透明有机玻璃制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3.曲柄摇杆机构尺寸120*80*140mm、双曲柄机构尺寸120*80*90mm、双摇杆机构尺寸120*80*120mm、 曲柄滑块机构尺寸120*80*90mm、凸轮机械尺寸120*80*96mm</w:t>
            </w:r>
          </w:p>
        </w:tc>
      </w:tr>
      <w:tr w14:paraId="23B2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719471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321</w:t>
            </w:r>
          </w:p>
        </w:tc>
        <w:tc>
          <w:tcPr>
            <w:tcW w:w="1215" w:type="dxa"/>
            <w:noWrap w:val="0"/>
            <w:vAlign w:val="center"/>
          </w:tcPr>
          <w:p w14:paraId="3A3338B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机械传动模型</w:t>
            </w:r>
          </w:p>
        </w:tc>
        <w:tc>
          <w:tcPr>
            <w:tcW w:w="804" w:type="dxa"/>
            <w:noWrap w:val="0"/>
            <w:vAlign w:val="center"/>
          </w:tcPr>
          <w:p w14:paraId="517E19B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D6F725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F17C21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1.由齿轮传动、皮带传动、链传动、蜗轮蜗杆传动、摩擦轮传动组成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2.主体由全透明有机玻璃制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3.齿轮传动尺寸120*80*90mm、皮带传动尺寸120*80*90mm、链传动尺寸120*80*90mm、涡轮蜗杆传动尺寸120*80*90mm、摩擦轮传动尺寸120*80*90mm</w:t>
            </w:r>
          </w:p>
        </w:tc>
      </w:tr>
      <w:tr w14:paraId="6DDE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4CA61A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322</w:t>
            </w:r>
          </w:p>
        </w:tc>
        <w:tc>
          <w:tcPr>
            <w:tcW w:w="1215" w:type="dxa"/>
            <w:noWrap w:val="0"/>
            <w:vAlign w:val="center"/>
          </w:tcPr>
          <w:p w14:paraId="7666B80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液压传动模型</w:t>
            </w:r>
          </w:p>
        </w:tc>
        <w:tc>
          <w:tcPr>
            <w:tcW w:w="804" w:type="dxa"/>
            <w:noWrap w:val="0"/>
            <w:vAlign w:val="center"/>
          </w:tcPr>
          <w:p w14:paraId="6B1475C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9299E2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444F5F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1.由液压千斤顶结构，液压缸内活塞、液压泵和单向阀等组成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2.全透明设计，工作过程清晰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3.外形尺寸 284*125*185mm</w:t>
            </w:r>
          </w:p>
        </w:tc>
      </w:tr>
      <w:tr w14:paraId="667C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6382B8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323</w:t>
            </w:r>
          </w:p>
        </w:tc>
        <w:tc>
          <w:tcPr>
            <w:tcW w:w="1215" w:type="dxa"/>
            <w:noWrap w:val="0"/>
            <w:vAlign w:val="center"/>
          </w:tcPr>
          <w:p w14:paraId="06B2421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汽车刹车系统模型</w:t>
            </w:r>
          </w:p>
        </w:tc>
        <w:tc>
          <w:tcPr>
            <w:tcW w:w="804" w:type="dxa"/>
            <w:noWrap w:val="0"/>
            <w:vAlign w:val="center"/>
          </w:tcPr>
          <w:p w14:paraId="3C32E84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46525A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E4154D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 xml:space="preserve">1.由底座、支架、针筒、转轮等组成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2.外形尺寸284*123*80mm</w:t>
            </w:r>
          </w:p>
        </w:tc>
      </w:tr>
      <w:tr w14:paraId="689C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71326C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324</w:t>
            </w:r>
          </w:p>
        </w:tc>
        <w:tc>
          <w:tcPr>
            <w:tcW w:w="1215" w:type="dxa"/>
            <w:noWrap w:val="0"/>
            <w:vAlign w:val="center"/>
          </w:tcPr>
          <w:p w14:paraId="3083875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量筒</w:t>
            </w:r>
          </w:p>
        </w:tc>
        <w:tc>
          <w:tcPr>
            <w:tcW w:w="804" w:type="dxa"/>
            <w:noWrap w:val="0"/>
            <w:vAlign w:val="center"/>
          </w:tcPr>
          <w:p w14:paraId="1F9D379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FD66C7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593B994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1.玻璃量筒和塑料底座组成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2.最大容量10ml,精度值0.2ml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3.整体高度125mm,量筒直径15mm,壁厚不低于0.8mm</w:t>
            </w:r>
          </w:p>
        </w:tc>
      </w:tr>
      <w:tr w14:paraId="0246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68FCE9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325</w:t>
            </w:r>
          </w:p>
        </w:tc>
        <w:tc>
          <w:tcPr>
            <w:tcW w:w="1215" w:type="dxa"/>
            <w:noWrap w:val="0"/>
            <w:vAlign w:val="center"/>
          </w:tcPr>
          <w:p w14:paraId="15B725B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量筒</w:t>
            </w:r>
          </w:p>
        </w:tc>
        <w:tc>
          <w:tcPr>
            <w:tcW w:w="804" w:type="dxa"/>
            <w:noWrap w:val="0"/>
            <w:vAlign w:val="center"/>
          </w:tcPr>
          <w:p w14:paraId="103A820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6ACF4B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3940E7F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1.玻璃量筒和塑料底座组成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2.最大容量50ml,精度值5ml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3.整体高度183mm,量筒直径25mm,壁厚不低于1mm</w:t>
            </w:r>
          </w:p>
        </w:tc>
      </w:tr>
      <w:tr w14:paraId="2036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0236BB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326</w:t>
            </w:r>
          </w:p>
        </w:tc>
        <w:tc>
          <w:tcPr>
            <w:tcW w:w="1215" w:type="dxa"/>
            <w:noWrap w:val="0"/>
            <w:vAlign w:val="center"/>
          </w:tcPr>
          <w:p w14:paraId="62603CD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量筒</w:t>
            </w:r>
          </w:p>
        </w:tc>
        <w:tc>
          <w:tcPr>
            <w:tcW w:w="804" w:type="dxa"/>
            <w:noWrap w:val="0"/>
            <w:vAlign w:val="center"/>
          </w:tcPr>
          <w:p w14:paraId="466100F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2B8CE5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52BD079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1.玻璃量筒和塑料底座组成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2.最大容量100ml,精度值1ml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3.整体高度242mm,量筒直径30mm,壁厚不低于1mm</w:t>
            </w:r>
          </w:p>
        </w:tc>
      </w:tr>
      <w:tr w14:paraId="6CEB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BDB3EC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327</w:t>
            </w:r>
          </w:p>
        </w:tc>
        <w:tc>
          <w:tcPr>
            <w:tcW w:w="1215" w:type="dxa"/>
            <w:noWrap w:val="0"/>
            <w:vAlign w:val="center"/>
          </w:tcPr>
          <w:p w14:paraId="3B3A608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量杯</w:t>
            </w:r>
          </w:p>
        </w:tc>
        <w:tc>
          <w:tcPr>
            <w:tcW w:w="804" w:type="dxa"/>
            <w:noWrap w:val="0"/>
            <w:vAlign w:val="center"/>
          </w:tcPr>
          <w:p w14:paraId="0B11723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878017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1743C58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1.玻璃量杯和塑料底座组成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2.最大容量250ml,最小刻度25ml,精度值25ml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3.整体高度205mm,口部直径83mm,壁厚不低于0.8mm</w:t>
            </w:r>
          </w:p>
        </w:tc>
      </w:tr>
      <w:tr w14:paraId="767B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C60B06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328</w:t>
            </w:r>
          </w:p>
        </w:tc>
        <w:tc>
          <w:tcPr>
            <w:tcW w:w="1215" w:type="dxa"/>
            <w:noWrap w:val="0"/>
            <w:vAlign w:val="center"/>
          </w:tcPr>
          <w:p w14:paraId="29EACB9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试管</w:t>
            </w:r>
          </w:p>
        </w:tc>
        <w:tc>
          <w:tcPr>
            <w:tcW w:w="804" w:type="dxa"/>
            <w:noWrap w:val="0"/>
            <w:vAlign w:val="center"/>
          </w:tcPr>
          <w:p w14:paraId="3A28154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2980F3D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5CD5C3D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2.规格：φ15mm×150mm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3.壁厚不低于1mm</w:t>
            </w:r>
          </w:p>
        </w:tc>
      </w:tr>
      <w:tr w14:paraId="2D43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DAC0FA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329</w:t>
            </w:r>
          </w:p>
        </w:tc>
        <w:tc>
          <w:tcPr>
            <w:tcW w:w="1215" w:type="dxa"/>
            <w:noWrap w:val="0"/>
            <w:vAlign w:val="center"/>
          </w:tcPr>
          <w:p w14:paraId="772FEEF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试管</w:t>
            </w:r>
          </w:p>
        </w:tc>
        <w:tc>
          <w:tcPr>
            <w:tcW w:w="804" w:type="dxa"/>
            <w:noWrap w:val="0"/>
            <w:vAlign w:val="center"/>
          </w:tcPr>
          <w:p w14:paraId="78840B0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7AF571E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72BBCFA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2.规格：φ32mm×200mm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3.壁厚不低于1.2mm</w:t>
            </w:r>
          </w:p>
        </w:tc>
      </w:tr>
      <w:tr w14:paraId="121D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A56C3C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330</w:t>
            </w:r>
          </w:p>
        </w:tc>
        <w:tc>
          <w:tcPr>
            <w:tcW w:w="1215" w:type="dxa"/>
            <w:noWrap w:val="0"/>
            <w:vAlign w:val="center"/>
          </w:tcPr>
          <w:p w14:paraId="0A2B5E1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烧杯</w:t>
            </w:r>
          </w:p>
        </w:tc>
        <w:tc>
          <w:tcPr>
            <w:tcW w:w="804" w:type="dxa"/>
            <w:noWrap w:val="0"/>
            <w:vAlign w:val="center"/>
          </w:tcPr>
          <w:p w14:paraId="2C03BAD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07F9C0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00CDC9D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2.最大容量250ml,最小刻度50ml,精度值25ml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3.整体尺寸为φ70*92mm,壁厚不低于1.8mm</w:t>
            </w:r>
          </w:p>
        </w:tc>
      </w:tr>
      <w:tr w14:paraId="6A91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8EEED4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331</w:t>
            </w:r>
          </w:p>
        </w:tc>
        <w:tc>
          <w:tcPr>
            <w:tcW w:w="1215" w:type="dxa"/>
            <w:noWrap w:val="0"/>
            <w:vAlign w:val="center"/>
          </w:tcPr>
          <w:p w14:paraId="17B2F6F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烧杯</w:t>
            </w:r>
          </w:p>
        </w:tc>
        <w:tc>
          <w:tcPr>
            <w:tcW w:w="804" w:type="dxa"/>
            <w:noWrap w:val="0"/>
            <w:vAlign w:val="center"/>
          </w:tcPr>
          <w:p w14:paraId="0FB4DA8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336D79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53BF41F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2.最大容量500ml,最小刻度100ml,精度值50ml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3.整体尺寸为φ87*124mm,壁厚不低于2mm</w:t>
            </w:r>
          </w:p>
        </w:tc>
      </w:tr>
      <w:tr w14:paraId="38A0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B06D02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332</w:t>
            </w:r>
          </w:p>
        </w:tc>
        <w:tc>
          <w:tcPr>
            <w:tcW w:w="1215" w:type="dxa"/>
            <w:noWrap w:val="0"/>
            <w:vAlign w:val="center"/>
          </w:tcPr>
          <w:p w14:paraId="23A6BD1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烧瓶</w:t>
            </w:r>
          </w:p>
        </w:tc>
        <w:tc>
          <w:tcPr>
            <w:tcW w:w="804" w:type="dxa"/>
            <w:noWrap w:val="0"/>
            <w:vAlign w:val="center"/>
          </w:tcPr>
          <w:p w14:paraId="3DE46BE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BA9C86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06DC9C7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2.烧瓶容量为500ml,底部为圆形，整体高度200mm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3.底部圆球直径为105mm,颈部外径37mm,长度为100mm,厚度不低于1.8mm</w:t>
            </w:r>
          </w:p>
        </w:tc>
      </w:tr>
      <w:tr w14:paraId="1E7E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21E1F4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333</w:t>
            </w:r>
          </w:p>
        </w:tc>
        <w:tc>
          <w:tcPr>
            <w:tcW w:w="1215" w:type="dxa"/>
            <w:noWrap w:val="0"/>
            <w:vAlign w:val="center"/>
          </w:tcPr>
          <w:p w14:paraId="128414B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烧瓶</w:t>
            </w:r>
          </w:p>
        </w:tc>
        <w:tc>
          <w:tcPr>
            <w:tcW w:w="804" w:type="dxa"/>
            <w:noWrap w:val="0"/>
            <w:vAlign w:val="center"/>
          </w:tcPr>
          <w:p w14:paraId="22B5F80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E0C726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6EB93CF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2.烧瓶容量为250ml,底部为圆形，整体高度160mm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3.底部圆球直径为83mm,颈部外径32mm,长度为75mm,厚度不低于1.8mm</w:t>
            </w:r>
          </w:p>
        </w:tc>
      </w:tr>
      <w:tr w14:paraId="1F9B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9A867C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334</w:t>
            </w:r>
          </w:p>
        </w:tc>
        <w:tc>
          <w:tcPr>
            <w:tcW w:w="1215" w:type="dxa"/>
            <w:noWrap w:val="0"/>
            <w:vAlign w:val="center"/>
          </w:tcPr>
          <w:p w14:paraId="6B156A7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酒精灯</w:t>
            </w:r>
          </w:p>
        </w:tc>
        <w:tc>
          <w:tcPr>
            <w:tcW w:w="804" w:type="dxa"/>
            <w:noWrap w:val="0"/>
            <w:vAlign w:val="center"/>
          </w:tcPr>
          <w:p w14:paraId="54D7368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B0BE98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02DA941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1.由酒精灯容器、瓷灯芯、棉灯芯和灯罩组成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2.酒精灯主体为高硼硅玻璃制造，容积为150ml,最大直径80mm,高度为95mm,口部壁厚不小于4mm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3.棉灯芯长度为150mm</w:t>
            </w:r>
          </w:p>
        </w:tc>
      </w:tr>
      <w:tr w14:paraId="6198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FE5AEA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335</w:t>
            </w:r>
          </w:p>
        </w:tc>
        <w:tc>
          <w:tcPr>
            <w:tcW w:w="1215" w:type="dxa"/>
            <w:noWrap w:val="0"/>
            <w:vAlign w:val="center"/>
          </w:tcPr>
          <w:p w14:paraId="55E247A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漏斗</w:t>
            </w:r>
          </w:p>
        </w:tc>
        <w:tc>
          <w:tcPr>
            <w:tcW w:w="804" w:type="dxa"/>
            <w:noWrap w:val="0"/>
            <w:vAlign w:val="center"/>
          </w:tcPr>
          <w:p w14:paraId="38BB28E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ACC7CA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4A429EE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2.最大口径为90mm,整的长度为155mm,壁厚不低于1.5mm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3.漏斗底部玻璃管直径10mm,长度85mm</w:t>
            </w:r>
          </w:p>
        </w:tc>
      </w:tr>
      <w:tr w14:paraId="14BF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60827A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336</w:t>
            </w:r>
          </w:p>
        </w:tc>
        <w:tc>
          <w:tcPr>
            <w:tcW w:w="1215" w:type="dxa"/>
            <w:noWrap w:val="0"/>
            <w:vAlign w:val="center"/>
          </w:tcPr>
          <w:p w14:paraId="65B83F8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分液漏斗</w:t>
            </w:r>
          </w:p>
        </w:tc>
        <w:tc>
          <w:tcPr>
            <w:tcW w:w="804" w:type="dxa"/>
            <w:noWrap w:val="0"/>
            <w:vAlign w:val="center"/>
          </w:tcPr>
          <w:p w14:paraId="24C8920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B4F738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BF7A35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1.为玻璃制分液漏斗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2.规格：筒形，250mL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3.活塞为玻璃制，不漏水；顶部开口和塞子做磨砂处理</w:t>
            </w:r>
          </w:p>
        </w:tc>
      </w:tr>
      <w:tr w14:paraId="1860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6A8EAB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337</w:t>
            </w:r>
          </w:p>
        </w:tc>
        <w:tc>
          <w:tcPr>
            <w:tcW w:w="1215" w:type="dxa"/>
            <w:noWrap w:val="0"/>
            <w:vAlign w:val="center"/>
          </w:tcPr>
          <w:p w14:paraId="0C544C3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平底管</w:t>
            </w:r>
          </w:p>
        </w:tc>
        <w:tc>
          <w:tcPr>
            <w:tcW w:w="804" w:type="dxa"/>
            <w:noWrap w:val="0"/>
            <w:vAlign w:val="center"/>
          </w:tcPr>
          <w:p w14:paraId="191929D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6C5BCEA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065A5A8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2.规格：φ12mm×150mm,底部为平面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3.壁厚不低于0.8mm</w:t>
            </w:r>
          </w:p>
        </w:tc>
      </w:tr>
      <w:tr w14:paraId="2D88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F48AF4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338</w:t>
            </w:r>
          </w:p>
        </w:tc>
        <w:tc>
          <w:tcPr>
            <w:tcW w:w="1215" w:type="dxa"/>
            <w:noWrap w:val="0"/>
            <w:vAlign w:val="center"/>
          </w:tcPr>
          <w:p w14:paraId="14DD64A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T形管</w:t>
            </w:r>
          </w:p>
        </w:tc>
        <w:tc>
          <w:tcPr>
            <w:tcW w:w="804" w:type="dxa"/>
            <w:noWrap w:val="0"/>
            <w:vAlign w:val="center"/>
          </w:tcPr>
          <w:p w14:paraId="74FDF74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6EFC6A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6E0972B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1.为玻璃管制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2.玻璃管直径为7mm～8mm，整体呈T形，连接点到三个顶点的距离均为50mm</w:t>
            </w:r>
          </w:p>
        </w:tc>
      </w:tr>
      <w:tr w14:paraId="754D8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CC34EA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339</w:t>
            </w:r>
          </w:p>
        </w:tc>
        <w:tc>
          <w:tcPr>
            <w:tcW w:w="1215" w:type="dxa"/>
            <w:noWrap w:val="0"/>
            <w:vAlign w:val="center"/>
          </w:tcPr>
          <w:p w14:paraId="284BF07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可密封长玻璃管</w:t>
            </w:r>
          </w:p>
        </w:tc>
        <w:tc>
          <w:tcPr>
            <w:tcW w:w="804" w:type="dxa"/>
            <w:noWrap w:val="0"/>
            <w:vAlign w:val="center"/>
          </w:tcPr>
          <w:p w14:paraId="03672A9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7E57840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2EB4439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1.由玻璃管、刻度板和胶塞组成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2.玻璃管的规格为：φ10mm×1000mm，壁厚不低于0.8mm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3.刻度板为木质，长度为800mm,上面有毫米刻度</w:t>
            </w:r>
          </w:p>
        </w:tc>
      </w:tr>
      <w:tr w14:paraId="00AD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BE96FE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340</w:t>
            </w:r>
          </w:p>
        </w:tc>
        <w:tc>
          <w:tcPr>
            <w:tcW w:w="1215" w:type="dxa"/>
            <w:noWrap w:val="0"/>
            <w:vAlign w:val="center"/>
          </w:tcPr>
          <w:p w14:paraId="70C7391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镊子</w:t>
            </w:r>
          </w:p>
        </w:tc>
        <w:tc>
          <w:tcPr>
            <w:tcW w:w="804" w:type="dxa"/>
            <w:noWrap w:val="0"/>
            <w:vAlign w:val="center"/>
          </w:tcPr>
          <w:p w14:paraId="30710CB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1AB9DBA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3813205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1.为家用型镊子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2.全长132mm,尖头</w:t>
            </w:r>
          </w:p>
        </w:tc>
      </w:tr>
      <w:tr w14:paraId="72DD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5A9274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341</w:t>
            </w:r>
          </w:p>
        </w:tc>
        <w:tc>
          <w:tcPr>
            <w:tcW w:w="1215" w:type="dxa"/>
            <w:noWrap w:val="0"/>
            <w:vAlign w:val="center"/>
          </w:tcPr>
          <w:p w14:paraId="4C99CA8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石棉网</w:t>
            </w:r>
          </w:p>
        </w:tc>
        <w:tc>
          <w:tcPr>
            <w:tcW w:w="804" w:type="dxa"/>
            <w:noWrap w:val="0"/>
            <w:vAlign w:val="center"/>
          </w:tcPr>
          <w:p w14:paraId="417200A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959B4F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77602B3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1.由钢丝网和石棉组成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2.钢丝网尺寸为125*125mm，石棉直径不小于80mm</w:t>
            </w:r>
          </w:p>
        </w:tc>
      </w:tr>
      <w:tr w14:paraId="4B82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678663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342</w:t>
            </w:r>
          </w:p>
        </w:tc>
        <w:tc>
          <w:tcPr>
            <w:tcW w:w="1215" w:type="dxa"/>
            <w:noWrap w:val="0"/>
            <w:vAlign w:val="center"/>
          </w:tcPr>
          <w:p w14:paraId="580042B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玻璃管</w:t>
            </w:r>
          </w:p>
        </w:tc>
        <w:tc>
          <w:tcPr>
            <w:tcW w:w="804" w:type="dxa"/>
            <w:noWrap w:val="0"/>
            <w:vAlign w:val="center"/>
          </w:tcPr>
          <w:p w14:paraId="525B19F1">
            <w:pPr>
              <w:pStyle w:val="16"/>
              <w:rPr>
                <w:rFonts w:hint="eastAsia" w:ascii="宋体" w:hAnsi="宋体" w:eastAsia="宋体" w:cs="宋体"/>
                <w:bCs/>
                <w:color w:val="auto"/>
                <w:sz w:val="21"/>
                <w:szCs w:val="21"/>
                <w:lang w:bidi="ar"/>
              </w:rPr>
            </w:pPr>
            <w:r>
              <w:rPr>
                <w:rFonts w:hint="eastAsia"/>
                <w:color w:val="auto"/>
                <w:lang w:val="en-US" w:eastAsia="zh-CN"/>
              </w:rPr>
              <w:t>个</w:t>
            </w:r>
          </w:p>
        </w:tc>
        <w:tc>
          <w:tcPr>
            <w:tcW w:w="765" w:type="dxa"/>
            <w:gridSpan w:val="2"/>
            <w:noWrap w:val="0"/>
            <w:vAlign w:val="center"/>
          </w:tcPr>
          <w:p w14:paraId="6E7F8160">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bCs/>
                <w:color w:val="auto"/>
                <w:sz w:val="21"/>
                <w:szCs w:val="21"/>
                <w:lang w:val="en-US" w:bidi="ar"/>
              </w:rPr>
            </w:pPr>
            <w:r>
              <w:rPr>
                <w:rFonts w:hint="eastAsia" w:ascii="宋体" w:hAnsi="宋体" w:cs="宋体"/>
                <w:i w:val="0"/>
                <w:iCs w:val="0"/>
                <w:color w:val="auto"/>
                <w:kern w:val="0"/>
                <w:sz w:val="21"/>
                <w:szCs w:val="21"/>
                <w:u w:val="none"/>
                <w:lang w:val="en-US" w:eastAsia="zh-CN" w:bidi="ar"/>
              </w:rPr>
              <w:t>100</w:t>
            </w:r>
          </w:p>
        </w:tc>
        <w:tc>
          <w:tcPr>
            <w:tcW w:w="6351" w:type="dxa"/>
            <w:noWrap w:val="0"/>
            <w:vAlign w:val="center"/>
          </w:tcPr>
          <w:p w14:paraId="273124A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1.玻璃管直径φ5mm～φ6mm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2.长度不低于300mm</w:t>
            </w:r>
          </w:p>
        </w:tc>
      </w:tr>
      <w:tr w14:paraId="422A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FB0CFB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343</w:t>
            </w:r>
          </w:p>
        </w:tc>
        <w:tc>
          <w:tcPr>
            <w:tcW w:w="1215" w:type="dxa"/>
            <w:noWrap w:val="0"/>
            <w:vAlign w:val="center"/>
          </w:tcPr>
          <w:p w14:paraId="16E249E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乳胶管</w:t>
            </w:r>
          </w:p>
        </w:tc>
        <w:tc>
          <w:tcPr>
            <w:tcW w:w="804" w:type="dxa"/>
            <w:noWrap w:val="0"/>
            <w:vAlign w:val="center"/>
          </w:tcPr>
          <w:p w14:paraId="3C277B7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米</w:t>
            </w:r>
          </w:p>
        </w:tc>
        <w:tc>
          <w:tcPr>
            <w:tcW w:w="765" w:type="dxa"/>
            <w:gridSpan w:val="2"/>
            <w:noWrap w:val="0"/>
            <w:vAlign w:val="center"/>
          </w:tcPr>
          <w:p w14:paraId="7559803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4</w:t>
            </w:r>
          </w:p>
        </w:tc>
        <w:tc>
          <w:tcPr>
            <w:tcW w:w="6351" w:type="dxa"/>
            <w:noWrap w:val="0"/>
            <w:vAlign w:val="center"/>
          </w:tcPr>
          <w:p w14:paraId="31986AD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1.为天然乳胶制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2.规格5*7mm</w:t>
            </w:r>
          </w:p>
        </w:tc>
      </w:tr>
      <w:tr w14:paraId="26FD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E8F0E5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344</w:t>
            </w:r>
          </w:p>
        </w:tc>
        <w:tc>
          <w:tcPr>
            <w:tcW w:w="1215" w:type="dxa"/>
            <w:noWrap w:val="0"/>
            <w:vAlign w:val="center"/>
          </w:tcPr>
          <w:p w14:paraId="2964300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碘</w:t>
            </w:r>
          </w:p>
        </w:tc>
        <w:tc>
          <w:tcPr>
            <w:tcW w:w="804" w:type="dxa"/>
            <w:noWrap w:val="0"/>
            <w:vAlign w:val="center"/>
          </w:tcPr>
          <w:p w14:paraId="444E00A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201F7CEC">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bCs/>
                <w:color w:val="auto"/>
                <w:sz w:val="21"/>
                <w:szCs w:val="21"/>
                <w:lang w:val="en-US" w:bidi="ar"/>
              </w:rPr>
            </w:pPr>
            <w:r>
              <w:rPr>
                <w:rFonts w:hint="eastAsia" w:ascii="宋体" w:hAnsi="宋体" w:cs="宋体"/>
                <w:i w:val="0"/>
                <w:iCs w:val="0"/>
                <w:color w:val="auto"/>
                <w:kern w:val="0"/>
                <w:sz w:val="21"/>
                <w:szCs w:val="21"/>
                <w:u w:val="none"/>
                <w:lang w:val="en-US" w:eastAsia="zh-CN" w:bidi="ar"/>
              </w:rPr>
              <w:t>250</w:t>
            </w:r>
          </w:p>
        </w:tc>
        <w:tc>
          <w:tcPr>
            <w:tcW w:w="6351" w:type="dxa"/>
            <w:noWrap w:val="0"/>
            <w:vAlign w:val="center"/>
          </w:tcPr>
          <w:p w14:paraId="40DD330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2.每瓶250g</w:t>
            </w:r>
          </w:p>
        </w:tc>
      </w:tr>
      <w:tr w14:paraId="5FCE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1EE512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345</w:t>
            </w:r>
          </w:p>
        </w:tc>
        <w:tc>
          <w:tcPr>
            <w:tcW w:w="1215" w:type="dxa"/>
            <w:noWrap w:val="0"/>
            <w:vAlign w:val="center"/>
          </w:tcPr>
          <w:p w14:paraId="0F25D55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硫酸铜(无水)</w:t>
            </w:r>
          </w:p>
        </w:tc>
        <w:tc>
          <w:tcPr>
            <w:tcW w:w="804" w:type="dxa"/>
            <w:noWrap w:val="0"/>
            <w:vAlign w:val="center"/>
          </w:tcPr>
          <w:p w14:paraId="432A86BA">
            <w:pPr>
              <w:pStyle w:val="16"/>
              <w:ind w:firstLine="210" w:firstLineChars="100"/>
              <w:rPr>
                <w:rFonts w:hint="eastAsia" w:ascii="宋体" w:hAnsi="宋体" w:eastAsia="宋体" w:cs="宋体"/>
                <w:bCs/>
                <w:color w:val="auto"/>
                <w:sz w:val="21"/>
                <w:szCs w:val="21"/>
                <w:lang w:bidi="ar"/>
              </w:rPr>
            </w:pPr>
            <w:r>
              <w:rPr>
                <w:rFonts w:hint="eastAsia"/>
                <w:lang w:val="en-US" w:eastAsia="zh-CN"/>
              </w:rPr>
              <w:t>克</w:t>
            </w:r>
          </w:p>
        </w:tc>
        <w:tc>
          <w:tcPr>
            <w:tcW w:w="765" w:type="dxa"/>
            <w:gridSpan w:val="2"/>
            <w:noWrap w:val="0"/>
            <w:vAlign w:val="center"/>
          </w:tcPr>
          <w:p w14:paraId="7B9BBE9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5BA5FE0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79FA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A20B26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346</w:t>
            </w:r>
          </w:p>
        </w:tc>
        <w:tc>
          <w:tcPr>
            <w:tcW w:w="1215" w:type="dxa"/>
            <w:noWrap w:val="0"/>
            <w:vAlign w:val="center"/>
          </w:tcPr>
          <w:p w14:paraId="407A2B4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硫酸铝钾(明矾)</w:t>
            </w:r>
          </w:p>
        </w:tc>
        <w:tc>
          <w:tcPr>
            <w:tcW w:w="804" w:type="dxa"/>
            <w:noWrap w:val="0"/>
            <w:vAlign w:val="center"/>
          </w:tcPr>
          <w:p w14:paraId="753BA2D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55C3D7F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665BDB4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4DCD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E2110B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347</w:t>
            </w:r>
          </w:p>
        </w:tc>
        <w:tc>
          <w:tcPr>
            <w:tcW w:w="1215" w:type="dxa"/>
            <w:noWrap w:val="0"/>
            <w:vAlign w:val="center"/>
          </w:tcPr>
          <w:p w14:paraId="0AAD635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硫代硫酸钠(海波)</w:t>
            </w:r>
          </w:p>
        </w:tc>
        <w:tc>
          <w:tcPr>
            <w:tcW w:w="804" w:type="dxa"/>
            <w:noWrap w:val="0"/>
            <w:vAlign w:val="center"/>
          </w:tcPr>
          <w:p w14:paraId="723B97B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3B53972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414BCCC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186B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CD6B21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348</w:t>
            </w:r>
          </w:p>
        </w:tc>
        <w:tc>
          <w:tcPr>
            <w:tcW w:w="1215" w:type="dxa"/>
            <w:noWrap w:val="0"/>
            <w:vAlign w:val="center"/>
          </w:tcPr>
          <w:p w14:paraId="6AB0001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甘油</w:t>
            </w:r>
          </w:p>
        </w:tc>
        <w:tc>
          <w:tcPr>
            <w:tcW w:w="804" w:type="dxa"/>
            <w:noWrap w:val="0"/>
            <w:vAlign w:val="center"/>
          </w:tcPr>
          <w:p w14:paraId="334F001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毫升</w:t>
            </w:r>
          </w:p>
        </w:tc>
        <w:tc>
          <w:tcPr>
            <w:tcW w:w="765" w:type="dxa"/>
            <w:gridSpan w:val="2"/>
            <w:noWrap w:val="0"/>
            <w:vAlign w:val="center"/>
          </w:tcPr>
          <w:p w14:paraId="1430539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4A5AA90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2.每瓶500ml</w:t>
            </w:r>
          </w:p>
        </w:tc>
      </w:tr>
      <w:tr w14:paraId="1E84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871F777">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350</w:t>
            </w:r>
          </w:p>
        </w:tc>
        <w:tc>
          <w:tcPr>
            <w:tcW w:w="1215" w:type="dxa"/>
            <w:noWrap w:val="0"/>
            <w:vAlign w:val="center"/>
          </w:tcPr>
          <w:p w14:paraId="502ADD4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石腊</w:t>
            </w:r>
          </w:p>
        </w:tc>
        <w:tc>
          <w:tcPr>
            <w:tcW w:w="804" w:type="dxa"/>
            <w:noWrap w:val="0"/>
            <w:vAlign w:val="center"/>
          </w:tcPr>
          <w:p w14:paraId="5D79DBC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千克</w:t>
            </w:r>
          </w:p>
        </w:tc>
        <w:tc>
          <w:tcPr>
            <w:tcW w:w="765" w:type="dxa"/>
            <w:gridSpan w:val="2"/>
            <w:noWrap w:val="0"/>
            <w:vAlign w:val="center"/>
          </w:tcPr>
          <w:p w14:paraId="28D05D4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448AA6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38C9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9FCC144">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351</w:t>
            </w:r>
          </w:p>
        </w:tc>
        <w:tc>
          <w:tcPr>
            <w:tcW w:w="1215" w:type="dxa"/>
            <w:noWrap w:val="0"/>
            <w:vAlign w:val="center"/>
          </w:tcPr>
          <w:p w14:paraId="5A0CA5F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油酸</w:t>
            </w:r>
          </w:p>
        </w:tc>
        <w:tc>
          <w:tcPr>
            <w:tcW w:w="804" w:type="dxa"/>
            <w:noWrap w:val="0"/>
            <w:vAlign w:val="center"/>
          </w:tcPr>
          <w:p w14:paraId="5942880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毫升</w:t>
            </w:r>
          </w:p>
        </w:tc>
        <w:tc>
          <w:tcPr>
            <w:tcW w:w="765" w:type="dxa"/>
            <w:gridSpan w:val="2"/>
            <w:noWrap w:val="0"/>
            <w:vAlign w:val="center"/>
          </w:tcPr>
          <w:p w14:paraId="6486699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1993FD6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2.每瓶500ml</w:t>
            </w:r>
          </w:p>
        </w:tc>
      </w:tr>
      <w:tr w14:paraId="72F3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7CBF1A2">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352</w:t>
            </w:r>
          </w:p>
        </w:tc>
        <w:tc>
          <w:tcPr>
            <w:tcW w:w="1215" w:type="dxa"/>
            <w:noWrap w:val="0"/>
            <w:vAlign w:val="center"/>
          </w:tcPr>
          <w:p w14:paraId="5934121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电工材料</w:t>
            </w:r>
          </w:p>
        </w:tc>
        <w:tc>
          <w:tcPr>
            <w:tcW w:w="804" w:type="dxa"/>
            <w:noWrap w:val="0"/>
            <w:vAlign w:val="center"/>
          </w:tcPr>
          <w:p w14:paraId="485C66D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F9F32A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1961D32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1.由鳄鱼夹、插口夹、香蕉插头、电阻丝、锌片、铜片、灯泡、小电池、保险丝、保险管、焊锡、绝缘胶布、导线等组成</w:t>
            </w:r>
          </w:p>
        </w:tc>
      </w:tr>
      <w:tr w14:paraId="10AF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CC56037">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353</w:t>
            </w:r>
          </w:p>
        </w:tc>
        <w:tc>
          <w:tcPr>
            <w:tcW w:w="1215" w:type="dxa"/>
            <w:noWrap w:val="0"/>
            <w:vAlign w:val="center"/>
          </w:tcPr>
          <w:p w14:paraId="72DCCB9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电子元件(工业产品)</w:t>
            </w:r>
          </w:p>
        </w:tc>
        <w:tc>
          <w:tcPr>
            <w:tcW w:w="804" w:type="dxa"/>
            <w:noWrap w:val="0"/>
            <w:vAlign w:val="center"/>
          </w:tcPr>
          <w:p w14:paraId="06AE4D5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D9C1A8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0D0D73B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线绕电阻、电阻、电容、电解电容、电感、二极管、发光二极管、三极管、可变电容、电位器、拨动开关、磁棒附线圈、旋钮、鳄鱼夹、接线夹、接线柱、电池盒、镍铬丝、铁铬丝、打点纸带、导电纸、复写纸、喇叭、导线等组成</w:t>
            </w:r>
          </w:p>
        </w:tc>
      </w:tr>
      <w:tr w14:paraId="7F3F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D0743FA">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354</w:t>
            </w:r>
          </w:p>
        </w:tc>
        <w:tc>
          <w:tcPr>
            <w:tcW w:w="1215" w:type="dxa"/>
            <w:noWrap w:val="0"/>
            <w:vAlign w:val="center"/>
          </w:tcPr>
          <w:p w14:paraId="47E1112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家庭电路器材</w:t>
            </w:r>
          </w:p>
        </w:tc>
        <w:tc>
          <w:tcPr>
            <w:tcW w:w="804" w:type="dxa"/>
            <w:noWrap w:val="0"/>
            <w:vAlign w:val="center"/>
          </w:tcPr>
          <w:p w14:paraId="03B4470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733B74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3D3AD26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1.由空气开关、漏电保护器、螺丝口灯座、卡口灯座、三孔插座、三孔插头、插入式保险盒、拉线开关、按钮开关、声控开关、光控开关、导线等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2.所有组件为家用型</w:t>
            </w:r>
          </w:p>
        </w:tc>
      </w:tr>
      <w:tr w14:paraId="1ED8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9E2FFDE">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355</w:t>
            </w:r>
          </w:p>
        </w:tc>
        <w:tc>
          <w:tcPr>
            <w:tcW w:w="1215" w:type="dxa"/>
            <w:noWrap w:val="0"/>
            <w:vAlign w:val="center"/>
          </w:tcPr>
          <w:p w14:paraId="2D19B30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一般材料</w:t>
            </w:r>
          </w:p>
        </w:tc>
        <w:tc>
          <w:tcPr>
            <w:tcW w:w="804" w:type="dxa"/>
            <w:noWrap w:val="0"/>
            <w:vAlign w:val="center"/>
          </w:tcPr>
          <w:p w14:paraId="316B588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A8D541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7215241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锌片、铜片、磁性橡胶片、小钢球、乒乓球、大头针、回形针、灯泡、小电池、保险丝、保险管、焊锡、松香、橡胶泥、胶帽、泡沫塑料、绝缘胶布、透明胶带、小蜡烛、灯芯、火柴、塑料板、木板、玻璃板、毛巾、棉布、橡皮筋、气球、塑料袋、塑料薄膜、纸板等组成</w:t>
            </w:r>
          </w:p>
        </w:tc>
      </w:tr>
      <w:tr w14:paraId="287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6272178">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356</w:t>
            </w:r>
          </w:p>
        </w:tc>
        <w:tc>
          <w:tcPr>
            <w:tcW w:w="1215" w:type="dxa"/>
            <w:noWrap w:val="0"/>
            <w:vAlign w:val="center"/>
          </w:tcPr>
          <w:p w14:paraId="14741CA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彩色透光片</w:t>
            </w:r>
          </w:p>
        </w:tc>
        <w:tc>
          <w:tcPr>
            <w:tcW w:w="804" w:type="dxa"/>
            <w:noWrap w:val="0"/>
            <w:vAlign w:val="center"/>
          </w:tcPr>
          <w:p w14:paraId="1ABDF0F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F9776C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1A07EA9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1.由红、绿、蓝三块彩色透光片组成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2.为有机玻璃制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3.三块彩色透光片的直径为92mm</w:t>
            </w:r>
          </w:p>
        </w:tc>
      </w:tr>
      <w:tr w14:paraId="6BD7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6BB38E8">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357</w:t>
            </w:r>
          </w:p>
        </w:tc>
        <w:tc>
          <w:tcPr>
            <w:tcW w:w="1215" w:type="dxa"/>
            <w:noWrap w:val="0"/>
            <w:vAlign w:val="center"/>
          </w:tcPr>
          <w:p w14:paraId="64F271B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甲电池</w:t>
            </w:r>
          </w:p>
        </w:tc>
        <w:tc>
          <w:tcPr>
            <w:tcW w:w="804" w:type="dxa"/>
            <w:noWrap w:val="0"/>
            <w:vAlign w:val="center"/>
          </w:tcPr>
          <w:p w14:paraId="7E3330D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3D66B5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29BA818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1.为1.5V甲电池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2.直径61mm，高145mm</w:t>
            </w:r>
          </w:p>
        </w:tc>
      </w:tr>
      <w:tr w14:paraId="11EC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1BBAFD5">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358</w:t>
            </w:r>
          </w:p>
        </w:tc>
        <w:tc>
          <w:tcPr>
            <w:tcW w:w="1215" w:type="dxa"/>
            <w:noWrap w:val="0"/>
            <w:vAlign w:val="center"/>
          </w:tcPr>
          <w:p w14:paraId="51BAB13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1号电池</w:t>
            </w:r>
          </w:p>
        </w:tc>
        <w:tc>
          <w:tcPr>
            <w:tcW w:w="804" w:type="dxa"/>
            <w:noWrap w:val="0"/>
            <w:vAlign w:val="center"/>
          </w:tcPr>
          <w:p w14:paraId="010B898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组</w:t>
            </w:r>
          </w:p>
        </w:tc>
        <w:tc>
          <w:tcPr>
            <w:tcW w:w="765" w:type="dxa"/>
            <w:gridSpan w:val="2"/>
            <w:noWrap w:val="0"/>
            <w:vAlign w:val="center"/>
          </w:tcPr>
          <w:p w14:paraId="592B4C1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20</w:t>
            </w:r>
          </w:p>
        </w:tc>
        <w:tc>
          <w:tcPr>
            <w:tcW w:w="6351" w:type="dxa"/>
            <w:noWrap w:val="0"/>
            <w:vAlign w:val="center"/>
          </w:tcPr>
          <w:p w14:paraId="1C38B66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1.为1号碱性电池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2.每组2个</w:t>
            </w:r>
          </w:p>
        </w:tc>
      </w:tr>
      <w:tr w14:paraId="046F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C8FD0F9">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359</w:t>
            </w:r>
          </w:p>
        </w:tc>
        <w:tc>
          <w:tcPr>
            <w:tcW w:w="1215" w:type="dxa"/>
            <w:noWrap w:val="0"/>
            <w:vAlign w:val="center"/>
          </w:tcPr>
          <w:p w14:paraId="1B8A64C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电珠(小灯泡)</w:t>
            </w:r>
          </w:p>
        </w:tc>
        <w:tc>
          <w:tcPr>
            <w:tcW w:w="804" w:type="dxa"/>
            <w:noWrap w:val="0"/>
            <w:vAlign w:val="center"/>
          </w:tcPr>
          <w:p w14:paraId="231D3E8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EE0BFB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80</w:t>
            </w:r>
          </w:p>
        </w:tc>
        <w:tc>
          <w:tcPr>
            <w:tcW w:w="6351" w:type="dxa"/>
            <w:noWrap w:val="0"/>
            <w:vAlign w:val="center"/>
          </w:tcPr>
          <w:p w14:paraId="57955E1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1.为螺口小电珠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2.规格：2.5V或3.8V</w:t>
            </w:r>
          </w:p>
        </w:tc>
      </w:tr>
      <w:tr w14:paraId="3B41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890C1C1">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360</w:t>
            </w:r>
          </w:p>
        </w:tc>
        <w:tc>
          <w:tcPr>
            <w:tcW w:w="1215" w:type="dxa"/>
            <w:noWrap w:val="0"/>
            <w:vAlign w:val="center"/>
          </w:tcPr>
          <w:p w14:paraId="2403EFE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洗洁精</w:t>
            </w:r>
          </w:p>
        </w:tc>
        <w:tc>
          <w:tcPr>
            <w:tcW w:w="804" w:type="dxa"/>
            <w:noWrap w:val="0"/>
            <w:vAlign w:val="center"/>
          </w:tcPr>
          <w:p w14:paraId="6CCB402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毫升</w:t>
            </w:r>
          </w:p>
        </w:tc>
        <w:tc>
          <w:tcPr>
            <w:tcW w:w="765" w:type="dxa"/>
            <w:gridSpan w:val="2"/>
            <w:noWrap w:val="0"/>
            <w:vAlign w:val="center"/>
          </w:tcPr>
          <w:p w14:paraId="17F67FD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val="en-US" w:bidi="ar"/>
              </w:rPr>
            </w:pPr>
            <w:r>
              <w:rPr>
                <w:rFonts w:hint="eastAsia" w:ascii="宋体" w:hAnsi="宋体" w:eastAsia="宋体" w:cs="宋体"/>
                <w:i w:val="0"/>
                <w:iCs w:val="0"/>
                <w:color w:val="auto"/>
                <w:kern w:val="0"/>
                <w:sz w:val="21"/>
                <w:szCs w:val="21"/>
                <w:u w:val="none"/>
                <w:lang w:val="en-US" w:eastAsia="zh-CN" w:bidi="ar"/>
              </w:rPr>
              <w:t>800</w:t>
            </w:r>
          </w:p>
        </w:tc>
        <w:tc>
          <w:tcPr>
            <w:tcW w:w="6351" w:type="dxa"/>
            <w:noWrap w:val="0"/>
            <w:vAlign w:val="center"/>
          </w:tcPr>
          <w:p w14:paraId="1944583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1.为家用型洗涤用品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2.每瓶400g</w:t>
            </w:r>
          </w:p>
        </w:tc>
      </w:tr>
      <w:tr w14:paraId="5FD3C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E53BEE3">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361</w:t>
            </w:r>
          </w:p>
        </w:tc>
        <w:tc>
          <w:tcPr>
            <w:tcW w:w="1215" w:type="dxa"/>
            <w:noWrap w:val="0"/>
            <w:vAlign w:val="center"/>
          </w:tcPr>
          <w:p w14:paraId="7BC136C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蜂蜡</w:t>
            </w:r>
          </w:p>
        </w:tc>
        <w:tc>
          <w:tcPr>
            <w:tcW w:w="804" w:type="dxa"/>
            <w:noWrap w:val="0"/>
            <w:vAlign w:val="center"/>
          </w:tcPr>
          <w:p w14:paraId="428A298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7073D2D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50</w:t>
            </w:r>
            <w:r>
              <w:rPr>
                <w:rFonts w:hint="eastAsia" w:ascii="宋体" w:hAnsi="宋体" w:cs="宋体"/>
                <w:i w:val="0"/>
                <w:iCs w:val="0"/>
                <w:color w:val="auto"/>
                <w:kern w:val="0"/>
                <w:sz w:val="21"/>
                <w:szCs w:val="21"/>
                <w:u w:val="none"/>
                <w:lang w:val="en-US" w:eastAsia="zh-CN" w:bidi="ar"/>
              </w:rPr>
              <w:t>0</w:t>
            </w:r>
          </w:p>
        </w:tc>
        <w:tc>
          <w:tcPr>
            <w:tcW w:w="6351" w:type="dxa"/>
            <w:noWrap w:val="0"/>
            <w:vAlign w:val="center"/>
          </w:tcPr>
          <w:p w14:paraId="7B7CC6B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2.每包500g</w:t>
            </w:r>
          </w:p>
        </w:tc>
      </w:tr>
      <w:tr w14:paraId="2653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D7D9A59">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362</w:t>
            </w:r>
          </w:p>
        </w:tc>
        <w:tc>
          <w:tcPr>
            <w:tcW w:w="1215" w:type="dxa"/>
            <w:noWrap w:val="0"/>
            <w:vAlign w:val="center"/>
          </w:tcPr>
          <w:p w14:paraId="0169F34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集成电路实验板(面包板)</w:t>
            </w:r>
          </w:p>
        </w:tc>
        <w:tc>
          <w:tcPr>
            <w:tcW w:w="804" w:type="dxa"/>
            <w:noWrap w:val="0"/>
            <w:vAlign w:val="center"/>
          </w:tcPr>
          <w:p w14:paraId="59A823B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6AD272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0258A6F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1.为插孔式电路板，共有孔位270个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2.外形尺寸：90*53*10mm</w:t>
            </w:r>
          </w:p>
        </w:tc>
      </w:tr>
      <w:tr w14:paraId="6833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BD2BD69">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363</w:t>
            </w:r>
          </w:p>
        </w:tc>
        <w:tc>
          <w:tcPr>
            <w:tcW w:w="1215" w:type="dxa"/>
            <w:noWrap w:val="0"/>
            <w:vAlign w:val="center"/>
          </w:tcPr>
          <w:p w14:paraId="562B2F3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传感器器材</w:t>
            </w:r>
          </w:p>
        </w:tc>
        <w:tc>
          <w:tcPr>
            <w:tcW w:w="804" w:type="dxa"/>
            <w:noWrap w:val="0"/>
            <w:vAlign w:val="center"/>
          </w:tcPr>
          <w:p w14:paraId="44EBB9B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EBAF38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0B0D674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1.由双金属片、热电偶、铂电阻、铜电阻、热敏电阻、半导体、感温铁氧体、光敏电阻、硅光电池、光电二极管、湿敏电阻、干簧管、霍尔元件、气体压强传感器、酒精传感器等组成</w:t>
            </w:r>
          </w:p>
        </w:tc>
      </w:tr>
      <w:tr w14:paraId="2F06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716D698">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364</w:t>
            </w:r>
          </w:p>
        </w:tc>
        <w:tc>
          <w:tcPr>
            <w:tcW w:w="1215" w:type="dxa"/>
            <w:noWrap w:val="0"/>
            <w:vAlign w:val="center"/>
          </w:tcPr>
          <w:p w14:paraId="58BAEF2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晶体和非晶体样品</w:t>
            </w:r>
          </w:p>
        </w:tc>
        <w:tc>
          <w:tcPr>
            <w:tcW w:w="804" w:type="dxa"/>
            <w:noWrap w:val="0"/>
            <w:vAlign w:val="center"/>
          </w:tcPr>
          <w:p w14:paraId="25EA6BD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A467E6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D33608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1.由云母、方解石、石英、松香、蜂蜡、玻璃组成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2.为纸盒装</w:t>
            </w:r>
          </w:p>
        </w:tc>
      </w:tr>
      <w:tr w14:paraId="260E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20EDF6D">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365</w:t>
            </w:r>
          </w:p>
        </w:tc>
        <w:tc>
          <w:tcPr>
            <w:tcW w:w="1215" w:type="dxa"/>
            <w:noWrap w:val="0"/>
            <w:vAlign w:val="center"/>
          </w:tcPr>
          <w:p w14:paraId="24EB83A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滚珠盒</w:t>
            </w:r>
          </w:p>
        </w:tc>
        <w:tc>
          <w:tcPr>
            <w:tcW w:w="804" w:type="dxa"/>
            <w:noWrap w:val="0"/>
            <w:vAlign w:val="center"/>
          </w:tcPr>
          <w:p w14:paraId="6B168F4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盒</w:t>
            </w:r>
          </w:p>
        </w:tc>
        <w:tc>
          <w:tcPr>
            <w:tcW w:w="765" w:type="dxa"/>
            <w:gridSpan w:val="2"/>
            <w:noWrap w:val="0"/>
            <w:vAlign w:val="center"/>
          </w:tcPr>
          <w:p w14:paraId="265FDFA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E933F4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1.由钢珠和塑料盒组成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2.钢珠共200粒，每粒直径3mm</w:t>
            </w:r>
          </w:p>
        </w:tc>
      </w:tr>
      <w:tr w14:paraId="2CC8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9D57541">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366</w:t>
            </w:r>
          </w:p>
        </w:tc>
        <w:tc>
          <w:tcPr>
            <w:tcW w:w="1215" w:type="dxa"/>
            <w:noWrap w:val="0"/>
            <w:vAlign w:val="center"/>
          </w:tcPr>
          <w:p w14:paraId="55C4684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演示实验器材</w:t>
            </w:r>
          </w:p>
        </w:tc>
        <w:tc>
          <w:tcPr>
            <w:tcW w:w="804" w:type="dxa"/>
            <w:noWrap w:val="0"/>
            <w:vAlign w:val="center"/>
          </w:tcPr>
          <w:p w14:paraId="2A3B883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D1A538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DA497E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1.由光声控延时开关1个、驻极话筒1个、50K可变电阻1个、1KΩ电阻1个、35V470μF电解电容1个、25V1000μF电解电容1个、74LS001个、云母片1片、三极管1个组成</w:t>
            </w:r>
          </w:p>
        </w:tc>
      </w:tr>
      <w:tr w14:paraId="6402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6BDA16D">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367</w:t>
            </w:r>
          </w:p>
        </w:tc>
        <w:tc>
          <w:tcPr>
            <w:tcW w:w="1215" w:type="dxa"/>
            <w:noWrap w:val="0"/>
            <w:vAlign w:val="center"/>
          </w:tcPr>
          <w:p w14:paraId="3EC22B4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学生实验纸材</w:t>
            </w:r>
          </w:p>
        </w:tc>
        <w:tc>
          <w:tcPr>
            <w:tcW w:w="804" w:type="dxa"/>
            <w:noWrap w:val="0"/>
            <w:vAlign w:val="center"/>
          </w:tcPr>
          <w:p w14:paraId="5BD6A5AE">
            <w:pPr>
              <w:pStyle w:val="16"/>
              <w:rPr>
                <w:rFonts w:hint="eastAsia" w:eastAsia="宋体"/>
                <w:lang w:val="en-US" w:eastAsia="zh-CN"/>
              </w:rPr>
            </w:pPr>
            <w:r>
              <w:rPr>
                <w:rFonts w:hint="eastAsia"/>
                <w:lang w:val="en-US" w:eastAsia="zh-CN"/>
              </w:rPr>
              <w:t>套</w:t>
            </w:r>
          </w:p>
          <w:p w14:paraId="5344D73B">
            <w:pPr>
              <w:keepNext w:val="0"/>
              <w:keepLines w:val="0"/>
              <w:pageBreakBefore w:val="0"/>
              <w:kinsoku/>
              <w:wordWrap/>
              <w:overflowPunct/>
              <w:topLinePunct w:val="0"/>
              <w:bidi w:val="0"/>
              <w:spacing w:line="440" w:lineRule="exact"/>
              <w:jc w:val="center"/>
              <w:rPr>
                <w:rFonts w:hint="eastAsia" w:ascii="宋体" w:hAnsi="宋体" w:eastAsia="宋体" w:cs="宋体"/>
                <w:bCs/>
                <w:color w:val="auto"/>
                <w:sz w:val="21"/>
                <w:szCs w:val="21"/>
                <w:lang w:bidi="ar"/>
              </w:rPr>
            </w:pPr>
          </w:p>
        </w:tc>
        <w:tc>
          <w:tcPr>
            <w:tcW w:w="765" w:type="dxa"/>
            <w:gridSpan w:val="2"/>
            <w:noWrap w:val="0"/>
            <w:vAlign w:val="center"/>
          </w:tcPr>
          <w:p w14:paraId="1C18888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7FE8409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1.由打点纸带、墨粉纸、坐标纸、复印纸组成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2.打点纸带为一卷；坐标纸为A4；墨粉纸和复印纸各一袋，每袋10片</w:t>
            </w:r>
          </w:p>
        </w:tc>
      </w:tr>
      <w:tr w14:paraId="0BF6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7421387">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368</w:t>
            </w:r>
          </w:p>
        </w:tc>
        <w:tc>
          <w:tcPr>
            <w:tcW w:w="1215" w:type="dxa"/>
            <w:noWrap w:val="0"/>
            <w:vAlign w:val="center"/>
          </w:tcPr>
          <w:p w14:paraId="186BFF1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温度报警实验器材套件</w:t>
            </w:r>
          </w:p>
        </w:tc>
        <w:tc>
          <w:tcPr>
            <w:tcW w:w="804" w:type="dxa"/>
            <w:noWrap w:val="0"/>
            <w:vAlign w:val="center"/>
          </w:tcPr>
          <w:p w14:paraId="41E668E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CF1EEE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4C5E398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1.由热敏电阻、可变电阻、蜂鸣器、74LS14集成块、线路板、插线、电池盒等组成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2.为组装式</w:t>
            </w:r>
          </w:p>
        </w:tc>
      </w:tr>
      <w:tr w14:paraId="659D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2BC09C0">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369</w:t>
            </w:r>
          </w:p>
        </w:tc>
        <w:tc>
          <w:tcPr>
            <w:tcW w:w="1215" w:type="dxa"/>
            <w:noWrap w:val="0"/>
            <w:vAlign w:val="center"/>
          </w:tcPr>
          <w:p w14:paraId="160D0AB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电熨斗控温电路套件</w:t>
            </w:r>
          </w:p>
        </w:tc>
        <w:tc>
          <w:tcPr>
            <w:tcW w:w="804" w:type="dxa"/>
            <w:noWrap w:val="0"/>
            <w:vAlign w:val="center"/>
          </w:tcPr>
          <w:p w14:paraId="1CAD37F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盒</w:t>
            </w:r>
          </w:p>
        </w:tc>
        <w:tc>
          <w:tcPr>
            <w:tcW w:w="765" w:type="dxa"/>
            <w:gridSpan w:val="2"/>
            <w:noWrap w:val="0"/>
            <w:vAlign w:val="center"/>
          </w:tcPr>
          <w:p w14:paraId="517BCDB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A3ED73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1.由底座、接线柱、开关、指示灯、双金属片、电热丝、弹性片、触点、绝缘支架、调温螺丝等组成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2.工作电压：DC12～14V</w:t>
            </w:r>
          </w:p>
        </w:tc>
      </w:tr>
      <w:tr w14:paraId="67C4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A78D234">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370</w:t>
            </w:r>
          </w:p>
        </w:tc>
        <w:tc>
          <w:tcPr>
            <w:tcW w:w="1215" w:type="dxa"/>
            <w:noWrap w:val="0"/>
            <w:vAlign w:val="center"/>
          </w:tcPr>
          <w:p w14:paraId="199EA2D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防盗报警电路器材套件</w:t>
            </w:r>
          </w:p>
        </w:tc>
        <w:tc>
          <w:tcPr>
            <w:tcW w:w="804" w:type="dxa"/>
            <w:noWrap w:val="0"/>
            <w:vAlign w:val="center"/>
          </w:tcPr>
          <w:p w14:paraId="0CF56EB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88BC19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6937B4D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1.由线路板、小磁铁、插线、电池盒、74LS14集成块、干簧管、电阻、蜂鸣器等组成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2.为组装式</w:t>
            </w:r>
          </w:p>
        </w:tc>
      </w:tr>
      <w:tr w14:paraId="0E74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F891142">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371</w:t>
            </w:r>
          </w:p>
        </w:tc>
        <w:tc>
          <w:tcPr>
            <w:tcW w:w="1215" w:type="dxa"/>
            <w:noWrap w:val="0"/>
            <w:vAlign w:val="center"/>
          </w:tcPr>
          <w:p w14:paraId="25097ED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光控开关实验器材套件</w:t>
            </w:r>
          </w:p>
        </w:tc>
        <w:tc>
          <w:tcPr>
            <w:tcW w:w="804" w:type="dxa"/>
            <w:noWrap w:val="0"/>
            <w:vAlign w:val="center"/>
          </w:tcPr>
          <w:p w14:paraId="22CAFD7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3AF4F5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5F46CA4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1.由线路板、电池盒、插线、74LS14集成块、可变电阻、电阻、光敏电阻、发光二极管等组成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2.为组装式</w:t>
            </w:r>
          </w:p>
        </w:tc>
      </w:tr>
      <w:tr w14:paraId="1ABA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A425ACE">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372</w:t>
            </w:r>
          </w:p>
        </w:tc>
        <w:tc>
          <w:tcPr>
            <w:tcW w:w="1215" w:type="dxa"/>
            <w:noWrap w:val="0"/>
            <w:vAlign w:val="center"/>
          </w:tcPr>
          <w:p w14:paraId="46A22F3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火灾报警器</w:t>
            </w:r>
          </w:p>
        </w:tc>
        <w:tc>
          <w:tcPr>
            <w:tcW w:w="804" w:type="dxa"/>
            <w:noWrap w:val="0"/>
            <w:vAlign w:val="center"/>
          </w:tcPr>
          <w:p w14:paraId="1C2F746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3A3D8E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317D82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1.由发光管、光电管、蜂鸣器、继电器等组成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2.工作电压：DC6V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3.外观尺寸：142*102**38mm</w:t>
            </w:r>
          </w:p>
        </w:tc>
      </w:tr>
      <w:tr w14:paraId="51FC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52A5B57">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373</w:t>
            </w:r>
          </w:p>
        </w:tc>
        <w:tc>
          <w:tcPr>
            <w:tcW w:w="1215" w:type="dxa"/>
            <w:noWrap w:val="0"/>
            <w:vAlign w:val="center"/>
          </w:tcPr>
          <w:p w14:paraId="7C84215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电子闹钟套件</w:t>
            </w:r>
          </w:p>
        </w:tc>
        <w:tc>
          <w:tcPr>
            <w:tcW w:w="804" w:type="dxa"/>
            <w:noWrap w:val="0"/>
            <w:vAlign w:val="center"/>
          </w:tcPr>
          <w:p w14:paraId="70063AD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7AE0AA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2BB1852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1.由线路板、电池盒、插线、蜂鸣器、74LS14集成块、可变电阻、电阻、光敏电阻、发光二极管等组成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2.为组装式</w:t>
            </w:r>
          </w:p>
        </w:tc>
      </w:tr>
      <w:tr w14:paraId="12A4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0069ACD">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374</w:t>
            </w:r>
          </w:p>
        </w:tc>
        <w:tc>
          <w:tcPr>
            <w:tcW w:w="1215" w:type="dxa"/>
            <w:noWrap w:val="0"/>
            <w:vAlign w:val="center"/>
          </w:tcPr>
          <w:p w14:paraId="1B7F1D4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桥梁模型器材套件</w:t>
            </w:r>
          </w:p>
        </w:tc>
        <w:tc>
          <w:tcPr>
            <w:tcW w:w="804" w:type="dxa"/>
            <w:noWrap w:val="0"/>
            <w:vAlign w:val="center"/>
          </w:tcPr>
          <w:p w14:paraId="7022765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D54E46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66FFE1F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1.由梁式桥模型、拱形桥模型、斜拉桥模型、桁架桥模型、吊桥模型、悬索桥模型桥组成，为塑料制，可拆卸组装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2.梁式桥尺寸200*30*72mm、拱形桥尺寸200*30*57mm、斜拉桥尺寸200*30*110mm、桁架桥尺寸200*30*90mm、吊桥尺寸200*30*90mm、悬索桥尺寸200*30*100mm</w:t>
            </w:r>
          </w:p>
        </w:tc>
      </w:tr>
      <w:tr w14:paraId="532E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90D56C2">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375</w:t>
            </w:r>
          </w:p>
        </w:tc>
        <w:tc>
          <w:tcPr>
            <w:tcW w:w="1215" w:type="dxa"/>
            <w:noWrap w:val="0"/>
            <w:vAlign w:val="center"/>
          </w:tcPr>
          <w:p w14:paraId="3BAFEC2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走马灯器材套件</w:t>
            </w:r>
          </w:p>
        </w:tc>
        <w:tc>
          <w:tcPr>
            <w:tcW w:w="804" w:type="dxa"/>
            <w:noWrap w:val="0"/>
            <w:vAlign w:val="center"/>
          </w:tcPr>
          <w:p w14:paraId="05A5486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1E155C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03C40DF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1.由带叶轮圆形纸片、方形纸片、细铁丝一段、子母扣、双面胶等组成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2.为组装式</w:t>
            </w:r>
          </w:p>
        </w:tc>
      </w:tr>
      <w:tr w14:paraId="689D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8D32837">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376</w:t>
            </w:r>
          </w:p>
        </w:tc>
        <w:tc>
          <w:tcPr>
            <w:tcW w:w="1215" w:type="dxa"/>
            <w:noWrap w:val="0"/>
            <w:vAlign w:val="center"/>
          </w:tcPr>
          <w:p w14:paraId="6466B4F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箔片验电器器材套件</w:t>
            </w:r>
          </w:p>
        </w:tc>
        <w:tc>
          <w:tcPr>
            <w:tcW w:w="804" w:type="dxa"/>
            <w:noWrap w:val="0"/>
            <w:vAlign w:val="center"/>
          </w:tcPr>
          <w:p w14:paraId="289E8AF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05CF72A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4A6EEAD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1.由透明容器、金属杆和箔片组成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2.透明容器尺寸：50*30*63mm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3.每套2个</w:t>
            </w:r>
          </w:p>
        </w:tc>
      </w:tr>
      <w:tr w14:paraId="2277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4BEE2CA">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377</w:t>
            </w:r>
          </w:p>
        </w:tc>
        <w:tc>
          <w:tcPr>
            <w:tcW w:w="1215" w:type="dxa"/>
            <w:noWrap w:val="0"/>
            <w:vAlign w:val="center"/>
          </w:tcPr>
          <w:p w14:paraId="48576EA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简易无线话筒器材套件</w:t>
            </w:r>
          </w:p>
        </w:tc>
        <w:tc>
          <w:tcPr>
            <w:tcW w:w="804" w:type="dxa"/>
            <w:noWrap w:val="0"/>
            <w:vAlign w:val="center"/>
          </w:tcPr>
          <w:p w14:paraId="2BF141D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0B5F361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2501BBE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1.由驻极话筒、半可变电容、电容、自制电感、天线、电池盒、电阻、三极管等组成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2.为组装式</w:t>
            </w:r>
          </w:p>
        </w:tc>
      </w:tr>
      <w:tr w14:paraId="1C07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B6A1743">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378</w:t>
            </w:r>
          </w:p>
        </w:tc>
        <w:tc>
          <w:tcPr>
            <w:tcW w:w="1215" w:type="dxa"/>
            <w:noWrap w:val="0"/>
            <w:vAlign w:val="center"/>
          </w:tcPr>
          <w:p w14:paraId="04AD289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环保动能手电筒器材套件</w:t>
            </w:r>
          </w:p>
        </w:tc>
        <w:tc>
          <w:tcPr>
            <w:tcW w:w="804" w:type="dxa"/>
            <w:noWrap w:val="0"/>
            <w:vAlign w:val="center"/>
          </w:tcPr>
          <w:p w14:paraId="71D39F9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1D24E3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28B1EB9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1.为按压式手电筒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2.手动蓄电，无需电池，三个LED灯泡照明</w:t>
            </w:r>
          </w:p>
        </w:tc>
      </w:tr>
      <w:tr w14:paraId="292B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BF3F21A">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379</w:t>
            </w:r>
          </w:p>
        </w:tc>
        <w:tc>
          <w:tcPr>
            <w:tcW w:w="1215" w:type="dxa"/>
            <w:noWrap w:val="0"/>
            <w:vAlign w:val="center"/>
          </w:tcPr>
          <w:p w14:paraId="169A5C4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简易收音机器材套件</w:t>
            </w:r>
          </w:p>
        </w:tc>
        <w:tc>
          <w:tcPr>
            <w:tcW w:w="804" w:type="dxa"/>
            <w:noWrap w:val="0"/>
            <w:vAlign w:val="center"/>
          </w:tcPr>
          <w:p w14:paraId="174DA5B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3A9A72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5C2204D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1.集成块、三极管、线圈、磁棒、耳机、电阻、可变电容、瓷片电容、电解电容、插座、印制板、导线、电池极片、元机螺丝、自攻螺丝、塑料外壳、尼龙扎带、图纸等组成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2.为组装式</w:t>
            </w:r>
          </w:p>
        </w:tc>
      </w:tr>
      <w:tr w14:paraId="712C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DCF8B96">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380</w:t>
            </w:r>
          </w:p>
        </w:tc>
        <w:tc>
          <w:tcPr>
            <w:tcW w:w="1215" w:type="dxa"/>
            <w:noWrap w:val="0"/>
            <w:vAlign w:val="center"/>
          </w:tcPr>
          <w:p w14:paraId="69E21E2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三极管放大电路器材套件</w:t>
            </w:r>
          </w:p>
        </w:tc>
        <w:tc>
          <w:tcPr>
            <w:tcW w:w="804" w:type="dxa"/>
            <w:noWrap w:val="0"/>
            <w:vAlign w:val="center"/>
          </w:tcPr>
          <w:p w14:paraId="138421A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08DCDFF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611C331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1.由线路板、电池盒、插线、电阻、电容、三极管等组成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2.为组装式</w:t>
            </w:r>
          </w:p>
        </w:tc>
      </w:tr>
      <w:tr w14:paraId="34CE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48160E3">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381</w:t>
            </w:r>
          </w:p>
        </w:tc>
        <w:tc>
          <w:tcPr>
            <w:tcW w:w="1215" w:type="dxa"/>
            <w:noWrap w:val="0"/>
            <w:vAlign w:val="center"/>
          </w:tcPr>
          <w:p w14:paraId="68F1D7A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光控路灯开关器材套件</w:t>
            </w:r>
          </w:p>
        </w:tc>
        <w:tc>
          <w:tcPr>
            <w:tcW w:w="804" w:type="dxa"/>
            <w:noWrap w:val="0"/>
            <w:vAlign w:val="center"/>
          </w:tcPr>
          <w:p w14:paraId="449F639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83A757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3B6E126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1.由线路板、插线、二极管(1N4001)、三极管(9014)、光敏电阻(R0)、电阻(R1=10K，R2=68K)、继电器(4098 12V)等组成。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2.为组装式</w:t>
            </w:r>
          </w:p>
        </w:tc>
      </w:tr>
      <w:tr w14:paraId="756F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938E0AE">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382</w:t>
            </w:r>
          </w:p>
        </w:tc>
        <w:tc>
          <w:tcPr>
            <w:tcW w:w="1215" w:type="dxa"/>
            <w:noWrap w:val="0"/>
            <w:vAlign w:val="center"/>
          </w:tcPr>
          <w:p w14:paraId="3E9942D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遥控器器材套件</w:t>
            </w:r>
          </w:p>
        </w:tc>
        <w:tc>
          <w:tcPr>
            <w:tcW w:w="804" w:type="dxa"/>
            <w:noWrap w:val="0"/>
            <w:vAlign w:val="center"/>
          </w:tcPr>
          <w:p w14:paraId="6B65E30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F1A02E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31D4EAC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1.由线路板、插线、电池盒、发射管（透明）、接收管（黑色）、发光二极管、三极管（9014）、电阻（2.2K）、按键开关等组成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2.为组装式</w:t>
            </w:r>
          </w:p>
        </w:tc>
      </w:tr>
      <w:tr w14:paraId="664C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A554AF4">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383</w:t>
            </w:r>
          </w:p>
        </w:tc>
        <w:tc>
          <w:tcPr>
            <w:tcW w:w="1215" w:type="dxa"/>
            <w:noWrap w:val="0"/>
            <w:vAlign w:val="center"/>
          </w:tcPr>
          <w:p w14:paraId="39CC423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简易微型汽轮发电机器材套件</w:t>
            </w:r>
          </w:p>
        </w:tc>
        <w:tc>
          <w:tcPr>
            <w:tcW w:w="804" w:type="dxa"/>
            <w:noWrap w:val="0"/>
            <w:vAlign w:val="center"/>
          </w:tcPr>
          <w:p w14:paraId="592CA10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FB571E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5232434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1.由支架、烧瓶（模拟锅炉）、酒精灯、微型发电机、二极管等组成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2.为组装式</w:t>
            </w:r>
          </w:p>
        </w:tc>
      </w:tr>
      <w:tr w14:paraId="1055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CD1BAE3">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384</w:t>
            </w:r>
          </w:p>
        </w:tc>
        <w:tc>
          <w:tcPr>
            <w:tcW w:w="1215" w:type="dxa"/>
            <w:noWrap w:val="0"/>
            <w:vAlign w:val="center"/>
          </w:tcPr>
          <w:p w14:paraId="08F4697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模型火箭器材套件</w:t>
            </w:r>
          </w:p>
        </w:tc>
        <w:tc>
          <w:tcPr>
            <w:tcW w:w="804" w:type="dxa"/>
            <w:noWrap w:val="0"/>
            <w:vAlign w:val="center"/>
          </w:tcPr>
          <w:p w14:paraId="678E621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2078AA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3FFC7A6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1.为硬纸质火箭模型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2.为组装式</w:t>
            </w:r>
          </w:p>
        </w:tc>
      </w:tr>
      <w:tr w14:paraId="446A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6BEF90E">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385</w:t>
            </w:r>
          </w:p>
        </w:tc>
        <w:tc>
          <w:tcPr>
            <w:tcW w:w="1215" w:type="dxa"/>
            <w:noWrap w:val="0"/>
            <w:vAlign w:val="center"/>
          </w:tcPr>
          <w:p w14:paraId="56BF0F6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滚上体</w:t>
            </w:r>
          </w:p>
        </w:tc>
        <w:tc>
          <w:tcPr>
            <w:tcW w:w="804" w:type="dxa"/>
            <w:noWrap w:val="0"/>
            <w:vAlign w:val="center"/>
          </w:tcPr>
          <w:p w14:paraId="7CA75B8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E7B1EE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53CE1F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1.由轨道和双椎体组成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2.轨道为铁制喷塑，尺寸为600*150*160mm</w:t>
            </w:r>
          </w:p>
        </w:tc>
      </w:tr>
      <w:tr w14:paraId="2F51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99A5BAF">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386</w:t>
            </w:r>
          </w:p>
        </w:tc>
        <w:tc>
          <w:tcPr>
            <w:tcW w:w="1215" w:type="dxa"/>
            <w:noWrap w:val="0"/>
            <w:vAlign w:val="center"/>
          </w:tcPr>
          <w:p w14:paraId="24B233D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简单机器人</w:t>
            </w:r>
          </w:p>
        </w:tc>
        <w:tc>
          <w:tcPr>
            <w:tcW w:w="804" w:type="dxa"/>
            <w:noWrap w:val="0"/>
            <w:vAlign w:val="center"/>
          </w:tcPr>
          <w:p w14:paraId="5EA2F1E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B2807B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D850DC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1.为玩具机器人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2.供电电源为3节5号电池</w:t>
            </w:r>
          </w:p>
        </w:tc>
      </w:tr>
      <w:tr w14:paraId="2142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2001AE0">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387</w:t>
            </w:r>
          </w:p>
        </w:tc>
        <w:tc>
          <w:tcPr>
            <w:tcW w:w="1215" w:type="dxa"/>
            <w:noWrap w:val="0"/>
            <w:vAlign w:val="center"/>
          </w:tcPr>
          <w:p w14:paraId="74D9A10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频闪观察器</w:t>
            </w:r>
          </w:p>
        </w:tc>
        <w:tc>
          <w:tcPr>
            <w:tcW w:w="804" w:type="dxa"/>
            <w:noWrap w:val="0"/>
            <w:vAlign w:val="center"/>
          </w:tcPr>
          <w:p w14:paraId="0ED6F87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EAF5E2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6B31DA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1.由底座、光源、控制器、静态图片圆盘等组成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2.底座为铁板喷塑 圆盘为有机材料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3.外形尺寸298*298*35mm</w:t>
            </w:r>
          </w:p>
        </w:tc>
      </w:tr>
      <w:tr w14:paraId="3B472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CC6FD55">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388</w:t>
            </w:r>
          </w:p>
        </w:tc>
        <w:tc>
          <w:tcPr>
            <w:tcW w:w="1215" w:type="dxa"/>
            <w:noWrap w:val="0"/>
            <w:vAlign w:val="center"/>
          </w:tcPr>
          <w:p w14:paraId="5039869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各种陀螺</w:t>
            </w:r>
          </w:p>
        </w:tc>
        <w:tc>
          <w:tcPr>
            <w:tcW w:w="804" w:type="dxa"/>
            <w:noWrap w:val="0"/>
            <w:vAlign w:val="center"/>
          </w:tcPr>
          <w:p w14:paraId="191E71D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BC8373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0347AD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1.由木质陀螺组成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2.外形尺寸 φ55*55mm</w:t>
            </w:r>
          </w:p>
        </w:tc>
      </w:tr>
      <w:tr w14:paraId="4AE6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DE4AA36">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389</w:t>
            </w:r>
          </w:p>
        </w:tc>
        <w:tc>
          <w:tcPr>
            <w:tcW w:w="1215" w:type="dxa"/>
            <w:noWrap w:val="0"/>
            <w:vAlign w:val="center"/>
          </w:tcPr>
          <w:p w14:paraId="59E2BCC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大回转轮</w:t>
            </w:r>
          </w:p>
        </w:tc>
        <w:tc>
          <w:tcPr>
            <w:tcW w:w="804" w:type="dxa"/>
            <w:noWrap w:val="0"/>
            <w:vAlign w:val="center"/>
          </w:tcPr>
          <w:p w14:paraId="361C141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387984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6EE6CA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1.由摆体（摆轮和摆轴）、悬线和支架等组成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2.摆轮采用金属材质，直径125 mm；摆轴采用钢材制作，直径10 mm，长150 mm；支架高400 mm，横梁长220 mm；摆体质量为0.6 kg～0.8 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3.摆体前10 次的回升累计递减量≤65 mm。</w:t>
            </w:r>
          </w:p>
        </w:tc>
      </w:tr>
      <w:tr w14:paraId="695C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3BBE8E7">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390</w:t>
            </w:r>
          </w:p>
        </w:tc>
        <w:tc>
          <w:tcPr>
            <w:tcW w:w="1215" w:type="dxa"/>
            <w:noWrap w:val="0"/>
            <w:vAlign w:val="center"/>
          </w:tcPr>
          <w:p w14:paraId="640EA16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三轨竟速</w:t>
            </w:r>
          </w:p>
        </w:tc>
        <w:tc>
          <w:tcPr>
            <w:tcW w:w="804" w:type="dxa"/>
            <w:noWrap w:val="0"/>
            <w:vAlign w:val="center"/>
          </w:tcPr>
          <w:p w14:paraId="394AB6A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41E6A5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B32C46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1.由三个同等高度不同路径的轨道、钢球、控制器等组成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2.框架为铁板喷塑，轨道为有机玻璃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3.尺寸665*282*200mm</w:t>
            </w:r>
          </w:p>
        </w:tc>
      </w:tr>
      <w:tr w14:paraId="173E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8FE77A8">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391</w:t>
            </w:r>
          </w:p>
        </w:tc>
        <w:tc>
          <w:tcPr>
            <w:tcW w:w="1215" w:type="dxa"/>
            <w:noWrap w:val="0"/>
            <w:vAlign w:val="center"/>
          </w:tcPr>
          <w:p w14:paraId="1F0DFC2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翻转环实验器</w:t>
            </w:r>
          </w:p>
        </w:tc>
        <w:tc>
          <w:tcPr>
            <w:tcW w:w="804" w:type="dxa"/>
            <w:noWrap w:val="0"/>
            <w:vAlign w:val="center"/>
          </w:tcPr>
          <w:p w14:paraId="18BD4CC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326D4A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67439B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1.由钢圈、底座、轨道、钢球等组成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2.钢圈直径420mm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3.铁板喷塑底座；外形尺寸500*150*450</w:t>
            </w:r>
          </w:p>
        </w:tc>
      </w:tr>
      <w:tr w14:paraId="13AC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07262B3">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392</w:t>
            </w:r>
          </w:p>
        </w:tc>
        <w:tc>
          <w:tcPr>
            <w:tcW w:w="1215" w:type="dxa"/>
            <w:noWrap w:val="0"/>
            <w:vAlign w:val="center"/>
          </w:tcPr>
          <w:p w14:paraId="2656C9F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离心力铁环</w:t>
            </w:r>
          </w:p>
        </w:tc>
        <w:tc>
          <w:tcPr>
            <w:tcW w:w="804" w:type="dxa"/>
            <w:noWrap w:val="0"/>
            <w:vAlign w:val="center"/>
          </w:tcPr>
          <w:p w14:paraId="5F06D6E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158EE3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B31754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1.由底座、支架、钢球和环形轨道等组成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2.环形轨道为铝合金制，有释放装置和捕球装置，圆环外径130mm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3.底座为塑料制，尺寸：280mm*110mm</w:t>
            </w:r>
          </w:p>
        </w:tc>
      </w:tr>
      <w:tr w14:paraId="6C9E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4B71827">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393</w:t>
            </w:r>
          </w:p>
        </w:tc>
        <w:tc>
          <w:tcPr>
            <w:tcW w:w="1215" w:type="dxa"/>
            <w:noWrap w:val="0"/>
            <w:vAlign w:val="center"/>
          </w:tcPr>
          <w:p w14:paraId="522B109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滚动的方轮</w:t>
            </w:r>
          </w:p>
        </w:tc>
        <w:tc>
          <w:tcPr>
            <w:tcW w:w="804" w:type="dxa"/>
            <w:noWrap w:val="0"/>
            <w:vAlign w:val="center"/>
          </w:tcPr>
          <w:p w14:paraId="5FBA932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F726A7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91F232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1.由一个呈弧线状的曲面斜轨道和一个与弧线状曲面配合的方形轮子组成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2.框架为铁板喷塑，外形尺寸595*180*200mm</w:t>
            </w:r>
          </w:p>
        </w:tc>
      </w:tr>
      <w:tr w14:paraId="130E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96E7ACB">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394</w:t>
            </w:r>
          </w:p>
        </w:tc>
        <w:tc>
          <w:tcPr>
            <w:tcW w:w="1215" w:type="dxa"/>
            <w:noWrap w:val="0"/>
            <w:vAlign w:val="center"/>
          </w:tcPr>
          <w:p w14:paraId="4E95BE4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玩具赛车</w:t>
            </w:r>
          </w:p>
        </w:tc>
        <w:tc>
          <w:tcPr>
            <w:tcW w:w="804" w:type="dxa"/>
            <w:noWrap w:val="0"/>
            <w:vAlign w:val="center"/>
          </w:tcPr>
          <w:p w14:paraId="03F14DB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4786C2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08280F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1.为塑料制玩具赛车</w:t>
            </w:r>
          </w:p>
        </w:tc>
      </w:tr>
      <w:tr w14:paraId="7C58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3BBF29E">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395</w:t>
            </w:r>
          </w:p>
        </w:tc>
        <w:tc>
          <w:tcPr>
            <w:tcW w:w="1215" w:type="dxa"/>
            <w:noWrap w:val="0"/>
            <w:vAlign w:val="center"/>
          </w:tcPr>
          <w:p w14:paraId="36DADDD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饮水鸟</w:t>
            </w:r>
          </w:p>
        </w:tc>
        <w:tc>
          <w:tcPr>
            <w:tcW w:w="804" w:type="dxa"/>
            <w:noWrap w:val="0"/>
            <w:vAlign w:val="center"/>
          </w:tcPr>
          <w:p w14:paraId="5E5EFED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05850CE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1957D6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1.由水槽 棉花 塑料等组成</w:t>
            </w:r>
          </w:p>
        </w:tc>
      </w:tr>
      <w:tr w14:paraId="66C6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8275F37">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396</w:t>
            </w:r>
          </w:p>
        </w:tc>
        <w:tc>
          <w:tcPr>
            <w:tcW w:w="1215" w:type="dxa"/>
            <w:noWrap w:val="0"/>
            <w:vAlign w:val="center"/>
          </w:tcPr>
          <w:p w14:paraId="6BC19EA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鱼洗</w:t>
            </w:r>
          </w:p>
        </w:tc>
        <w:tc>
          <w:tcPr>
            <w:tcW w:w="804" w:type="dxa"/>
            <w:noWrap w:val="0"/>
            <w:vAlign w:val="center"/>
          </w:tcPr>
          <w:p w14:paraId="4D81C10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1029A9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6F588D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1.为纯铜质双耳鱼洗，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2.上口直径360mm；下口直径195mm</w:t>
            </w:r>
          </w:p>
        </w:tc>
      </w:tr>
      <w:tr w14:paraId="6456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F2EF6D3">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397</w:t>
            </w:r>
          </w:p>
        </w:tc>
        <w:tc>
          <w:tcPr>
            <w:tcW w:w="1215" w:type="dxa"/>
            <w:noWrap w:val="0"/>
            <w:vAlign w:val="center"/>
          </w:tcPr>
          <w:p w14:paraId="6E8D0F5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水火箭</w:t>
            </w:r>
          </w:p>
        </w:tc>
        <w:tc>
          <w:tcPr>
            <w:tcW w:w="804" w:type="dxa"/>
            <w:noWrap w:val="0"/>
            <w:vAlign w:val="center"/>
          </w:tcPr>
          <w:p w14:paraId="0F877A1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2B51C2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D4C361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1.由发射支架、塑料瓶（火箭）、导轨等组成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2.尺寸：285*125*105mm</w:t>
            </w:r>
          </w:p>
        </w:tc>
      </w:tr>
      <w:tr w14:paraId="40DA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F71A5CE">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398</w:t>
            </w:r>
          </w:p>
        </w:tc>
        <w:tc>
          <w:tcPr>
            <w:tcW w:w="1215" w:type="dxa"/>
            <w:noWrap w:val="0"/>
            <w:vAlign w:val="center"/>
          </w:tcPr>
          <w:p w14:paraId="27BD936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滴水起电机</w:t>
            </w:r>
          </w:p>
        </w:tc>
        <w:tc>
          <w:tcPr>
            <w:tcW w:w="804" w:type="dxa"/>
            <w:noWrap w:val="0"/>
            <w:vAlign w:val="center"/>
          </w:tcPr>
          <w:p w14:paraId="446E61F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E195EC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59D8C8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1.仪器由电机、支架，滴水装置，感应圈，盛水筒，绝缘垫等组成。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2.仪器尺寸：380*160*480</w:t>
            </w:r>
          </w:p>
        </w:tc>
      </w:tr>
      <w:tr w14:paraId="6173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6081603">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399</w:t>
            </w:r>
          </w:p>
        </w:tc>
        <w:tc>
          <w:tcPr>
            <w:tcW w:w="1215" w:type="dxa"/>
            <w:noWrap w:val="0"/>
            <w:vAlign w:val="center"/>
          </w:tcPr>
          <w:p w14:paraId="0919420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气体辉光球</w:t>
            </w:r>
          </w:p>
        </w:tc>
        <w:tc>
          <w:tcPr>
            <w:tcW w:w="804" w:type="dxa"/>
            <w:noWrap w:val="0"/>
            <w:vAlign w:val="center"/>
          </w:tcPr>
          <w:p w14:paraId="02E995F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8E4694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78A772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1.球直径不小于10cm,整体高度不小于18cm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2.球玻璃制、底座为塑料制</w:t>
            </w:r>
          </w:p>
        </w:tc>
      </w:tr>
      <w:tr w14:paraId="2990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B43FFAD">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400</w:t>
            </w:r>
          </w:p>
        </w:tc>
        <w:tc>
          <w:tcPr>
            <w:tcW w:w="1215" w:type="dxa"/>
            <w:noWrap w:val="0"/>
            <w:vAlign w:val="center"/>
          </w:tcPr>
          <w:p w14:paraId="1F36C84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测电笔</w:t>
            </w:r>
          </w:p>
        </w:tc>
        <w:tc>
          <w:tcPr>
            <w:tcW w:w="804" w:type="dxa"/>
            <w:noWrap w:val="0"/>
            <w:vAlign w:val="center"/>
          </w:tcPr>
          <w:p w14:paraId="1E686AB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1A01E12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4C0C0FB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1.为工业用测电笔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2.为笔式氖泡测电笔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3.整体长度为140mm,外部绝缘材料包裹，测量头长度为16mm</w:t>
            </w:r>
          </w:p>
        </w:tc>
      </w:tr>
      <w:tr w14:paraId="41C2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9E3F702">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401</w:t>
            </w:r>
          </w:p>
        </w:tc>
        <w:tc>
          <w:tcPr>
            <w:tcW w:w="1215" w:type="dxa"/>
            <w:noWrap w:val="0"/>
            <w:vAlign w:val="center"/>
          </w:tcPr>
          <w:p w14:paraId="2BE3C3A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一字螺丝刀</w:t>
            </w:r>
          </w:p>
        </w:tc>
        <w:tc>
          <w:tcPr>
            <w:tcW w:w="804" w:type="dxa"/>
            <w:noWrap w:val="0"/>
            <w:vAlign w:val="center"/>
          </w:tcPr>
          <w:p w14:paraId="2EE6F6A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7AB07D9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5CD300A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1.为工业用一字螺丝刀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2.通体长为208mm,橡胶手柄，防滑处理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3.刀杆长度为98mm,刀杆直径5.5mm,刀头带磁性</w:t>
            </w:r>
          </w:p>
        </w:tc>
      </w:tr>
      <w:tr w14:paraId="5F47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0144177">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402</w:t>
            </w:r>
          </w:p>
        </w:tc>
        <w:tc>
          <w:tcPr>
            <w:tcW w:w="1215" w:type="dxa"/>
            <w:noWrap w:val="0"/>
            <w:vAlign w:val="center"/>
          </w:tcPr>
          <w:p w14:paraId="308771E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十字螺丝刀</w:t>
            </w:r>
          </w:p>
        </w:tc>
        <w:tc>
          <w:tcPr>
            <w:tcW w:w="804" w:type="dxa"/>
            <w:noWrap w:val="0"/>
            <w:vAlign w:val="center"/>
          </w:tcPr>
          <w:p w14:paraId="0E1284F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4CD3BCA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38C9DD3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1.为工业用一字螺丝刀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2.通体长为205mm,橡胶手柄，防滑处理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3.刀杆长度为94mm,刀杆直径5.5mm,刀头带磁性</w:t>
            </w:r>
          </w:p>
        </w:tc>
      </w:tr>
      <w:tr w14:paraId="5F6B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5C7BA0D">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403</w:t>
            </w:r>
          </w:p>
        </w:tc>
        <w:tc>
          <w:tcPr>
            <w:tcW w:w="1215" w:type="dxa"/>
            <w:noWrap w:val="0"/>
            <w:vAlign w:val="center"/>
          </w:tcPr>
          <w:p w14:paraId="4AAD6DC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尖嘴钳</w:t>
            </w:r>
          </w:p>
        </w:tc>
        <w:tc>
          <w:tcPr>
            <w:tcW w:w="804" w:type="dxa"/>
            <w:noWrap w:val="0"/>
            <w:vAlign w:val="center"/>
          </w:tcPr>
          <w:p w14:paraId="02A3D42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9F1C1C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6EC39AD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1.为工业用尖嘴钳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2.整体长度为180mm,手握处有橡胶保护套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3.最大张开距离为42mm，下端有自动弹开弹簧</w:t>
            </w:r>
          </w:p>
        </w:tc>
      </w:tr>
      <w:tr w14:paraId="73B4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682F38D">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404</w:t>
            </w:r>
          </w:p>
        </w:tc>
        <w:tc>
          <w:tcPr>
            <w:tcW w:w="1215" w:type="dxa"/>
            <w:noWrap w:val="0"/>
            <w:vAlign w:val="center"/>
          </w:tcPr>
          <w:p w14:paraId="5AF6E30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电工刀</w:t>
            </w:r>
          </w:p>
        </w:tc>
        <w:tc>
          <w:tcPr>
            <w:tcW w:w="804" w:type="dxa"/>
            <w:noWrap w:val="0"/>
            <w:vAlign w:val="center"/>
          </w:tcPr>
          <w:p w14:paraId="47795BC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F61D19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7B0238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1.由金属刀和塑料手柄组成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2.电工刀为折叠式，展开后最大长度为205mm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3.刀刃长78mm,宽18mm,</w:t>
            </w:r>
          </w:p>
        </w:tc>
      </w:tr>
      <w:tr w14:paraId="08F0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682C0B6">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405</w:t>
            </w:r>
          </w:p>
        </w:tc>
        <w:tc>
          <w:tcPr>
            <w:tcW w:w="1215" w:type="dxa"/>
            <w:noWrap w:val="0"/>
            <w:vAlign w:val="center"/>
          </w:tcPr>
          <w:p w14:paraId="003F58E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手摇钻</w:t>
            </w:r>
          </w:p>
        </w:tc>
        <w:tc>
          <w:tcPr>
            <w:tcW w:w="804" w:type="dxa"/>
            <w:noWrap w:val="0"/>
            <w:vAlign w:val="center"/>
          </w:tcPr>
          <w:p w14:paraId="57430CA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450C10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FA5A45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1.由手柄、摇把和钻孔器组成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2.手柄和摇把为塑料制，手柄长度为120mm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3.钻孔器为全金属制</w:t>
            </w:r>
          </w:p>
        </w:tc>
      </w:tr>
      <w:tr w14:paraId="65F8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08B6208">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406</w:t>
            </w:r>
          </w:p>
        </w:tc>
        <w:tc>
          <w:tcPr>
            <w:tcW w:w="1215" w:type="dxa"/>
            <w:noWrap w:val="0"/>
            <w:vAlign w:val="center"/>
          </w:tcPr>
          <w:p w14:paraId="57F7FB3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木锉</w:t>
            </w:r>
          </w:p>
        </w:tc>
        <w:tc>
          <w:tcPr>
            <w:tcW w:w="804" w:type="dxa"/>
            <w:noWrap w:val="0"/>
            <w:vAlign w:val="center"/>
          </w:tcPr>
          <w:p w14:paraId="0C51298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8466B5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50FB2E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1.为工业用木工锉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2.整体长度为234mm,手柄为塑料制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3.木锉长146mm,宽27mm,横截面为菱形</w:t>
            </w:r>
          </w:p>
        </w:tc>
      </w:tr>
      <w:tr w14:paraId="6983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00EDFE1">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407</w:t>
            </w:r>
          </w:p>
        </w:tc>
        <w:tc>
          <w:tcPr>
            <w:tcW w:w="1215" w:type="dxa"/>
            <w:noWrap w:val="0"/>
            <w:vAlign w:val="center"/>
          </w:tcPr>
          <w:p w14:paraId="3C0E7A9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木工锯</w:t>
            </w:r>
          </w:p>
        </w:tc>
        <w:tc>
          <w:tcPr>
            <w:tcW w:w="804" w:type="dxa"/>
            <w:noWrap w:val="0"/>
            <w:vAlign w:val="center"/>
          </w:tcPr>
          <w:p w14:paraId="7B1C603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B5E4C2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C58B6A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1.为工业用带把手锯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2.整体长度为515mm,塑料手把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3.锯条呈梯形,锯齿长度为440mm</w:t>
            </w:r>
          </w:p>
        </w:tc>
      </w:tr>
      <w:tr w14:paraId="6D89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CA2275F">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408</w:t>
            </w:r>
          </w:p>
        </w:tc>
        <w:tc>
          <w:tcPr>
            <w:tcW w:w="1215" w:type="dxa"/>
            <w:noWrap w:val="0"/>
            <w:vAlign w:val="center"/>
          </w:tcPr>
          <w:p w14:paraId="3EC5E40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木工锤</w:t>
            </w:r>
          </w:p>
        </w:tc>
        <w:tc>
          <w:tcPr>
            <w:tcW w:w="804" w:type="dxa"/>
            <w:noWrap w:val="0"/>
            <w:vAlign w:val="center"/>
          </w:tcPr>
          <w:p w14:paraId="1D14D1A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0EFAF7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DA88D2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1.由羊角锤和木质手柄组成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2.羊角锤为铁质，重量为0.25kg，表面电镀处理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3.木质手柄长度不低于250mm,表面清漆处理</w:t>
            </w:r>
          </w:p>
        </w:tc>
      </w:tr>
      <w:tr w14:paraId="3603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6ABED14">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409</w:t>
            </w:r>
          </w:p>
        </w:tc>
        <w:tc>
          <w:tcPr>
            <w:tcW w:w="1215" w:type="dxa"/>
            <w:noWrap w:val="0"/>
            <w:vAlign w:val="center"/>
          </w:tcPr>
          <w:p w14:paraId="7E86138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铇</w:t>
            </w:r>
          </w:p>
        </w:tc>
        <w:tc>
          <w:tcPr>
            <w:tcW w:w="804" w:type="dxa"/>
            <w:noWrap w:val="0"/>
            <w:vAlign w:val="center"/>
          </w:tcPr>
          <w:p w14:paraId="54F2F70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3F6238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462591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1.由铇盒、手柄、木塞和2个刀片组成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2.铇盒为木质，整体尺寸为176*58*42mm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3.手柄为木质，长度为230mm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4.2个刀片的宽为43mm,长度分别为182mm、92mm</w:t>
            </w:r>
          </w:p>
        </w:tc>
      </w:tr>
      <w:tr w14:paraId="7573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222FCF3">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410</w:t>
            </w:r>
          </w:p>
        </w:tc>
        <w:tc>
          <w:tcPr>
            <w:tcW w:w="1215" w:type="dxa"/>
            <w:noWrap w:val="0"/>
            <w:vAlign w:val="center"/>
          </w:tcPr>
          <w:p w14:paraId="49DF91F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斧</w:t>
            </w:r>
          </w:p>
        </w:tc>
        <w:tc>
          <w:tcPr>
            <w:tcW w:w="804" w:type="dxa"/>
            <w:noWrap w:val="0"/>
            <w:vAlign w:val="center"/>
          </w:tcPr>
          <w:p w14:paraId="00145D0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A130B8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55F146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1.由斧头和木质手柄组成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2.斧头为铁质，斧刃长度不低于100mm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3.手柄长度不低于300mm</w:t>
            </w:r>
          </w:p>
        </w:tc>
      </w:tr>
      <w:tr w14:paraId="7A6E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A8CB83D">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411</w:t>
            </w:r>
          </w:p>
        </w:tc>
        <w:tc>
          <w:tcPr>
            <w:tcW w:w="1215" w:type="dxa"/>
            <w:noWrap w:val="0"/>
            <w:vAlign w:val="center"/>
          </w:tcPr>
          <w:p w14:paraId="4E17720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钢手锯</w:t>
            </w:r>
          </w:p>
        </w:tc>
        <w:tc>
          <w:tcPr>
            <w:tcW w:w="804" w:type="dxa"/>
            <w:noWrap w:val="0"/>
            <w:vAlign w:val="center"/>
          </w:tcPr>
          <w:p w14:paraId="19151A5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8A26D2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B8FAAA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1.由钢手锯和锯条组成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2.钢手锯可夹持20cm、25cm和30cm三种不同长度的锯条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3.整体表面做防锈处理</w:t>
            </w:r>
          </w:p>
        </w:tc>
      </w:tr>
      <w:tr w14:paraId="2322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DF2FD63">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412</w:t>
            </w:r>
          </w:p>
        </w:tc>
        <w:tc>
          <w:tcPr>
            <w:tcW w:w="1215" w:type="dxa"/>
            <w:noWrap w:val="0"/>
            <w:vAlign w:val="center"/>
          </w:tcPr>
          <w:p w14:paraId="0561196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剥线钳</w:t>
            </w:r>
          </w:p>
        </w:tc>
        <w:tc>
          <w:tcPr>
            <w:tcW w:w="804" w:type="dxa"/>
            <w:noWrap w:val="0"/>
            <w:vAlign w:val="center"/>
          </w:tcPr>
          <w:p w14:paraId="64E5BC4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E3BDDF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012DF57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1.为工业用剥线钳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2.整体长度为180mm,手握处有橡胶保护套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3.可剥导线的直径为2.6mm、2.0mm、1.6mm、1.3mm、1.0mm、0.8mm、0.6mm，下端有自动弹开弹簧,侧面有锁定栓</w:t>
            </w:r>
          </w:p>
        </w:tc>
      </w:tr>
      <w:tr w14:paraId="3EC4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EAFDC24">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413</w:t>
            </w:r>
          </w:p>
        </w:tc>
        <w:tc>
          <w:tcPr>
            <w:tcW w:w="1215" w:type="dxa"/>
            <w:noWrap w:val="0"/>
            <w:vAlign w:val="center"/>
          </w:tcPr>
          <w:p w14:paraId="7635FCD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钢丝钳</w:t>
            </w:r>
          </w:p>
        </w:tc>
        <w:tc>
          <w:tcPr>
            <w:tcW w:w="804" w:type="dxa"/>
            <w:noWrap w:val="0"/>
            <w:vAlign w:val="center"/>
          </w:tcPr>
          <w:p w14:paraId="213C2F1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C6E1CF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E44E72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1.为工业用钢丝钳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2.整体长度为200mm，手握处有橡胶保护套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3.最大张开距离为25mm</w:t>
            </w:r>
          </w:p>
        </w:tc>
      </w:tr>
      <w:tr w14:paraId="0233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A02DA84">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414</w:t>
            </w:r>
          </w:p>
        </w:tc>
        <w:tc>
          <w:tcPr>
            <w:tcW w:w="1215" w:type="dxa"/>
            <w:noWrap w:val="0"/>
            <w:vAlign w:val="center"/>
          </w:tcPr>
          <w:p w14:paraId="7DA10FF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手锤</w:t>
            </w:r>
          </w:p>
        </w:tc>
        <w:tc>
          <w:tcPr>
            <w:tcW w:w="804" w:type="dxa"/>
            <w:noWrap w:val="0"/>
            <w:vAlign w:val="center"/>
          </w:tcPr>
          <w:p w14:paraId="66A7392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E0F851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38153E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1.由锤和木质手柄组成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2.锤为铁质，一端为圆球形，一端为圆柱形，表面电镀处理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3.木质手柄长度不低于250mm,表面清漆处理</w:t>
            </w:r>
          </w:p>
        </w:tc>
      </w:tr>
      <w:tr w14:paraId="719C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BA04DC9">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415</w:t>
            </w:r>
          </w:p>
        </w:tc>
        <w:tc>
          <w:tcPr>
            <w:tcW w:w="1215" w:type="dxa"/>
            <w:noWrap w:val="0"/>
            <w:vAlign w:val="center"/>
          </w:tcPr>
          <w:p w14:paraId="518BB6A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錾子</w:t>
            </w:r>
          </w:p>
        </w:tc>
        <w:tc>
          <w:tcPr>
            <w:tcW w:w="804" w:type="dxa"/>
            <w:noWrap w:val="0"/>
            <w:vAlign w:val="center"/>
          </w:tcPr>
          <w:p w14:paraId="5D02DF5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AA9FB6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13AD96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1.为工业用錾子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2.錾子整体长度为248mm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3.底部为扁平型，长39mm；中间为六棱柱，宽13mm；顶部为正方形，边长9mm</w:t>
            </w:r>
          </w:p>
        </w:tc>
      </w:tr>
      <w:tr w14:paraId="6253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A137838">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416</w:t>
            </w:r>
          </w:p>
        </w:tc>
        <w:tc>
          <w:tcPr>
            <w:tcW w:w="1215" w:type="dxa"/>
            <w:noWrap w:val="0"/>
            <w:vAlign w:val="center"/>
          </w:tcPr>
          <w:p w14:paraId="4DCEE47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锉刀(平板)</w:t>
            </w:r>
          </w:p>
        </w:tc>
        <w:tc>
          <w:tcPr>
            <w:tcW w:w="804" w:type="dxa"/>
            <w:noWrap w:val="0"/>
            <w:vAlign w:val="center"/>
          </w:tcPr>
          <w:p w14:paraId="4CECC59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2196C8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1CDD0C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1.为工业用平板锉刀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2.整体长度为235mm,手柄为塑料制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3.木锉长150mm,宽16mm</w:t>
            </w:r>
          </w:p>
        </w:tc>
      </w:tr>
      <w:tr w14:paraId="528F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C20AFF0">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417</w:t>
            </w:r>
          </w:p>
        </w:tc>
        <w:tc>
          <w:tcPr>
            <w:tcW w:w="1215" w:type="dxa"/>
            <w:noWrap w:val="0"/>
            <w:vAlign w:val="center"/>
          </w:tcPr>
          <w:p w14:paraId="5BCC128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三角锉刀</w:t>
            </w:r>
          </w:p>
        </w:tc>
        <w:tc>
          <w:tcPr>
            <w:tcW w:w="804" w:type="dxa"/>
            <w:noWrap w:val="0"/>
            <w:vAlign w:val="center"/>
          </w:tcPr>
          <w:p w14:paraId="72FE8A7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030074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8D97E0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1.为工业用三角锉刀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2.整体长度为215mm,手柄为塑料制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3.锉刀长150mm,单边宽9mm,横截面等边三角形</w:t>
            </w:r>
          </w:p>
        </w:tc>
      </w:tr>
      <w:tr w14:paraId="01F1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6321BBA">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418</w:t>
            </w:r>
          </w:p>
        </w:tc>
        <w:tc>
          <w:tcPr>
            <w:tcW w:w="1215" w:type="dxa"/>
            <w:noWrap w:val="0"/>
            <w:vAlign w:val="center"/>
          </w:tcPr>
          <w:p w14:paraId="7500589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什锦锉</w:t>
            </w:r>
          </w:p>
        </w:tc>
        <w:tc>
          <w:tcPr>
            <w:tcW w:w="804" w:type="dxa"/>
            <w:noWrap w:val="0"/>
            <w:vAlign w:val="center"/>
          </w:tcPr>
          <w:p w14:paraId="5E681F4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3DB92B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525768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1.为工业用什锦锉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2.每套有10种不同的锉刀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3.单个锉刀的长度为140mm,手柄长50mm</w:t>
            </w:r>
          </w:p>
        </w:tc>
      </w:tr>
      <w:tr w14:paraId="57A8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4B8063A">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419</w:t>
            </w:r>
          </w:p>
        </w:tc>
        <w:tc>
          <w:tcPr>
            <w:tcW w:w="1215" w:type="dxa"/>
            <w:noWrap w:val="0"/>
            <w:vAlign w:val="center"/>
          </w:tcPr>
          <w:p w14:paraId="203236C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活扳手</w:t>
            </w:r>
          </w:p>
        </w:tc>
        <w:tc>
          <w:tcPr>
            <w:tcW w:w="804" w:type="dxa"/>
            <w:noWrap w:val="0"/>
            <w:vAlign w:val="center"/>
          </w:tcPr>
          <w:p w14:paraId="464E73F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0FDF78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47AA456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1.为工业用活动扳手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2.整体长度为250mm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3.最大张口距离为30mm</w:t>
            </w:r>
          </w:p>
        </w:tc>
      </w:tr>
      <w:tr w14:paraId="3E74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6D0FEAE">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420</w:t>
            </w:r>
          </w:p>
        </w:tc>
        <w:tc>
          <w:tcPr>
            <w:tcW w:w="1215" w:type="dxa"/>
            <w:noWrap w:val="0"/>
            <w:vAlign w:val="center"/>
          </w:tcPr>
          <w:p w14:paraId="16CAEAF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手剪</w:t>
            </w:r>
          </w:p>
        </w:tc>
        <w:tc>
          <w:tcPr>
            <w:tcW w:w="804" w:type="dxa"/>
            <w:noWrap w:val="0"/>
            <w:vAlign w:val="center"/>
          </w:tcPr>
          <w:p w14:paraId="38EF038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B0E84A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171068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1.为全金属制剪刀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2.整体长度为34mm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3.剪刀两个手柄一个呈U型，一个呈弯型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4.剪刀最大张开距离140mm</w:t>
            </w:r>
          </w:p>
        </w:tc>
      </w:tr>
      <w:tr w14:paraId="7AD0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67BEBC4">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421</w:t>
            </w:r>
          </w:p>
        </w:tc>
        <w:tc>
          <w:tcPr>
            <w:tcW w:w="1215" w:type="dxa"/>
            <w:noWrap w:val="0"/>
            <w:vAlign w:val="center"/>
          </w:tcPr>
          <w:p w14:paraId="7C5E2A8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直角尺</w:t>
            </w:r>
          </w:p>
        </w:tc>
        <w:tc>
          <w:tcPr>
            <w:tcW w:w="804" w:type="dxa"/>
            <w:noWrap w:val="0"/>
            <w:vAlign w:val="center"/>
          </w:tcPr>
          <w:p w14:paraId="78EC19D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52FCD1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593292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1.为工业用直角尺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2.测量边长度为30cm</w:t>
            </w:r>
          </w:p>
        </w:tc>
      </w:tr>
      <w:tr w14:paraId="61A7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695EDD8">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422</w:t>
            </w:r>
          </w:p>
        </w:tc>
        <w:tc>
          <w:tcPr>
            <w:tcW w:w="1215" w:type="dxa"/>
            <w:noWrap w:val="0"/>
            <w:vAlign w:val="center"/>
          </w:tcPr>
          <w:p w14:paraId="3321CA8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电烙铁</w:t>
            </w:r>
          </w:p>
        </w:tc>
        <w:tc>
          <w:tcPr>
            <w:tcW w:w="804" w:type="dxa"/>
            <w:noWrap w:val="0"/>
            <w:vAlign w:val="center"/>
          </w:tcPr>
          <w:p w14:paraId="0F608C1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5B09FB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6EFD4A0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1.为工业用电烙铁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2.电烙铁整体长度为210mm，手柄长100mm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3.功率：60w，烙铁头长度可调</w:t>
            </w:r>
          </w:p>
        </w:tc>
      </w:tr>
      <w:tr w14:paraId="7B91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09C5362">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423</w:t>
            </w:r>
          </w:p>
        </w:tc>
        <w:tc>
          <w:tcPr>
            <w:tcW w:w="1215" w:type="dxa"/>
            <w:noWrap w:val="0"/>
            <w:vAlign w:val="center"/>
          </w:tcPr>
          <w:p w14:paraId="2699DFF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平口钳</w:t>
            </w:r>
          </w:p>
        </w:tc>
        <w:tc>
          <w:tcPr>
            <w:tcW w:w="804" w:type="dxa"/>
            <w:noWrap w:val="0"/>
            <w:vAlign w:val="center"/>
          </w:tcPr>
          <w:p w14:paraId="628B735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07CAF5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3E297F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1.为工业用全金属平口钳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2.配合台钻使用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3.底座尺寸：182*165mm，最大开口尺寸为110mm</w:t>
            </w:r>
          </w:p>
        </w:tc>
      </w:tr>
      <w:tr w14:paraId="7EF0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2841A5D">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424</w:t>
            </w:r>
          </w:p>
        </w:tc>
        <w:tc>
          <w:tcPr>
            <w:tcW w:w="1215" w:type="dxa"/>
            <w:noWrap w:val="0"/>
            <w:vAlign w:val="center"/>
          </w:tcPr>
          <w:p w14:paraId="423FC5B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台钻</w:t>
            </w:r>
          </w:p>
        </w:tc>
        <w:tc>
          <w:tcPr>
            <w:tcW w:w="804" w:type="dxa"/>
            <w:noWrap w:val="0"/>
            <w:vAlign w:val="center"/>
          </w:tcPr>
          <w:p w14:paraId="610A9F8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4FEE5D4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B63178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1.为工业用台钻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2.由底座、平台、立杆、钻孔器组成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3.底座尺寸：28*17mm，平台尺寸：16mm*16mm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4.工作电压：220V、50Hz，额定功率250W</w:t>
            </w:r>
          </w:p>
        </w:tc>
      </w:tr>
      <w:tr w14:paraId="3A8F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10CBB73">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425</w:t>
            </w:r>
          </w:p>
        </w:tc>
        <w:tc>
          <w:tcPr>
            <w:tcW w:w="1215" w:type="dxa"/>
            <w:noWrap w:val="0"/>
            <w:vAlign w:val="center"/>
          </w:tcPr>
          <w:p w14:paraId="6507429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手电钻</w:t>
            </w:r>
          </w:p>
        </w:tc>
        <w:tc>
          <w:tcPr>
            <w:tcW w:w="804" w:type="dxa"/>
            <w:noWrap w:val="0"/>
            <w:vAlign w:val="center"/>
          </w:tcPr>
          <w:p w14:paraId="498C47C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391BC77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B85D32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1.由手电钻和钻头夹药匙组成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2.工作电压220V，50Hz，输入功率550W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3.空载转速：2800r/mim</w:t>
            </w:r>
          </w:p>
        </w:tc>
      </w:tr>
      <w:tr w14:paraId="1248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F4F53A1">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426</w:t>
            </w:r>
          </w:p>
        </w:tc>
        <w:tc>
          <w:tcPr>
            <w:tcW w:w="1215" w:type="dxa"/>
            <w:noWrap w:val="0"/>
            <w:vAlign w:val="center"/>
          </w:tcPr>
          <w:p w14:paraId="26BEA9E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钻头</w:t>
            </w:r>
          </w:p>
        </w:tc>
        <w:tc>
          <w:tcPr>
            <w:tcW w:w="804" w:type="dxa"/>
            <w:noWrap w:val="0"/>
            <w:vAlign w:val="center"/>
          </w:tcPr>
          <w:p w14:paraId="2E9C91B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D8DFED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320A383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1.为工业用电钻头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2.由13根钻头和定位包装盒组成</w:t>
            </w:r>
          </w:p>
        </w:tc>
      </w:tr>
      <w:tr w14:paraId="2E7F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4A784E0">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427</w:t>
            </w:r>
          </w:p>
        </w:tc>
        <w:tc>
          <w:tcPr>
            <w:tcW w:w="1215" w:type="dxa"/>
            <w:noWrap w:val="0"/>
            <w:vAlign w:val="center"/>
          </w:tcPr>
          <w:p w14:paraId="3045EA0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台虎钳</w:t>
            </w:r>
          </w:p>
        </w:tc>
        <w:tc>
          <w:tcPr>
            <w:tcW w:w="804" w:type="dxa"/>
            <w:noWrap w:val="0"/>
            <w:vAlign w:val="center"/>
          </w:tcPr>
          <w:p w14:paraId="63A6851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7A7CD52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4F68D6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1.为工业用台虎钳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2.由底座、钳和移动摇杆组成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3.最大张口距离为100mm</w:t>
            </w:r>
          </w:p>
        </w:tc>
      </w:tr>
      <w:tr w14:paraId="0739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875069C">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428</w:t>
            </w:r>
          </w:p>
        </w:tc>
        <w:tc>
          <w:tcPr>
            <w:tcW w:w="1215" w:type="dxa"/>
            <w:noWrap w:val="0"/>
            <w:vAlign w:val="center"/>
          </w:tcPr>
          <w:p w14:paraId="277F64D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砂轮机</w:t>
            </w:r>
          </w:p>
        </w:tc>
        <w:tc>
          <w:tcPr>
            <w:tcW w:w="804" w:type="dxa"/>
            <w:noWrap w:val="0"/>
            <w:vAlign w:val="center"/>
          </w:tcPr>
          <w:p w14:paraId="2FF30FC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327AF5B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1F26BB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1.为工业用单相砂轮机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2.由底座、电机和双砂轮组成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3.输出功率150W，额定转速2800r/min，重量4.5Kg</w:t>
            </w:r>
          </w:p>
        </w:tc>
      </w:tr>
      <w:tr w14:paraId="50C9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A23100B">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429</w:t>
            </w:r>
          </w:p>
        </w:tc>
        <w:tc>
          <w:tcPr>
            <w:tcW w:w="1215" w:type="dxa"/>
            <w:noWrap w:val="0"/>
            <w:vAlign w:val="center"/>
          </w:tcPr>
          <w:p w14:paraId="6FD3C20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钳工工作台</w:t>
            </w:r>
          </w:p>
        </w:tc>
        <w:tc>
          <w:tcPr>
            <w:tcW w:w="804" w:type="dxa"/>
            <w:noWrap w:val="0"/>
            <w:vAlign w:val="center"/>
          </w:tcPr>
          <w:p w14:paraId="474855C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C46E89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D252A5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1.为实木钳工工作台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2.带抽屉，台面尺寸为1000*600mm，厚40mm</w:t>
            </w:r>
          </w:p>
        </w:tc>
      </w:tr>
      <w:tr w14:paraId="3276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CA7E8D2">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430</w:t>
            </w:r>
          </w:p>
        </w:tc>
        <w:tc>
          <w:tcPr>
            <w:tcW w:w="1215" w:type="dxa"/>
            <w:noWrap w:val="0"/>
            <w:vAlign w:val="center"/>
          </w:tcPr>
          <w:p w14:paraId="5751AC5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烙铁架</w:t>
            </w:r>
          </w:p>
        </w:tc>
        <w:tc>
          <w:tcPr>
            <w:tcW w:w="804" w:type="dxa"/>
            <w:noWrap w:val="0"/>
            <w:vAlign w:val="center"/>
          </w:tcPr>
          <w:p w14:paraId="29F702E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8194A2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0F15586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1.由底座、支架和安装螺丝组成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2.整体为金属制，底座尺寸：119*67*15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3.支架为弹簧型，长80mm，开口直径25mm</w:t>
            </w:r>
          </w:p>
        </w:tc>
      </w:tr>
      <w:tr w14:paraId="5E49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FD308D6">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431</w:t>
            </w:r>
          </w:p>
        </w:tc>
        <w:tc>
          <w:tcPr>
            <w:tcW w:w="1215" w:type="dxa"/>
            <w:noWrap w:val="0"/>
            <w:vAlign w:val="center"/>
          </w:tcPr>
          <w:p w14:paraId="3F1ABC1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油石</w:t>
            </w:r>
          </w:p>
        </w:tc>
        <w:tc>
          <w:tcPr>
            <w:tcW w:w="804" w:type="dxa"/>
            <w:noWrap w:val="0"/>
            <w:vAlign w:val="center"/>
          </w:tcPr>
          <w:p w14:paraId="32A20C7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4D492D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7299F0D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1.为木工专用油石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2.油石两面有粗细不同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3.整体尺寸为：199*49*24mm</w:t>
            </w:r>
          </w:p>
        </w:tc>
      </w:tr>
      <w:tr w14:paraId="6E1B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DAE0439">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432</w:t>
            </w:r>
          </w:p>
        </w:tc>
        <w:tc>
          <w:tcPr>
            <w:tcW w:w="1215" w:type="dxa"/>
            <w:noWrap w:val="0"/>
            <w:vAlign w:val="center"/>
          </w:tcPr>
          <w:p w14:paraId="49C2416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冲子</w:t>
            </w:r>
          </w:p>
        </w:tc>
        <w:tc>
          <w:tcPr>
            <w:tcW w:w="804" w:type="dxa"/>
            <w:noWrap w:val="0"/>
            <w:vAlign w:val="center"/>
          </w:tcPr>
          <w:p w14:paraId="67F703A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2DC9C9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380170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1.为全金属冲子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2.整体长度为108mm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3.直径为9mm，中间做防滑处理</w:t>
            </w:r>
          </w:p>
        </w:tc>
      </w:tr>
      <w:tr w14:paraId="5E3A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8C221EE">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433</w:t>
            </w:r>
          </w:p>
        </w:tc>
        <w:tc>
          <w:tcPr>
            <w:tcW w:w="1215" w:type="dxa"/>
            <w:noWrap w:val="0"/>
            <w:vAlign w:val="center"/>
          </w:tcPr>
          <w:p w14:paraId="16948FF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水平尺</w:t>
            </w:r>
          </w:p>
        </w:tc>
        <w:tc>
          <w:tcPr>
            <w:tcW w:w="804" w:type="dxa"/>
            <w:noWrap w:val="0"/>
            <w:vAlign w:val="center"/>
          </w:tcPr>
          <w:p w14:paraId="266C392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4C8BDE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3F9195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1.由水平尺和气泡组成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2.水平尺为塑料制，侧面有磁性，水平尺尺寸为：225*36*16mm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3.气泡柱共三个，分别与标尺线平行、垂直和成45°角</w:t>
            </w:r>
          </w:p>
        </w:tc>
      </w:tr>
      <w:tr w14:paraId="1CCE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B49192F">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434</w:t>
            </w:r>
          </w:p>
        </w:tc>
        <w:tc>
          <w:tcPr>
            <w:tcW w:w="1215" w:type="dxa"/>
            <w:noWrap w:val="0"/>
            <w:vAlign w:val="center"/>
          </w:tcPr>
          <w:p w14:paraId="04B5280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斜口钳</w:t>
            </w:r>
          </w:p>
        </w:tc>
        <w:tc>
          <w:tcPr>
            <w:tcW w:w="804" w:type="dxa"/>
            <w:noWrap w:val="0"/>
            <w:vAlign w:val="center"/>
          </w:tcPr>
          <w:p w14:paraId="4CBAE41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把</w:t>
            </w:r>
          </w:p>
        </w:tc>
        <w:tc>
          <w:tcPr>
            <w:tcW w:w="765" w:type="dxa"/>
            <w:gridSpan w:val="2"/>
            <w:noWrap w:val="0"/>
            <w:vAlign w:val="center"/>
          </w:tcPr>
          <w:p w14:paraId="104DB3C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0700D2E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钳总长165mm，钳头宽度25mm，6寸，包柄。</w:t>
            </w:r>
          </w:p>
        </w:tc>
      </w:tr>
      <w:tr w14:paraId="6D22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1E13BA1">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435</w:t>
            </w:r>
          </w:p>
        </w:tc>
        <w:tc>
          <w:tcPr>
            <w:tcW w:w="1215" w:type="dxa"/>
            <w:noWrap w:val="0"/>
            <w:vAlign w:val="center"/>
          </w:tcPr>
          <w:p w14:paraId="6CB3B5A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工作服</w:t>
            </w:r>
          </w:p>
        </w:tc>
        <w:tc>
          <w:tcPr>
            <w:tcW w:w="804" w:type="dxa"/>
            <w:noWrap w:val="0"/>
            <w:vAlign w:val="center"/>
          </w:tcPr>
          <w:p w14:paraId="1F38E58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4BD0C06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FEDA82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1.为防机械冲击眼镜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2.整体为塑料制片，透明度高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3.眼镜宽140mm，后部为12mm宽松紧带</w:t>
            </w:r>
          </w:p>
        </w:tc>
      </w:tr>
      <w:tr w14:paraId="0ABE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44E7B1B">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436</w:t>
            </w:r>
          </w:p>
        </w:tc>
        <w:tc>
          <w:tcPr>
            <w:tcW w:w="1215" w:type="dxa"/>
            <w:noWrap w:val="0"/>
            <w:vAlign w:val="center"/>
          </w:tcPr>
          <w:p w14:paraId="389E741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护目镜</w:t>
            </w:r>
          </w:p>
        </w:tc>
        <w:tc>
          <w:tcPr>
            <w:tcW w:w="804" w:type="dxa"/>
            <w:noWrap w:val="0"/>
            <w:vAlign w:val="center"/>
          </w:tcPr>
          <w:p w14:paraId="1B23969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4E38AD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5A10D43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1.为防机械冲击眼镜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2.整体为塑料制片，透明度高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3.眼镜宽140mm，后部为12mm宽松紧带</w:t>
            </w:r>
          </w:p>
        </w:tc>
      </w:tr>
      <w:tr w14:paraId="5317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817FD45">
            <w:pPr>
              <w:keepNext w:val="0"/>
              <w:keepLines w:val="0"/>
              <w:pageBreakBefore w:val="0"/>
              <w:widowControl/>
              <w:numPr>
                <w:ilvl w:val="0"/>
                <w:numId w:val="3"/>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437</w:t>
            </w:r>
          </w:p>
        </w:tc>
        <w:tc>
          <w:tcPr>
            <w:tcW w:w="1215" w:type="dxa"/>
            <w:noWrap w:val="0"/>
            <w:vAlign w:val="center"/>
          </w:tcPr>
          <w:p w14:paraId="6649C7F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手套</w:t>
            </w:r>
          </w:p>
        </w:tc>
        <w:tc>
          <w:tcPr>
            <w:tcW w:w="804" w:type="dxa"/>
            <w:noWrap w:val="0"/>
            <w:vAlign w:val="center"/>
          </w:tcPr>
          <w:p w14:paraId="1B6F7D0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w:t>
            </w:r>
          </w:p>
        </w:tc>
        <w:tc>
          <w:tcPr>
            <w:tcW w:w="765" w:type="dxa"/>
            <w:gridSpan w:val="2"/>
            <w:noWrap w:val="0"/>
            <w:vAlign w:val="center"/>
          </w:tcPr>
          <w:p w14:paraId="3AD4362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01662B8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1.为家用型棉纱线手套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2.为白色</w:t>
            </w:r>
          </w:p>
        </w:tc>
      </w:tr>
      <w:tr w14:paraId="22C6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5" w:type="dxa"/>
            <w:gridSpan w:val="6"/>
            <w:noWrap w:val="0"/>
            <w:vAlign w:val="center"/>
          </w:tcPr>
          <w:p w14:paraId="40B6FCD5">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lang w:val="en-US" w:eastAsia="zh-CN"/>
              </w:rPr>
            </w:pPr>
            <w:r>
              <w:rPr>
                <w:rFonts w:hint="eastAsia" w:ascii="宋体" w:hAnsi="宋体" w:cs="宋体"/>
                <w:b/>
                <w:bCs w:val="0"/>
                <w:color w:val="auto"/>
                <w:sz w:val="21"/>
                <w:szCs w:val="21"/>
                <w:shd w:val="clear" w:color="auto" w:fill="FFFFFF"/>
                <w:lang w:val="en-US" w:eastAsia="zh-CN"/>
              </w:rPr>
              <w:t>（五）</w:t>
            </w:r>
            <w:r>
              <w:rPr>
                <w:rFonts w:hint="eastAsia" w:ascii="宋体" w:hAnsi="宋体" w:eastAsia="宋体" w:cs="宋体"/>
                <w:b/>
                <w:bCs w:val="0"/>
                <w:color w:val="auto"/>
                <w:sz w:val="21"/>
                <w:szCs w:val="21"/>
                <w:shd w:val="clear" w:color="auto" w:fill="FFFFFF"/>
                <w:lang w:val="en-US" w:eastAsia="zh-CN"/>
              </w:rPr>
              <w:t>化学</w:t>
            </w:r>
          </w:p>
        </w:tc>
      </w:tr>
      <w:tr w14:paraId="3784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BABD7F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215" w:type="dxa"/>
            <w:noWrap w:val="0"/>
            <w:vAlign w:val="center"/>
          </w:tcPr>
          <w:p w14:paraId="0F0EFC3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计算机数据采集处理系统</w:t>
            </w:r>
          </w:p>
        </w:tc>
        <w:tc>
          <w:tcPr>
            <w:tcW w:w="804" w:type="dxa"/>
            <w:noWrap w:val="0"/>
            <w:vAlign w:val="center"/>
          </w:tcPr>
          <w:p w14:paraId="568AAF7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7926D59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409AB4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有通用界面软件系统，智能接口，可配套专用实验仪器，详细配置如下：</w:t>
            </w:r>
          </w:p>
          <w:p w14:paraId="7D5208C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氧气传感器:量程≥0~100%，分辨率≤0.1%，USB数据接口，可通过USB连接线直接与计算机通讯，自带不少于2个螺纹孔固定位；</w:t>
            </w:r>
          </w:p>
          <w:p w14:paraId="7B81BF3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电导率传感器：量程≥0~60000uS/cm，分辨率≤10 uS/cm，USB数据接口，可通过USB连接线直接与计算机通讯，自带不少于2个螺纹孔固定位；</w:t>
            </w:r>
          </w:p>
          <w:p w14:paraId="75B0167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pH传感器：量程≥0~14，分辨率≤0.01，USB数据接口，可通过USB连接线直接与计算机通讯，自带不少于2个螺纹孔固定位；</w:t>
            </w:r>
          </w:p>
          <w:p w14:paraId="447463E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压强传感器：量程≥0~700kPa，分辨率≤0.1kPa，USB数据接口，可通过USB连接线直接与计算机通讯，自带不少于2个螺纹孔固定位；</w:t>
            </w:r>
          </w:p>
          <w:p w14:paraId="2CE1458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温度传感器：量程≥-50℃~+200℃，分辨率≤0.01℃，USB数据接口，可通过USB连接线直接与计算机通讯，自带不少于2个螺纹孔固定位；</w:t>
            </w:r>
          </w:p>
          <w:p w14:paraId="5D052CE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多量程电流传感器：量程1≥-0.06A～0.06A，分辨率≤0.001A；量程2≥-0.6A～0.6A，分辨率≤0.003A；量程3≥-3A～3A，分辨率≤0.01A；Type-C接口，可以通过USB数据线直接与计算机通讯，不需要通过数据采集器；自带不少于5个功能按键，可以通过按键进行量程选择、调零、开始、暂停、复位等操作；自带不少于2个不同方位M5螺纹孔，方便多方位与其他固定装置（如铁架台等）配套使用；</w:t>
            </w:r>
            <w:r>
              <w:rPr>
                <w:rFonts w:hint="eastAsia" w:ascii="宋体" w:hAnsi="宋体" w:cs="宋体"/>
                <w:i w:val="0"/>
                <w:iCs w:val="0"/>
                <w:color w:val="auto"/>
                <w:kern w:val="0"/>
                <w:sz w:val="21"/>
                <w:szCs w:val="21"/>
                <w:u w:val="none"/>
                <w:lang w:val="en-US" w:eastAsia="zh-CN" w:bidi="ar"/>
              </w:rPr>
              <w:t>须</w:t>
            </w:r>
            <w:r>
              <w:rPr>
                <w:rFonts w:hint="eastAsia" w:ascii="宋体" w:hAnsi="宋体" w:eastAsia="宋体" w:cs="宋体"/>
                <w:i w:val="0"/>
                <w:iCs w:val="0"/>
                <w:color w:val="auto"/>
                <w:kern w:val="0"/>
                <w:sz w:val="21"/>
                <w:szCs w:val="21"/>
                <w:u w:val="none"/>
                <w:lang w:val="en-US" w:eastAsia="zh-CN" w:bidi="ar"/>
              </w:rPr>
              <w:t>提供第三方检测机构出具的依据GB/T2423.1-200</w:t>
            </w:r>
            <w:r>
              <w:rPr>
                <w:rFonts w:hint="eastAsia" w:ascii="宋体" w:hAnsi="宋体" w:cs="宋体"/>
                <w:i w:val="0"/>
                <w:iCs w:val="0"/>
                <w:color w:val="auto"/>
                <w:kern w:val="0"/>
                <w:sz w:val="21"/>
                <w:szCs w:val="21"/>
                <w:u w:val="none"/>
                <w:lang w:val="en-US" w:eastAsia="zh-CN" w:bidi="ar"/>
              </w:rPr>
              <w:t>8.</w:t>
            </w:r>
            <w:r>
              <w:rPr>
                <w:rFonts w:hint="eastAsia" w:ascii="宋体" w:hAnsi="宋体" w:eastAsia="宋体" w:cs="宋体"/>
                <w:i w:val="0"/>
                <w:iCs w:val="0"/>
                <w:color w:val="auto"/>
                <w:kern w:val="0"/>
                <w:sz w:val="21"/>
                <w:szCs w:val="21"/>
                <w:u w:val="none"/>
                <w:lang w:val="en-US" w:eastAsia="zh-CN" w:bidi="ar"/>
              </w:rPr>
              <w:t>GB/T2423.2-2008《电工电子产品环境试验》低温及高温试验合格的检测报告）</w:t>
            </w:r>
          </w:p>
          <w:p w14:paraId="46BAC1F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数据分析软件：支持不少于20通道并行采集；自动识别新插入传感器并自动运行；支持自由设置传感器初始状态；支持多种数据显示方式(包括数字、曲线、混合、列表)；具有多种采集模式（自动采集和手动采集，自动采集频率可选）；可以添加常用公式和自定义公式；具有多种数据分析功能包括拟合、积分、微分、计算频率等；具有多曲线模式，可以多种曲线同时采集同时分析；传感器界面支持裁剪部分曲线并暂存，方便快速采集多组数据；支持多段曲线原样输出，多段曲线对齐等功能，方便快速对比实验结果；支持断续采集，防止因意外操作不得不终止实验时，无需重新开启采集；支持对选中的数据进行复制，可复制到除本软件以外的任何地方；无需借助第三方软件，可以直接将实验报告上传到教师端；</w:t>
            </w:r>
          </w:p>
          <w:p w14:paraId="6BCB38D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8.</w:t>
            </w:r>
            <w:r>
              <w:rPr>
                <w:rFonts w:hint="eastAsia" w:ascii="宋体" w:hAnsi="宋体" w:eastAsia="宋体" w:cs="宋体"/>
                <w:i w:val="0"/>
                <w:iCs w:val="0"/>
                <w:color w:val="auto"/>
                <w:kern w:val="0"/>
                <w:sz w:val="21"/>
                <w:szCs w:val="21"/>
                <w:u w:val="none"/>
                <w:lang w:val="en-US" w:eastAsia="zh-CN" w:bidi="ar"/>
              </w:rPr>
              <w:t>铝合金箱及各种配件：铝合金材质收纳箱1个，传感器数据线4条，通用连接套件1对，软件U盘1个，彩色实验手册1本。</w:t>
            </w:r>
          </w:p>
        </w:tc>
      </w:tr>
      <w:tr w14:paraId="55BD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03F86C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215" w:type="dxa"/>
            <w:noWrap w:val="0"/>
            <w:vAlign w:val="center"/>
          </w:tcPr>
          <w:p w14:paraId="531BE61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钢制黑板</w:t>
            </w:r>
          </w:p>
        </w:tc>
        <w:tc>
          <w:tcPr>
            <w:tcW w:w="804" w:type="dxa"/>
            <w:noWrap w:val="0"/>
            <w:vAlign w:val="center"/>
          </w:tcPr>
          <w:p w14:paraId="0267C22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765" w:type="dxa"/>
            <w:gridSpan w:val="2"/>
            <w:noWrap w:val="0"/>
            <w:vAlign w:val="center"/>
          </w:tcPr>
          <w:p w14:paraId="7C2EA3B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0DD754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1.由黑板和提手组成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2.黑板尺寸为900mm×600mm，双面，书写面为绿色，边框采用铝制材料四周镶边。</w:t>
            </w:r>
          </w:p>
        </w:tc>
      </w:tr>
      <w:tr w14:paraId="64D1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182EA5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215" w:type="dxa"/>
            <w:noWrap w:val="0"/>
            <w:vAlign w:val="center"/>
          </w:tcPr>
          <w:p w14:paraId="1F094A5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打孔器</w:t>
            </w:r>
          </w:p>
        </w:tc>
        <w:tc>
          <w:tcPr>
            <w:tcW w:w="804" w:type="dxa"/>
            <w:noWrap w:val="0"/>
            <w:vAlign w:val="center"/>
          </w:tcPr>
          <w:p w14:paraId="6A35E04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7CB8BF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609A5EF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1.实验室常用工具，供对胶塞和木塞打孔用。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2.有三支不同孔径带手柄的空芯钻头、顶屑杆（通条）组成。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3.每支空芯管长度为82㎜，管外径分别为6.8.10mm。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4.钻头用无缝钢管制成，表面镀铬。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5.顶屑杆直径φ3×91㎜。</w:t>
            </w:r>
          </w:p>
        </w:tc>
      </w:tr>
      <w:tr w14:paraId="7DD8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E8BF4F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215" w:type="dxa"/>
            <w:noWrap w:val="0"/>
            <w:vAlign w:val="center"/>
          </w:tcPr>
          <w:p w14:paraId="5CCA0B9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打孔夹板</w:t>
            </w:r>
          </w:p>
        </w:tc>
        <w:tc>
          <w:tcPr>
            <w:tcW w:w="804" w:type="dxa"/>
            <w:noWrap w:val="0"/>
            <w:vAlign w:val="center"/>
          </w:tcPr>
          <w:p w14:paraId="4AE34D6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88E4D0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12AF0AC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1.由两块木板及两根固定螺丝组成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2.木板尺寸为180*38*10mm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3.木板上固定打孔的直径为5.7.9.10mm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4.固定螺丝φ5×94㎜</w:t>
            </w:r>
          </w:p>
        </w:tc>
      </w:tr>
      <w:tr w14:paraId="3AE6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AECA73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215" w:type="dxa"/>
            <w:noWrap w:val="0"/>
            <w:vAlign w:val="center"/>
          </w:tcPr>
          <w:p w14:paraId="384FC8F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打孔器刮刀</w:t>
            </w:r>
          </w:p>
        </w:tc>
        <w:tc>
          <w:tcPr>
            <w:tcW w:w="804" w:type="dxa"/>
            <w:noWrap w:val="0"/>
            <w:vAlign w:val="center"/>
          </w:tcPr>
          <w:p w14:paraId="79DA094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B47A33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6FFA967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1.由刮刀盖、油石及壳体组成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2.刮刀盖及壳体由金属制成、表面喷漆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3.油石尺寸为10*10*50mm</w:t>
            </w:r>
          </w:p>
        </w:tc>
      </w:tr>
      <w:tr w14:paraId="242F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1E553A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1215" w:type="dxa"/>
            <w:noWrap w:val="0"/>
            <w:vAlign w:val="center"/>
          </w:tcPr>
          <w:p w14:paraId="6F5864E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手摇钻孔器</w:t>
            </w:r>
          </w:p>
        </w:tc>
        <w:tc>
          <w:tcPr>
            <w:tcW w:w="804" w:type="dxa"/>
            <w:noWrap w:val="0"/>
            <w:vAlign w:val="center"/>
          </w:tcPr>
          <w:p w14:paraId="5939B88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5A133B8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1FB15C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 由主体、轮子、丝杆、钻管、固定器、固定丝杆等组成等组成。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主体铸铁制造，表面平整，无裂缺现象,表面喷漆。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3.整体长度为340mm,轮子直径为118mm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4.钻管有5种规格</w:t>
            </w:r>
          </w:p>
        </w:tc>
      </w:tr>
      <w:tr w14:paraId="543B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A389AD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1215" w:type="dxa"/>
            <w:noWrap w:val="0"/>
            <w:vAlign w:val="center"/>
          </w:tcPr>
          <w:p w14:paraId="29B0DB6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电动钻孔器</w:t>
            </w:r>
          </w:p>
        </w:tc>
        <w:tc>
          <w:tcPr>
            <w:tcW w:w="804" w:type="dxa"/>
            <w:noWrap w:val="0"/>
            <w:vAlign w:val="center"/>
          </w:tcPr>
          <w:p w14:paraId="58A9688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49ECEBA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5E2EC8B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1.有工程塑料外壳和电机组成，外形为工业用手电钻。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2.工作电压220V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3.尺寸为225*175mm</w:t>
            </w:r>
          </w:p>
        </w:tc>
      </w:tr>
      <w:tr w14:paraId="32EC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B4AD0E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1215" w:type="dxa"/>
            <w:noWrap w:val="0"/>
            <w:vAlign w:val="center"/>
          </w:tcPr>
          <w:p w14:paraId="4E6AA26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仪器车</w:t>
            </w:r>
          </w:p>
        </w:tc>
        <w:tc>
          <w:tcPr>
            <w:tcW w:w="804" w:type="dxa"/>
            <w:noWrap w:val="0"/>
            <w:vAlign w:val="center"/>
          </w:tcPr>
          <w:p w14:paraId="4FB8CB0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辆</w:t>
            </w:r>
          </w:p>
        </w:tc>
        <w:tc>
          <w:tcPr>
            <w:tcW w:w="765" w:type="dxa"/>
            <w:gridSpan w:val="2"/>
            <w:noWrap w:val="0"/>
            <w:vAlign w:val="center"/>
          </w:tcPr>
          <w:p w14:paraId="080AABF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5ACBD0F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1.双层仪器车和万向转动轮组成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2.整理支柱采用不低于20*20mm的方管弯制而成；托盘采用钢板折制，托盘尺寸不小于56*40mm,托盘边栏高度26mm，整体静电喷涂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3.双层托盘层距大约36mm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4.安装完整体尺寸：600mm×400mm×800mm</w:t>
            </w:r>
          </w:p>
        </w:tc>
      </w:tr>
      <w:tr w14:paraId="2AAC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C4B815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1215" w:type="dxa"/>
            <w:noWrap w:val="0"/>
            <w:vAlign w:val="center"/>
          </w:tcPr>
          <w:p w14:paraId="66AAF49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电动离心机</w:t>
            </w:r>
          </w:p>
        </w:tc>
        <w:tc>
          <w:tcPr>
            <w:tcW w:w="804" w:type="dxa"/>
            <w:noWrap w:val="0"/>
            <w:vAlign w:val="center"/>
          </w:tcPr>
          <w:p w14:paraId="393966D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5435A90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21FBC04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1.由开关、离心转子、定时开关、调速装置及离心管等组成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2.定时开关可进行0-60分定时选择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3.转速0-4000可调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4.容量20mL×6</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5.外观尺寸：268*230*200mm</w:t>
            </w:r>
          </w:p>
        </w:tc>
      </w:tr>
      <w:tr w14:paraId="2BB9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A30E94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215" w:type="dxa"/>
            <w:noWrap w:val="0"/>
            <w:vAlign w:val="center"/>
          </w:tcPr>
          <w:p w14:paraId="26B3C22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离心沉淀器</w:t>
            </w:r>
          </w:p>
        </w:tc>
        <w:tc>
          <w:tcPr>
            <w:tcW w:w="804" w:type="dxa"/>
            <w:noWrap w:val="0"/>
            <w:vAlign w:val="center"/>
          </w:tcPr>
          <w:p w14:paraId="124534D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17AC496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7C4E193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1.由固定夹、摇把、离心管等组成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2.可同时放置4根离心管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3.总长度为275mm,固定夹最大夹持厚度不小于60mm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4.离心管塑料制，φ20*100mm</w:t>
            </w:r>
          </w:p>
        </w:tc>
      </w:tr>
      <w:tr w14:paraId="54B0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AA253B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1215" w:type="dxa"/>
            <w:noWrap w:val="0"/>
            <w:vAlign w:val="center"/>
          </w:tcPr>
          <w:p w14:paraId="406A103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磁力加热搅拌器</w:t>
            </w:r>
          </w:p>
        </w:tc>
        <w:tc>
          <w:tcPr>
            <w:tcW w:w="804" w:type="dxa"/>
            <w:noWrap w:val="0"/>
            <w:vAlign w:val="center"/>
          </w:tcPr>
          <w:p w14:paraId="05DA20C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3ABE974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03737E8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 xml:space="preserve">1.由主机 、搅拌子、立杆等组成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2.工作电源：220V、50Hz；电动功率：25W；加热功率：150W，无极调整：0-2000转/分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3.外观尺寸235*135*82mm</w:t>
            </w:r>
          </w:p>
        </w:tc>
      </w:tr>
      <w:tr w14:paraId="1EA9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372738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1215" w:type="dxa"/>
            <w:noWrap w:val="0"/>
            <w:vAlign w:val="center"/>
          </w:tcPr>
          <w:p w14:paraId="57F783A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金属酒精灯</w:t>
            </w:r>
          </w:p>
        </w:tc>
        <w:tc>
          <w:tcPr>
            <w:tcW w:w="804" w:type="dxa"/>
            <w:noWrap w:val="0"/>
            <w:vAlign w:val="center"/>
          </w:tcPr>
          <w:p w14:paraId="7FBD824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8883E6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6351" w:type="dxa"/>
            <w:noWrap w:val="0"/>
            <w:vAlign w:val="center"/>
          </w:tcPr>
          <w:p w14:paraId="27528A8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1.由金属外壳、灯芯和灯罩组成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2.外观尺寸：φ83*76mm</w:t>
            </w:r>
          </w:p>
        </w:tc>
      </w:tr>
      <w:tr w14:paraId="0880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36336E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1215" w:type="dxa"/>
            <w:noWrap w:val="0"/>
            <w:vAlign w:val="center"/>
          </w:tcPr>
          <w:p w14:paraId="7C4B9B9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酒精喷灯</w:t>
            </w:r>
          </w:p>
        </w:tc>
        <w:tc>
          <w:tcPr>
            <w:tcW w:w="804" w:type="dxa"/>
            <w:noWrap w:val="0"/>
            <w:vAlign w:val="center"/>
          </w:tcPr>
          <w:p w14:paraId="43A5D25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9946C4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351" w:type="dxa"/>
            <w:noWrap w:val="0"/>
            <w:vAlign w:val="center"/>
          </w:tcPr>
          <w:p w14:paraId="3AD1F14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1.由壶体、预热杯、喷火管、火苗调节杆等组成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2.整体为铜制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3.整体高度为134mm,壶体直径为102mm</w:t>
            </w:r>
          </w:p>
        </w:tc>
      </w:tr>
      <w:tr w14:paraId="0E97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98E2A5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1215" w:type="dxa"/>
            <w:noWrap w:val="0"/>
            <w:vAlign w:val="center"/>
          </w:tcPr>
          <w:p w14:paraId="0AA31CE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电加热器</w:t>
            </w:r>
          </w:p>
        </w:tc>
        <w:tc>
          <w:tcPr>
            <w:tcW w:w="804" w:type="dxa"/>
            <w:noWrap w:val="0"/>
            <w:vAlign w:val="center"/>
          </w:tcPr>
          <w:p w14:paraId="7651972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D9733E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351" w:type="dxa"/>
            <w:noWrap w:val="0"/>
            <w:vAlign w:val="center"/>
          </w:tcPr>
          <w:p w14:paraId="4ADD930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1.由底座、加热盘、调节旋钮等组成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2.额定电压220V,额定功率1000W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3.底座尺寸：220mm*220mm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4.加热盘直径155mm</w:t>
            </w:r>
          </w:p>
        </w:tc>
      </w:tr>
      <w:tr w14:paraId="301F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70B6CF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c>
          <w:tcPr>
            <w:tcW w:w="1215" w:type="dxa"/>
            <w:noWrap w:val="0"/>
            <w:vAlign w:val="center"/>
          </w:tcPr>
          <w:p w14:paraId="2A00708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蒸馏水器</w:t>
            </w:r>
          </w:p>
        </w:tc>
        <w:tc>
          <w:tcPr>
            <w:tcW w:w="804" w:type="dxa"/>
            <w:noWrap w:val="0"/>
            <w:vAlign w:val="center"/>
          </w:tcPr>
          <w:p w14:paraId="572EC5A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3D62CB6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5E4D686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1.由水源阀、回水管、冷凝冷却器、进水控制器、玻璃水位器、蒸发锅、放水阀、出水管和电源线组成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2.每小时出水3L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3.工作电压：220V，功率：3KW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4.外观尺寸：32*23*60cm</w:t>
            </w:r>
          </w:p>
        </w:tc>
      </w:tr>
      <w:tr w14:paraId="0349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3C1A41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p>
        </w:tc>
        <w:tc>
          <w:tcPr>
            <w:tcW w:w="1215" w:type="dxa"/>
            <w:noWrap w:val="0"/>
            <w:vAlign w:val="center"/>
          </w:tcPr>
          <w:p w14:paraId="3EDC564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列管式烘干器</w:t>
            </w:r>
          </w:p>
        </w:tc>
        <w:tc>
          <w:tcPr>
            <w:tcW w:w="804" w:type="dxa"/>
            <w:noWrap w:val="0"/>
            <w:vAlign w:val="center"/>
          </w:tcPr>
          <w:p w14:paraId="3E811ED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69F7E1F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4B64A3C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1.由加热器、风扇和通风管组成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2.额定功率：240W，干燥气流温度：50℃-60℃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3.加热通风锅直径258mm,高度285mm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4.通风管共13根，长度为74mm</w:t>
            </w:r>
          </w:p>
        </w:tc>
      </w:tr>
      <w:tr w14:paraId="550B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2FE345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w:t>
            </w:r>
          </w:p>
        </w:tc>
        <w:tc>
          <w:tcPr>
            <w:tcW w:w="1215" w:type="dxa"/>
            <w:noWrap w:val="0"/>
            <w:vAlign w:val="center"/>
          </w:tcPr>
          <w:p w14:paraId="269C3AD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烘干箱</w:t>
            </w:r>
          </w:p>
        </w:tc>
        <w:tc>
          <w:tcPr>
            <w:tcW w:w="804" w:type="dxa"/>
            <w:noWrap w:val="0"/>
            <w:vAlign w:val="center"/>
          </w:tcPr>
          <w:p w14:paraId="7AA25A4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2F2D885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0C145B4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1.外观尺寸390*375*555mm                                                  2.电源电压 AC220V / 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3.控温范围 RT+10-120℃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4.温度波动度 ±1℃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5.输入功率 300w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6.工作室尺寸 360*320*300mm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7.载物托架 2块</w:t>
            </w:r>
          </w:p>
        </w:tc>
      </w:tr>
      <w:tr w14:paraId="2518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2F990B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p>
        </w:tc>
        <w:tc>
          <w:tcPr>
            <w:tcW w:w="1215" w:type="dxa"/>
            <w:noWrap w:val="0"/>
            <w:vAlign w:val="center"/>
          </w:tcPr>
          <w:p w14:paraId="5BC83F2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电冰箱</w:t>
            </w:r>
          </w:p>
        </w:tc>
        <w:tc>
          <w:tcPr>
            <w:tcW w:w="804" w:type="dxa"/>
            <w:noWrap w:val="0"/>
            <w:vAlign w:val="center"/>
          </w:tcPr>
          <w:p w14:paraId="378B9A1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18D53B6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74EEEBD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1.为家用型双开门冰箱</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2.能效等级：三级能效</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3.总容积：178L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4.制冷方式：直冷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5.外观尺寸：578*449*1410mm</w:t>
            </w:r>
          </w:p>
        </w:tc>
      </w:tr>
      <w:tr w14:paraId="1F4B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6AF3F5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w:t>
            </w:r>
          </w:p>
        </w:tc>
        <w:tc>
          <w:tcPr>
            <w:tcW w:w="1215" w:type="dxa"/>
            <w:noWrap w:val="0"/>
            <w:vAlign w:val="center"/>
          </w:tcPr>
          <w:p w14:paraId="3EDA990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水浴锅</w:t>
            </w:r>
          </w:p>
        </w:tc>
        <w:tc>
          <w:tcPr>
            <w:tcW w:w="804" w:type="dxa"/>
            <w:noWrap w:val="0"/>
            <w:vAlign w:val="center"/>
          </w:tcPr>
          <w:p w14:paraId="5D1F047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FDAB61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6330DFB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1.由水浴锅和不同直径的圈盖组成，整体由全铜制作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2.用于100℃以下的加热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3.水浴锅直径150mm,高75mm</w:t>
            </w:r>
          </w:p>
        </w:tc>
      </w:tr>
      <w:tr w14:paraId="19A2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71ECC8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1215" w:type="dxa"/>
            <w:noWrap w:val="0"/>
            <w:vAlign w:val="center"/>
          </w:tcPr>
          <w:p w14:paraId="49B92C5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保温漏斗</w:t>
            </w:r>
          </w:p>
        </w:tc>
        <w:tc>
          <w:tcPr>
            <w:tcW w:w="804" w:type="dxa"/>
            <w:noWrap w:val="0"/>
            <w:vAlign w:val="center"/>
          </w:tcPr>
          <w:p w14:paraId="2B98667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A86C24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351" w:type="dxa"/>
            <w:noWrap w:val="0"/>
            <w:vAlign w:val="center"/>
          </w:tcPr>
          <w:p w14:paraId="11653C1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1.由双层漏斗组成，整体由全铜制作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2.漏斗上口径95mm,下口径17mm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3.漏斗加热管直径28mm</w:t>
            </w:r>
          </w:p>
        </w:tc>
      </w:tr>
      <w:tr w14:paraId="2A7E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BA4E13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1</w:t>
            </w:r>
          </w:p>
        </w:tc>
        <w:tc>
          <w:tcPr>
            <w:tcW w:w="1215" w:type="dxa"/>
            <w:noWrap w:val="0"/>
            <w:vAlign w:val="center"/>
          </w:tcPr>
          <w:p w14:paraId="5D27EFC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注射器</w:t>
            </w:r>
          </w:p>
        </w:tc>
        <w:tc>
          <w:tcPr>
            <w:tcW w:w="804" w:type="dxa"/>
            <w:noWrap w:val="0"/>
            <w:vAlign w:val="center"/>
          </w:tcPr>
          <w:p w14:paraId="3885375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只</w:t>
            </w:r>
          </w:p>
        </w:tc>
        <w:tc>
          <w:tcPr>
            <w:tcW w:w="765" w:type="dxa"/>
            <w:gridSpan w:val="2"/>
            <w:noWrap w:val="0"/>
            <w:vAlign w:val="center"/>
          </w:tcPr>
          <w:p w14:paraId="7F92A80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699F4E3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1.为工业用塑料注射器，不含针头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2.为100ml,最小刻度为2ml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3.注射器直径35mm,长度185mm</w:t>
            </w:r>
          </w:p>
        </w:tc>
      </w:tr>
      <w:tr w14:paraId="5C55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CC8D2A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2</w:t>
            </w:r>
          </w:p>
        </w:tc>
        <w:tc>
          <w:tcPr>
            <w:tcW w:w="1215" w:type="dxa"/>
            <w:noWrap w:val="0"/>
            <w:vAlign w:val="center"/>
          </w:tcPr>
          <w:p w14:paraId="778B6F6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塑料洗瓶</w:t>
            </w:r>
          </w:p>
        </w:tc>
        <w:tc>
          <w:tcPr>
            <w:tcW w:w="804" w:type="dxa"/>
            <w:noWrap w:val="0"/>
            <w:vAlign w:val="center"/>
          </w:tcPr>
          <w:p w14:paraId="417AA93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F4A22D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0C09FB7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1.由洗瓶和带喷嘴的壶盖组成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2.洗瓶容量250ml,最小刻度25ml,精度值25ml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3.喷嘴长100mm</w:t>
            </w:r>
          </w:p>
        </w:tc>
      </w:tr>
      <w:tr w14:paraId="635B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02EFF4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3</w:t>
            </w:r>
          </w:p>
        </w:tc>
        <w:tc>
          <w:tcPr>
            <w:tcW w:w="1215" w:type="dxa"/>
            <w:noWrap w:val="0"/>
            <w:vAlign w:val="center"/>
          </w:tcPr>
          <w:p w14:paraId="6224D37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试剂瓶托盘</w:t>
            </w:r>
          </w:p>
        </w:tc>
        <w:tc>
          <w:tcPr>
            <w:tcW w:w="804" w:type="dxa"/>
            <w:noWrap w:val="0"/>
            <w:vAlign w:val="center"/>
          </w:tcPr>
          <w:p w14:paraId="18FA63E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69E90D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80</w:t>
            </w:r>
          </w:p>
        </w:tc>
        <w:tc>
          <w:tcPr>
            <w:tcW w:w="6351" w:type="dxa"/>
            <w:noWrap w:val="0"/>
            <w:vAlign w:val="center"/>
          </w:tcPr>
          <w:p w14:paraId="40A93C4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1.为塑料托盘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2.内部尺寸：360*250*90mm,两侧带把手，底部有加强筋</w:t>
            </w:r>
          </w:p>
        </w:tc>
      </w:tr>
      <w:tr w14:paraId="0774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1B6718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4</w:t>
            </w:r>
          </w:p>
        </w:tc>
        <w:tc>
          <w:tcPr>
            <w:tcW w:w="1215" w:type="dxa"/>
            <w:noWrap w:val="0"/>
            <w:vAlign w:val="center"/>
          </w:tcPr>
          <w:p w14:paraId="6271F91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实验用品提篮</w:t>
            </w:r>
          </w:p>
        </w:tc>
        <w:tc>
          <w:tcPr>
            <w:tcW w:w="804" w:type="dxa"/>
            <w:noWrap w:val="0"/>
            <w:vAlign w:val="center"/>
          </w:tcPr>
          <w:p w14:paraId="66F774B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816C95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6351" w:type="dxa"/>
            <w:noWrap w:val="0"/>
            <w:vAlign w:val="center"/>
          </w:tcPr>
          <w:p w14:paraId="44CEF8E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1.为单层木质提篮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2.提篮内部尺寸为：466*258*75mm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3.提篮壁厚不低于10mm</w:t>
            </w:r>
          </w:p>
        </w:tc>
      </w:tr>
      <w:tr w14:paraId="176B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7D51E0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5</w:t>
            </w:r>
          </w:p>
        </w:tc>
        <w:tc>
          <w:tcPr>
            <w:tcW w:w="1215" w:type="dxa"/>
            <w:noWrap w:val="0"/>
            <w:vAlign w:val="center"/>
          </w:tcPr>
          <w:p w14:paraId="554EF71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塑料水槽</w:t>
            </w:r>
          </w:p>
        </w:tc>
        <w:tc>
          <w:tcPr>
            <w:tcW w:w="804" w:type="dxa"/>
            <w:noWrap w:val="0"/>
            <w:vAlign w:val="center"/>
          </w:tcPr>
          <w:p w14:paraId="4D381E4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EA7D6F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0F395FD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1.为透明塑料制水槽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2.规格：250mm*180mm*100mm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3.外侧有四根加强筋，增加硬度，壁厚不低于2mm</w:t>
            </w:r>
          </w:p>
        </w:tc>
      </w:tr>
      <w:tr w14:paraId="5532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86D653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6</w:t>
            </w:r>
          </w:p>
        </w:tc>
        <w:tc>
          <w:tcPr>
            <w:tcW w:w="1215" w:type="dxa"/>
            <w:noWrap w:val="0"/>
            <w:vAlign w:val="center"/>
          </w:tcPr>
          <w:p w14:paraId="3641788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碘升华凝华管</w:t>
            </w:r>
          </w:p>
        </w:tc>
        <w:tc>
          <w:tcPr>
            <w:tcW w:w="804" w:type="dxa"/>
            <w:noWrap w:val="0"/>
            <w:vAlign w:val="center"/>
          </w:tcPr>
          <w:p w14:paraId="428B984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BFBB6C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4475039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1.为全玻璃制碘管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2.呈锤子形，内部密封固态碘，碘管直径25mm,手柄直径7-8mm</w:t>
            </w:r>
          </w:p>
        </w:tc>
      </w:tr>
      <w:tr w14:paraId="00E0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93C203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7</w:t>
            </w:r>
          </w:p>
        </w:tc>
        <w:tc>
          <w:tcPr>
            <w:tcW w:w="1215" w:type="dxa"/>
            <w:noWrap w:val="0"/>
            <w:vAlign w:val="center"/>
          </w:tcPr>
          <w:p w14:paraId="10B8E33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聚光小手电筒</w:t>
            </w:r>
          </w:p>
        </w:tc>
        <w:tc>
          <w:tcPr>
            <w:tcW w:w="804" w:type="dxa"/>
            <w:noWrap w:val="0"/>
            <w:vAlign w:val="center"/>
          </w:tcPr>
          <w:p w14:paraId="53294E8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1E22B49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0BBE98A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1.有激光笔、电池和激光头组成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2.产生红色光，配3个电池和5个激光头</w:t>
            </w:r>
          </w:p>
        </w:tc>
      </w:tr>
      <w:tr w14:paraId="09A7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71764DC">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28</w:t>
            </w:r>
          </w:p>
        </w:tc>
        <w:tc>
          <w:tcPr>
            <w:tcW w:w="1215" w:type="dxa"/>
            <w:noWrap w:val="0"/>
            <w:vAlign w:val="center"/>
          </w:tcPr>
          <w:p w14:paraId="73B08FF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方座支架</w:t>
            </w:r>
          </w:p>
        </w:tc>
        <w:tc>
          <w:tcPr>
            <w:tcW w:w="804" w:type="dxa"/>
            <w:noWrap w:val="0"/>
            <w:vAlign w:val="center"/>
          </w:tcPr>
          <w:p w14:paraId="19F8593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161044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434DF2B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1.组成：矩形底座、立杆、烧瓶夹、大小铁环、垂直夹。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2.方座支架的底座由铁板冲压而成，尺寸为210×135mm，立杆直径为φ10mm，一端有M8螺纹，底座和立杆表面做防锈处理。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3.底座放置平稳，无明显晃动现象，支承夹持可靠。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4.立杆与方座组装后垂直。</w:t>
            </w:r>
          </w:p>
        </w:tc>
      </w:tr>
      <w:tr w14:paraId="4500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4B082FF">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29</w:t>
            </w:r>
          </w:p>
        </w:tc>
        <w:tc>
          <w:tcPr>
            <w:tcW w:w="1215" w:type="dxa"/>
            <w:noWrap w:val="0"/>
            <w:vAlign w:val="center"/>
          </w:tcPr>
          <w:p w14:paraId="707D27D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万能夹</w:t>
            </w:r>
          </w:p>
        </w:tc>
        <w:tc>
          <w:tcPr>
            <w:tcW w:w="804" w:type="dxa"/>
            <w:noWrap w:val="0"/>
            <w:vAlign w:val="center"/>
          </w:tcPr>
          <w:p w14:paraId="02D072D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CEBFAA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062AB0F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1.由夹杆、夹头组成。夹头分四爪，铁板冲压成夹叉形，夹口为张紧螺丝张口。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2.夹杆直径为φ8mm，长 200mm，表面镀锌。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3.夹持范围为φ5～70mm。</w:t>
            </w:r>
          </w:p>
        </w:tc>
      </w:tr>
      <w:tr w14:paraId="52E4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FBB60BF">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30</w:t>
            </w:r>
          </w:p>
        </w:tc>
        <w:tc>
          <w:tcPr>
            <w:tcW w:w="1215" w:type="dxa"/>
            <w:noWrap w:val="0"/>
            <w:vAlign w:val="center"/>
          </w:tcPr>
          <w:p w14:paraId="6D857F6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三脚架</w:t>
            </w:r>
          </w:p>
        </w:tc>
        <w:tc>
          <w:tcPr>
            <w:tcW w:w="804" w:type="dxa"/>
            <w:noWrap w:val="0"/>
            <w:vAlign w:val="center"/>
          </w:tcPr>
          <w:p w14:paraId="16963EA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DFA9BE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053BC9E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1.由铁环和三只脚焊接而成，表面喷涂处理。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2.铁环内径：φ78mm，外径 φ90mm。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3.脚采用φ6mm 圆钢制作，脚高 130mm。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4.的三只脚脚距相等。</w:t>
            </w:r>
          </w:p>
        </w:tc>
      </w:tr>
      <w:tr w14:paraId="6A62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D0BC1C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1</w:t>
            </w:r>
          </w:p>
        </w:tc>
        <w:tc>
          <w:tcPr>
            <w:tcW w:w="1215" w:type="dxa"/>
            <w:noWrap w:val="0"/>
            <w:vAlign w:val="center"/>
          </w:tcPr>
          <w:p w14:paraId="7B8293D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泥三角</w:t>
            </w:r>
          </w:p>
        </w:tc>
        <w:tc>
          <w:tcPr>
            <w:tcW w:w="804" w:type="dxa"/>
            <w:noWrap w:val="0"/>
            <w:vAlign w:val="center"/>
          </w:tcPr>
          <w:p w14:paraId="111168C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1F32D0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31E7610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1.为陶制泥三角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2.三个空心陶泥管用铅丝连接成三角形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3.陶泥管的外径10mm，长53mm</w:t>
            </w:r>
          </w:p>
        </w:tc>
      </w:tr>
      <w:tr w14:paraId="0BFC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54744B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2</w:t>
            </w:r>
          </w:p>
        </w:tc>
        <w:tc>
          <w:tcPr>
            <w:tcW w:w="1215" w:type="dxa"/>
            <w:noWrap w:val="0"/>
            <w:vAlign w:val="center"/>
          </w:tcPr>
          <w:p w14:paraId="6B07870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试管架</w:t>
            </w:r>
          </w:p>
        </w:tc>
        <w:tc>
          <w:tcPr>
            <w:tcW w:w="804" w:type="dxa"/>
            <w:noWrap w:val="0"/>
            <w:vAlign w:val="center"/>
          </w:tcPr>
          <w:p w14:paraId="49A3B6F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9F43F2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1F6442F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1.为塑料试管架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2.为组装式，6孔6柱</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3.孔径为21mm,立柱直径8mm</w:t>
            </w:r>
          </w:p>
        </w:tc>
      </w:tr>
      <w:tr w14:paraId="1460E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A8BE38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3</w:t>
            </w:r>
          </w:p>
        </w:tc>
        <w:tc>
          <w:tcPr>
            <w:tcW w:w="1215" w:type="dxa"/>
            <w:noWrap w:val="0"/>
            <w:vAlign w:val="center"/>
          </w:tcPr>
          <w:p w14:paraId="4FB2810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漏斗架</w:t>
            </w:r>
          </w:p>
        </w:tc>
        <w:tc>
          <w:tcPr>
            <w:tcW w:w="804" w:type="dxa"/>
            <w:noWrap w:val="0"/>
            <w:vAlign w:val="center"/>
          </w:tcPr>
          <w:p w14:paraId="4081614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6EAC5C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5D04F05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1.为木质漏斗架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2.漏斗架为双孔，每个孔的内径为24mm</w:t>
            </w:r>
          </w:p>
        </w:tc>
      </w:tr>
      <w:tr w14:paraId="3866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7A7608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4</w:t>
            </w:r>
          </w:p>
        </w:tc>
        <w:tc>
          <w:tcPr>
            <w:tcW w:w="1215" w:type="dxa"/>
            <w:noWrap w:val="0"/>
            <w:vAlign w:val="center"/>
          </w:tcPr>
          <w:p w14:paraId="7A94DE3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滴定台</w:t>
            </w:r>
          </w:p>
        </w:tc>
        <w:tc>
          <w:tcPr>
            <w:tcW w:w="804" w:type="dxa"/>
            <w:noWrap w:val="0"/>
            <w:vAlign w:val="center"/>
          </w:tcPr>
          <w:p w14:paraId="6A4A89E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3BEEB3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35D4D14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1.由底板、立杆组成。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2.底座为大理石制造，尺寸为：280*140*16mm，表面无划伤、裂纹，底面嵌接橡胶垫脚。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3.立杆用圆钢制造。其尺寸：φ10*600mm，表面镀铬。</w:t>
            </w:r>
          </w:p>
        </w:tc>
      </w:tr>
      <w:tr w14:paraId="1986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B9FAE5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5</w:t>
            </w:r>
          </w:p>
        </w:tc>
        <w:tc>
          <w:tcPr>
            <w:tcW w:w="1215" w:type="dxa"/>
            <w:noWrap w:val="0"/>
            <w:vAlign w:val="center"/>
          </w:tcPr>
          <w:p w14:paraId="4DA219F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滴定夹</w:t>
            </w:r>
          </w:p>
        </w:tc>
        <w:tc>
          <w:tcPr>
            <w:tcW w:w="804" w:type="dxa"/>
            <w:noWrap w:val="0"/>
            <w:vAlign w:val="center"/>
          </w:tcPr>
          <w:p w14:paraId="4572A09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14716B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6DD84F3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1.由1mm铁板制成，蝶式结构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2.外形尺寸约为200mm×100mm。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3.两端能夹持30mm以下直径的滴定管，两管平行。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4.两对夹脚均套有蓝色防滑乳胶套。</w:t>
            </w:r>
          </w:p>
        </w:tc>
      </w:tr>
      <w:tr w14:paraId="3FD2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91A24B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6</w:t>
            </w:r>
          </w:p>
        </w:tc>
        <w:tc>
          <w:tcPr>
            <w:tcW w:w="1215" w:type="dxa"/>
            <w:noWrap w:val="0"/>
            <w:vAlign w:val="center"/>
          </w:tcPr>
          <w:p w14:paraId="5A1427B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多用滴管架</w:t>
            </w:r>
          </w:p>
        </w:tc>
        <w:tc>
          <w:tcPr>
            <w:tcW w:w="804" w:type="dxa"/>
            <w:noWrap w:val="0"/>
            <w:vAlign w:val="center"/>
          </w:tcPr>
          <w:p w14:paraId="090FB80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9C1EF1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3F08E4F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1.为塑料制多用滴管架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2.为硬塑料制，为双排共20孔，孔的内径为14mm</w:t>
            </w:r>
          </w:p>
        </w:tc>
      </w:tr>
      <w:tr w14:paraId="5774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A3B730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7</w:t>
            </w:r>
          </w:p>
        </w:tc>
        <w:tc>
          <w:tcPr>
            <w:tcW w:w="1215" w:type="dxa"/>
            <w:noWrap w:val="0"/>
            <w:vAlign w:val="center"/>
          </w:tcPr>
          <w:p w14:paraId="43F1CB8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移液管架</w:t>
            </w:r>
          </w:p>
        </w:tc>
        <w:tc>
          <w:tcPr>
            <w:tcW w:w="804" w:type="dxa"/>
            <w:noWrap w:val="0"/>
            <w:vAlign w:val="center"/>
          </w:tcPr>
          <w:p w14:paraId="605D0B2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F82142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6351" w:type="dxa"/>
            <w:noWrap w:val="0"/>
            <w:vAlign w:val="center"/>
          </w:tcPr>
          <w:p w14:paraId="3DEEBE1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1.为有机玻璃制移液管架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2.可放置8根移液管，有机玻璃板厚度不低于2.5mm</w:t>
            </w:r>
          </w:p>
        </w:tc>
      </w:tr>
      <w:tr w14:paraId="5610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C2ACA97">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38</w:t>
            </w:r>
          </w:p>
        </w:tc>
        <w:tc>
          <w:tcPr>
            <w:tcW w:w="1215" w:type="dxa"/>
            <w:noWrap w:val="0"/>
            <w:vAlign w:val="center"/>
          </w:tcPr>
          <w:p w14:paraId="6C80892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比色管架</w:t>
            </w:r>
          </w:p>
        </w:tc>
        <w:tc>
          <w:tcPr>
            <w:tcW w:w="804" w:type="dxa"/>
            <w:noWrap w:val="0"/>
            <w:vAlign w:val="center"/>
          </w:tcPr>
          <w:p w14:paraId="77FC613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4FC82E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56562AA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1.为有机玻璃制比色管架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2.为单排6孔，孔径为21mm,支架成梯形，上下宽分别为38mm、74mm，高108mm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3.有机玻璃板厚度不低于3mm</w:t>
            </w:r>
          </w:p>
        </w:tc>
      </w:tr>
      <w:tr w14:paraId="7043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048136E">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39</w:t>
            </w:r>
          </w:p>
        </w:tc>
        <w:tc>
          <w:tcPr>
            <w:tcW w:w="1215" w:type="dxa"/>
            <w:noWrap w:val="0"/>
            <w:vAlign w:val="center"/>
          </w:tcPr>
          <w:p w14:paraId="14E3696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组合式支架</w:t>
            </w:r>
          </w:p>
        </w:tc>
        <w:tc>
          <w:tcPr>
            <w:tcW w:w="804" w:type="dxa"/>
            <w:noWrap w:val="0"/>
            <w:vAlign w:val="center"/>
          </w:tcPr>
          <w:p w14:paraId="4B1F218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7F3129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6747E78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1.支架由支座、支块、滑道等组成。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2.支架的组合方式有竖直型、水平型两类；竖直型又可组成框架式和垂直式两类，水平型又可组成单轨式和双轨式两类。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零部件的组合可靠，紧固螺丝旋动灵活省力，紧固性良好；穿插孔无毛刺、无变形，轴棒穿插方便；轨道平直、无变形、无损伤；滑块在轨道上滑动灵活自如，定位可靠；万向夹在轨道上能万向定位，夹持稳固，夹口灵活，闭锁有力，方向正确，位置端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4.夹持功能稳妥有效。</w:t>
            </w:r>
          </w:p>
        </w:tc>
      </w:tr>
      <w:tr w14:paraId="53CD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66EECCA">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40</w:t>
            </w:r>
          </w:p>
        </w:tc>
        <w:tc>
          <w:tcPr>
            <w:tcW w:w="1215" w:type="dxa"/>
            <w:noWrap w:val="0"/>
            <w:vAlign w:val="center"/>
          </w:tcPr>
          <w:p w14:paraId="2BD045F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高中学生电源</w:t>
            </w:r>
          </w:p>
        </w:tc>
        <w:tc>
          <w:tcPr>
            <w:tcW w:w="804" w:type="dxa"/>
            <w:noWrap w:val="0"/>
            <w:vAlign w:val="center"/>
          </w:tcPr>
          <w:p w14:paraId="3C75643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195CC9B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4E70F92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1.为实验用交直流电源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2.输出电压：交流2V～16V，3A，每2V一档；直流2V～16V，2A，每2V一档；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3.有过载保护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4.接线口为香蕉插头接口</w:t>
            </w:r>
          </w:p>
        </w:tc>
      </w:tr>
      <w:tr w14:paraId="5AEE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5195D2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1</w:t>
            </w:r>
          </w:p>
        </w:tc>
        <w:tc>
          <w:tcPr>
            <w:tcW w:w="1215" w:type="dxa"/>
            <w:noWrap w:val="0"/>
            <w:vAlign w:val="center"/>
          </w:tcPr>
          <w:p w14:paraId="12B8C9A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高中教学电源</w:t>
            </w:r>
          </w:p>
        </w:tc>
        <w:tc>
          <w:tcPr>
            <w:tcW w:w="804" w:type="dxa"/>
            <w:noWrap w:val="0"/>
            <w:vAlign w:val="center"/>
          </w:tcPr>
          <w:p w14:paraId="60D91D9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278FFEA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9EE22D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1.为实验用交直流电源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2.输出电压：交流：2V～24V，每2V一档，2V～6V/12A，8V～12V/6A，14V～24V/3A；直流稳压：1.25V～25V分档连续可调，2V～6V/6A，8V～12V/4A，14V～24V/2A；40A、8s自动关断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3.接线口为香蕉插头接口</w:t>
            </w:r>
          </w:p>
        </w:tc>
      </w:tr>
      <w:tr w14:paraId="54B2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542B0E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2</w:t>
            </w:r>
          </w:p>
        </w:tc>
        <w:tc>
          <w:tcPr>
            <w:tcW w:w="1215" w:type="dxa"/>
            <w:noWrap w:val="0"/>
            <w:vAlign w:val="center"/>
          </w:tcPr>
          <w:p w14:paraId="41640E1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托盘天平</w:t>
            </w:r>
          </w:p>
        </w:tc>
        <w:tc>
          <w:tcPr>
            <w:tcW w:w="804" w:type="dxa"/>
            <w:noWrap w:val="0"/>
            <w:vAlign w:val="center"/>
          </w:tcPr>
          <w:p w14:paraId="58A82C0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3E6F41A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3545570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1.由底座、横梁、平衡螺母、标尺、游标、指针、刻度盘、托盘和砝码组成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2.最大称量值：100g,精度值0.1g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3.底座金属制，尺寸为188*70mm；托盘塑料制直径84mm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4.砝码定位包装：50g*1.20g*2.10g*1.5g*1</w:t>
            </w:r>
          </w:p>
        </w:tc>
      </w:tr>
      <w:tr w14:paraId="03B41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88FB37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3</w:t>
            </w:r>
          </w:p>
        </w:tc>
        <w:tc>
          <w:tcPr>
            <w:tcW w:w="1215" w:type="dxa"/>
            <w:noWrap w:val="0"/>
            <w:vAlign w:val="center"/>
          </w:tcPr>
          <w:p w14:paraId="25F5A54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托盘天平</w:t>
            </w:r>
          </w:p>
        </w:tc>
        <w:tc>
          <w:tcPr>
            <w:tcW w:w="804" w:type="dxa"/>
            <w:noWrap w:val="0"/>
            <w:vAlign w:val="center"/>
          </w:tcPr>
          <w:p w14:paraId="666BC71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3B7F8AF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F6A3E2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1.由底座、横梁、平衡螺母、标尺、游标、指针、刻度盘、托盘和砝码组成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2.最大称量值：500g,精度值0.5g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3.底座金属制，尺寸为254*75mm；托盘塑料制直径106mm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4.砝码定位包装：200g*1.100g*2.50g*1.20g*2.10g*1</w:t>
            </w:r>
          </w:p>
        </w:tc>
      </w:tr>
      <w:tr w14:paraId="67A6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96280F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4</w:t>
            </w:r>
          </w:p>
        </w:tc>
        <w:tc>
          <w:tcPr>
            <w:tcW w:w="1215" w:type="dxa"/>
            <w:noWrap w:val="0"/>
            <w:vAlign w:val="center"/>
          </w:tcPr>
          <w:p w14:paraId="5B55F7B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电子天平</w:t>
            </w:r>
          </w:p>
        </w:tc>
        <w:tc>
          <w:tcPr>
            <w:tcW w:w="804" w:type="dxa"/>
            <w:noWrap w:val="0"/>
            <w:vAlign w:val="center"/>
          </w:tcPr>
          <w:p w14:paraId="2E1CBFA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1867504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02C15E1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1.由主机、秤盘、防风罩、电源线和校准砝码组成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2.最大称量：1000g，精度值0.01g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3.主机尺寸：230*186*50mm,秤盘直径130mm</w:t>
            </w:r>
          </w:p>
        </w:tc>
      </w:tr>
      <w:tr w14:paraId="61A4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9A6039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5</w:t>
            </w:r>
          </w:p>
        </w:tc>
        <w:tc>
          <w:tcPr>
            <w:tcW w:w="1215" w:type="dxa"/>
            <w:noWrap w:val="0"/>
            <w:vAlign w:val="center"/>
          </w:tcPr>
          <w:p w14:paraId="79317FB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电子天平</w:t>
            </w:r>
          </w:p>
        </w:tc>
        <w:tc>
          <w:tcPr>
            <w:tcW w:w="804" w:type="dxa"/>
            <w:noWrap w:val="0"/>
            <w:vAlign w:val="center"/>
          </w:tcPr>
          <w:p w14:paraId="7E98F98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16A5ED3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DABEE8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1.由主机、秤盘、防风罩、电源线和校准砝码组成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2.最大称量：200g，精度值0.001g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3.主机尺寸：230*186*50mm,秤盘直径130mm</w:t>
            </w:r>
          </w:p>
        </w:tc>
      </w:tr>
      <w:tr w14:paraId="08C5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8AF707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6</w:t>
            </w:r>
          </w:p>
        </w:tc>
        <w:tc>
          <w:tcPr>
            <w:tcW w:w="1215" w:type="dxa"/>
            <w:noWrap w:val="0"/>
            <w:vAlign w:val="center"/>
          </w:tcPr>
          <w:p w14:paraId="33B764D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电子天平</w:t>
            </w:r>
          </w:p>
        </w:tc>
        <w:tc>
          <w:tcPr>
            <w:tcW w:w="804" w:type="dxa"/>
            <w:noWrap w:val="0"/>
            <w:vAlign w:val="center"/>
          </w:tcPr>
          <w:p w14:paraId="78F5DF2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11C4687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95F3EF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1.由主机、秤盘、电源线和校准砝码组成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2.最大称量：400g，精度值0.1g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3.主机尺寸：230*186*50mm,秤盘直径130mm</w:t>
            </w:r>
          </w:p>
        </w:tc>
      </w:tr>
      <w:tr w14:paraId="53A1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C0C432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7</w:t>
            </w:r>
          </w:p>
        </w:tc>
        <w:tc>
          <w:tcPr>
            <w:tcW w:w="1215" w:type="dxa"/>
            <w:noWrap w:val="0"/>
            <w:vAlign w:val="center"/>
          </w:tcPr>
          <w:p w14:paraId="1E20097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电子天平</w:t>
            </w:r>
          </w:p>
        </w:tc>
        <w:tc>
          <w:tcPr>
            <w:tcW w:w="804" w:type="dxa"/>
            <w:noWrap w:val="0"/>
            <w:vAlign w:val="center"/>
          </w:tcPr>
          <w:p w14:paraId="3877833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1E0DCFB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853D08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1.由天平、防风罩、电源线、校准砝码等组成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2.测量范围：0-200g，精度值：0.0001g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3.开机预热时间：180min,稳定时间≤ 8S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3.尺寸：360*220*360mm,秤盘直径80mm,外校砝码值量：200g</w:t>
            </w:r>
          </w:p>
        </w:tc>
      </w:tr>
      <w:tr w14:paraId="3405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20084A5">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48</w:t>
            </w:r>
          </w:p>
        </w:tc>
        <w:tc>
          <w:tcPr>
            <w:tcW w:w="1215" w:type="dxa"/>
            <w:noWrap w:val="0"/>
            <w:vAlign w:val="center"/>
          </w:tcPr>
          <w:p w14:paraId="7209B86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电子停表</w:t>
            </w:r>
          </w:p>
        </w:tc>
        <w:tc>
          <w:tcPr>
            <w:tcW w:w="804" w:type="dxa"/>
            <w:noWrap w:val="0"/>
            <w:vAlign w:val="center"/>
          </w:tcPr>
          <w:p w14:paraId="7877264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只</w:t>
            </w:r>
          </w:p>
        </w:tc>
        <w:tc>
          <w:tcPr>
            <w:tcW w:w="765" w:type="dxa"/>
            <w:gridSpan w:val="2"/>
            <w:noWrap w:val="0"/>
            <w:vAlign w:val="center"/>
          </w:tcPr>
          <w:p w14:paraId="31C09E8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B6B649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1.为双道计时电子停表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2.可显示时间日历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3.精度0.01S</w:t>
            </w:r>
          </w:p>
        </w:tc>
      </w:tr>
      <w:tr w14:paraId="751A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890347E">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49</w:t>
            </w:r>
          </w:p>
        </w:tc>
        <w:tc>
          <w:tcPr>
            <w:tcW w:w="1215" w:type="dxa"/>
            <w:noWrap w:val="0"/>
            <w:vAlign w:val="center"/>
          </w:tcPr>
          <w:p w14:paraId="7EF02C2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温度计</w:t>
            </w:r>
          </w:p>
        </w:tc>
        <w:tc>
          <w:tcPr>
            <w:tcW w:w="804" w:type="dxa"/>
            <w:noWrap w:val="0"/>
            <w:vAlign w:val="center"/>
          </w:tcPr>
          <w:p w14:paraId="0698FFA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40C8BFD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17B1C2B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1.为棒式红液温度计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2.测量范围：0℃～100℃，精度值1℃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3.为玻璃制，直径5.5mm,有保护套</w:t>
            </w:r>
          </w:p>
        </w:tc>
      </w:tr>
      <w:tr w14:paraId="336F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B65124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r>
              <w:rPr>
                <w:rFonts w:hint="eastAsia" w:ascii="宋体" w:hAnsi="宋体" w:cs="宋体"/>
                <w:i w:val="0"/>
                <w:iCs w:val="0"/>
                <w:color w:val="auto"/>
                <w:kern w:val="0"/>
                <w:sz w:val="21"/>
                <w:szCs w:val="21"/>
                <w:u w:val="none"/>
                <w:lang w:val="en-US" w:eastAsia="zh-CN" w:bidi="ar"/>
              </w:rPr>
              <w:t>0</w:t>
            </w:r>
          </w:p>
        </w:tc>
        <w:tc>
          <w:tcPr>
            <w:tcW w:w="1215" w:type="dxa"/>
            <w:noWrap w:val="0"/>
            <w:vAlign w:val="center"/>
          </w:tcPr>
          <w:p w14:paraId="493E3F1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温度计</w:t>
            </w:r>
          </w:p>
        </w:tc>
        <w:tc>
          <w:tcPr>
            <w:tcW w:w="804" w:type="dxa"/>
            <w:noWrap w:val="0"/>
            <w:vAlign w:val="center"/>
          </w:tcPr>
          <w:p w14:paraId="62F34A0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08BE0D3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5F610E7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1.为棒式水银温度计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2.测量范围：0℃～360℃，精度值2℃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3.为玻璃制，直径5.5mm,有保护套</w:t>
            </w:r>
          </w:p>
        </w:tc>
      </w:tr>
      <w:tr w14:paraId="1AE2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D9CB781">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51</w:t>
            </w:r>
          </w:p>
        </w:tc>
        <w:tc>
          <w:tcPr>
            <w:tcW w:w="1215" w:type="dxa"/>
            <w:noWrap w:val="0"/>
            <w:vAlign w:val="center"/>
          </w:tcPr>
          <w:p w14:paraId="53F34AE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数字测温计</w:t>
            </w:r>
          </w:p>
        </w:tc>
        <w:tc>
          <w:tcPr>
            <w:tcW w:w="804" w:type="dxa"/>
            <w:noWrap w:val="0"/>
            <w:vAlign w:val="center"/>
          </w:tcPr>
          <w:p w14:paraId="4AE745E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68203E1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4A1595D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1.由显示屏和探针组成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2.测量范围：-50℃～300℃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3.探针长度145mm</w:t>
            </w:r>
          </w:p>
        </w:tc>
      </w:tr>
      <w:tr w14:paraId="6AD9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DD3303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r>
              <w:rPr>
                <w:rFonts w:hint="eastAsia" w:ascii="宋体" w:hAnsi="宋体" w:cs="宋体"/>
                <w:i w:val="0"/>
                <w:iCs w:val="0"/>
                <w:color w:val="auto"/>
                <w:kern w:val="0"/>
                <w:sz w:val="21"/>
                <w:szCs w:val="21"/>
                <w:u w:val="none"/>
                <w:lang w:val="en-US" w:eastAsia="zh-CN" w:bidi="ar"/>
              </w:rPr>
              <w:t>2</w:t>
            </w:r>
          </w:p>
        </w:tc>
        <w:tc>
          <w:tcPr>
            <w:tcW w:w="1215" w:type="dxa"/>
            <w:noWrap w:val="0"/>
            <w:vAlign w:val="center"/>
          </w:tcPr>
          <w:p w14:paraId="448CA4C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直流电流表</w:t>
            </w:r>
          </w:p>
        </w:tc>
        <w:tc>
          <w:tcPr>
            <w:tcW w:w="804" w:type="dxa"/>
            <w:noWrap w:val="0"/>
            <w:vAlign w:val="center"/>
          </w:tcPr>
          <w:p w14:paraId="438279F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只</w:t>
            </w:r>
          </w:p>
        </w:tc>
        <w:tc>
          <w:tcPr>
            <w:tcW w:w="765" w:type="dxa"/>
            <w:gridSpan w:val="2"/>
            <w:noWrap w:val="0"/>
            <w:vAlign w:val="center"/>
          </w:tcPr>
          <w:p w14:paraId="3C89A13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5AD361D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1.为实验用指针式直流电流表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2.双量程：-0.2～0～0.6A；-1～0～3A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3.准确度等级：2.5级</w:t>
            </w:r>
          </w:p>
        </w:tc>
      </w:tr>
      <w:tr w14:paraId="54BF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B9F751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r>
              <w:rPr>
                <w:rFonts w:hint="eastAsia" w:ascii="宋体" w:hAnsi="宋体" w:cs="宋体"/>
                <w:i w:val="0"/>
                <w:iCs w:val="0"/>
                <w:color w:val="auto"/>
                <w:kern w:val="0"/>
                <w:sz w:val="21"/>
                <w:szCs w:val="21"/>
                <w:u w:val="none"/>
                <w:lang w:val="en-US" w:eastAsia="zh-CN" w:bidi="ar"/>
              </w:rPr>
              <w:t>3</w:t>
            </w:r>
          </w:p>
        </w:tc>
        <w:tc>
          <w:tcPr>
            <w:tcW w:w="1215" w:type="dxa"/>
            <w:noWrap w:val="0"/>
            <w:vAlign w:val="center"/>
          </w:tcPr>
          <w:p w14:paraId="56A0CE4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灵敏电流计</w:t>
            </w:r>
          </w:p>
        </w:tc>
        <w:tc>
          <w:tcPr>
            <w:tcW w:w="804" w:type="dxa"/>
            <w:noWrap w:val="0"/>
            <w:vAlign w:val="center"/>
          </w:tcPr>
          <w:p w14:paraId="391F037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只</w:t>
            </w:r>
          </w:p>
        </w:tc>
        <w:tc>
          <w:tcPr>
            <w:tcW w:w="765" w:type="dxa"/>
            <w:gridSpan w:val="2"/>
            <w:noWrap w:val="0"/>
            <w:vAlign w:val="center"/>
          </w:tcPr>
          <w:p w14:paraId="3AC8D5A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1831F7C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1.为实验用指针式灵敏电流计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2.灵敏度：-300μA～0～300μA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3.准确度等级：2.5级</w:t>
            </w:r>
          </w:p>
        </w:tc>
      </w:tr>
      <w:tr w14:paraId="51C3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77A468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r>
              <w:rPr>
                <w:rFonts w:hint="eastAsia" w:ascii="宋体" w:hAnsi="宋体" w:cs="宋体"/>
                <w:i w:val="0"/>
                <w:iCs w:val="0"/>
                <w:color w:val="auto"/>
                <w:kern w:val="0"/>
                <w:sz w:val="21"/>
                <w:szCs w:val="21"/>
                <w:u w:val="none"/>
                <w:lang w:val="en-US" w:eastAsia="zh-CN" w:bidi="ar"/>
              </w:rPr>
              <w:t>4</w:t>
            </w:r>
          </w:p>
        </w:tc>
        <w:tc>
          <w:tcPr>
            <w:tcW w:w="1215" w:type="dxa"/>
            <w:noWrap w:val="0"/>
            <w:vAlign w:val="center"/>
          </w:tcPr>
          <w:p w14:paraId="41D0F52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多用电表</w:t>
            </w:r>
          </w:p>
        </w:tc>
        <w:tc>
          <w:tcPr>
            <w:tcW w:w="804" w:type="dxa"/>
            <w:noWrap w:val="0"/>
            <w:vAlign w:val="center"/>
          </w:tcPr>
          <w:p w14:paraId="0D6E196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898AD9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915B01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1.为MF47型多用电表，由电表和表笔组成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量程：直流电流：0～0.5～5～50～500mA、2.5级，10A、5级；直流电压0～2500V、5级，0～0.25～0.5～2.5～10～50～250～500～1000V、2.5级；交流电压0～10～50～250～500～1000～2500V、5级；电阻R×1.R×10.R×100.R×1K、R×10K，中心值16.5；温度-10℃～100℃；电容μFC×1.C×10.C×100.C×1000；电平-10～+22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3.外形尺寸：165*113*52mm</w:t>
            </w:r>
          </w:p>
        </w:tc>
      </w:tr>
      <w:tr w14:paraId="0B1D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339765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r>
              <w:rPr>
                <w:rFonts w:hint="eastAsia" w:ascii="宋体" w:hAnsi="宋体" w:cs="宋体"/>
                <w:i w:val="0"/>
                <w:iCs w:val="0"/>
                <w:color w:val="auto"/>
                <w:kern w:val="0"/>
                <w:sz w:val="21"/>
                <w:szCs w:val="21"/>
                <w:u w:val="none"/>
                <w:lang w:val="en-US" w:eastAsia="zh-CN" w:bidi="ar"/>
              </w:rPr>
              <w:t>5</w:t>
            </w:r>
          </w:p>
        </w:tc>
        <w:tc>
          <w:tcPr>
            <w:tcW w:w="1215" w:type="dxa"/>
            <w:noWrap w:val="0"/>
            <w:vAlign w:val="center"/>
          </w:tcPr>
          <w:p w14:paraId="06A79D3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演示电流电压表</w:t>
            </w:r>
          </w:p>
        </w:tc>
        <w:tc>
          <w:tcPr>
            <w:tcW w:w="804" w:type="dxa"/>
            <w:noWrap w:val="0"/>
            <w:vAlign w:val="center"/>
          </w:tcPr>
          <w:p w14:paraId="33CFF75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4F4CBB5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9A8F32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1.用于演示实验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2.可测量电流、电压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3.电流可测直流和交流；直流有毫安级2挡10×、100×，安培级2挡1×、5×；交流有毫安级2挡10×、100×，交流有安培级2挡1×、5×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4.电压可测直流和交流；直流有2挡5×、10×；交流有3挡10×、50×、250×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5.尺寸275*297*109mm</w:t>
            </w:r>
          </w:p>
        </w:tc>
      </w:tr>
      <w:tr w14:paraId="1046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18F658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r>
              <w:rPr>
                <w:rFonts w:hint="eastAsia" w:ascii="宋体" w:hAnsi="宋体" w:cs="宋体"/>
                <w:i w:val="0"/>
                <w:iCs w:val="0"/>
                <w:color w:val="auto"/>
                <w:kern w:val="0"/>
                <w:sz w:val="21"/>
                <w:szCs w:val="21"/>
                <w:u w:val="none"/>
                <w:lang w:val="en-US" w:eastAsia="zh-CN" w:bidi="ar"/>
              </w:rPr>
              <w:t>6</w:t>
            </w:r>
          </w:p>
        </w:tc>
        <w:tc>
          <w:tcPr>
            <w:tcW w:w="1215" w:type="dxa"/>
            <w:noWrap w:val="0"/>
            <w:vAlign w:val="center"/>
          </w:tcPr>
          <w:p w14:paraId="44ED251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密度计</w:t>
            </w:r>
          </w:p>
        </w:tc>
        <w:tc>
          <w:tcPr>
            <w:tcW w:w="804" w:type="dxa"/>
            <w:noWrap w:val="0"/>
            <w:vAlign w:val="center"/>
          </w:tcPr>
          <w:p w14:paraId="7089E67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3901D35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3E8DB90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1.为婆梅氏比重计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2.测量范围：1.000～2.000</w:t>
            </w:r>
          </w:p>
        </w:tc>
      </w:tr>
      <w:tr w14:paraId="0D18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FBBEBB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r>
              <w:rPr>
                <w:rFonts w:hint="eastAsia" w:ascii="宋体" w:hAnsi="宋体" w:cs="宋体"/>
                <w:i w:val="0"/>
                <w:iCs w:val="0"/>
                <w:color w:val="auto"/>
                <w:kern w:val="0"/>
                <w:sz w:val="21"/>
                <w:szCs w:val="21"/>
                <w:u w:val="none"/>
                <w:lang w:val="en-US" w:eastAsia="zh-CN" w:bidi="ar"/>
              </w:rPr>
              <w:t>7</w:t>
            </w:r>
          </w:p>
        </w:tc>
        <w:tc>
          <w:tcPr>
            <w:tcW w:w="1215" w:type="dxa"/>
            <w:noWrap w:val="0"/>
            <w:vAlign w:val="center"/>
          </w:tcPr>
          <w:p w14:paraId="4A8BBAD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密度计</w:t>
            </w:r>
          </w:p>
        </w:tc>
        <w:tc>
          <w:tcPr>
            <w:tcW w:w="804" w:type="dxa"/>
            <w:noWrap w:val="0"/>
            <w:vAlign w:val="center"/>
          </w:tcPr>
          <w:p w14:paraId="5F6192F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3AF19D0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2F8B483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1.为比轻计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2.测量范围：0.700～1.000</w:t>
            </w:r>
          </w:p>
        </w:tc>
      </w:tr>
      <w:tr w14:paraId="2BA2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2EEA364">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58</w:t>
            </w:r>
          </w:p>
        </w:tc>
        <w:tc>
          <w:tcPr>
            <w:tcW w:w="1215" w:type="dxa"/>
            <w:noWrap w:val="0"/>
            <w:vAlign w:val="center"/>
          </w:tcPr>
          <w:p w14:paraId="0ACB8B3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酸度计(pH计)</w:t>
            </w:r>
          </w:p>
        </w:tc>
        <w:tc>
          <w:tcPr>
            <w:tcW w:w="804" w:type="dxa"/>
            <w:noWrap w:val="0"/>
            <w:vAlign w:val="center"/>
          </w:tcPr>
          <w:p w14:paraId="42B741A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1C70A59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1EA866E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1.为笔式酸度计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2.测量范围pH0.0～14.0，精度值：0.1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3.尺寸：152*30*15mm</w:t>
            </w:r>
          </w:p>
        </w:tc>
      </w:tr>
      <w:tr w14:paraId="2521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82D4E3C">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59</w:t>
            </w:r>
          </w:p>
        </w:tc>
        <w:tc>
          <w:tcPr>
            <w:tcW w:w="1215" w:type="dxa"/>
            <w:noWrap w:val="0"/>
            <w:vAlign w:val="center"/>
          </w:tcPr>
          <w:p w14:paraId="0D83BFB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原电池实验器</w:t>
            </w:r>
          </w:p>
        </w:tc>
        <w:tc>
          <w:tcPr>
            <w:tcW w:w="804" w:type="dxa"/>
            <w:noWrap w:val="0"/>
            <w:vAlign w:val="center"/>
          </w:tcPr>
          <w:p w14:paraId="638BBE9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62ADA3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2295F9A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1.由由缸体、铜电极、锌电极、铁电极、接线柱和盖子组成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2.缸体为注塑成型，最大容积250ml，尺寸为：80*48*64mm</w:t>
            </w:r>
          </w:p>
        </w:tc>
      </w:tr>
      <w:tr w14:paraId="776F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F68EA8A">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60</w:t>
            </w:r>
          </w:p>
        </w:tc>
        <w:tc>
          <w:tcPr>
            <w:tcW w:w="1215" w:type="dxa"/>
            <w:noWrap w:val="0"/>
            <w:vAlign w:val="center"/>
          </w:tcPr>
          <w:p w14:paraId="342F919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贮气装置</w:t>
            </w:r>
          </w:p>
        </w:tc>
        <w:tc>
          <w:tcPr>
            <w:tcW w:w="804" w:type="dxa"/>
            <w:noWrap w:val="0"/>
            <w:vAlign w:val="center"/>
          </w:tcPr>
          <w:p w14:paraId="3DB6E4D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0477BA4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079A3B0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1.由胶塞、出水管、贮水室、贮气室、导气阀等组成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2.外观尺寸： φ173*233mm</w:t>
            </w:r>
          </w:p>
        </w:tc>
      </w:tr>
      <w:tr w14:paraId="0B74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F480C5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r>
              <w:rPr>
                <w:rFonts w:hint="eastAsia" w:ascii="宋体" w:hAnsi="宋体" w:cs="宋体"/>
                <w:i w:val="0"/>
                <w:iCs w:val="0"/>
                <w:color w:val="auto"/>
                <w:kern w:val="0"/>
                <w:sz w:val="21"/>
                <w:szCs w:val="21"/>
                <w:u w:val="none"/>
                <w:lang w:val="en-US" w:eastAsia="zh-CN" w:bidi="ar"/>
              </w:rPr>
              <w:t>1</w:t>
            </w:r>
          </w:p>
        </w:tc>
        <w:tc>
          <w:tcPr>
            <w:tcW w:w="1215" w:type="dxa"/>
            <w:noWrap w:val="0"/>
            <w:vAlign w:val="center"/>
          </w:tcPr>
          <w:p w14:paraId="0F2AA23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高中微型化学实验箱</w:t>
            </w:r>
          </w:p>
        </w:tc>
        <w:tc>
          <w:tcPr>
            <w:tcW w:w="804" w:type="dxa"/>
            <w:noWrap w:val="0"/>
            <w:vAlign w:val="center"/>
          </w:tcPr>
          <w:p w14:paraId="7CAE1D1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0C478B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1FD5ED2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1.由药匙、小试管、试管夹、玻璃管、温度计、离心试管、蒸发皿、蒸馏烧瓶、具支试管、漏斗、烧杯、锥形瓶、弯管、滴管、滤纸、胶塞、酒精灯等小型仪器组成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2.采用泡沫定位包装</w:t>
            </w:r>
          </w:p>
        </w:tc>
      </w:tr>
      <w:tr w14:paraId="77CA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2DAF4A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r>
              <w:rPr>
                <w:rFonts w:hint="eastAsia" w:ascii="宋体" w:hAnsi="宋体" w:cs="宋体"/>
                <w:i w:val="0"/>
                <w:iCs w:val="0"/>
                <w:color w:val="auto"/>
                <w:kern w:val="0"/>
                <w:sz w:val="21"/>
                <w:szCs w:val="21"/>
                <w:u w:val="none"/>
                <w:lang w:val="en-US" w:eastAsia="zh-CN" w:bidi="ar"/>
              </w:rPr>
              <w:t>2</w:t>
            </w:r>
          </w:p>
        </w:tc>
        <w:tc>
          <w:tcPr>
            <w:tcW w:w="1215" w:type="dxa"/>
            <w:noWrap w:val="0"/>
            <w:vAlign w:val="center"/>
          </w:tcPr>
          <w:p w14:paraId="201502D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溶液导电演示器</w:t>
            </w:r>
          </w:p>
        </w:tc>
        <w:tc>
          <w:tcPr>
            <w:tcW w:w="804" w:type="dxa"/>
            <w:noWrap w:val="0"/>
            <w:vAlign w:val="center"/>
          </w:tcPr>
          <w:p w14:paraId="75305C3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1F5AF05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6BA1D24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1.由框架、灯泡座、灯泡、电极和电源线组成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2.灯泡共5个，采用灯泡的亮度不同比较溶液的导电性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3.框架为有机玻璃制，尺寸为297*100*187mm</w:t>
            </w:r>
          </w:p>
        </w:tc>
      </w:tr>
      <w:tr w14:paraId="15C8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7E85D6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r>
              <w:rPr>
                <w:rFonts w:hint="eastAsia" w:ascii="宋体" w:hAnsi="宋体" w:cs="宋体"/>
                <w:i w:val="0"/>
                <w:iCs w:val="0"/>
                <w:color w:val="auto"/>
                <w:kern w:val="0"/>
                <w:sz w:val="21"/>
                <w:szCs w:val="21"/>
                <w:u w:val="none"/>
                <w:lang w:val="en-US" w:eastAsia="zh-CN" w:bidi="ar"/>
              </w:rPr>
              <w:t>3</w:t>
            </w:r>
          </w:p>
        </w:tc>
        <w:tc>
          <w:tcPr>
            <w:tcW w:w="1215" w:type="dxa"/>
            <w:noWrap w:val="0"/>
            <w:vAlign w:val="center"/>
          </w:tcPr>
          <w:p w14:paraId="23BEC27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微型溶液导电实验器</w:t>
            </w:r>
          </w:p>
        </w:tc>
        <w:tc>
          <w:tcPr>
            <w:tcW w:w="804" w:type="dxa"/>
            <w:noWrap w:val="0"/>
            <w:vAlign w:val="center"/>
          </w:tcPr>
          <w:p w14:paraId="7DF1418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19B65C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3786072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1.由手柄、金属电极、发光二极管等组成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2.所需溶液不超过3mL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3.外观尺寸：180*58*20mm</w:t>
            </w:r>
          </w:p>
        </w:tc>
      </w:tr>
      <w:tr w14:paraId="6DE3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C84E98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r>
              <w:rPr>
                <w:rFonts w:hint="eastAsia" w:ascii="宋体" w:hAnsi="宋体" w:cs="宋体"/>
                <w:i w:val="0"/>
                <w:iCs w:val="0"/>
                <w:color w:val="auto"/>
                <w:kern w:val="0"/>
                <w:sz w:val="21"/>
                <w:szCs w:val="21"/>
                <w:u w:val="none"/>
                <w:lang w:val="en-US" w:eastAsia="zh-CN" w:bidi="ar"/>
              </w:rPr>
              <w:t>4</w:t>
            </w:r>
          </w:p>
        </w:tc>
        <w:tc>
          <w:tcPr>
            <w:tcW w:w="1215" w:type="dxa"/>
            <w:noWrap w:val="0"/>
            <w:vAlign w:val="center"/>
          </w:tcPr>
          <w:p w14:paraId="38B213F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中和热测定仪</w:t>
            </w:r>
          </w:p>
        </w:tc>
        <w:tc>
          <w:tcPr>
            <w:tcW w:w="804" w:type="dxa"/>
            <w:noWrap w:val="0"/>
            <w:vAlign w:val="center"/>
          </w:tcPr>
          <w:p w14:paraId="7067D0F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82A93C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4421FAA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1.由外壳、隔热温层、内筒、盖子、温度计和搅拌棒组成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2.外壳为有机玻璃制，尺寸为86*86*119mm；内筒直径51mm；盖子为有机玻璃，带双孔；环形搅拌棒长153mm</w:t>
            </w:r>
          </w:p>
        </w:tc>
      </w:tr>
      <w:tr w14:paraId="4353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DED395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r>
              <w:rPr>
                <w:rFonts w:hint="eastAsia" w:ascii="宋体" w:hAnsi="宋体" w:cs="宋体"/>
                <w:i w:val="0"/>
                <w:iCs w:val="0"/>
                <w:color w:val="auto"/>
                <w:kern w:val="0"/>
                <w:sz w:val="21"/>
                <w:szCs w:val="21"/>
                <w:u w:val="none"/>
                <w:lang w:val="en-US" w:eastAsia="zh-CN" w:bidi="ar"/>
              </w:rPr>
              <w:t>5</w:t>
            </w:r>
          </w:p>
        </w:tc>
        <w:tc>
          <w:tcPr>
            <w:tcW w:w="1215" w:type="dxa"/>
            <w:noWrap w:val="0"/>
            <w:vAlign w:val="center"/>
          </w:tcPr>
          <w:p w14:paraId="5656B95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化学实验废液处理装置</w:t>
            </w:r>
          </w:p>
        </w:tc>
        <w:tc>
          <w:tcPr>
            <w:tcW w:w="804" w:type="dxa"/>
            <w:noWrap w:val="0"/>
            <w:vAlign w:val="center"/>
          </w:tcPr>
          <w:p w14:paraId="6CE9FE6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08D26E3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0FFDFF8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1.适应中学化学实验室废液处理的需要，对锰、铜、锌、铅、铬、银等金属离子污染物净化收集，对有机磷化合物、砷化物、BOD、COD等部分去除,可以直接排放。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2.仪器尺寸：365*365*585mm</w:t>
            </w:r>
          </w:p>
        </w:tc>
      </w:tr>
      <w:tr w14:paraId="47FD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E46651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r>
              <w:rPr>
                <w:rFonts w:hint="eastAsia" w:ascii="宋体" w:hAnsi="宋体" w:cs="宋体"/>
                <w:i w:val="0"/>
                <w:iCs w:val="0"/>
                <w:color w:val="auto"/>
                <w:kern w:val="0"/>
                <w:sz w:val="21"/>
                <w:szCs w:val="21"/>
                <w:u w:val="none"/>
                <w:lang w:val="en-US" w:eastAsia="zh-CN" w:bidi="ar"/>
              </w:rPr>
              <w:t>6</w:t>
            </w:r>
          </w:p>
        </w:tc>
        <w:tc>
          <w:tcPr>
            <w:tcW w:w="1215" w:type="dxa"/>
            <w:noWrap w:val="0"/>
            <w:vAlign w:val="center"/>
          </w:tcPr>
          <w:p w14:paraId="7479ED6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气体实验微型装置</w:t>
            </w:r>
          </w:p>
        </w:tc>
        <w:tc>
          <w:tcPr>
            <w:tcW w:w="804" w:type="dxa"/>
            <w:noWrap w:val="0"/>
            <w:vAlign w:val="center"/>
          </w:tcPr>
          <w:p w14:paraId="3527D3C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00EF76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45BF00E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1.由微型玻璃仪器、胶塞、导轨、乳胶管、滴管、止水夹等组成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2.玻璃仪器共5个，单个玻璃仪器容量不超过30mL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2.海绵定位包装</w:t>
            </w:r>
          </w:p>
        </w:tc>
      </w:tr>
      <w:tr w14:paraId="38B7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F9E0BD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r>
              <w:rPr>
                <w:rFonts w:hint="eastAsia" w:ascii="宋体" w:hAnsi="宋体" w:cs="宋体"/>
                <w:i w:val="0"/>
                <w:iCs w:val="0"/>
                <w:color w:val="auto"/>
                <w:kern w:val="0"/>
                <w:sz w:val="21"/>
                <w:szCs w:val="21"/>
                <w:u w:val="none"/>
                <w:lang w:val="en-US" w:eastAsia="zh-CN" w:bidi="ar"/>
              </w:rPr>
              <w:t>7</w:t>
            </w:r>
          </w:p>
        </w:tc>
        <w:tc>
          <w:tcPr>
            <w:tcW w:w="1215" w:type="dxa"/>
            <w:noWrap w:val="0"/>
            <w:vAlign w:val="center"/>
          </w:tcPr>
          <w:p w14:paraId="6A16319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氢燃料电池演示器</w:t>
            </w:r>
          </w:p>
        </w:tc>
        <w:tc>
          <w:tcPr>
            <w:tcW w:w="804" w:type="dxa"/>
            <w:noWrap w:val="0"/>
            <w:vAlign w:val="center"/>
          </w:tcPr>
          <w:p w14:paraId="67EF195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4A682B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8CE160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1.由带风扇电机、电流表、电压表、氢燃料电池、PEM（质子交换膜）水电解器和有机底座组成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2.为组装式，膜电极不小于33mm×33mm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3.外形尺寸：180*69*85mm；水电解尺寸：135*89*58mm</w:t>
            </w:r>
          </w:p>
        </w:tc>
      </w:tr>
      <w:tr w14:paraId="052EE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0A78227">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68</w:t>
            </w:r>
          </w:p>
        </w:tc>
        <w:tc>
          <w:tcPr>
            <w:tcW w:w="1215" w:type="dxa"/>
            <w:noWrap w:val="0"/>
            <w:vAlign w:val="center"/>
          </w:tcPr>
          <w:p w14:paraId="46A20D4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氢燃料电池实验器</w:t>
            </w:r>
          </w:p>
        </w:tc>
        <w:tc>
          <w:tcPr>
            <w:tcW w:w="804" w:type="dxa"/>
            <w:noWrap w:val="0"/>
            <w:vAlign w:val="center"/>
          </w:tcPr>
          <w:p w14:paraId="189F393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00516EC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6351" w:type="dxa"/>
            <w:noWrap w:val="0"/>
            <w:vAlign w:val="center"/>
          </w:tcPr>
          <w:p w14:paraId="41855D1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1.由塑料支架、氢燃料电池、导管、制氢瓶、电流表、电压表、电机、风叶等组成。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2.外观尺寸：125*100*85mm</w:t>
            </w:r>
          </w:p>
        </w:tc>
      </w:tr>
      <w:tr w14:paraId="3CBA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0F2E8F4">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69</w:t>
            </w:r>
          </w:p>
        </w:tc>
        <w:tc>
          <w:tcPr>
            <w:tcW w:w="1215" w:type="dxa"/>
            <w:noWrap w:val="0"/>
            <w:vAlign w:val="center"/>
          </w:tcPr>
          <w:p w14:paraId="1C32093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电解槽演示器</w:t>
            </w:r>
          </w:p>
        </w:tc>
        <w:tc>
          <w:tcPr>
            <w:tcW w:w="804" w:type="dxa"/>
            <w:noWrap w:val="0"/>
            <w:vAlign w:val="center"/>
          </w:tcPr>
          <w:p w14:paraId="4A24B2E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2552AB8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A49DDA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1.由阳极（镍），阴极（镍），离子交换膜，槽体等组成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2.尺寸：158*82*105</w:t>
            </w:r>
          </w:p>
        </w:tc>
      </w:tr>
      <w:tr w14:paraId="38E1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C85C20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r>
              <w:rPr>
                <w:rFonts w:hint="eastAsia" w:ascii="宋体" w:hAnsi="宋体" w:cs="宋体"/>
                <w:i w:val="0"/>
                <w:iCs w:val="0"/>
                <w:color w:val="auto"/>
                <w:kern w:val="0"/>
                <w:sz w:val="21"/>
                <w:szCs w:val="21"/>
                <w:u w:val="none"/>
                <w:lang w:val="en-US" w:eastAsia="zh-CN" w:bidi="ar"/>
              </w:rPr>
              <w:t>0</w:t>
            </w:r>
          </w:p>
        </w:tc>
        <w:tc>
          <w:tcPr>
            <w:tcW w:w="1215" w:type="dxa"/>
            <w:noWrap w:val="0"/>
            <w:vAlign w:val="center"/>
          </w:tcPr>
          <w:p w14:paraId="6F2BF4A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离子交换柱</w:t>
            </w:r>
          </w:p>
        </w:tc>
        <w:tc>
          <w:tcPr>
            <w:tcW w:w="804" w:type="dxa"/>
            <w:noWrap w:val="0"/>
            <w:vAlign w:val="center"/>
          </w:tcPr>
          <w:p w14:paraId="21B8094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1D28A7B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5EAD0E1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1.由有机玻璃管制成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2.外观尺寸：φ40*218mm</w:t>
            </w:r>
          </w:p>
        </w:tc>
      </w:tr>
      <w:tr w14:paraId="1A24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12AB4D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r>
              <w:rPr>
                <w:rFonts w:hint="eastAsia" w:ascii="宋体" w:hAnsi="宋体" w:cs="宋体"/>
                <w:i w:val="0"/>
                <w:iCs w:val="0"/>
                <w:color w:val="auto"/>
                <w:kern w:val="0"/>
                <w:sz w:val="21"/>
                <w:szCs w:val="21"/>
                <w:u w:val="none"/>
                <w:lang w:val="en-US" w:eastAsia="zh-CN" w:bidi="ar"/>
              </w:rPr>
              <w:t>1</w:t>
            </w:r>
          </w:p>
        </w:tc>
        <w:tc>
          <w:tcPr>
            <w:tcW w:w="1215" w:type="dxa"/>
            <w:noWrap w:val="0"/>
            <w:vAlign w:val="center"/>
          </w:tcPr>
          <w:p w14:paraId="4FA4BC7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电泳演示器</w:t>
            </w:r>
          </w:p>
        </w:tc>
        <w:tc>
          <w:tcPr>
            <w:tcW w:w="804" w:type="dxa"/>
            <w:noWrap w:val="0"/>
            <w:vAlign w:val="center"/>
          </w:tcPr>
          <w:p w14:paraId="2BB7E3E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3626E78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777FE99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1.由底座电源装置、带刻度的U形管、电极、插座和开关组成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2.外观尺寸：150*110*158mm</w:t>
            </w:r>
          </w:p>
        </w:tc>
      </w:tr>
      <w:tr w14:paraId="144F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DBE79C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r>
              <w:rPr>
                <w:rFonts w:hint="eastAsia" w:ascii="宋体" w:hAnsi="宋体" w:cs="宋体"/>
                <w:i w:val="0"/>
                <w:iCs w:val="0"/>
                <w:color w:val="auto"/>
                <w:kern w:val="0"/>
                <w:sz w:val="21"/>
                <w:szCs w:val="21"/>
                <w:u w:val="none"/>
                <w:lang w:val="en-US" w:eastAsia="zh-CN" w:bidi="ar"/>
              </w:rPr>
              <w:t>2</w:t>
            </w:r>
          </w:p>
        </w:tc>
        <w:tc>
          <w:tcPr>
            <w:tcW w:w="1215" w:type="dxa"/>
            <w:noWrap w:val="0"/>
            <w:vAlign w:val="center"/>
          </w:tcPr>
          <w:p w14:paraId="279C305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丁达尔现象实验器</w:t>
            </w:r>
          </w:p>
        </w:tc>
        <w:tc>
          <w:tcPr>
            <w:tcW w:w="804" w:type="dxa"/>
            <w:noWrap w:val="0"/>
            <w:vAlign w:val="center"/>
          </w:tcPr>
          <w:p w14:paraId="36BBC6F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253F45B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1270773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1.由暗室、电池盒、按钮、观察窗和方试管组成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2.整体尺寸为：99*70*70mm</w:t>
            </w:r>
          </w:p>
        </w:tc>
      </w:tr>
      <w:tr w14:paraId="5963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0CC5A5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r>
              <w:rPr>
                <w:rFonts w:hint="eastAsia" w:ascii="宋体" w:hAnsi="宋体" w:cs="宋体"/>
                <w:i w:val="0"/>
                <w:iCs w:val="0"/>
                <w:color w:val="auto"/>
                <w:kern w:val="0"/>
                <w:sz w:val="21"/>
                <w:szCs w:val="21"/>
                <w:u w:val="none"/>
                <w:lang w:val="en-US" w:eastAsia="zh-CN" w:bidi="ar"/>
              </w:rPr>
              <w:t>3</w:t>
            </w:r>
          </w:p>
        </w:tc>
        <w:tc>
          <w:tcPr>
            <w:tcW w:w="1215" w:type="dxa"/>
            <w:noWrap w:val="0"/>
            <w:vAlign w:val="center"/>
          </w:tcPr>
          <w:p w14:paraId="780E664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二氧化氮球</w:t>
            </w:r>
          </w:p>
        </w:tc>
        <w:tc>
          <w:tcPr>
            <w:tcW w:w="804" w:type="dxa"/>
            <w:noWrap w:val="0"/>
            <w:vAlign w:val="center"/>
          </w:tcPr>
          <w:p w14:paraId="0718C2A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A088B4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5D6FF12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2.双球，内封NO₂和N₂O₄，球的直径不小30mm</w:t>
            </w:r>
          </w:p>
        </w:tc>
      </w:tr>
      <w:tr w14:paraId="65F5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9CD3891">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74</w:t>
            </w:r>
          </w:p>
        </w:tc>
        <w:tc>
          <w:tcPr>
            <w:tcW w:w="1215" w:type="dxa"/>
            <w:noWrap w:val="0"/>
            <w:vAlign w:val="center"/>
          </w:tcPr>
          <w:p w14:paraId="3F9E700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渗析实验器</w:t>
            </w:r>
          </w:p>
        </w:tc>
        <w:tc>
          <w:tcPr>
            <w:tcW w:w="804" w:type="dxa"/>
            <w:noWrap w:val="0"/>
            <w:vAlign w:val="center"/>
          </w:tcPr>
          <w:p w14:paraId="6DDA770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FA7419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284900D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1.由水槽和半透膜组成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2.水槽为有机玻璃制，外观尺寸51*51*51mm；水槽上半透膜有2个，直径为30mm</w:t>
            </w:r>
          </w:p>
        </w:tc>
      </w:tr>
      <w:tr w14:paraId="3EDD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1DDE45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r>
              <w:rPr>
                <w:rFonts w:hint="eastAsia" w:ascii="宋体" w:hAnsi="宋体" w:cs="宋体"/>
                <w:i w:val="0"/>
                <w:iCs w:val="0"/>
                <w:color w:val="auto"/>
                <w:kern w:val="0"/>
                <w:sz w:val="21"/>
                <w:szCs w:val="21"/>
                <w:u w:val="none"/>
                <w:lang w:val="en-US" w:eastAsia="zh-CN" w:bidi="ar"/>
              </w:rPr>
              <w:t>5</w:t>
            </w:r>
          </w:p>
        </w:tc>
        <w:tc>
          <w:tcPr>
            <w:tcW w:w="1215" w:type="dxa"/>
            <w:noWrap w:val="0"/>
            <w:vAlign w:val="center"/>
          </w:tcPr>
          <w:p w14:paraId="0E63D73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放电反应实验仪</w:t>
            </w:r>
          </w:p>
        </w:tc>
        <w:tc>
          <w:tcPr>
            <w:tcW w:w="804" w:type="dxa"/>
            <w:noWrap w:val="0"/>
            <w:vAlign w:val="center"/>
          </w:tcPr>
          <w:p w14:paraId="1316B47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0C5330D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6351" w:type="dxa"/>
            <w:noWrap w:val="0"/>
            <w:vAlign w:val="center"/>
          </w:tcPr>
          <w:p w14:paraId="4E2D24F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1.由高压电源、高压输出连接线、气体反应瓶组成。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2.工作电压：220V；输出电压：≤20KV；放电距离：≤5mm；连续工作时间：≤5min；功率损耗：≤30W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3.尺寸：130*200*75</w:t>
            </w:r>
          </w:p>
        </w:tc>
      </w:tr>
      <w:tr w14:paraId="59D3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6D49A9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r>
              <w:rPr>
                <w:rFonts w:hint="eastAsia" w:ascii="宋体" w:hAnsi="宋体" w:cs="宋体"/>
                <w:i w:val="0"/>
                <w:iCs w:val="0"/>
                <w:color w:val="auto"/>
                <w:kern w:val="0"/>
                <w:sz w:val="21"/>
                <w:szCs w:val="21"/>
                <w:u w:val="none"/>
                <w:lang w:val="en-US" w:eastAsia="zh-CN" w:bidi="ar"/>
              </w:rPr>
              <w:t>6</w:t>
            </w:r>
          </w:p>
        </w:tc>
        <w:tc>
          <w:tcPr>
            <w:tcW w:w="1215" w:type="dxa"/>
            <w:noWrap w:val="0"/>
            <w:vAlign w:val="center"/>
          </w:tcPr>
          <w:p w14:paraId="71CB96B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光化学实验演示器</w:t>
            </w:r>
          </w:p>
        </w:tc>
        <w:tc>
          <w:tcPr>
            <w:tcW w:w="804" w:type="dxa"/>
            <w:noWrap w:val="0"/>
            <w:vAlign w:val="center"/>
          </w:tcPr>
          <w:p w14:paraId="325FCB1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6187953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4EAFF77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1.由塑料机座、闪光装置、玻璃试管及安全防护罩组成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2.可完成氢氯混合气体闪光引爆实验、溴化银感光分解实验、甲烷和氯气混合气体取代反应闪光爆鸣实验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3.外观尺寸：185*115*120mm</w:t>
            </w:r>
          </w:p>
        </w:tc>
      </w:tr>
      <w:tr w14:paraId="7C8F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AE7B80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r>
              <w:rPr>
                <w:rFonts w:hint="eastAsia" w:ascii="宋体" w:hAnsi="宋体" w:cs="宋体"/>
                <w:i w:val="0"/>
                <w:iCs w:val="0"/>
                <w:color w:val="auto"/>
                <w:kern w:val="0"/>
                <w:sz w:val="21"/>
                <w:szCs w:val="21"/>
                <w:u w:val="none"/>
                <w:lang w:val="en-US" w:eastAsia="zh-CN" w:bidi="ar"/>
              </w:rPr>
              <w:t>7</w:t>
            </w:r>
          </w:p>
        </w:tc>
        <w:tc>
          <w:tcPr>
            <w:tcW w:w="1215" w:type="dxa"/>
            <w:noWrap w:val="0"/>
            <w:vAlign w:val="center"/>
          </w:tcPr>
          <w:p w14:paraId="0E30634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化学实验演示平台</w:t>
            </w:r>
          </w:p>
        </w:tc>
        <w:tc>
          <w:tcPr>
            <w:tcW w:w="804" w:type="dxa"/>
            <w:noWrap w:val="0"/>
            <w:vAlign w:val="center"/>
          </w:tcPr>
          <w:p w14:paraId="7398F13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08297AE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3FAD88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1.由底座、摄像头、试管、试管支架、软件等组成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2.平台尺寸：295*395mm</w:t>
            </w:r>
          </w:p>
        </w:tc>
      </w:tr>
      <w:tr w14:paraId="18C9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F63EF09">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78</w:t>
            </w:r>
          </w:p>
        </w:tc>
        <w:tc>
          <w:tcPr>
            <w:tcW w:w="1215" w:type="dxa"/>
            <w:noWrap w:val="0"/>
            <w:vAlign w:val="center"/>
          </w:tcPr>
          <w:p w14:paraId="5EF3C67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炼铁高炉模型</w:t>
            </w:r>
          </w:p>
        </w:tc>
        <w:tc>
          <w:tcPr>
            <w:tcW w:w="804" w:type="dxa"/>
            <w:noWrap w:val="0"/>
            <w:vAlign w:val="center"/>
          </w:tcPr>
          <w:p w14:paraId="0744694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F611AB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4E0845A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1.为炼铁高炉缩小模型，装置于底座上，高度不小于650mm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2.符合教育部标准JY0305-91《炼铁高炉模型技术条件》的有关规定</w:t>
            </w:r>
          </w:p>
        </w:tc>
      </w:tr>
      <w:tr w14:paraId="47C0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01B6B0F">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79</w:t>
            </w:r>
          </w:p>
        </w:tc>
        <w:tc>
          <w:tcPr>
            <w:tcW w:w="1215" w:type="dxa"/>
            <w:noWrap w:val="0"/>
            <w:vAlign w:val="center"/>
          </w:tcPr>
          <w:p w14:paraId="77773BA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分子结构模型</w:t>
            </w:r>
          </w:p>
        </w:tc>
        <w:tc>
          <w:tcPr>
            <w:tcW w:w="804" w:type="dxa"/>
            <w:noWrap w:val="0"/>
            <w:vAlign w:val="center"/>
          </w:tcPr>
          <w:p w14:paraId="3A4A1B1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D8D1F8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4812B18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1.为球棍式分子结构模型，组装式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2.球为橡胶制，共175个，7种颜色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3.单键为金属制表面镀铬，共225根，长度包含25mm、40mm、50mm、120mm；双键和三键为金属弹簧软管，共10根</w:t>
            </w:r>
          </w:p>
        </w:tc>
      </w:tr>
      <w:tr w14:paraId="2759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F6370A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r>
              <w:rPr>
                <w:rFonts w:hint="eastAsia" w:ascii="宋体" w:hAnsi="宋体" w:cs="宋体"/>
                <w:i w:val="0"/>
                <w:iCs w:val="0"/>
                <w:color w:val="auto"/>
                <w:kern w:val="0"/>
                <w:sz w:val="21"/>
                <w:szCs w:val="21"/>
                <w:u w:val="none"/>
                <w:lang w:val="en-US" w:eastAsia="zh-CN" w:bidi="ar"/>
              </w:rPr>
              <w:t>0</w:t>
            </w:r>
          </w:p>
        </w:tc>
        <w:tc>
          <w:tcPr>
            <w:tcW w:w="1215" w:type="dxa"/>
            <w:noWrap w:val="0"/>
            <w:vAlign w:val="center"/>
          </w:tcPr>
          <w:p w14:paraId="0D8D9B8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分子结构模型</w:t>
            </w:r>
          </w:p>
        </w:tc>
        <w:tc>
          <w:tcPr>
            <w:tcW w:w="804" w:type="dxa"/>
            <w:noWrap w:val="0"/>
            <w:vAlign w:val="center"/>
          </w:tcPr>
          <w:p w14:paraId="37450ED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F4D8F2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12516B6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 本模型系全彩色橡胶球和金属镀锌棒及弹簧软管制品。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2.小球直径7mm</w:t>
            </w:r>
          </w:p>
        </w:tc>
      </w:tr>
      <w:tr w14:paraId="4357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88CDFC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r>
              <w:rPr>
                <w:rFonts w:hint="eastAsia" w:ascii="宋体" w:hAnsi="宋体" w:cs="宋体"/>
                <w:i w:val="0"/>
                <w:iCs w:val="0"/>
                <w:color w:val="auto"/>
                <w:kern w:val="0"/>
                <w:sz w:val="21"/>
                <w:szCs w:val="21"/>
                <w:u w:val="none"/>
                <w:lang w:val="en-US" w:eastAsia="zh-CN" w:bidi="ar"/>
              </w:rPr>
              <w:t>1</w:t>
            </w:r>
          </w:p>
        </w:tc>
        <w:tc>
          <w:tcPr>
            <w:tcW w:w="1215" w:type="dxa"/>
            <w:noWrap w:val="0"/>
            <w:vAlign w:val="center"/>
          </w:tcPr>
          <w:p w14:paraId="6598FDD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金刚石结构模型</w:t>
            </w:r>
          </w:p>
        </w:tc>
        <w:tc>
          <w:tcPr>
            <w:tcW w:w="804" w:type="dxa"/>
            <w:noWrap w:val="0"/>
            <w:vAlign w:val="center"/>
          </w:tcPr>
          <w:p w14:paraId="0A73544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96B05F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3A77843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 xml:space="preserve">1.为整体式金刚石结构模型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2.铝合金连接棒，整体正三棱锥型模型边长290mm</w:t>
            </w:r>
          </w:p>
        </w:tc>
      </w:tr>
      <w:tr w14:paraId="6357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843F84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r>
              <w:rPr>
                <w:rFonts w:hint="eastAsia" w:ascii="宋体" w:hAnsi="宋体" w:cs="宋体"/>
                <w:i w:val="0"/>
                <w:iCs w:val="0"/>
                <w:color w:val="auto"/>
                <w:kern w:val="0"/>
                <w:sz w:val="21"/>
                <w:szCs w:val="21"/>
                <w:u w:val="none"/>
                <w:lang w:val="en-US" w:eastAsia="zh-CN" w:bidi="ar"/>
              </w:rPr>
              <w:t>2</w:t>
            </w:r>
          </w:p>
        </w:tc>
        <w:tc>
          <w:tcPr>
            <w:tcW w:w="1215" w:type="dxa"/>
            <w:noWrap w:val="0"/>
            <w:vAlign w:val="center"/>
          </w:tcPr>
          <w:p w14:paraId="73B2CD0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石墨结构模型</w:t>
            </w:r>
          </w:p>
        </w:tc>
        <w:tc>
          <w:tcPr>
            <w:tcW w:w="804" w:type="dxa"/>
            <w:noWrap w:val="0"/>
            <w:vAlign w:val="center"/>
          </w:tcPr>
          <w:p w14:paraId="0B4DACB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359881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3DCCC83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 xml:space="preserve">1.为整体式石墨结构模型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2.铝合金连接棒，整体模型三层，总高度为210mm</w:t>
            </w:r>
          </w:p>
        </w:tc>
      </w:tr>
      <w:tr w14:paraId="46ED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FC189C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r>
              <w:rPr>
                <w:rFonts w:hint="eastAsia" w:ascii="宋体" w:hAnsi="宋体" w:cs="宋体"/>
                <w:i w:val="0"/>
                <w:iCs w:val="0"/>
                <w:color w:val="auto"/>
                <w:kern w:val="0"/>
                <w:sz w:val="21"/>
                <w:szCs w:val="21"/>
                <w:u w:val="none"/>
                <w:lang w:val="en-US" w:eastAsia="zh-CN" w:bidi="ar"/>
              </w:rPr>
              <w:t>3</w:t>
            </w:r>
          </w:p>
        </w:tc>
        <w:tc>
          <w:tcPr>
            <w:tcW w:w="1215" w:type="dxa"/>
            <w:noWrap w:val="0"/>
            <w:vAlign w:val="center"/>
          </w:tcPr>
          <w:p w14:paraId="0666810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碳-60结构模型</w:t>
            </w:r>
          </w:p>
        </w:tc>
        <w:tc>
          <w:tcPr>
            <w:tcW w:w="804" w:type="dxa"/>
            <w:noWrap w:val="0"/>
            <w:vAlign w:val="center"/>
          </w:tcPr>
          <w:p w14:paraId="2B20407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7C3509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7199CDB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1.为整体式碳-60结构模型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2.铝合金连接棒，整体球状模型的直径200mm</w:t>
            </w:r>
          </w:p>
        </w:tc>
      </w:tr>
      <w:tr w14:paraId="0898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166114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r>
              <w:rPr>
                <w:rFonts w:hint="eastAsia" w:ascii="宋体" w:hAnsi="宋体" w:cs="宋体"/>
                <w:i w:val="0"/>
                <w:iCs w:val="0"/>
                <w:color w:val="auto"/>
                <w:kern w:val="0"/>
                <w:sz w:val="21"/>
                <w:szCs w:val="21"/>
                <w:u w:val="none"/>
                <w:lang w:val="en-US" w:eastAsia="zh-CN" w:bidi="ar"/>
              </w:rPr>
              <w:t>4</w:t>
            </w:r>
          </w:p>
        </w:tc>
        <w:tc>
          <w:tcPr>
            <w:tcW w:w="1215" w:type="dxa"/>
            <w:noWrap w:val="0"/>
            <w:vAlign w:val="center"/>
          </w:tcPr>
          <w:p w14:paraId="054148D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氯化钠晶体结构模型</w:t>
            </w:r>
          </w:p>
        </w:tc>
        <w:tc>
          <w:tcPr>
            <w:tcW w:w="804" w:type="dxa"/>
            <w:noWrap w:val="0"/>
            <w:vAlign w:val="center"/>
          </w:tcPr>
          <w:p w14:paraId="405E32A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462A46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5324545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1.为整体式氯化钠晶体结构模型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2.铝合金连接棒，整体正方体模型边长165mm</w:t>
            </w:r>
          </w:p>
        </w:tc>
      </w:tr>
      <w:tr w14:paraId="0FE9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DC01C2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r>
              <w:rPr>
                <w:rFonts w:hint="eastAsia" w:ascii="宋体" w:hAnsi="宋体" w:cs="宋体"/>
                <w:i w:val="0"/>
                <w:iCs w:val="0"/>
                <w:color w:val="auto"/>
                <w:kern w:val="0"/>
                <w:sz w:val="21"/>
                <w:szCs w:val="21"/>
                <w:u w:val="none"/>
                <w:lang w:val="en-US" w:eastAsia="zh-CN" w:bidi="ar"/>
              </w:rPr>
              <w:t>5</w:t>
            </w:r>
          </w:p>
        </w:tc>
        <w:tc>
          <w:tcPr>
            <w:tcW w:w="1215" w:type="dxa"/>
            <w:noWrap w:val="0"/>
            <w:vAlign w:val="center"/>
          </w:tcPr>
          <w:p w14:paraId="715D551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碳的同素异形体结构模型</w:t>
            </w:r>
          </w:p>
        </w:tc>
        <w:tc>
          <w:tcPr>
            <w:tcW w:w="804" w:type="dxa"/>
            <w:noWrap w:val="0"/>
            <w:vAlign w:val="center"/>
          </w:tcPr>
          <w:p w14:paraId="02A080D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18426D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783485C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1.包括金刚石、石墨、碳-60三种结构模型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2.为球管式，可拆卸</w:t>
            </w:r>
          </w:p>
        </w:tc>
      </w:tr>
      <w:tr w14:paraId="25C2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46A3EA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r>
              <w:rPr>
                <w:rFonts w:hint="eastAsia" w:ascii="宋体" w:hAnsi="宋体" w:cs="宋体"/>
                <w:i w:val="0"/>
                <w:iCs w:val="0"/>
                <w:color w:val="auto"/>
                <w:kern w:val="0"/>
                <w:sz w:val="21"/>
                <w:szCs w:val="21"/>
                <w:u w:val="none"/>
                <w:lang w:val="en-US" w:eastAsia="zh-CN" w:bidi="ar"/>
              </w:rPr>
              <w:t>6</w:t>
            </w:r>
          </w:p>
        </w:tc>
        <w:tc>
          <w:tcPr>
            <w:tcW w:w="1215" w:type="dxa"/>
            <w:noWrap w:val="0"/>
            <w:vAlign w:val="center"/>
          </w:tcPr>
          <w:p w14:paraId="441AD20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氯化铯晶体结构模型</w:t>
            </w:r>
          </w:p>
        </w:tc>
        <w:tc>
          <w:tcPr>
            <w:tcW w:w="804" w:type="dxa"/>
            <w:noWrap w:val="0"/>
            <w:vAlign w:val="center"/>
          </w:tcPr>
          <w:p w14:paraId="2E74C9A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41F698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73B16F5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 xml:space="preserve">1.为整体式氯化铯晶体结构模型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2.铝合金连接棒，整体正方体模型边长170mm</w:t>
            </w:r>
          </w:p>
        </w:tc>
      </w:tr>
      <w:tr w14:paraId="00FF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37A6A3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r>
              <w:rPr>
                <w:rFonts w:hint="eastAsia" w:ascii="宋体" w:hAnsi="宋体" w:cs="宋体"/>
                <w:i w:val="0"/>
                <w:iCs w:val="0"/>
                <w:color w:val="auto"/>
                <w:kern w:val="0"/>
                <w:sz w:val="21"/>
                <w:szCs w:val="21"/>
                <w:u w:val="none"/>
                <w:lang w:val="en-US" w:eastAsia="zh-CN" w:bidi="ar"/>
              </w:rPr>
              <w:t>7</w:t>
            </w:r>
          </w:p>
        </w:tc>
        <w:tc>
          <w:tcPr>
            <w:tcW w:w="1215" w:type="dxa"/>
            <w:noWrap w:val="0"/>
            <w:vAlign w:val="center"/>
          </w:tcPr>
          <w:p w14:paraId="125896A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二氧化碳晶体结构模型</w:t>
            </w:r>
          </w:p>
        </w:tc>
        <w:tc>
          <w:tcPr>
            <w:tcW w:w="804" w:type="dxa"/>
            <w:noWrap w:val="0"/>
            <w:vAlign w:val="center"/>
          </w:tcPr>
          <w:p w14:paraId="192A220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16DB88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299EF7E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 xml:space="preserve">1.为整体式二氧化碳晶体结构模型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2.铝合金连接棒，整体正方体模型边长170mm</w:t>
            </w:r>
          </w:p>
        </w:tc>
      </w:tr>
      <w:tr w14:paraId="71CD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7F2B067">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88</w:t>
            </w:r>
          </w:p>
        </w:tc>
        <w:tc>
          <w:tcPr>
            <w:tcW w:w="1215" w:type="dxa"/>
            <w:noWrap w:val="0"/>
            <w:vAlign w:val="center"/>
          </w:tcPr>
          <w:p w14:paraId="4AF6F9A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二氧化硅晶体结构模型</w:t>
            </w:r>
          </w:p>
        </w:tc>
        <w:tc>
          <w:tcPr>
            <w:tcW w:w="804" w:type="dxa"/>
            <w:noWrap w:val="0"/>
            <w:vAlign w:val="center"/>
          </w:tcPr>
          <w:p w14:paraId="0A718C6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C10755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01DF13E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 xml:space="preserve">1.为整体式二氧化硅晶体结构模型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2.铝合金连接棒，整体模型高度210mm</w:t>
            </w:r>
          </w:p>
        </w:tc>
      </w:tr>
      <w:tr w14:paraId="3B87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759E190">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89</w:t>
            </w:r>
          </w:p>
        </w:tc>
        <w:tc>
          <w:tcPr>
            <w:tcW w:w="1215" w:type="dxa"/>
            <w:noWrap w:val="0"/>
            <w:vAlign w:val="center"/>
          </w:tcPr>
          <w:p w14:paraId="7ABE503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金属晶体结构模型</w:t>
            </w:r>
          </w:p>
        </w:tc>
        <w:tc>
          <w:tcPr>
            <w:tcW w:w="804" w:type="dxa"/>
            <w:noWrap w:val="0"/>
            <w:vAlign w:val="center"/>
          </w:tcPr>
          <w:p w14:paraId="021AFB3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FB254B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3490687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1.是整体式 金属晶体结构模型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2.铝合金连接棒，整体正方体模型边长130mm</w:t>
            </w:r>
          </w:p>
        </w:tc>
      </w:tr>
      <w:tr w14:paraId="7EFC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B9D2D0B">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90</w:t>
            </w:r>
          </w:p>
        </w:tc>
        <w:tc>
          <w:tcPr>
            <w:tcW w:w="1215" w:type="dxa"/>
            <w:noWrap w:val="0"/>
            <w:vAlign w:val="center"/>
          </w:tcPr>
          <w:p w14:paraId="50A874A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电子云杂化轨道模型</w:t>
            </w:r>
          </w:p>
        </w:tc>
        <w:tc>
          <w:tcPr>
            <w:tcW w:w="804" w:type="dxa"/>
            <w:noWrap w:val="0"/>
            <w:vAlign w:val="center"/>
          </w:tcPr>
          <w:p w14:paraId="3E1DCAE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F7526E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658D235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1.由底座、骨架、塑料模型和接头组成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2.包含S、SP、SP2.SP3.Px、Py、Pz共7个电子云模型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3.球形模型直径68mm，圆锥状模型长95mm</w:t>
            </w:r>
          </w:p>
        </w:tc>
      </w:tr>
      <w:tr w14:paraId="69EC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91EFBAF">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91</w:t>
            </w:r>
          </w:p>
        </w:tc>
        <w:tc>
          <w:tcPr>
            <w:tcW w:w="1215" w:type="dxa"/>
            <w:noWrap w:val="0"/>
            <w:vAlign w:val="center"/>
          </w:tcPr>
          <w:p w14:paraId="58C2689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气体摩尔体积模型</w:t>
            </w:r>
          </w:p>
        </w:tc>
        <w:tc>
          <w:tcPr>
            <w:tcW w:w="804" w:type="dxa"/>
            <w:noWrap w:val="0"/>
            <w:vAlign w:val="center"/>
          </w:tcPr>
          <w:p w14:paraId="028D76F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1FA11F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0D406E0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1.由气体摩尔体积的正方体组成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2.气体摩尔体积的正方体规格为282×282×282mm，正方体的面为透明的有机玻璃，面与面用专用的联接角连接</w:t>
            </w:r>
          </w:p>
        </w:tc>
      </w:tr>
      <w:tr w14:paraId="66CE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69FCDE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r>
              <w:rPr>
                <w:rFonts w:hint="eastAsia" w:ascii="宋体" w:hAnsi="宋体" w:cs="宋体"/>
                <w:i w:val="0"/>
                <w:iCs w:val="0"/>
                <w:color w:val="auto"/>
                <w:kern w:val="0"/>
                <w:sz w:val="21"/>
                <w:szCs w:val="21"/>
                <w:u w:val="none"/>
                <w:lang w:val="en-US" w:eastAsia="zh-CN" w:bidi="ar"/>
              </w:rPr>
              <w:t>2</w:t>
            </w:r>
          </w:p>
        </w:tc>
        <w:tc>
          <w:tcPr>
            <w:tcW w:w="1215" w:type="dxa"/>
            <w:noWrap w:val="0"/>
            <w:vAlign w:val="center"/>
          </w:tcPr>
          <w:p w14:paraId="6DC7ED2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沸腾焙烧炉模型</w:t>
            </w:r>
          </w:p>
        </w:tc>
        <w:tc>
          <w:tcPr>
            <w:tcW w:w="804" w:type="dxa"/>
            <w:noWrap w:val="0"/>
            <w:vAlign w:val="center"/>
          </w:tcPr>
          <w:p w14:paraId="6471EB6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72174E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1B9FB02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1.由炉膛、进料口、风帽、进气口、出气口、出渣口等组成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2.主体尺寸：φ190*510mm</w:t>
            </w:r>
          </w:p>
        </w:tc>
      </w:tr>
      <w:tr w14:paraId="759A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957770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r>
              <w:rPr>
                <w:rFonts w:hint="eastAsia" w:ascii="宋体" w:hAnsi="宋体" w:cs="宋体"/>
                <w:i w:val="0"/>
                <w:iCs w:val="0"/>
                <w:color w:val="auto"/>
                <w:kern w:val="0"/>
                <w:sz w:val="21"/>
                <w:szCs w:val="21"/>
                <w:u w:val="none"/>
                <w:lang w:val="en-US" w:eastAsia="zh-CN" w:bidi="ar"/>
              </w:rPr>
              <w:t>3</w:t>
            </w:r>
          </w:p>
        </w:tc>
        <w:tc>
          <w:tcPr>
            <w:tcW w:w="1215" w:type="dxa"/>
            <w:noWrap w:val="0"/>
            <w:vAlign w:val="center"/>
          </w:tcPr>
          <w:p w14:paraId="0DE15EC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硫酸接触室模型</w:t>
            </w:r>
          </w:p>
        </w:tc>
        <w:tc>
          <w:tcPr>
            <w:tcW w:w="804" w:type="dxa"/>
            <w:noWrap w:val="0"/>
            <w:vAlign w:val="center"/>
          </w:tcPr>
          <w:p w14:paraId="114CBEF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0D9533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1FF54BA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1.由催化剂、天板、进气口、出气口、热交换器、架板等组成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2.主体尺寸：φ190*460mm</w:t>
            </w:r>
          </w:p>
        </w:tc>
      </w:tr>
      <w:tr w14:paraId="6C0D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8DC3BB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r>
              <w:rPr>
                <w:rFonts w:hint="eastAsia" w:ascii="宋体" w:hAnsi="宋体" w:cs="宋体"/>
                <w:i w:val="0"/>
                <w:iCs w:val="0"/>
                <w:color w:val="auto"/>
                <w:kern w:val="0"/>
                <w:sz w:val="21"/>
                <w:szCs w:val="21"/>
                <w:u w:val="none"/>
                <w:lang w:val="en-US" w:eastAsia="zh-CN" w:bidi="ar"/>
              </w:rPr>
              <w:t>4</w:t>
            </w:r>
          </w:p>
        </w:tc>
        <w:tc>
          <w:tcPr>
            <w:tcW w:w="1215" w:type="dxa"/>
            <w:noWrap w:val="0"/>
            <w:vAlign w:val="center"/>
          </w:tcPr>
          <w:p w14:paraId="471786F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氨合成塔模型</w:t>
            </w:r>
          </w:p>
        </w:tc>
        <w:tc>
          <w:tcPr>
            <w:tcW w:w="804" w:type="dxa"/>
            <w:noWrap w:val="0"/>
            <w:vAlign w:val="center"/>
          </w:tcPr>
          <w:p w14:paraId="094752C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92CCB9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4FCCCC2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1.由电加热器、电极、进气口、触媒、电炉丝、绝热层、中心上升管、热交换室、列管、出气口等组成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2.主体尺寸：φ175*660mm</w:t>
            </w:r>
          </w:p>
        </w:tc>
      </w:tr>
      <w:tr w14:paraId="6E81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B8BB20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r>
              <w:rPr>
                <w:rFonts w:hint="eastAsia" w:ascii="宋体" w:hAnsi="宋体" w:cs="宋体"/>
                <w:i w:val="0"/>
                <w:iCs w:val="0"/>
                <w:color w:val="auto"/>
                <w:kern w:val="0"/>
                <w:sz w:val="21"/>
                <w:szCs w:val="21"/>
                <w:u w:val="none"/>
                <w:lang w:val="en-US" w:eastAsia="zh-CN" w:bidi="ar"/>
              </w:rPr>
              <w:t>5</w:t>
            </w:r>
          </w:p>
        </w:tc>
        <w:tc>
          <w:tcPr>
            <w:tcW w:w="1215" w:type="dxa"/>
            <w:noWrap w:val="0"/>
            <w:vAlign w:val="center"/>
          </w:tcPr>
          <w:p w14:paraId="2B8DF09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炼钢转炉模型</w:t>
            </w:r>
          </w:p>
        </w:tc>
        <w:tc>
          <w:tcPr>
            <w:tcW w:w="804" w:type="dxa"/>
            <w:noWrap w:val="0"/>
            <w:vAlign w:val="center"/>
          </w:tcPr>
          <w:p w14:paraId="4889965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8C3806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4F873CD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1.由加料口、进水管、出水管、排气罩、氧气喷枪、耐火砖、出钢口、炉膛、控制箱等模型组成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2.外观尺寸：300*160*350mm</w:t>
            </w:r>
          </w:p>
        </w:tc>
      </w:tr>
      <w:tr w14:paraId="2C578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5035F1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r>
              <w:rPr>
                <w:rFonts w:hint="eastAsia" w:ascii="宋体" w:hAnsi="宋体" w:cs="宋体"/>
                <w:i w:val="0"/>
                <w:iCs w:val="0"/>
                <w:color w:val="auto"/>
                <w:kern w:val="0"/>
                <w:sz w:val="21"/>
                <w:szCs w:val="21"/>
                <w:u w:val="none"/>
                <w:lang w:val="en-US" w:eastAsia="zh-CN" w:bidi="ar"/>
              </w:rPr>
              <w:t>6</w:t>
            </w:r>
          </w:p>
        </w:tc>
        <w:tc>
          <w:tcPr>
            <w:tcW w:w="1215" w:type="dxa"/>
            <w:noWrap w:val="0"/>
            <w:vAlign w:val="center"/>
          </w:tcPr>
          <w:p w14:paraId="3C237EC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金属矿物.金属及合金标本</w:t>
            </w:r>
          </w:p>
        </w:tc>
        <w:tc>
          <w:tcPr>
            <w:tcW w:w="804" w:type="dxa"/>
            <w:noWrap w:val="0"/>
            <w:vAlign w:val="center"/>
          </w:tcPr>
          <w:p w14:paraId="08973CA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765" w:type="dxa"/>
            <w:gridSpan w:val="2"/>
            <w:noWrap w:val="0"/>
            <w:vAlign w:val="center"/>
          </w:tcPr>
          <w:p w14:paraId="57A2796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3F73730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1.由铜矿、铜、铁矿、铁、锡矿、锡丝、钨矿、钨丝、铝矿、铝合金组成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2.标本盒上盖采用透明浮法玻璃制作，下盖由环保厚卡纸加工制作而成，标本盒尺寸不小于217*171*32mm，上下盖可以打开</w:t>
            </w:r>
          </w:p>
        </w:tc>
      </w:tr>
      <w:tr w14:paraId="6EEB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5D562D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r>
              <w:rPr>
                <w:rFonts w:hint="eastAsia" w:ascii="宋体" w:hAnsi="宋体" w:cs="宋体"/>
                <w:i w:val="0"/>
                <w:iCs w:val="0"/>
                <w:color w:val="auto"/>
                <w:kern w:val="0"/>
                <w:sz w:val="21"/>
                <w:szCs w:val="21"/>
                <w:u w:val="none"/>
                <w:lang w:val="en-US" w:eastAsia="zh-CN" w:bidi="ar"/>
              </w:rPr>
              <w:t>7</w:t>
            </w:r>
          </w:p>
        </w:tc>
        <w:tc>
          <w:tcPr>
            <w:tcW w:w="1215" w:type="dxa"/>
            <w:noWrap w:val="0"/>
            <w:vAlign w:val="center"/>
          </w:tcPr>
          <w:p w14:paraId="4B972A1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原油常见馏分标本</w:t>
            </w:r>
          </w:p>
        </w:tc>
        <w:tc>
          <w:tcPr>
            <w:tcW w:w="804" w:type="dxa"/>
            <w:noWrap w:val="0"/>
            <w:vAlign w:val="center"/>
          </w:tcPr>
          <w:p w14:paraId="137C518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765" w:type="dxa"/>
            <w:gridSpan w:val="2"/>
            <w:noWrap w:val="0"/>
            <w:vAlign w:val="center"/>
          </w:tcPr>
          <w:p w14:paraId="7D47AEE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364340A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1.由原油、汽油、煤油、轻质润滑油、重润滑油、油渣、原油气、轻柴油、重质油、重度柴油组成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2.标本盒上盖采用透明浮法玻璃制作，下盖由环保厚卡纸加工制作而成，标本盒尺寸不小于217*171*32mm，上下盖可以打开</w:t>
            </w:r>
          </w:p>
        </w:tc>
      </w:tr>
      <w:tr w14:paraId="7700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7A11288">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98</w:t>
            </w:r>
          </w:p>
        </w:tc>
        <w:tc>
          <w:tcPr>
            <w:tcW w:w="1215" w:type="dxa"/>
            <w:noWrap w:val="0"/>
            <w:vAlign w:val="center"/>
          </w:tcPr>
          <w:p w14:paraId="5D70A89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合成有机高分子材料标本</w:t>
            </w:r>
          </w:p>
        </w:tc>
        <w:tc>
          <w:tcPr>
            <w:tcW w:w="804" w:type="dxa"/>
            <w:noWrap w:val="0"/>
            <w:vAlign w:val="center"/>
          </w:tcPr>
          <w:p w14:paraId="7579414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765" w:type="dxa"/>
            <w:gridSpan w:val="2"/>
            <w:noWrap w:val="0"/>
            <w:vAlign w:val="center"/>
          </w:tcPr>
          <w:p w14:paraId="357FEE2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2BF720B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1.由顺丁橡胶、塑料、脲醛、聚丙烯纤维、聚酯纤维、聚苯乙烯、聚氯乙烯、聚氨酯、人造毛、合成橡胶组成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2.标本盒上盖采用透明浮法玻璃制作，下盖由环保厚卡纸加工制作而成，标本盒尺寸不小于217*171*32mm，上下盖可以打开</w:t>
            </w:r>
          </w:p>
        </w:tc>
      </w:tr>
      <w:tr w14:paraId="113C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BF54F48">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99</w:t>
            </w:r>
          </w:p>
        </w:tc>
        <w:tc>
          <w:tcPr>
            <w:tcW w:w="1215" w:type="dxa"/>
            <w:noWrap w:val="0"/>
            <w:vAlign w:val="center"/>
          </w:tcPr>
          <w:p w14:paraId="389DC21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新型无机非金属材料标本</w:t>
            </w:r>
          </w:p>
        </w:tc>
        <w:tc>
          <w:tcPr>
            <w:tcW w:w="804" w:type="dxa"/>
            <w:noWrap w:val="0"/>
            <w:vAlign w:val="center"/>
          </w:tcPr>
          <w:p w14:paraId="1522360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765" w:type="dxa"/>
            <w:gridSpan w:val="2"/>
            <w:noWrap w:val="0"/>
            <w:vAlign w:val="center"/>
          </w:tcPr>
          <w:p w14:paraId="3B86DA5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0E80071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1.由氧化铝陶瓷、氮化硅陶瓷、光导纤维等组成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2.标本盒上盖采用透明浮法玻璃制作，下盖由环保厚卡纸加工制作而成，标本盒尺寸不小于217*171*32mm，上下盖可以打开</w:t>
            </w:r>
          </w:p>
        </w:tc>
      </w:tr>
      <w:tr w14:paraId="2E34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839CF9A">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100</w:t>
            </w:r>
          </w:p>
        </w:tc>
        <w:tc>
          <w:tcPr>
            <w:tcW w:w="1215" w:type="dxa"/>
            <w:noWrap w:val="0"/>
            <w:vAlign w:val="center"/>
          </w:tcPr>
          <w:p w14:paraId="034FBBA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复合材料标本</w:t>
            </w:r>
          </w:p>
        </w:tc>
        <w:tc>
          <w:tcPr>
            <w:tcW w:w="804" w:type="dxa"/>
            <w:noWrap w:val="0"/>
            <w:vAlign w:val="center"/>
          </w:tcPr>
          <w:p w14:paraId="1F1AF08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765" w:type="dxa"/>
            <w:gridSpan w:val="2"/>
            <w:noWrap w:val="0"/>
            <w:vAlign w:val="center"/>
          </w:tcPr>
          <w:p w14:paraId="053DFCE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56</w:t>
            </w:r>
          </w:p>
        </w:tc>
        <w:tc>
          <w:tcPr>
            <w:tcW w:w="6351" w:type="dxa"/>
            <w:noWrap w:val="0"/>
            <w:vAlign w:val="center"/>
          </w:tcPr>
          <w:p w14:paraId="090A8DB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1.由混凝土、纤维复合材料、复合板材、非金属复合材料、玻璃钢、人造革、碳纤维、铝塑材料组成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2.外观尺寸181*151*32mm</w:t>
            </w:r>
          </w:p>
        </w:tc>
      </w:tr>
      <w:tr w14:paraId="5150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162383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r>
              <w:rPr>
                <w:rFonts w:hint="eastAsia" w:ascii="宋体" w:hAnsi="宋体" w:cs="宋体"/>
                <w:i w:val="0"/>
                <w:iCs w:val="0"/>
                <w:color w:val="auto"/>
                <w:kern w:val="0"/>
                <w:sz w:val="21"/>
                <w:szCs w:val="21"/>
                <w:u w:val="none"/>
                <w:lang w:val="en-US" w:eastAsia="zh-CN" w:bidi="ar"/>
              </w:rPr>
              <w:t>1</w:t>
            </w:r>
          </w:p>
        </w:tc>
        <w:tc>
          <w:tcPr>
            <w:tcW w:w="1215" w:type="dxa"/>
            <w:noWrap w:val="0"/>
            <w:vAlign w:val="center"/>
          </w:tcPr>
          <w:p w14:paraId="1F27FD0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高中化学1教学挂图</w:t>
            </w:r>
          </w:p>
        </w:tc>
        <w:tc>
          <w:tcPr>
            <w:tcW w:w="804" w:type="dxa"/>
            <w:noWrap w:val="0"/>
            <w:vAlign w:val="center"/>
          </w:tcPr>
          <w:p w14:paraId="3BE2CB7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22161D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4DAF31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1.采用105g以上铜版纸四色彩色印刷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2.图像清晰，色泽自然鲜明，位置准确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3.共22幅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4.单张尺寸为746*526mm</w:t>
            </w:r>
          </w:p>
        </w:tc>
      </w:tr>
      <w:tr w14:paraId="24E1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43D0C3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r>
              <w:rPr>
                <w:rFonts w:hint="eastAsia" w:ascii="宋体" w:hAnsi="宋体" w:cs="宋体"/>
                <w:i w:val="0"/>
                <w:iCs w:val="0"/>
                <w:color w:val="auto"/>
                <w:kern w:val="0"/>
                <w:sz w:val="21"/>
                <w:szCs w:val="21"/>
                <w:u w:val="none"/>
                <w:lang w:val="en-US" w:eastAsia="zh-CN" w:bidi="ar"/>
              </w:rPr>
              <w:t>2</w:t>
            </w:r>
          </w:p>
        </w:tc>
        <w:tc>
          <w:tcPr>
            <w:tcW w:w="1215" w:type="dxa"/>
            <w:noWrap w:val="0"/>
            <w:vAlign w:val="center"/>
          </w:tcPr>
          <w:p w14:paraId="7BCDFF7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高中化学2教学挂图</w:t>
            </w:r>
          </w:p>
        </w:tc>
        <w:tc>
          <w:tcPr>
            <w:tcW w:w="804" w:type="dxa"/>
            <w:noWrap w:val="0"/>
            <w:vAlign w:val="center"/>
          </w:tcPr>
          <w:p w14:paraId="7C71183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E06B57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9847BF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1.采用105g以上铜版纸四色彩色印刷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2.图像清晰，色泽自然鲜明，位置准确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3.共23幅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4.单张尺寸为746*526mm</w:t>
            </w:r>
          </w:p>
        </w:tc>
      </w:tr>
      <w:tr w14:paraId="5F0E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C4CC40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r>
              <w:rPr>
                <w:rFonts w:hint="eastAsia" w:ascii="宋体" w:hAnsi="宋体" w:cs="宋体"/>
                <w:i w:val="0"/>
                <w:iCs w:val="0"/>
                <w:color w:val="auto"/>
                <w:kern w:val="0"/>
                <w:sz w:val="21"/>
                <w:szCs w:val="21"/>
                <w:u w:val="none"/>
                <w:lang w:val="en-US" w:eastAsia="zh-CN" w:bidi="ar"/>
              </w:rPr>
              <w:t>3</w:t>
            </w:r>
          </w:p>
        </w:tc>
        <w:tc>
          <w:tcPr>
            <w:tcW w:w="1215" w:type="dxa"/>
            <w:noWrap w:val="0"/>
            <w:vAlign w:val="center"/>
          </w:tcPr>
          <w:p w14:paraId="005F5B2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高中化学与生活教学挂图</w:t>
            </w:r>
          </w:p>
        </w:tc>
        <w:tc>
          <w:tcPr>
            <w:tcW w:w="804" w:type="dxa"/>
            <w:noWrap w:val="0"/>
            <w:vAlign w:val="center"/>
          </w:tcPr>
          <w:p w14:paraId="3A9592D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A9D4C2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5C83A0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1.采用105g以上铜版纸四色彩色印刷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2.图像清晰，色泽自然鲜明，位置准确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3.共3幅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4.单张尺寸为746*526mm</w:t>
            </w:r>
          </w:p>
        </w:tc>
      </w:tr>
      <w:tr w14:paraId="70CC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4729AB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r>
              <w:rPr>
                <w:rFonts w:hint="eastAsia" w:ascii="宋体" w:hAnsi="宋体" w:cs="宋体"/>
                <w:i w:val="0"/>
                <w:iCs w:val="0"/>
                <w:color w:val="auto"/>
                <w:kern w:val="0"/>
                <w:sz w:val="21"/>
                <w:szCs w:val="21"/>
                <w:u w:val="none"/>
                <w:lang w:val="en-US" w:eastAsia="zh-CN" w:bidi="ar"/>
              </w:rPr>
              <w:t>4</w:t>
            </w:r>
          </w:p>
        </w:tc>
        <w:tc>
          <w:tcPr>
            <w:tcW w:w="1215" w:type="dxa"/>
            <w:noWrap w:val="0"/>
            <w:vAlign w:val="center"/>
          </w:tcPr>
          <w:p w14:paraId="2C42CBC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高中化学与技术教学挂图</w:t>
            </w:r>
          </w:p>
        </w:tc>
        <w:tc>
          <w:tcPr>
            <w:tcW w:w="804" w:type="dxa"/>
            <w:noWrap w:val="0"/>
            <w:vAlign w:val="center"/>
          </w:tcPr>
          <w:p w14:paraId="29AA22E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BB3EAF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A2DD55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1.采用105g以上铜版纸四色彩色印刷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2.图像清晰，色泽自然鲜明，位置准确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3.共3幅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4.单张尺寸为746*526mm</w:t>
            </w:r>
          </w:p>
        </w:tc>
      </w:tr>
      <w:tr w14:paraId="2E8C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4EBFB0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r>
              <w:rPr>
                <w:rFonts w:hint="eastAsia" w:ascii="宋体" w:hAnsi="宋体" w:cs="宋体"/>
                <w:i w:val="0"/>
                <w:iCs w:val="0"/>
                <w:color w:val="auto"/>
                <w:kern w:val="0"/>
                <w:sz w:val="21"/>
                <w:szCs w:val="21"/>
                <w:u w:val="none"/>
                <w:lang w:val="en-US" w:eastAsia="zh-CN" w:bidi="ar"/>
              </w:rPr>
              <w:t>5</w:t>
            </w:r>
          </w:p>
        </w:tc>
        <w:tc>
          <w:tcPr>
            <w:tcW w:w="1215" w:type="dxa"/>
            <w:noWrap w:val="0"/>
            <w:vAlign w:val="center"/>
          </w:tcPr>
          <w:p w14:paraId="7695371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高中物质结构与性质教学挂图</w:t>
            </w:r>
          </w:p>
        </w:tc>
        <w:tc>
          <w:tcPr>
            <w:tcW w:w="804" w:type="dxa"/>
            <w:noWrap w:val="0"/>
            <w:vAlign w:val="center"/>
          </w:tcPr>
          <w:p w14:paraId="3F49BCC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EDADE5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B7D9A8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1.采用105g以上铜版纸四色彩色印刷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2.图像清晰，色泽自然鲜明，位置准确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3.共4幅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4.单张尺寸为746*526mm</w:t>
            </w:r>
          </w:p>
        </w:tc>
      </w:tr>
      <w:tr w14:paraId="2002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16EB38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r>
              <w:rPr>
                <w:rFonts w:hint="eastAsia" w:ascii="宋体" w:hAnsi="宋体" w:cs="宋体"/>
                <w:i w:val="0"/>
                <w:iCs w:val="0"/>
                <w:color w:val="auto"/>
                <w:kern w:val="0"/>
                <w:sz w:val="21"/>
                <w:szCs w:val="21"/>
                <w:u w:val="none"/>
                <w:lang w:val="en-US" w:eastAsia="zh-CN" w:bidi="ar"/>
              </w:rPr>
              <w:t>6</w:t>
            </w:r>
          </w:p>
        </w:tc>
        <w:tc>
          <w:tcPr>
            <w:tcW w:w="1215" w:type="dxa"/>
            <w:noWrap w:val="0"/>
            <w:vAlign w:val="center"/>
          </w:tcPr>
          <w:p w14:paraId="061ED47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高中化学反应原理教学挂图</w:t>
            </w:r>
          </w:p>
        </w:tc>
        <w:tc>
          <w:tcPr>
            <w:tcW w:w="804" w:type="dxa"/>
            <w:noWrap w:val="0"/>
            <w:vAlign w:val="center"/>
          </w:tcPr>
          <w:p w14:paraId="06F74B2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37FD42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B1B00B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1.采用105g以上铜版纸四色彩色印刷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2.图像清晰，色泽自然鲜明，位置准确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3.共4幅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4.单张尺寸为746*526mm</w:t>
            </w:r>
          </w:p>
        </w:tc>
      </w:tr>
      <w:tr w14:paraId="2751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BA3C98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r>
              <w:rPr>
                <w:rFonts w:hint="eastAsia" w:ascii="宋体" w:hAnsi="宋体" w:cs="宋体"/>
                <w:i w:val="0"/>
                <w:iCs w:val="0"/>
                <w:color w:val="auto"/>
                <w:kern w:val="0"/>
                <w:sz w:val="21"/>
                <w:szCs w:val="21"/>
                <w:u w:val="none"/>
                <w:lang w:val="en-US" w:eastAsia="zh-CN" w:bidi="ar"/>
              </w:rPr>
              <w:t>7</w:t>
            </w:r>
          </w:p>
        </w:tc>
        <w:tc>
          <w:tcPr>
            <w:tcW w:w="1215" w:type="dxa"/>
            <w:noWrap w:val="0"/>
            <w:vAlign w:val="center"/>
          </w:tcPr>
          <w:p w14:paraId="33DBF7C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高中有机化学基础教学挂图</w:t>
            </w:r>
          </w:p>
        </w:tc>
        <w:tc>
          <w:tcPr>
            <w:tcW w:w="804" w:type="dxa"/>
            <w:noWrap w:val="0"/>
            <w:vAlign w:val="center"/>
          </w:tcPr>
          <w:p w14:paraId="0ACFB12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8250CA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8604E2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1.采用105g以上铜版纸四色彩色印刷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2.图像清晰，色泽自然鲜明，位置准确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3.共4幅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4.单张尺寸为746*526mm</w:t>
            </w:r>
          </w:p>
        </w:tc>
      </w:tr>
      <w:tr w14:paraId="172B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25579DD">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08</w:t>
            </w:r>
          </w:p>
        </w:tc>
        <w:tc>
          <w:tcPr>
            <w:tcW w:w="1215" w:type="dxa"/>
            <w:noWrap w:val="0"/>
            <w:vAlign w:val="center"/>
          </w:tcPr>
          <w:p w14:paraId="4A467F0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高中实验化学教学挂图</w:t>
            </w:r>
          </w:p>
        </w:tc>
        <w:tc>
          <w:tcPr>
            <w:tcW w:w="804" w:type="dxa"/>
            <w:noWrap w:val="0"/>
            <w:vAlign w:val="center"/>
          </w:tcPr>
          <w:p w14:paraId="1548362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C3BCD7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C44CC5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1.采用105g以上铜版纸四色彩色印刷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2.图像清晰，色泽自然鲜明，位置准确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3.共4幅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4.单张尺寸为746*526mm</w:t>
            </w:r>
          </w:p>
        </w:tc>
      </w:tr>
      <w:tr w14:paraId="1327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97CBA45">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09</w:t>
            </w:r>
          </w:p>
        </w:tc>
        <w:tc>
          <w:tcPr>
            <w:tcW w:w="1215" w:type="dxa"/>
            <w:noWrap w:val="0"/>
            <w:vAlign w:val="center"/>
          </w:tcPr>
          <w:p w14:paraId="23BBB52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元素周期表</w:t>
            </w:r>
          </w:p>
        </w:tc>
        <w:tc>
          <w:tcPr>
            <w:tcW w:w="804" w:type="dxa"/>
            <w:noWrap w:val="0"/>
            <w:vAlign w:val="center"/>
          </w:tcPr>
          <w:p w14:paraId="433096C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7C647F4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7C4AE5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1.由元素周期表和轴组成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2.元素周期表为布质</w:t>
            </w:r>
          </w:p>
        </w:tc>
      </w:tr>
      <w:tr w14:paraId="286E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81FEA12">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10</w:t>
            </w:r>
          </w:p>
        </w:tc>
        <w:tc>
          <w:tcPr>
            <w:tcW w:w="1215" w:type="dxa"/>
            <w:noWrap w:val="0"/>
            <w:vAlign w:val="center"/>
          </w:tcPr>
          <w:p w14:paraId="60A8286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元素周期表</w:t>
            </w:r>
          </w:p>
        </w:tc>
        <w:tc>
          <w:tcPr>
            <w:tcW w:w="804" w:type="dxa"/>
            <w:noWrap w:val="0"/>
            <w:vAlign w:val="center"/>
          </w:tcPr>
          <w:p w14:paraId="1A30E63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11124B4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B8315F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1.由元素周期表和轴组成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2.元素周期表为布质</w:t>
            </w:r>
          </w:p>
        </w:tc>
      </w:tr>
      <w:tr w14:paraId="48B5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D63665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r>
              <w:rPr>
                <w:rFonts w:hint="eastAsia" w:ascii="宋体" w:hAnsi="宋体" w:cs="宋体"/>
                <w:i w:val="0"/>
                <w:iCs w:val="0"/>
                <w:color w:val="auto"/>
                <w:kern w:val="0"/>
                <w:sz w:val="21"/>
                <w:szCs w:val="21"/>
                <w:u w:val="none"/>
                <w:lang w:val="en-US" w:eastAsia="zh-CN" w:bidi="ar"/>
              </w:rPr>
              <w:t>1</w:t>
            </w:r>
          </w:p>
        </w:tc>
        <w:tc>
          <w:tcPr>
            <w:tcW w:w="1215" w:type="dxa"/>
            <w:noWrap w:val="0"/>
            <w:vAlign w:val="center"/>
          </w:tcPr>
          <w:p w14:paraId="0310754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化学实验室安全守则</w:t>
            </w:r>
          </w:p>
        </w:tc>
        <w:tc>
          <w:tcPr>
            <w:tcW w:w="804" w:type="dxa"/>
            <w:noWrap w:val="0"/>
            <w:vAlign w:val="center"/>
          </w:tcPr>
          <w:p w14:paraId="2CE4BD3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张</w:t>
            </w:r>
          </w:p>
        </w:tc>
        <w:tc>
          <w:tcPr>
            <w:tcW w:w="765" w:type="dxa"/>
            <w:gridSpan w:val="2"/>
            <w:noWrap w:val="0"/>
            <w:vAlign w:val="center"/>
          </w:tcPr>
          <w:p w14:paraId="18F0FA8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403C3AD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1.采用105g以上铜版纸四色彩色印刷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2.图像清晰，色泽自然鲜明，位置准确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3.共1幅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4.单张尺寸为746*526mm</w:t>
            </w:r>
          </w:p>
        </w:tc>
      </w:tr>
      <w:tr w14:paraId="64A4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A79EF5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r>
              <w:rPr>
                <w:rFonts w:hint="eastAsia" w:ascii="宋体" w:hAnsi="宋体" w:cs="宋体"/>
                <w:i w:val="0"/>
                <w:iCs w:val="0"/>
                <w:color w:val="auto"/>
                <w:kern w:val="0"/>
                <w:sz w:val="21"/>
                <w:szCs w:val="21"/>
                <w:u w:val="none"/>
                <w:lang w:val="en-US" w:eastAsia="zh-CN" w:bidi="ar"/>
              </w:rPr>
              <w:t>2</w:t>
            </w:r>
          </w:p>
        </w:tc>
        <w:tc>
          <w:tcPr>
            <w:tcW w:w="1215" w:type="dxa"/>
            <w:noWrap w:val="0"/>
            <w:vAlign w:val="center"/>
          </w:tcPr>
          <w:p w14:paraId="6C8ACFF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化学实验操作规范和安全要求</w:t>
            </w:r>
          </w:p>
        </w:tc>
        <w:tc>
          <w:tcPr>
            <w:tcW w:w="804" w:type="dxa"/>
            <w:noWrap w:val="0"/>
            <w:vAlign w:val="center"/>
          </w:tcPr>
          <w:p w14:paraId="4B83C27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09D899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A68293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1.采用105g以上铜版纸四色彩色印刷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2.图像清晰，色泽自然鲜明，位置准确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3.共2幅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4.单张尺寸为746*526mm</w:t>
            </w:r>
          </w:p>
        </w:tc>
      </w:tr>
      <w:tr w14:paraId="4518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ADF7FD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r>
              <w:rPr>
                <w:rFonts w:hint="eastAsia" w:ascii="宋体" w:hAnsi="宋体" w:cs="宋体"/>
                <w:i w:val="0"/>
                <w:iCs w:val="0"/>
                <w:color w:val="auto"/>
                <w:kern w:val="0"/>
                <w:sz w:val="21"/>
                <w:szCs w:val="21"/>
                <w:u w:val="none"/>
                <w:lang w:val="en-US" w:eastAsia="zh-CN" w:bidi="ar"/>
              </w:rPr>
              <w:t>3</w:t>
            </w:r>
          </w:p>
        </w:tc>
        <w:tc>
          <w:tcPr>
            <w:tcW w:w="1215" w:type="dxa"/>
            <w:noWrap w:val="0"/>
            <w:vAlign w:val="center"/>
          </w:tcPr>
          <w:p w14:paraId="40A4F9A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简明化学发展史挂图</w:t>
            </w:r>
          </w:p>
        </w:tc>
        <w:tc>
          <w:tcPr>
            <w:tcW w:w="804" w:type="dxa"/>
            <w:noWrap w:val="0"/>
            <w:vAlign w:val="center"/>
          </w:tcPr>
          <w:p w14:paraId="733C326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08EA52E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CC851D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1.采用105g以上铜版纸四色彩色印刷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2.图像清晰，色泽自然鲜明，位置准确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3.共2幅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4.单张尺寸为746*526mm</w:t>
            </w:r>
          </w:p>
        </w:tc>
      </w:tr>
      <w:tr w14:paraId="44CB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1222F9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r>
              <w:rPr>
                <w:rFonts w:hint="eastAsia" w:ascii="宋体" w:hAnsi="宋体" w:cs="宋体"/>
                <w:i w:val="0"/>
                <w:iCs w:val="0"/>
                <w:color w:val="auto"/>
                <w:kern w:val="0"/>
                <w:sz w:val="21"/>
                <w:szCs w:val="21"/>
                <w:u w:val="none"/>
                <w:lang w:val="en-US" w:eastAsia="zh-CN" w:bidi="ar"/>
              </w:rPr>
              <w:t>4</w:t>
            </w:r>
          </w:p>
        </w:tc>
        <w:tc>
          <w:tcPr>
            <w:tcW w:w="1215" w:type="dxa"/>
            <w:noWrap w:val="0"/>
            <w:vAlign w:val="center"/>
          </w:tcPr>
          <w:p w14:paraId="424796B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高中化学1教学投影片</w:t>
            </w:r>
          </w:p>
        </w:tc>
        <w:tc>
          <w:tcPr>
            <w:tcW w:w="804" w:type="dxa"/>
            <w:noWrap w:val="0"/>
            <w:vAlign w:val="center"/>
          </w:tcPr>
          <w:p w14:paraId="25815E1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98CAE7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2E157A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1.为透明胶片彩色印刷，图像清晰，色泽自然鲜明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2.单片投影片内容尺寸不小于130*170mm</w:t>
            </w:r>
          </w:p>
        </w:tc>
      </w:tr>
      <w:tr w14:paraId="5E58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F49827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r>
              <w:rPr>
                <w:rFonts w:hint="eastAsia" w:ascii="宋体" w:hAnsi="宋体" w:cs="宋体"/>
                <w:i w:val="0"/>
                <w:iCs w:val="0"/>
                <w:color w:val="auto"/>
                <w:kern w:val="0"/>
                <w:sz w:val="21"/>
                <w:szCs w:val="21"/>
                <w:u w:val="none"/>
                <w:lang w:val="en-US" w:eastAsia="zh-CN" w:bidi="ar"/>
              </w:rPr>
              <w:t>5</w:t>
            </w:r>
          </w:p>
        </w:tc>
        <w:tc>
          <w:tcPr>
            <w:tcW w:w="1215" w:type="dxa"/>
            <w:noWrap w:val="0"/>
            <w:vAlign w:val="center"/>
          </w:tcPr>
          <w:p w14:paraId="5BA297E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高中化学2教学投影片</w:t>
            </w:r>
          </w:p>
        </w:tc>
        <w:tc>
          <w:tcPr>
            <w:tcW w:w="804" w:type="dxa"/>
            <w:noWrap w:val="0"/>
            <w:vAlign w:val="center"/>
          </w:tcPr>
          <w:p w14:paraId="33661EA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A90011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A4C3EA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1.为透明胶片彩色印刷，图像清晰，色泽自然鲜明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2.单片投影片内容尺寸不小于130*170mm</w:t>
            </w:r>
          </w:p>
        </w:tc>
      </w:tr>
      <w:tr w14:paraId="1C12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236B2B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r>
              <w:rPr>
                <w:rFonts w:hint="eastAsia" w:ascii="宋体" w:hAnsi="宋体" w:cs="宋体"/>
                <w:i w:val="0"/>
                <w:iCs w:val="0"/>
                <w:color w:val="auto"/>
                <w:kern w:val="0"/>
                <w:sz w:val="21"/>
                <w:szCs w:val="21"/>
                <w:u w:val="none"/>
                <w:lang w:val="en-US" w:eastAsia="zh-CN" w:bidi="ar"/>
              </w:rPr>
              <w:t>6</w:t>
            </w:r>
          </w:p>
        </w:tc>
        <w:tc>
          <w:tcPr>
            <w:tcW w:w="1215" w:type="dxa"/>
            <w:noWrap w:val="0"/>
            <w:vAlign w:val="center"/>
          </w:tcPr>
          <w:p w14:paraId="1B124D1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高中化学与生活教学投影片</w:t>
            </w:r>
          </w:p>
        </w:tc>
        <w:tc>
          <w:tcPr>
            <w:tcW w:w="804" w:type="dxa"/>
            <w:noWrap w:val="0"/>
            <w:vAlign w:val="center"/>
          </w:tcPr>
          <w:p w14:paraId="4EAB324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1D13D9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DCBEFA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1.为透明胶片彩色印刷，图像清晰，色泽自然鲜明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2.单片投影片内容尺寸不小于130*170mm</w:t>
            </w:r>
          </w:p>
        </w:tc>
      </w:tr>
      <w:tr w14:paraId="0591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CCB70F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r>
              <w:rPr>
                <w:rFonts w:hint="eastAsia" w:ascii="宋体" w:hAnsi="宋体" w:cs="宋体"/>
                <w:i w:val="0"/>
                <w:iCs w:val="0"/>
                <w:color w:val="auto"/>
                <w:kern w:val="0"/>
                <w:sz w:val="21"/>
                <w:szCs w:val="21"/>
                <w:u w:val="none"/>
                <w:lang w:val="en-US" w:eastAsia="zh-CN" w:bidi="ar"/>
              </w:rPr>
              <w:t>7</w:t>
            </w:r>
          </w:p>
        </w:tc>
        <w:tc>
          <w:tcPr>
            <w:tcW w:w="1215" w:type="dxa"/>
            <w:noWrap w:val="0"/>
            <w:vAlign w:val="center"/>
          </w:tcPr>
          <w:p w14:paraId="1CD2C0A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高中化学与技术教学投影片</w:t>
            </w:r>
          </w:p>
        </w:tc>
        <w:tc>
          <w:tcPr>
            <w:tcW w:w="804" w:type="dxa"/>
            <w:noWrap w:val="0"/>
            <w:vAlign w:val="center"/>
          </w:tcPr>
          <w:p w14:paraId="067538F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605136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BC045A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1.为透明胶片彩色印刷，图像清晰，色泽自然鲜明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2.单片投影片内容尺寸不小于130*170mm</w:t>
            </w:r>
          </w:p>
        </w:tc>
      </w:tr>
      <w:tr w14:paraId="2835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0B15E9F">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18</w:t>
            </w:r>
          </w:p>
        </w:tc>
        <w:tc>
          <w:tcPr>
            <w:tcW w:w="1215" w:type="dxa"/>
            <w:noWrap w:val="0"/>
            <w:vAlign w:val="center"/>
          </w:tcPr>
          <w:p w14:paraId="442D606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高中物质结构与性质教学投影片</w:t>
            </w:r>
          </w:p>
        </w:tc>
        <w:tc>
          <w:tcPr>
            <w:tcW w:w="804" w:type="dxa"/>
            <w:noWrap w:val="0"/>
            <w:vAlign w:val="center"/>
          </w:tcPr>
          <w:p w14:paraId="71B1C12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066C07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5FAFC1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1.为透明胶片彩色印刷，图像清晰，色泽自然鲜明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2.单片投影片内容尺寸不小于130*170mm</w:t>
            </w:r>
          </w:p>
        </w:tc>
      </w:tr>
      <w:tr w14:paraId="3F49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48E7EDE">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19</w:t>
            </w:r>
          </w:p>
        </w:tc>
        <w:tc>
          <w:tcPr>
            <w:tcW w:w="1215" w:type="dxa"/>
            <w:noWrap w:val="0"/>
            <w:vAlign w:val="center"/>
          </w:tcPr>
          <w:p w14:paraId="1967EE6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高中化学反应原理教学投影片</w:t>
            </w:r>
          </w:p>
        </w:tc>
        <w:tc>
          <w:tcPr>
            <w:tcW w:w="804" w:type="dxa"/>
            <w:noWrap w:val="0"/>
            <w:vAlign w:val="center"/>
          </w:tcPr>
          <w:p w14:paraId="56F268B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37959E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9CEF11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1.为透明胶片彩色印刷，图像清晰，色泽自然鲜明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2.单片投影片内容尺寸不小于130*170mm</w:t>
            </w:r>
          </w:p>
        </w:tc>
      </w:tr>
      <w:tr w14:paraId="1CC8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684D10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r>
              <w:rPr>
                <w:rFonts w:hint="eastAsia" w:ascii="宋体" w:hAnsi="宋体" w:cs="宋体"/>
                <w:i w:val="0"/>
                <w:iCs w:val="0"/>
                <w:color w:val="auto"/>
                <w:kern w:val="0"/>
                <w:sz w:val="21"/>
                <w:szCs w:val="21"/>
                <w:u w:val="none"/>
                <w:lang w:val="en-US" w:eastAsia="zh-CN" w:bidi="ar"/>
              </w:rPr>
              <w:t>0</w:t>
            </w:r>
          </w:p>
        </w:tc>
        <w:tc>
          <w:tcPr>
            <w:tcW w:w="1215" w:type="dxa"/>
            <w:noWrap w:val="0"/>
            <w:vAlign w:val="center"/>
          </w:tcPr>
          <w:p w14:paraId="6DEA674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高中有机化学基础教学投影片</w:t>
            </w:r>
          </w:p>
        </w:tc>
        <w:tc>
          <w:tcPr>
            <w:tcW w:w="804" w:type="dxa"/>
            <w:noWrap w:val="0"/>
            <w:vAlign w:val="center"/>
          </w:tcPr>
          <w:p w14:paraId="6A1D2DD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68ECDE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5505E4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1.为透明胶片彩色印刷，图像清晰，色泽自然鲜明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2.单片投影片内容尺寸不小于130*170mm</w:t>
            </w:r>
          </w:p>
        </w:tc>
      </w:tr>
      <w:tr w14:paraId="033C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240AD8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r>
              <w:rPr>
                <w:rFonts w:hint="eastAsia" w:ascii="宋体" w:hAnsi="宋体" w:cs="宋体"/>
                <w:i w:val="0"/>
                <w:iCs w:val="0"/>
                <w:color w:val="auto"/>
                <w:kern w:val="0"/>
                <w:sz w:val="21"/>
                <w:szCs w:val="21"/>
                <w:u w:val="none"/>
                <w:lang w:val="en-US" w:eastAsia="zh-CN" w:bidi="ar"/>
              </w:rPr>
              <w:t>1</w:t>
            </w:r>
          </w:p>
        </w:tc>
        <w:tc>
          <w:tcPr>
            <w:tcW w:w="1215" w:type="dxa"/>
            <w:noWrap w:val="0"/>
            <w:vAlign w:val="center"/>
          </w:tcPr>
          <w:p w14:paraId="0C76F85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高中实验化学教学投影片</w:t>
            </w:r>
          </w:p>
        </w:tc>
        <w:tc>
          <w:tcPr>
            <w:tcW w:w="804" w:type="dxa"/>
            <w:noWrap w:val="0"/>
            <w:vAlign w:val="center"/>
          </w:tcPr>
          <w:p w14:paraId="183CFF5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D43DC5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21AC7E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1.为透明胶片彩色印刷，图像清晰，色泽自然鲜明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2.单片投影片内容尺寸不小于130*170mm</w:t>
            </w:r>
          </w:p>
        </w:tc>
      </w:tr>
      <w:tr w14:paraId="08E0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E1A95C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r>
              <w:rPr>
                <w:rFonts w:hint="eastAsia" w:ascii="宋体" w:hAnsi="宋体" w:cs="宋体"/>
                <w:i w:val="0"/>
                <w:iCs w:val="0"/>
                <w:color w:val="auto"/>
                <w:kern w:val="0"/>
                <w:sz w:val="21"/>
                <w:szCs w:val="21"/>
                <w:u w:val="none"/>
                <w:lang w:val="en-US" w:eastAsia="zh-CN" w:bidi="ar"/>
              </w:rPr>
              <w:t>2</w:t>
            </w:r>
          </w:p>
        </w:tc>
        <w:tc>
          <w:tcPr>
            <w:tcW w:w="1215" w:type="dxa"/>
            <w:noWrap w:val="0"/>
            <w:vAlign w:val="center"/>
          </w:tcPr>
          <w:p w14:paraId="573E5BF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中学化学投影拼板</w:t>
            </w:r>
          </w:p>
        </w:tc>
        <w:tc>
          <w:tcPr>
            <w:tcW w:w="804" w:type="dxa"/>
            <w:noWrap w:val="0"/>
            <w:vAlign w:val="center"/>
          </w:tcPr>
          <w:p w14:paraId="0C4E63C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761156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2CFD2B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1.由透明有机片印刷而成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2.每套有38片，每片尺寸为46*81mm，厚度0.5mm</w:t>
            </w:r>
          </w:p>
        </w:tc>
      </w:tr>
      <w:tr w14:paraId="75FE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E74A78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r>
              <w:rPr>
                <w:rFonts w:hint="eastAsia" w:ascii="宋体" w:hAnsi="宋体" w:cs="宋体"/>
                <w:i w:val="0"/>
                <w:iCs w:val="0"/>
                <w:color w:val="auto"/>
                <w:kern w:val="0"/>
                <w:sz w:val="21"/>
                <w:szCs w:val="21"/>
                <w:u w:val="none"/>
                <w:lang w:val="en-US" w:eastAsia="zh-CN" w:bidi="ar"/>
              </w:rPr>
              <w:t>3</w:t>
            </w:r>
          </w:p>
        </w:tc>
        <w:tc>
          <w:tcPr>
            <w:tcW w:w="1215" w:type="dxa"/>
            <w:noWrap w:val="0"/>
            <w:vAlign w:val="center"/>
          </w:tcPr>
          <w:p w14:paraId="3859316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高中化学教学光盘</w:t>
            </w:r>
          </w:p>
        </w:tc>
        <w:tc>
          <w:tcPr>
            <w:tcW w:w="804" w:type="dxa"/>
            <w:noWrap w:val="0"/>
            <w:vAlign w:val="center"/>
          </w:tcPr>
          <w:p w14:paraId="38C5257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479C5B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351" w:type="dxa"/>
            <w:noWrap w:val="0"/>
            <w:vAlign w:val="center"/>
          </w:tcPr>
          <w:p w14:paraId="584B152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1.为音像教学资料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2.DVD单碟</w:t>
            </w:r>
          </w:p>
        </w:tc>
      </w:tr>
      <w:tr w14:paraId="10E1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FEFB18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r>
              <w:rPr>
                <w:rFonts w:hint="eastAsia" w:ascii="宋体" w:hAnsi="宋体" w:cs="宋体"/>
                <w:i w:val="0"/>
                <w:iCs w:val="0"/>
                <w:color w:val="auto"/>
                <w:kern w:val="0"/>
                <w:sz w:val="21"/>
                <w:szCs w:val="21"/>
                <w:u w:val="none"/>
                <w:lang w:val="en-US" w:eastAsia="zh-CN" w:bidi="ar"/>
              </w:rPr>
              <w:t>4</w:t>
            </w:r>
          </w:p>
        </w:tc>
        <w:tc>
          <w:tcPr>
            <w:tcW w:w="1215" w:type="dxa"/>
            <w:noWrap w:val="0"/>
            <w:vAlign w:val="center"/>
          </w:tcPr>
          <w:p w14:paraId="0706746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高中化学多媒体教学软件</w:t>
            </w:r>
          </w:p>
        </w:tc>
        <w:tc>
          <w:tcPr>
            <w:tcW w:w="804" w:type="dxa"/>
            <w:noWrap w:val="0"/>
            <w:vAlign w:val="center"/>
          </w:tcPr>
          <w:p w14:paraId="1A635A5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8E8128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351" w:type="dxa"/>
            <w:noWrap w:val="0"/>
            <w:vAlign w:val="center"/>
          </w:tcPr>
          <w:p w14:paraId="1FC69C0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1.为音像教学资料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2.DVD单碟</w:t>
            </w:r>
          </w:p>
        </w:tc>
      </w:tr>
      <w:tr w14:paraId="7338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0A3EA8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r>
              <w:rPr>
                <w:rFonts w:hint="eastAsia" w:ascii="宋体" w:hAnsi="宋体" w:cs="宋体"/>
                <w:i w:val="0"/>
                <w:iCs w:val="0"/>
                <w:color w:val="auto"/>
                <w:kern w:val="0"/>
                <w:sz w:val="21"/>
                <w:szCs w:val="21"/>
                <w:u w:val="none"/>
                <w:lang w:val="en-US" w:eastAsia="zh-CN" w:bidi="ar"/>
              </w:rPr>
              <w:t>5</w:t>
            </w:r>
          </w:p>
        </w:tc>
        <w:tc>
          <w:tcPr>
            <w:tcW w:w="1215" w:type="dxa"/>
            <w:noWrap w:val="0"/>
            <w:vAlign w:val="center"/>
          </w:tcPr>
          <w:p w14:paraId="296810D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分子立体结构模型绘制软件</w:t>
            </w:r>
          </w:p>
        </w:tc>
        <w:tc>
          <w:tcPr>
            <w:tcW w:w="804" w:type="dxa"/>
            <w:noWrap w:val="0"/>
            <w:vAlign w:val="center"/>
          </w:tcPr>
          <w:p w14:paraId="37AC7E8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8F7970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4597FA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1.为音像教学资料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2.DVD单碟</w:t>
            </w:r>
          </w:p>
        </w:tc>
      </w:tr>
      <w:tr w14:paraId="75B4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D07C15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r>
              <w:rPr>
                <w:rFonts w:hint="eastAsia" w:ascii="宋体" w:hAnsi="宋体" w:cs="宋体"/>
                <w:i w:val="0"/>
                <w:iCs w:val="0"/>
                <w:color w:val="auto"/>
                <w:kern w:val="0"/>
                <w:sz w:val="21"/>
                <w:szCs w:val="21"/>
                <w:u w:val="none"/>
                <w:lang w:val="en-US" w:eastAsia="zh-CN" w:bidi="ar"/>
              </w:rPr>
              <w:t>6</w:t>
            </w:r>
          </w:p>
        </w:tc>
        <w:tc>
          <w:tcPr>
            <w:tcW w:w="1215" w:type="dxa"/>
            <w:noWrap w:val="0"/>
            <w:vAlign w:val="center"/>
          </w:tcPr>
          <w:p w14:paraId="59E30B3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化学药品管理软件</w:t>
            </w:r>
          </w:p>
        </w:tc>
        <w:tc>
          <w:tcPr>
            <w:tcW w:w="804" w:type="dxa"/>
            <w:noWrap w:val="0"/>
            <w:vAlign w:val="center"/>
          </w:tcPr>
          <w:p w14:paraId="41786AC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1D6956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2F83A7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1.为音像教学资料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2.DVD单碟</w:t>
            </w:r>
          </w:p>
        </w:tc>
      </w:tr>
      <w:tr w14:paraId="6ACE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6022CC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r>
              <w:rPr>
                <w:rFonts w:hint="eastAsia" w:ascii="宋体" w:hAnsi="宋体" w:cs="宋体"/>
                <w:i w:val="0"/>
                <w:iCs w:val="0"/>
                <w:color w:val="auto"/>
                <w:kern w:val="0"/>
                <w:sz w:val="21"/>
                <w:szCs w:val="21"/>
                <w:u w:val="none"/>
                <w:lang w:val="en-US" w:eastAsia="zh-CN" w:bidi="ar"/>
              </w:rPr>
              <w:t>7</w:t>
            </w:r>
          </w:p>
        </w:tc>
        <w:tc>
          <w:tcPr>
            <w:tcW w:w="1215" w:type="dxa"/>
            <w:noWrap w:val="0"/>
            <w:vAlign w:val="center"/>
          </w:tcPr>
          <w:p w14:paraId="43C9B29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量筒</w:t>
            </w:r>
          </w:p>
        </w:tc>
        <w:tc>
          <w:tcPr>
            <w:tcW w:w="804" w:type="dxa"/>
            <w:noWrap w:val="0"/>
            <w:vAlign w:val="center"/>
          </w:tcPr>
          <w:p w14:paraId="5AD9EAC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DFF8F4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6351" w:type="dxa"/>
            <w:noWrap w:val="0"/>
            <w:vAlign w:val="center"/>
          </w:tcPr>
          <w:p w14:paraId="19BC161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1.玻璃量筒和塑料底座组成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2.最大容量10ml,精度值0.2ml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3.整体高度125mm,量筒直径15mm,壁厚不低于0.8mm</w:t>
            </w:r>
          </w:p>
        </w:tc>
      </w:tr>
      <w:tr w14:paraId="0E69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9F7B34D">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28</w:t>
            </w:r>
          </w:p>
        </w:tc>
        <w:tc>
          <w:tcPr>
            <w:tcW w:w="1215" w:type="dxa"/>
            <w:noWrap w:val="0"/>
            <w:vAlign w:val="center"/>
          </w:tcPr>
          <w:p w14:paraId="101CBFE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量筒</w:t>
            </w:r>
          </w:p>
        </w:tc>
        <w:tc>
          <w:tcPr>
            <w:tcW w:w="804" w:type="dxa"/>
            <w:noWrap w:val="0"/>
            <w:vAlign w:val="center"/>
          </w:tcPr>
          <w:p w14:paraId="05A2E10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EC0707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6351" w:type="dxa"/>
            <w:noWrap w:val="0"/>
            <w:vAlign w:val="center"/>
          </w:tcPr>
          <w:p w14:paraId="05DE98D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1.玻璃量筒和塑料底座组成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2.最大容量25ml,精度值0.5ml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3.整体高度165mm,量筒直径20mm,壁厚不低于0.8mm</w:t>
            </w:r>
          </w:p>
        </w:tc>
      </w:tr>
      <w:tr w14:paraId="0464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839F366">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29</w:t>
            </w:r>
          </w:p>
        </w:tc>
        <w:tc>
          <w:tcPr>
            <w:tcW w:w="1215" w:type="dxa"/>
            <w:noWrap w:val="0"/>
            <w:vAlign w:val="center"/>
          </w:tcPr>
          <w:p w14:paraId="6173EE5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量筒</w:t>
            </w:r>
          </w:p>
        </w:tc>
        <w:tc>
          <w:tcPr>
            <w:tcW w:w="804" w:type="dxa"/>
            <w:noWrap w:val="0"/>
            <w:vAlign w:val="center"/>
          </w:tcPr>
          <w:p w14:paraId="43AFA6D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914D04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6351" w:type="dxa"/>
            <w:noWrap w:val="0"/>
            <w:vAlign w:val="center"/>
          </w:tcPr>
          <w:p w14:paraId="62BC939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1.玻璃量筒和塑料底座组成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2.最大容量50ml,精度值5ml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3.整体高度183mm,量筒直径25mm,壁厚不低于1mm</w:t>
            </w:r>
          </w:p>
        </w:tc>
      </w:tr>
      <w:tr w14:paraId="559F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C177AD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r>
              <w:rPr>
                <w:rFonts w:hint="eastAsia" w:ascii="宋体" w:hAnsi="宋体" w:cs="宋体"/>
                <w:i w:val="0"/>
                <w:iCs w:val="0"/>
                <w:color w:val="auto"/>
                <w:kern w:val="0"/>
                <w:sz w:val="21"/>
                <w:szCs w:val="21"/>
                <w:u w:val="none"/>
                <w:lang w:val="en-US" w:eastAsia="zh-CN" w:bidi="ar"/>
              </w:rPr>
              <w:t>0</w:t>
            </w:r>
          </w:p>
        </w:tc>
        <w:tc>
          <w:tcPr>
            <w:tcW w:w="1215" w:type="dxa"/>
            <w:noWrap w:val="0"/>
            <w:vAlign w:val="center"/>
          </w:tcPr>
          <w:p w14:paraId="4A8C405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量筒</w:t>
            </w:r>
          </w:p>
        </w:tc>
        <w:tc>
          <w:tcPr>
            <w:tcW w:w="804" w:type="dxa"/>
            <w:noWrap w:val="0"/>
            <w:vAlign w:val="center"/>
          </w:tcPr>
          <w:p w14:paraId="611187F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A95A61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6351" w:type="dxa"/>
            <w:noWrap w:val="0"/>
            <w:vAlign w:val="center"/>
          </w:tcPr>
          <w:p w14:paraId="53FCD2F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1.玻璃量筒和塑料底座组成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2.最大容量100ml,精度值1ml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3.整体高度242mm,量筒直径30mm,壁厚不低于1mm</w:t>
            </w:r>
          </w:p>
        </w:tc>
      </w:tr>
      <w:tr w14:paraId="1467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A68BD4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r>
              <w:rPr>
                <w:rFonts w:hint="eastAsia" w:ascii="宋体" w:hAnsi="宋体" w:cs="宋体"/>
                <w:i w:val="0"/>
                <w:iCs w:val="0"/>
                <w:color w:val="auto"/>
                <w:kern w:val="0"/>
                <w:sz w:val="21"/>
                <w:szCs w:val="21"/>
                <w:u w:val="none"/>
                <w:lang w:val="en-US" w:eastAsia="zh-CN" w:bidi="ar"/>
              </w:rPr>
              <w:t>1</w:t>
            </w:r>
          </w:p>
        </w:tc>
        <w:tc>
          <w:tcPr>
            <w:tcW w:w="1215" w:type="dxa"/>
            <w:noWrap w:val="0"/>
            <w:vAlign w:val="center"/>
          </w:tcPr>
          <w:p w14:paraId="0C1CDD7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量筒</w:t>
            </w:r>
          </w:p>
        </w:tc>
        <w:tc>
          <w:tcPr>
            <w:tcW w:w="804" w:type="dxa"/>
            <w:noWrap w:val="0"/>
            <w:vAlign w:val="center"/>
          </w:tcPr>
          <w:p w14:paraId="785EEEA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3A2526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6351" w:type="dxa"/>
            <w:noWrap w:val="0"/>
            <w:vAlign w:val="center"/>
          </w:tcPr>
          <w:p w14:paraId="7DFA8D3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1.玻璃量筒和塑料底座组成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2.最大容量500ml,精度值5ml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3.整体高度342mm,量筒直径53mm,壁厚不低于1.2mm</w:t>
            </w:r>
          </w:p>
        </w:tc>
      </w:tr>
      <w:tr w14:paraId="503A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7471BF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r>
              <w:rPr>
                <w:rFonts w:hint="eastAsia" w:ascii="宋体" w:hAnsi="宋体" w:cs="宋体"/>
                <w:i w:val="0"/>
                <w:iCs w:val="0"/>
                <w:color w:val="auto"/>
                <w:kern w:val="0"/>
                <w:sz w:val="21"/>
                <w:szCs w:val="21"/>
                <w:u w:val="none"/>
                <w:lang w:val="en-US" w:eastAsia="zh-CN" w:bidi="ar"/>
              </w:rPr>
              <w:t>2</w:t>
            </w:r>
          </w:p>
        </w:tc>
        <w:tc>
          <w:tcPr>
            <w:tcW w:w="1215" w:type="dxa"/>
            <w:noWrap w:val="0"/>
            <w:vAlign w:val="center"/>
          </w:tcPr>
          <w:p w14:paraId="4D29030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量筒</w:t>
            </w:r>
          </w:p>
        </w:tc>
        <w:tc>
          <w:tcPr>
            <w:tcW w:w="804" w:type="dxa"/>
            <w:noWrap w:val="0"/>
            <w:vAlign w:val="center"/>
          </w:tcPr>
          <w:p w14:paraId="70150B9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7BBEAE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6351" w:type="dxa"/>
            <w:noWrap w:val="0"/>
            <w:vAlign w:val="center"/>
          </w:tcPr>
          <w:p w14:paraId="3BB4801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1.玻璃量筒和塑料底座组成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2.最大容量1000ml,精度值10ml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3.整体高度412mm,量筒直径70mm,壁厚不低于1.8mm</w:t>
            </w:r>
          </w:p>
        </w:tc>
      </w:tr>
      <w:tr w14:paraId="79FE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EDF8EA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r>
              <w:rPr>
                <w:rFonts w:hint="eastAsia" w:ascii="宋体" w:hAnsi="宋体" w:cs="宋体"/>
                <w:i w:val="0"/>
                <w:iCs w:val="0"/>
                <w:color w:val="auto"/>
                <w:kern w:val="0"/>
                <w:sz w:val="21"/>
                <w:szCs w:val="21"/>
                <w:u w:val="none"/>
                <w:lang w:val="en-US" w:eastAsia="zh-CN" w:bidi="ar"/>
              </w:rPr>
              <w:t>3</w:t>
            </w:r>
          </w:p>
        </w:tc>
        <w:tc>
          <w:tcPr>
            <w:tcW w:w="1215" w:type="dxa"/>
            <w:noWrap w:val="0"/>
            <w:vAlign w:val="center"/>
          </w:tcPr>
          <w:p w14:paraId="7031D4D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量杯</w:t>
            </w:r>
          </w:p>
        </w:tc>
        <w:tc>
          <w:tcPr>
            <w:tcW w:w="804" w:type="dxa"/>
            <w:noWrap w:val="0"/>
            <w:vAlign w:val="center"/>
          </w:tcPr>
          <w:p w14:paraId="1A1DC04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25A8F7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6351" w:type="dxa"/>
            <w:noWrap w:val="0"/>
            <w:vAlign w:val="center"/>
          </w:tcPr>
          <w:p w14:paraId="00EE13D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1.玻璃量杯和塑料底座组成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2.最大容量250ml,最小刻度25ml,精度值25ml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3.整体高度205mm,口部直径83mm,壁厚不低于0.8mm</w:t>
            </w:r>
          </w:p>
        </w:tc>
      </w:tr>
      <w:tr w14:paraId="176B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476081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r>
              <w:rPr>
                <w:rFonts w:hint="eastAsia" w:ascii="宋体" w:hAnsi="宋体" w:cs="宋体"/>
                <w:i w:val="0"/>
                <w:iCs w:val="0"/>
                <w:color w:val="auto"/>
                <w:kern w:val="0"/>
                <w:sz w:val="21"/>
                <w:szCs w:val="21"/>
                <w:u w:val="none"/>
                <w:lang w:val="en-US" w:eastAsia="zh-CN" w:bidi="ar"/>
              </w:rPr>
              <w:t>4</w:t>
            </w:r>
          </w:p>
        </w:tc>
        <w:tc>
          <w:tcPr>
            <w:tcW w:w="1215" w:type="dxa"/>
            <w:noWrap w:val="0"/>
            <w:vAlign w:val="center"/>
          </w:tcPr>
          <w:p w14:paraId="1E63E3B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容量瓶</w:t>
            </w:r>
          </w:p>
        </w:tc>
        <w:tc>
          <w:tcPr>
            <w:tcW w:w="804" w:type="dxa"/>
            <w:noWrap w:val="0"/>
            <w:vAlign w:val="center"/>
          </w:tcPr>
          <w:p w14:paraId="3D76246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E3901D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6351" w:type="dxa"/>
            <w:noWrap w:val="0"/>
            <w:vAlign w:val="center"/>
          </w:tcPr>
          <w:p w14:paraId="1761B6B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1.为玻璃制容量瓶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2.容量：50ml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3.瓶口和瓶塞做磨砂处理，标线清晰，瓶身高度140mm,壁厚不低于1mm</w:t>
            </w:r>
          </w:p>
        </w:tc>
      </w:tr>
      <w:tr w14:paraId="15C4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45D598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r>
              <w:rPr>
                <w:rFonts w:hint="eastAsia" w:ascii="宋体" w:hAnsi="宋体" w:cs="宋体"/>
                <w:i w:val="0"/>
                <w:iCs w:val="0"/>
                <w:color w:val="auto"/>
                <w:kern w:val="0"/>
                <w:sz w:val="21"/>
                <w:szCs w:val="21"/>
                <w:u w:val="none"/>
                <w:lang w:val="en-US" w:eastAsia="zh-CN" w:bidi="ar"/>
              </w:rPr>
              <w:t>5</w:t>
            </w:r>
          </w:p>
        </w:tc>
        <w:tc>
          <w:tcPr>
            <w:tcW w:w="1215" w:type="dxa"/>
            <w:noWrap w:val="0"/>
            <w:vAlign w:val="center"/>
          </w:tcPr>
          <w:p w14:paraId="785E0BB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容量瓶</w:t>
            </w:r>
          </w:p>
        </w:tc>
        <w:tc>
          <w:tcPr>
            <w:tcW w:w="804" w:type="dxa"/>
            <w:noWrap w:val="0"/>
            <w:vAlign w:val="center"/>
          </w:tcPr>
          <w:p w14:paraId="2D6EC30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703EEA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6351" w:type="dxa"/>
            <w:noWrap w:val="0"/>
            <w:vAlign w:val="center"/>
          </w:tcPr>
          <w:p w14:paraId="427A91E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1.为玻璃制容量瓶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2.容量：100ml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3.瓶口和瓶塞做磨砂处理，标线清晰，瓶身高度170mm,壁厚不低于1mm</w:t>
            </w:r>
          </w:p>
        </w:tc>
      </w:tr>
      <w:tr w14:paraId="0C14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72E6C7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r>
              <w:rPr>
                <w:rFonts w:hint="eastAsia" w:ascii="宋体" w:hAnsi="宋体" w:cs="宋体"/>
                <w:i w:val="0"/>
                <w:iCs w:val="0"/>
                <w:color w:val="auto"/>
                <w:kern w:val="0"/>
                <w:sz w:val="21"/>
                <w:szCs w:val="21"/>
                <w:u w:val="none"/>
                <w:lang w:val="en-US" w:eastAsia="zh-CN" w:bidi="ar"/>
              </w:rPr>
              <w:t>6</w:t>
            </w:r>
          </w:p>
        </w:tc>
        <w:tc>
          <w:tcPr>
            <w:tcW w:w="1215" w:type="dxa"/>
            <w:noWrap w:val="0"/>
            <w:vAlign w:val="center"/>
          </w:tcPr>
          <w:p w14:paraId="7F472D1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容量瓶</w:t>
            </w:r>
          </w:p>
        </w:tc>
        <w:tc>
          <w:tcPr>
            <w:tcW w:w="804" w:type="dxa"/>
            <w:noWrap w:val="0"/>
            <w:vAlign w:val="center"/>
          </w:tcPr>
          <w:p w14:paraId="699CD77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A0E61A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6351" w:type="dxa"/>
            <w:noWrap w:val="0"/>
            <w:vAlign w:val="center"/>
          </w:tcPr>
          <w:p w14:paraId="1E142E8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1.为玻璃制容量瓶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2.容量：250ml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3.瓶口和瓶塞做磨砂处理，标线清晰，瓶身高度220mm,壁厚不低于1mm</w:t>
            </w:r>
          </w:p>
        </w:tc>
      </w:tr>
      <w:tr w14:paraId="2F70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829751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r>
              <w:rPr>
                <w:rFonts w:hint="eastAsia" w:ascii="宋体" w:hAnsi="宋体" w:cs="宋体"/>
                <w:i w:val="0"/>
                <w:iCs w:val="0"/>
                <w:color w:val="auto"/>
                <w:kern w:val="0"/>
                <w:sz w:val="21"/>
                <w:szCs w:val="21"/>
                <w:u w:val="none"/>
                <w:lang w:val="en-US" w:eastAsia="zh-CN" w:bidi="ar"/>
              </w:rPr>
              <w:t>7</w:t>
            </w:r>
          </w:p>
        </w:tc>
        <w:tc>
          <w:tcPr>
            <w:tcW w:w="1215" w:type="dxa"/>
            <w:noWrap w:val="0"/>
            <w:vAlign w:val="center"/>
          </w:tcPr>
          <w:p w14:paraId="453AEEB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容量瓶</w:t>
            </w:r>
          </w:p>
        </w:tc>
        <w:tc>
          <w:tcPr>
            <w:tcW w:w="804" w:type="dxa"/>
            <w:noWrap w:val="0"/>
            <w:vAlign w:val="center"/>
          </w:tcPr>
          <w:p w14:paraId="0A5E276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2B7D83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3E3D9E1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1.为玻璃制容量瓶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2.容量：500ml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3.瓶口和瓶塞做磨砂处理，标线清晰，瓶身高度270mm,壁厚不低于1mm</w:t>
            </w:r>
          </w:p>
        </w:tc>
      </w:tr>
      <w:tr w14:paraId="0DB6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2805906">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38</w:t>
            </w:r>
          </w:p>
        </w:tc>
        <w:tc>
          <w:tcPr>
            <w:tcW w:w="1215" w:type="dxa"/>
            <w:noWrap w:val="0"/>
            <w:vAlign w:val="center"/>
          </w:tcPr>
          <w:p w14:paraId="6783FBF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容量瓶</w:t>
            </w:r>
          </w:p>
        </w:tc>
        <w:tc>
          <w:tcPr>
            <w:tcW w:w="804" w:type="dxa"/>
            <w:noWrap w:val="0"/>
            <w:vAlign w:val="center"/>
          </w:tcPr>
          <w:p w14:paraId="6E93A69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C9944B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6351" w:type="dxa"/>
            <w:noWrap w:val="0"/>
            <w:vAlign w:val="center"/>
          </w:tcPr>
          <w:p w14:paraId="15CE042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1.为玻璃制容量瓶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2.容量：1000ml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3.瓶口和瓶塞做磨砂处理，标线清晰，瓶身高度330mm,壁厚不低于1mm</w:t>
            </w:r>
          </w:p>
        </w:tc>
      </w:tr>
      <w:tr w14:paraId="4013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B6C12B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r>
              <w:rPr>
                <w:rFonts w:hint="eastAsia" w:ascii="宋体" w:hAnsi="宋体" w:cs="宋体"/>
                <w:i w:val="0"/>
                <w:iCs w:val="0"/>
                <w:color w:val="auto"/>
                <w:kern w:val="0"/>
                <w:sz w:val="21"/>
                <w:szCs w:val="21"/>
                <w:u w:val="none"/>
                <w:lang w:val="en-US" w:eastAsia="zh-CN" w:bidi="ar"/>
              </w:rPr>
              <w:t>0</w:t>
            </w:r>
          </w:p>
        </w:tc>
        <w:tc>
          <w:tcPr>
            <w:tcW w:w="1215" w:type="dxa"/>
            <w:noWrap w:val="0"/>
            <w:vAlign w:val="center"/>
          </w:tcPr>
          <w:p w14:paraId="56E07EC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滴定管</w:t>
            </w:r>
          </w:p>
        </w:tc>
        <w:tc>
          <w:tcPr>
            <w:tcW w:w="804" w:type="dxa"/>
            <w:noWrap w:val="0"/>
            <w:vAlign w:val="center"/>
          </w:tcPr>
          <w:p w14:paraId="0FF624C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23035B9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6351" w:type="dxa"/>
            <w:noWrap w:val="0"/>
            <w:vAlign w:val="center"/>
          </w:tcPr>
          <w:p w14:paraId="0F34E3D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1.为玻璃制滴定管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2.规格：酸式，25mL,精度值0.1ml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3.整体长度540mm,直径12mm，玻璃活塞、管口卷边，壁厚不低于1mm</w:t>
            </w:r>
          </w:p>
        </w:tc>
      </w:tr>
      <w:tr w14:paraId="5C8C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0B1405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r>
              <w:rPr>
                <w:rFonts w:hint="eastAsia" w:ascii="宋体" w:hAnsi="宋体" w:cs="宋体"/>
                <w:i w:val="0"/>
                <w:iCs w:val="0"/>
                <w:color w:val="auto"/>
                <w:kern w:val="0"/>
                <w:sz w:val="21"/>
                <w:szCs w:val="21"/>
                <w:u w:val="none"/>
                <w:lang w:val="en-US" w:eastAsia="zh-CN" w:bidi="ar"/>
              </w:rPr>
              <w:t>1</w:t>
            </w:r>
          </w:p>
        </w:tc>
        <w:tc>
          <w:tcPr>
            <w:tcW w:w="1215" w:type="dxa"/>
            <w:noWrap w:val="0"/>
            <w:vAlign w:val="center"/>
          </w:tcPr>
          <w:p w14:paraId="0E05257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滴定管</w:t>
            </w:r>
          </w:p>
        </w:tc>
        <w:tc>
          <w:tcPr>
            <w:tcW w:w="804" w:type="dxa"/>
            <w:noWrap w:val="0"/>
            <w:vAlign w:val="center"/>
          </w:tcPr>
          <w:p w14:paraId="622CBA3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5C734E9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0C6E282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1.为玻璃制滴定管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2.规格：酸式，50mL,精度值0.1ml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3.整体长度780mm,直径13mm，玻璃活塞、管口卷边，壁厚不低于1mm</w:t>
            </w:r>
          </w:p>
        </w:tc>
      </w:tr>
      <w:tr w14:paraId="276C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1AD559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r>
              <w:rPr>
                <w:rFonts w:hint="eastAsia" w:ascii="宋体" w:hAnsi="宋体" w:cs="宋体"/>
                <w:i w:val="0"/>
                <w:iCs w:val="0"/>
                <w:color w:val="auto"/>
                <w:kern w:val="0"/>
                <w:sz w:val="21"/>
                <w:szCs w:val="21"/>
                <w:u w:val="none"/>
                <w:lang w:val="en-US" w:eastAsia="zh-CN" w:bidi="ar"/>
              </w:rPr>
              <w:t>2</w:t>
            </w:r>
          </w:p>
        </w:tc>
        <w:tc>
          <w:tcPr>
            <w:tcW w:w="1215" w:type="dxa"/>
            <w:noWrap w:val="0"/>
            <w:vAlign w:val="center"/>
          </w:tcPr>
          <w:p w14:paraId="0D62528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滴定管</w:t>
            </w:r>
          </w:p>
        </w:tc>
        <w:tc>
          <w:tcPr>
            <w:tcW w:w="804" w:type="dxa"/>
            <w:noWrap w:val="0"/>
            <w:vAlign w:val="center"/>
          </w:tcPr>
          <w:p w14:paraId="72F24F7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483BD27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6351" w:type="dxa"/>
            <w:noWrap w:val="0"/>
            <w:vAlign w:val="center"/>
          </w:tcPr>
          <w:p w14:paraId="665EC5A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1.为玻璃制滴定管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2.规格：碱式，25mL,精度值0.1ml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3.整体长度530mm,直径12mm，管口卷边，壁厚不低于1mm</w:t>
            </w:r>
          </w:p>
        </w:tc>
      </w:tr>
      <w:tr w14:paraId="4069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5628C5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r>
              <w:rPr>
                <w:rFonts w:hint="eastAsia" w:ascii="宋体" w:hAnsi="宋体" w:cs="宋体"/>
                <w:i w:val="0"/>
                <w:iCs w:val="0"/>
                <w:color w:val="auto"/>
                <w:kern w:val="0"/>
                <w:sz w:val="21"/>
                <w:szCs w:val="21"/>
                <w:u w:val="none"/>
                <w:lang w:val="en-US" w:eastAsia="zh-CN" w:bidi="ar"/>
              </w:rPr>
              <w:t>3</w:t>
            </w:r>
          </w:p>
        </w:tc>
        <w:tc>
          <w:tcPr>
            <w:tcW w:w="1215" w:type="dxa"/>
            <w:noWrap w:val="0"/>
            <w:vAlign w:val="center"/>
          </w:tcPr>
          <w:p w14:paraId="4C25D9C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滴定管</w:t>
            </w:r>
          </w:p>
        </w:tc>
        <w:tc>
          <w:tcPr>
            <w:tcW w:w="804" w:type="dxa"/>
            <w:noWrap w:val="0"/>
            <w:vAlign w:val="center"/>
          </w:tcPr>
          <w:p w14:paraId="7956487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281B5F8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3B20ED3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1.为玻璃制滴定管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2.规格：碱式，50mL,精度值0.1ml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3.整体长度750mm,直径13mm，管口卷边，壁厚不低于1mm</w:t>
            </w:r>
          </w:p>
        </w:tc>
      </w:tr>
      <w:tr w14:paraId="5467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9D4F5F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r>
              <w:rPr>
                <w:rFonts w:hint="eastAsia" w:ascii="宋体" w:hAnsi="宋体" w:cs="宋体"/>
                <w:i w:val="0"/>
                <w:iCs w:val="0"/>
                <w:color w:val="auto"/>
                <w:kern w:val="0"/>
                <w:sz w:val="21"/>
                <w:szCs w:val="21"/>
                <w:u w:val="none"/>
                <w:lang w:val="en-US" w:eastAsia="zh-CN" w:bidi="ar"/>
              </w:rPr>
              <w:t>4</w:t>
            </w:r>
          </w:p>
        </w:tc>
        <w:tc>
          <w:tcPr>
            <w:tcW w:w="1215" w:type="dxa"/>
            <w:noWrap w:val="0"/>
            <w:vAlign w:val="center"/>
          </w:tcPr>
          <w:p w14:paraId="5B3D98E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滴定管</w:t>
            </w:r>
          </w:p>
        </w:tc>
        <w:tc>
          <w:tcPr>
            <w:tcW w:w="804" w:type="dxa"/>
            <w:noWrap w:val="0"/>
            <w:vAlign w:val="center"/>
          </w:tcPr>
          <w:p w14:paraId="40EC757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286E71E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1BA6308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1.为玻璃制滴定管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2.规格：50mL,精度值0.1ml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3.整体长度770mm,直径13mm，聚四氟乙烯活塞，管口卷边，壁厚不低于1mm</w:t>
            </w:r>
          </w:p>
        </w:tc>
      </w:tr>
      <w:tr w14:paraId="0357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FE6EAC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r>
              <w:rPr>
                <w:rFonts w:hint="eastAsia" w:ascii="宋体" w:hAnsi="宋体" w:cs="宋体"/>
                <w:i w:val="0"/>
                <w:iCs w:val="0"/>
                <w:color w:val="auto"/>
                <w:kern w:val="0"/>
                <w:sz w:val="21"/>
                <w:szCs w:val="21"/>
                <w:u w:val="none"/>
                <w:lang w:val="en-US" w:eastAsia="zh-CN" w:bidi="ar"/>
              </w:rPr>
              <w:t>5</w:t>
            </w:r>
          </w:p>
        </w:tc>
        <w:tc>
          <w:tcPr>
            <w:tcW w:w="1215" w:type="dxa"/>
            <w:noWrap w:val="0"/>
            <w:vAlign w:val="center"/>
          </w:tcPr>
          <w:p w14:paraId="031AC84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移液管</w:t>
            </w:r>
          </w:p>
        </w:tc>
        <w:tc>
          <w:tcPr>
            <w:tcW w:w="804" w:type="dxa"/>
            <w:noWrap w:val="0"/>
            <w:vAlign w:val="center"/>
          </w:tcPr>
          <w:p w14:paraId="142219A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3BB9D7F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494401F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1.是玻璃制大肚移液管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2.规格：1ml,整体长度不低于280mm，玻璃管直径3-4mm,大肚管直径5-6mm</w:t>
            </w:r>
          </w:p>
        </w:tc>
      </w:tr>
      <w:tr w14:paraId="020A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8C6DA6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r>
              <w:rPr>
                <w:rFonts w:hint="eastAsia" w:ascii="宋体" w:hAnsi="宋体" w:cs="宋体"/>
                <w:i w:val="0"/>
                <w:iCs w:val="0"/>
                <w:color w:val="auto"/>
                <w:kern w:val="0"/>
                <w:sz w:val="21"/>
                <w:szCs w:val="21"/>
                <w:u w:val="none"/>
                <w:lang w:val="en-US" w:eastAsia="zh-CN" w:bidi="ar"/>
              </w:rPr>
              <w:t>6</w:t>
            </w:r>
          </w:p>
        </w:tc>
        <w:tc>
          <w:tcPr>
            <w:tcW w:w="1215" w:type="dxa"/>
            <w:noWrap w:val="0"/>
            <w:vAlign w:val="center"/>
          </w:tcPr>
          <w:p w14:paraId="2CA2190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移液管</w:t>
            </w:r>
          </w:p>
        </w:tc>
        <w:tc>
          <w:tcPr>
            <w:tcW w:w="804" w:type="dxa"/>
            <w:noWrap w:val="0"/>
            <w:vAlign w:val="center"/>
          </w:tcPr>
          <w:p w14:paraId="6005B69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4163D35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73E8BD1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1.是玻璃制大肚移液管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2.规格：2ml,整体长度不低于300mm，玻璃管直径4-5mm,大肚管直径7-8mm</w:t>
            </w:r>
          </w:p>
        </w:tc>
      </w:tr>
      <w:tr w14:paraId="3BCD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F9BDF3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r>
              <w:rPr>
                <w:rFonts w:hint="eastAsia" w:ascii="宋体" w:hAnsi="宋体" w:cs="宋体"/>
                <w:i w:val="0"/>
                <w:iCs w:val="0"/>
                <w:color w:val="auto"/>
                <w:kern w:val="0"/>
                <w:sz w:val="21"/>
                <w:szCs w:val="21"/>
                <w:u w:val="none"/>
                <w:lang w:val="en-US" w:eastAsia="zh-CN" w:bidi="ar"/>
              </w:rPr>
              <w:t>7</w:t>
            </w:r>
          </w:p>
        </w:tc>
        <w:tc>
          <w:tcPr>
            <w:tcW w:w="1215" w:type="dxa"/>
            <w:noWrap w:val="0"/>
            <w:vAlign w:val="center"/>
          </w:tcPr>
          <w:p w14:paraId="7BA4D21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移液管</w:t>
            </w:r>
          </w:p>
        </w:tc>
        <w:tc>
          <w:tcPr>
            <w:tcW w:w="804" w:type="dxa"/>
            <w:noWrap w:val="0"/>
            <w:vAlign w:val="center"/>
          </w:tcPr>
          <w:p w14:paraId="62F8C68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183B6EF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747E9D2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1.是玻璃制大肚移液管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2.规格：5ml,整体长度不低于380mm，玻璃管直径5-6mm,大肚管直径12mm</w:t>
            </w:r>
          </w:p>
        </w:tc>
      </w:tr>
      <w:tr w14:paraId="6C43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7215E9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r>
              <w:rPr>
                <w:rFonts w:hint="eastAsia" w:ascii="宋体" w:hAnsi="宋体" w:cs="宋体"/>
                <w:i w:val="0"/>
                <w:iCs w:val="0"/>
                <w:color w:val="auto"/>
                <w:kern w:val="0"/>
                <w:sz w:val="21"/>
                <w:szCs w:val="21"/>
                <w:u w:val="none"/>
                <w:lang w:val="en-US" w:eastAsia="zh-CN" w:bidi="ar"/>
              </w:rPr>
              <w:t>8</w:t>
            </w:r>
          </w:p>
        </w:tc>
        <w:tc>
          <w:tcPr>
            <w:tcW w:w="1215" w:type="dxa"/>
            <w:noWrap w:val="0"/>
            <w:vAlign w:val="center"/>
          </w:tcPr>
          <w:p w14:paraId="599CB4C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移液管</w:t>
            </w:r>
          </w:p>
        </w:tc>
        <w:tc>
          <w:tcPr>
            <w:tcW w:w="804" w:type="dxa"/>
            <w:noWrap w:val="0"/>
            <w:vAlign w:val="center"/>
          </w:tcPr>
          <w:p w14:paraId="53A4772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7DDAD8D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14B4E45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1.是玻璃制大肚移液管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2.规格：25ml,整体长度不低于500mm，玻璃管直径7-8mm,大肚管直径21mm</w:t>
            </w:r>
          </w:p>
        </w:tc>
      </w:tr>
      <w:tr w14:paraId="3295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A33C604">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49</w:t>
            </w:r>
          </w:p>
        </w:tc>
        <w:tc>
          <w:tcPr>
            <w:tcW w:w="1215" w:type="dxa"/>
            <w:noWrap w:val="0"/>
            <w:vAlign w:val="center"/>
          </w:tcPr>
          <w:p w14:paraId="7B3BAB1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试管</w:t>
            </w:r>
          </w:p>
        </w:tc>
        <w:tc>
          <w:tcPr>
            <w:tcW w:w="804" w:type="dxa"/>
            <w:noWrap w:val="0"/>
            <w:vAlign w:val="center"/>
          </w:tcPr>
          <w:p w14:paraId="3CACFA0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439E358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350</w:t>
            </w:r>
          </w:p>
        </w:tc>
        <w:tc>
          <w:tcPr>
            <w:tcW w:w="6351" w:type="dxa"/>
            <w:noWrap w:val="0"/>
            <w:vAlign w:val="center"/>
          </w:tcPr>
          <w:p w14:paraId="0EDEEC0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2.规格：φ12mm×70mm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3.壁厚不低于0.8mm</w:t>
            </w:r>
          </w:p>
        </w:tc>
      </w:tr>
      <w:tr w14:paraId="17A1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8778CD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r>
              <w:rPr>
                <w:rFonts w:hint="eastAsia" w:ascii="宋体" w:hAnsi="宋体" w:cs="宋体"/>
                <w:i w:val="0"/>
                <w:iCs w:val="0"/>
                <w:color w:val="auto"/>
                <w:kern w:val="0"/>
                <w:sz w:val="21"/>
                <w:szCs w:val="21"/>
                <w:u w:val="none"/>
                <w:lang w:val="en-US" w:eastAsia="zh-CN" w:bidi="ar"/>
              </w:rPr>
              <w:t>0</w:t>
            </w:r>
          </w:p>
        </w:tc>
        <w:tc>
          <w:tcPr>
            <w:tcW w:w="1215" w:type="dxa"/>
            <w:noWrap w:val="0"/>
            <w:vAlign w:val="center"/>
          </w:tcPr>
          <w:p w14:paraId="5F41AA6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试管</w:t>
            </w:r>
          </w:p>
        </w:tc>
        <w:tc>
          <w:tcPr>
            <w:tcW w:w="804" w:type="dxa"/>
            <w:noWrap w:val="0"/>
            <w:vAlign w:val="center"/>
          </w:tcPr>
          <w:p w14:paraId="67CB984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690DA5B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350</w:t>
            </w:r>
          </w:p>
        </w:tc>
        <w:tc>
          <w:tcPr>
            <w:tcW w:w="6351" w:type="dxa"/>
            <w:noWrap w:val="0"/>
            <w:vAlign w:val="center"/>
          </w:tcPr>
          <w:p w14:paraId="37662F0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2.规格：φ15mm×150mm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3.壁厚不低于1mm</w:t>
            </w:r>
          </w:p>
        </w:tc>
      </w:tr>
      <w:tr w14:paraId="0E8F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87C2E2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r>
              <w:rPr>
                <w:rFonts w:hint="eastAsia" w:ascii="宋体" w:hAnsi="宋体" w:cs="宋体"/>
                <w:i w:val="0"/>
                <w:iCs w:val="0"/>
                <w:color w:val="auto"/>
                <w:kern w:val="0"/>
                <w:sz w:val="21"/>
                <w:szCs w:val="21"/>
                <w:u w:val="none"/>
                <w:lang w:val="en-US" w:eastAsia="zh-CN" w:bidi="ar"/>
              </w:rPr>
              <w:t>1</w:t>
            </w:r>
          </w:p>
        </w:tc>
        <w:tc>
          <w:tcPr>
            <w:tcW w:w="1215" w:type="dxa"/>
            <w:noWrap w:val="0"/>
            <w:vAlign w:val="center"/>
          </w:tcPr>
          <w:p w14:paraId="0B5DF86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试管</w:t>
            </w:r>
          </w:p>
        </w:tc>
        <w:tc>
          <w:tcPr>
            <w:tcW w:w="804" w:type="dxa"/>
            <w:noWrap w:val="0"/>
            <w:vAlign w:val="center"/>
          </w:tcPr>
          <w:p w14:paraId="636B8AA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464C849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6351" w:type="dxa"/>
            <w:noWrap w:val="0"/>
            <w:vAlign w:val="center"/>
          </w:tcPr>
          <w:p w14:paraId="320F0D9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2.规格：φ18mm×180mm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3.壁厚不低于1mm</w:t>
            </w:r>
          </w:p>
        </w:tc>
      </w:tr>
      <w:tr w14:paraId="664FA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807806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r>
              <w:rPr>
                <w:rFonts w:hint="eastAsia" w:ascii="宋体" w:hAnsi="宋体" w:cs="宋体"/>
                <w:i w:val="0"/>
                <w:iCs w:val="0"/>
                <w:color w:val="auto"/>
                <w:kern w:val="0"/>
                <w:sz w:val="21"/>
                <w:szCs w:val="21"/>
                <w:u w:val="none"/>
                <w:lang w:val="en-US" w:eastAsia="zh-CN" w:bidi="ar"/>
              </w:rPr>
              <w:t>2</w:t>
            </w:r>
          </w:p>
        </w:tc>
        <w:tc>
          <w:tcPr>
            <w:tcW w:w="1215" w:type="dxa"/>
            <w:noWrap w:val="0"/>
            <w:vAlign w:val="center"/>
          </w:tcPr>
          <w:p w14:paraId="4445870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试管</w:t>
            </w:r>
          </w:p>
        </w:tc>
        <w:tc>
          <w:tcPr>
            <w:tcW w:w="804" w:type="dxa"/>
            <w:noWrap w:val="0"/>
            <w:vAlign w:val="center"/>
          </w:tcPr>
          <w:p w14:paraId="4DF09DC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09ACE4C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6351" w:type="dxa"/>
            <w:noWrap w:val="0"/>
            <w:vAlign w:val="center"/>
          </w:tcPr>
          <w:p w14:paraId="05E61C8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2.规格：φ20mm×200mm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3.壁厚不低于1mm</w:t>
            </w:r>
          </w:p>
        </w:tc>
      </w:tr>
      <w:tr w14:paraId="2ECB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9F1AC2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r>
              <w:rPr>
                <w:rFonts w:hint="eastAsia" w:ascii="宋体" w:hAnsi="宋体" w:cs="宋体"/>
                <w:i w:val="0"/>
                <w:iCs w:val="0"/>
                <w:color w:val="auto"/>
                <w:kern w:val="0"/>
                <w:sz w:val="21"/>
                <w:szCs w:val="21"/>
                <w:u w:val="none"/>
                <w:lang w:val="en-US" w:eastAsia="zh-CN" w:bidi="ar"/>
              </w:rPr>
              <w:t>3</w:t>
            </w:r>
          </w:p>
        </w:tc>
        <w:tc>
          <w:tcPr>
            <w:tcW w:w="1215" w:type="dxa"/>
            <w:noWrap w:val="0"/>
            <w:vAlign w:val="center"/>
          </w:tcPr>
          <w:p w14:paraId="0EF3843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试管</w:t>
            </w:r>
          </w:p>
        </w:tc>
        <w:tc>
          <w:tcPr>
            <w:tcW w:w="804" w:type="dxa"/>
            <w:noWrap w:val="0"/>
            <w:vAlign w:val="center"/>
          </w:tcPr>
          <w:p w14:paraId="3472E3F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4C5D51D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65D2348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2.规格：φ32mm×200mm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3.壁厚不低于1.2mm</w:t>
            </w:r>
          </w:p>
        </w:tc>
      </w:tr>
      <w:tr w14:paraId="3BED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166AF5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r>
              <w:rPr>
                <w:rFonts w:hint="eastAsia" w:ascii="宋体" w:hAnsi="宋体" w:cs="宋体"/>
                <w:i w:val="0"/>
                <w:iCs w:val="0"/>
                <w:color w:val="auto"/>
                <w:kern w:val="0"/>
                <w:sz w:val="21"/>
                <w:szCs w:val="21"/>
                <w:u w:val="none"/>
                <w:lang w:val="en-US" w:eastAsia="zh-CN" w:bidi="ar"/>
              </w:rPr>
              <w:t>4</w:t>
            </w:r>
          </w:p>
        </w:tc>
        <w:tc>
          <w:tcPr>
            <w:tcW w:w="1215" w:type="dxa"/>
            <w:noWrap w:val="0"/>
            <w:vAlign w:val="center"/>
          </w:tcPr>
          <w:p w14:paraId="4A4808C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试管</w:t>
            </w:r>
          </w:p>
        </w:tc>
        <w:tc>
          <w:tcPr>
            <w:tcW w:w="804" w:type="dxa"/>
            <w:noWrap w:val="0"/>
            <w:vAlign w:val="center"/>
          </w:tcPr>
          <w:p w14:paraId="0D2B94B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628EF24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0F5E918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2.规格：φ40mm×200mm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3.壁厚不低于1.5mm</w:t>
            </w:r>
          </w:p>
        </w:tc>
      </w:tr>
      <w:tr w14:paraId="26DC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776160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r>
              <w:rPr>
                <w:rFonts w:hint="eastAsia" w:ascii="宋体" w:hAnsi="宋体" w:cs="宋体"/>
                <w:i w:val="0"/>
                <w:iCs w:val="0"/>
                <w:color w:val="auto"/>
                <w:kern w:val="0"/>
                <w:sz w:val="21"/>
                <w:szCs w:val="21"/>
                <w:u w:val="none"/>
                <w:lang w:val="en-US" w:eastAsia="zh-CN" w:bidi="ar"/>
              </w:rPr>
              <w:t>5</w:t>
            </w:r>
          </w:p>
        </w:tc>
        <w:tc>
          <w:tcPr>
            <w:tcW w:w="1215" w:type="dxa"/>
            <w:noWrap w:val="0"/>
            <w:vAlign w:val="center"/>
          </w:tcPr>
          <w:p w14:paraId="7583F4B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具支试管</w:t>
            </w:r>
          </w:p>
        </w:tc>
        <w:tc>
          <w:tcPr>
            <w:tcW w:w="804" w:type="dxa"/>
            <w:noWrap w:val="0"/>
            <w:vAlign w:val="center"/>
          </w:tcPr>
          <w:p w14:paraId="666969E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7E41F3D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6351" w:type="dxa"/>
            <w:noWrap w:val="0"/>
            <w:vAlign w:val="center"/>
          </w:tcPr>
          <w:p w14:paraId="3F48EF5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2.规格：φ18mm×180mm，支管直径7-8mm,长度不小于18mm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3.壁厚不低于1mm</w:t>
            </w:r>
          </w:p>
        </w:tc>
      </w:tr>
      <w:tr w14:paraId="7EFB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0D0E8E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r>
              <w:rPr>
                <w:rFonts w:hint="eastAsia" w:ascii="宋体" w:hAnsi="宋体" w:cs="宋体"/>
                <w:i w:val="0"/>
                <w:iCs w:val="0"/>
                <w:color w:val="auto"/>
                <w:kern w:val="0"/>
                <w:sz w:val="21"/>
                <w:szCs w:val="21"/>
                <w:u w:val="none"/>
                <w:lang w:val="en-US" w:eastAsia="zh-CN" w:bidi="ar"/>
              </w:rPr>
              <w:t>6</w:t>
            </w:r>
          </w:p>
        </w:tc>
        <w:tc>
          <w:tcPr>
            <w:tcW w:w="1215" w:type="dxa"/>
            <w:noWrap w:val="0"/>
            <w:vAlign w:val="center"/>
          </w:tcPr>
          <w:p w14:paraId="26FE5A2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具支试管</w:t>
            </w:r>
          </w:p>
        </w:tc>
        <w:tc>
          <w:tcPr>
            <w:tcW w:w="804" w:type="dxa"/>
            <w:noWrap w:val="0"/>
            <w:vAlign w:val="center"/>
          </w:tcPr>
          <w:p w14:paraId="2B7A824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7C6A38F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6351" w:type="dxa"/>
            <w:noWrap w:val="0"/>
            <w:vAlign w:val="center"/>
          </w:tcPr>
          <w:p w14:paraId="7404A30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2.规格：φ20mm×200mm，支管直径7-8mm,长度不小于18mm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3.壁厚不低于1mm</w:t>
            </w:r>
          </w:p>
        </w:tc>
      </w:tr>
      <w:tr w14:paraId="18D6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504570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r>
              <w:rPr>
                <w:rFonts w:hint="eastAsia" w:ascii="宋体" w:hAnsi="宋体" w:cs="宋体"/>
                <w:i w:val="0"/>
                <w:iCs w:val="0"/>
                <w:color w:val="auto"/>
                <w:kern w:val="0"/>
                <w:sz w:val="21"/>
                <w:szCs w:val="21"/>
                <w:u w:val="none"/>
                <w:lang w:val="en-US" w:eastAsia="zh-CN" w:bidi="ar"/>
              </w:rPr>
              <w:t>7</w:t>
            </w:r>
          </w:p>
        </w:tc>
        <w:tc>
          <w:tcPr>
            <w:tcW w:w="1215" w:type="dxa"/>
            <w:noWrap w:val="0"/>
            <w:vAlign w:val="center"/>
          </w:tcPr>
          <w:p w14:paraId="599B9D1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硬质玻璃管</w:t>
            </w:r>
          </w:p>
        </w:tc>
        <w:tc>
          <w:tcPr>
            <w:tcW w:w="804" w:type="dxa"/>
            <w:noWrap w:val="0"/>
            <w:vAlign w:val="center"/>
          </w:tcPr>
          <w:p w14:paraId="42EFAEC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13A6589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658E9BE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1.由高硼硅玻璃制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2.尺寸：φ15mm×150mm，壁厚不低于0.8mm</w:t>
            </w:r>
          </w:p>
        </w:tc>
      </w:tr>
      <w:tr w14:paraId="0803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BA8383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r>
              <w:rPr>
                <w:rFonts w:hint="eastAsia" w:ascii="宋体" w:hAnsi="宋体" w:cs="宋体"/>
                <w:i w:val="0"/>
                <w:iCs w:val="0"/>
                <w:color w:val="auto"/>
                <w:kern w:val="0"/>
                <w:sz w:val="21"/>
                <w:szCs w:val="21"/>
                <w:u w:val="none"/>
                <w:lang w:val="en-US" w:eastAsia="zh-CN" w:bidi="ar"/>
              </w:rPr>
              <w:t>8</w:t>
            </w:r>
          </w:p>
        </w:tc>
        <w:tc>
          <w:tcPr>
            <w:tcW w:w="1215" w:type="dxa"/>
            <w:noWrap w:val="0"/>
            <w:vAlign w:val="center"/>
          </w:tcPr>
          <w:p w14:paraId="01BABFC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硬质玻璃管</w:t>
            </w:r>
          </w:p>
        </w:tc>
        <w:tc>
          <w:tcPr>
            <w:tcW w:w="804" w:type="dxa"/>
            <w:noWrap w:val="0"/>
            <w:vAlign w:val="center"/>
          </w:tcPr>
          <w:p w14:paraId="2C96191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5139E00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1659F2D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1.由高硼硅玻璃制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2.尺寸：φ20mm×250mm，壁厚不低于1mm</w:t>
            </w:r>
          </w:p>
        </w:tc>
      </w:tr>
      <w:tr w14:paraId="1D73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C965BF9">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59</w:t>
            </w:r>
          </w:p>
        </w:tc>
        <w:tc>
          <w:tcPr>
            <w:tcW w:w="1215" w:type="dxa"/>
            <w:noWrap w:val="0"/>
            <w:vAlign w:val="center"/>
          </w:tcPr>
          <w:p w14:paraId="0B7B73B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燃烧管</w:t>
            </w:r>
          </w:p>
        </w:tc>
        <w:tc>
          <w:tcPr>
            <w:tcW w:w="804" w:type="dxa"/>
            <w:noWrap w:val="0"/>
            <w:vAlign w:val="center"/>
          </w:tcPr>
          <w:p w14:paraId="3C16168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286B2A9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2B6CA0C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1.由高硼硅玻璃制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2.尺寸：φ25mm×300mm，壁厚不低于1.2mm</w:t>
            </w:r>
          </w:p>
        </w:tc>
      </w:tr>
      <w:tr w14:paraId="2F11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9F0BD61">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60</w:t>
            </w:r>
          </w:p>
        </w:tc>
        <w:tc>
          <w:tcPr>
            <w:tcW w:w="1215" w:type="dxa"/>
            <w:noWrap w:val="0"/>
            <w:vAlign w:val="center"/>
          </w:tcPr>
          <w:p w14:paraId="4DA2261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Y形试管</w:t>
            </w:r>
          </w:p>
        </w:tc>
        <w:tc>
          <w:tcPr>
            <w:tcW w:w="804" w:type="dxa"/>
            <w:noWrap w:val="0"/>
            <w:vAlign w:val="center"/>
          </w:tcPr>
          <w:p w14:paraId="5B3AE27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1C527D7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351" w:type="dxa"/>
            <w:noWrap w:val="0"/>
            <w:vAlign w:val="center"/>
          </w:tcPr>
          <w:p w14:paraId="1D783F2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1.由高硼硅玻璃制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2.直径20mm，主管和支管长度均不低于80mm，壁厚不低于1.2mm</w:t>
            </w:r>
          </w:p>
        </w:tc>
      </w:tr>
      <w:tr w14:paraId="6BC5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E20D48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r>
              <w:rPr>
                <w:rFonts w:hint="eastAsia" w:ascii="宋体" w:hAnsi="宋体" w:cs="宋体"/>
                <w:i w:val="0"/>
                <w:iCs w:val="0"/>
                <w:color w:val="auto"/>
                <w:kern w:val="0"/>
                <w:sz w:val="21"/>
                <w:szCs w:val="21"/>
                <w:u w:val="none"/>
                <w:lang w:val="en-US" w:eastAsia="zh-CN" w:bidi="ar"/>
              </w:rPr>
              <w:t>1</w:t>
            </w:r>
          </w:p>
        </w:tc>
        <w:tc>
          <w:tcPr>
            <w:tcW w:w="1215" w:type="dxa"/>
            <w:noWrap w:val="0"/>
            <w:vAlign w:val="center"/>
          </w:tcPr>
          <w:p w14:paraId="79FF571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烧杯</w:t>
            </w:r>
          </w:p>
        </w:tc>
        <w:tc>
          <w:tcPr>
            <w:tcW w:w="804" w:type="dxa"/>
            <w:noWrap w:val="0"/>
            <w:vAlign w:val="center"/>
          </w:tcPr>
          <w:p w14:paraId="6EC3EB2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EA0E94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6351" w:type="dxa"/>
            <w:noWrap w:val="0"/>
            <w:vAlign w:val="center"/>
          </w:tcPr>
          <w:p w14:paraId="2DB5AE5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2.最大容量5ml,最小刻度1ml,精度值1ml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3.整体尺寸为φ20*33mm,壁厚不低于1mm</w:t>
            </w:r>
          </w:p>
        </w:tc>
      </w:tr>
      <w:tr w14:paraId="3201B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789D74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r>
              <w:rPr>
                <w:rFonts w:hint="eastAsia" w:ascii="宋体" w:hAnsi="宋体" w:cs="宋体"/>
                <w:i w:val="0"/>
                <w:iCs w:val="0"/>
                <w:color w:val="auto"/>
                <w:kern w:val="0"/>
                <w:sz w:val="21"/>
                <w:szCs w:val="21"/>
                <w:u w:val="none"/>
                <w:lang w:val="en-US" w:eastAsia="zh-CN" w:bidi="ar"/>
              </w:rPr>
              <w:t>2</w:t>
            </w:r>
          </w:p>
        </w:tc>
        <w:tc>
          <w:tcPr>
            <w:tcW w:w="1215" w:type="dxa"/>
            <w:noWrap w:val="0"/>
            <w:vAlign w:val="center"/>
          </w:tcPr>
          <w:p w14:paraId="6B3174E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烧杯</w:t>
            </w:r>
          </w:p>
        </w:tc>
        <w:tc>
          <w:tcPr>
            <w:tcW w:w="804" w:type="dxa"/>
            <w:noWrap w:val="0"/>
            <w:vAlign w:val="center"/>
          </w:tcPr>
          <w:p w14:paraId="459C592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5353D5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6351" w:type="dxa"/>
            <w:noWrap w:val="0"/>
            <w:vAlign w:val="center"/>
          </w:tcPr>
          <w:p w14:paraId="0EF4072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2.最大容量10ml,最小刻度2ml,精度值1ml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3.整体尺寸为φ25*39mm,壁厚不低于1mm</w:t>
            </w:r>
          </w:p>
        </w:tc>
      </w:tr>
      <w:tr w14:paraId="3295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9128E5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r>
              <w:rPr>
                <w:rFonts w:hint="eastAsia" w:ascii="宋体" w:hAnsi="宋体" w:cs="宋体"/>
                <w:i w:val="0"/>
                <w:iCs w:val="0"/>
                <w:color w:val="auto"/>
                <w:kern w:val="0"/>
                <w:sz w:val="21"/>
                <w:szCs w:val="21"/>
                <w:u w:val="none"/>
                <w:lang w:val="en-US" w:eastAsia="zh-CN" w:bidi="ar"/>
              </w:rPr>
              <w:t>3</w:t>
            </w:r>
          </w:p>
        </w:tc>
        <w:tc>
          <w:tcPr>
            <w:tcW w:w="1215" w:type="dxa"/>
            <w:noWrap w:val="0"/>
            <w:vAlign w:val="center"/>
          </w:tcPr>
          <w:p w14:paraId="70D4ED1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烧杯</w:t>
            </w:r>
          </w:p>
        </w:tc>
        <w:tc>
          <w:tcPr>
            <w:tcW w:w="804" w:type="dxa"/>
            <w:noWrap w:val="0"/>
            <w:vAlign w:val="center"/>
          </w:tcPr>
          <w:p w14:paraId="6D1BD41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64B48C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6351" w:type="dxa"/>
            <w:noWrap w:val="0"/>
            <w:vAlign w:val="center"/>
          </w:tcPr>
          <w:p w14:paraId="4F695A2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2.最大容量25ml,最小刻度5ml,精度值5ml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3.整体尺寸为φ35*51mm,壁厚不低于1mm</w:t>
            </w:r>
          </w:p>
        </w:tc>
      </w:tr>
      <w:tr w14:paraId="13FB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0E922A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r>
              <w:rPr>
                <w:rFonts w:hint="eastAsia" w:ascii="宋体" w:hAnsi="宋体" w:cs="宋体"/>
                <w:i w:val="0"/>
                <w:iCs w:val="0"/>
                <w:color w:val="auto"/>
                <w:kern w:val="0"/>
                <w:sz w:val="21"/>
                <w:szCs w:val="21"/>
                <w:u w:val="none"/>
                <w:lang w:val="en-US" w:eastAsia="zh-CN" w:bidi="ar"/>
              </w:rPr>
              <w:t>4</w:t>
            </w:r>
          </w:p>
        </w:tc>
        <w:tc>
          <w:tcPr>
            <w:tcW w:w="1215" w:type="dxa"/>
            <w:noWrap w:val="0"/>
            <w:vAlign w:val="center"/>
          </w:tcPr>
          <w:p w14:paraId="0647953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烧杯</w:t>
            </w:r>
          </w:p>
        </w:tc>
        <w:tc>
          <w:tcPr>
            <w:tcW w:w="804" w:type="dxa"/>
            <w:noWrap w:val="0"/>
            <w:vAlign w:val="center"/>
          </w:tcPr>
          <w:p w14:paraId="2E2A4C6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4B4E88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6351" w:type="dxa"/>
            <w:noWrap w:val="0"/>
            <w:vAlign w:val="center"/>
          </w:tcPr>
          <w:p w14:paraId="3BC114B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2.最大容量50ml,最小刻度10ml,精度值10ml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3.整体尺寸为φ45*63mm,壁厚不低于1.5mm</w:t>
            </w:r>
          </w:p>
        </w:tc>
      </w:tr>
      <w:tr w14:paraId="5471C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41AAAE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r>
              <w:rPr>
                <w:rFonts w:hint="eastAsia" w:ascii="宋体" w:hAnsi="宋体" w:cs="宋体"/>
                <w:i w:val="0"/>
                <w:iCs w:val="0"/>
                <w:color w:val="auto"/>
                <w:kern w:val="0"/>
                <w:sz w:val="21"/>
                <w:szCs w:val="21"/>
                <w:u w:val="none"/>
                <w:lang w:val="en-US" w:eastAsia="zh-CN" w:bidi="ar"/>
              </w:rPr>
              <w:t>5</w:t>
            </w:r>
          </w:p>
        </w:tc>
        <w:tc>
          <w:tcPr>
            <w:tcW w:w="1215" w:type="dxa"/>
            <w:noWrap w:val="0"/>
            <w:vAlign w:val="center"/>
          </w:tcPr>
          <w:p w14:paraId="6192A0A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烧杯</w:t>
            </w:r>
          </w:p>
        </w:tc>
        <w:tc>
          <w:tcPr>
            <w:tcW w:w="804" w:type="dxa"/>
            <w:noWrap w:val="0"/>
            <w:vAlign w:val="center"/>
          </w:tcPr>
          <w:p w14:paraId="74E2E5F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50CDD1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6351" w:type="dxa"/>
            <w:noWrap w:val="0"/>
            <w:vAlign w:val="center"/>
          </w:tcPr>
          <w:p w14:paraId="0B17395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2.最大容量100ml,最小刻度20ml,精度值10ml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3.整体尺寸为φ53*72mm,壁厚不低于1.5mm</w:t>
            </w:r>
          </w:p>
        </w:tc>
      </w:tr>
      <w:tr w14:paraId="2BAC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657A0C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r>
              <w:rPr>
                <w:rFonts w:hint="eastAsia" w:ascii="宋体" w:hAnsi="宋体" w:cs="宋体"/>
                <w:i w:val="0"/>
                <w:iCs w:val="0"/>
                <w:color w:val="auto"/>
                <w:kern w:val="0"/>
                <w:sz w:val="21"/>
                <w:szCs w:val="21"/>
                <w:u w:val="none"/>
                <w:lang w:val="en-US" w:eastAsia="zh-CN" w:bidi="ar"/>
              </w:rPr>
              <w:t>6</w:t>
            </w:r>
          </w:p>
        </w:tc>
        <w:tc>
          <w:tcPr>
            <w:tcW w:w="1215" w:type="dxa"/>
            <w:noWrap w:val="0"/>
            <w:vAlign w:val="center"/>
          </w:tcPr>
          <w:p w14:paraId="6C5AC34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烧杯</w:t>
            </w:r>
          </w:p>
        </w:tc>
        <w:tc>
          <w:tcPr>
            <w:tcW w:w="804" w:type="dxa"/>
            <w:noWrap w:val="0"/>
            <w:vAlign w:val="center"/>
          </w:tcPr>
          <w:p w14:paraId="4FABE3D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0C0BAC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6351" w:type="dxa"/>
            <w:noWrap w:val="0"/>
            <w:vAlign w:val="center"/>
          </w:tcPr>
          <w:p w14:paraId="3D63C0B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2.最大容量250ml,最小刻度50ml,精度值25ml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3.整体尺寸为φ70*92mm,壁厚不低于1.8mm</w:t>
            </w:r>
          </w:p>
        </w:tc>
      </w:tr>
      <w:tr w14:paraId="7193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ED69AF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r>
              <w:rPr>
                <w:rFonts w:hint="eastAsia" w:ascii="宋体" w:hAnsi="宋体" w:cs="宋体"/>
                <w:i w:val="0"/>
                <w:iCs w:val="0"/>
                <w:color w:val="auto"/>
                <w:kern w:val="0"/>
                <w:sz w:val="21"/>
                <w:szCs w:val="21"/>
                <w:u w:val="none"/>
                <w:lang w:val="en-US" w:eastAsia="zh-CN" w:bidi="ar"/>
              </w:rPr>
              <w:t>7</w:t>
            </w:r>
          </w:p>
        </w:tc>
        <w:tc>
          <w:tcPr>
            <w:tcW w:w="1215" w:type="dxa"/>
            <w:noWrap w:val="0"/>
            <w:vAlign w:val="center"/>
          </w:tcPr>
          <w:p w14:paraId="573117F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烧杯</w:t>
            </w:r>
          </w:p>
        </w:tc>
        <w:tc>
          <w:tcPr>
            <w:tcW w:w="804" w:type="dxa"/>
            <w:noWrap w:val="0"/>
            <w:vAlign w:val="center"/>
          </w:tcPr>
          <w:p w14:paraId="6AA4FA7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29F4BE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6351" w:type="dxa"/>
            <w:noWrap w:val="0"/>
            <w:vAlign w:val="center"/>
          </w:tcPr>
          <w:p w14:paraId="7919D8F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2.最大容量500ml,最小刻度100ml,精度值50ml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3.整体尺寸为φ87*124mm,壁厚不低于2mm</w:t>
            </w:r>
          </w:p>
        </w:tc>
      </w:tr>
      <w:tr w14:paraId="10AD0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F9ADA3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16</w:t>
            </w:r>
            <w:r>
              <w:rPr>
                <w:rFonts w:hint="eastAsia" w:ascii="宋体" w:hAnsi="宋体" w:cs="宋体"/>
                <w:i w:val="0"/>
                <w:iCs w:val="0"/>
                <w:color w:val="auto"/>
                <w:kern w:val="0"/>
                <w:sz w:val="21"/>
                <w:szCs w:val="21"/>
                <w:u w:val="none"/>
                <w:lang w:val="en-US" w:eastAsia="zh-CN" w:bidi="ar"/>
              </w:rPr>
              <w:t>8</w:t>
            </w:r>
          </w:p>
        </w:tc>
        <w:tc>
          <w:tcPr>
            <w:tcW w:w="1215" w:type="dxa"/>
            <w:noWrap w:val="0"/>
            <w:vAlign w:val="center"/>
          </w:tcPr>
          <w:p w14:paraId="59F8C50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烧杯</w:t>
            </w:r>
          </w:p>
        </w:tc>
        <w:tc>
          <w:tcPr>
            <w:tcW w:w="804" w:type="dxa"/>
            <w:noWrap w:val="0"/>
            <w:vAlign w:val="center"/>
          </w:tcPr>
          <w:p w14:paraId="1561B30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FBD328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1AF97EC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2.最大容量1000ml,最小刻度200ml,精度值100ml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3.整体尺寸为φ107*158mm,壁厚不低于2mm</w:t>
            </w:r>
          </w:p>
        </w:tc>
      </w:tr>
      <w:tr w14:paraId="5822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B54F86F">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69</w:t>
            </w:r>
          </w:p>
        </w:tc>
        <w:tc>
          <w:tcPr>
            <w:tcW w:w="1215" w:type="dxa"/>
            <w:noWrap w:val="0"/>
            <w:vAlign w:val="center"/>
          </w:tcPr>
          <w:p w14:paraId="7AA31E2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烧瓶</w:t>
            </w:r>
          </w:p>
        </w:tc>
        <w:tc>
          <w:tcPr>
            <w:tcW w:w="804" w:type="dxa"/>
            <w:noWrap w:val="0"/>
            <w:vAlign w:val="center"/>
          </w:tcPr>
          <w:p w14:paraId="1492354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E4A36F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6351" w:type="dxa"/>
            <w:noWrap w:val="0"/>
            <w:vAlign w:val="center"/>
          </w:tcPr>
          <w:p w14:paraId="4ED1FA2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2.烧瓶容量为250ml,底部为圆形，整体高度155mm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3.底部圆球直径为83mm,颈部外径32mm,长度为75mm,厚度不低于1.8mm</w:t>
            </w:r>
          </w:p>
        </w:tc>
      </w:tr>
      <w:tr w14:paraId="23E3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7D38D04">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70</w:t>
            </w:r>
          </w:p>
        </w:tc>
        <w:tc>
          <w:tcPr>
            <w:tcW w:w="1215" w:type="dxa"/>
            <w:noWrap w:val="0"/>
            <w:vAlign w:val="center"/>
          </w:tcPr>
          <w:p w14:paraId="296A28C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烧瓶</w:t>
            </w:r>
          </w:p>
        </w:tc>
        <w:tc>
          <w:tcPr>
            <w:tcW w:w="804" w:type="dxa"/>
            <w:noWrap w:val="0"/>
            <w:vAlign w:val="center"/>
          </w:tcPr>
          <w:p w14:paraId="0565AFD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34BF28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71533E4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2.烧瓶容量为250ml，底部为圆形，整体高度140mm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3.底部圆球直径为83mm，颈部外径32mm，长度为55mm，厚度不低于1.8mm</w:t>
            </w:r>
          </w:p>
        </w:tc>
      </w:tr>
      <w:tr w14:paraId="0130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205DC5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w:t>
            </w:r>
            <w:r>
              <w:rPr>
                <w:rFonts w:hint="eastAsia" w:ascii="宋体" w:hAnsi="宋体" w:cs="宋体"/>
                <w:i w:val="0"/>
                <w:iCs w:val="0"/>
                <w:color w:val="auto"/>
                <w:kern w:val="0"/>
                <w:sz w:val="21"/>
                <w:szCs w:val="21"/>
                <w:u w:val="none"/>
                <w:lang w:val="en-US" w:eastAsia="zh-CN" w:bidi="ar"/>
              </w:rPr>
              <w:t>1</w:t>
            </w:r>
          </w:p>
        </w:tc>
        <w:tc>
          <w:tcPr>
            <w:tcW w:w="1215" w:type="dxa"/>
            <w:noWrap w:val="0"/>
            <w:vAlign w:val="center"/>
          </w:tcPr>
          <w:p w14:paraId="3AB2B4B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烧瓶</w:t>
            </w:r>
          </w:p>
        </w:tc>
        <w:tc>
          <w:tcPr>
            <w:tcW w:w="804" w:type="dxa"/>
            <w:noWrap w:val="0"/>
            <w:vAlign w:val="center"/>
          </w:tcPr>
          <w:p w14:paraId="67452AE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FE3ACD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6351" w:type="dxa"/>
            <w:noWrap w:val="0"/>
            <w:vAlign w:val="center"/>
          </w:tcPr>
          <w:p w14:paraId="55FD906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2.烧瓶容量为500ml,底部为圆形，整体高度200mm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3.底部圆球直径为105mm,颈部外径37mm,长度为100mm,厚度不低于1.8mm</w:t>
            </w:r>
          </w:p>
        </w:tc>
      </w:tr>
      <w:tr w14:paraId="106C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C63AD3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w:t>
            </w:r>
            <w:r>
              <w:rPr>
                <w:rFonts w:hint="eastAsia" w:ascii="宋体" w:hAnsi="宋体" w:cs="宋体"/>
                <w:i w:val="0"/>
                <w:iCs w:val="0"/>
                <w:color w:val="auto"/>
                <w:kern w:val="0"/>
                <w:sz w:val="21"/>
                <w:szCs w:val="21"/>
                <w:u w:val="none"/>
                <w:lang w:val="en-US" w:eastAsia="zh-CN" w:bidi="ar"/>
              </w:rPr>
              <w:t>2</w:t>
            </w:r>
          </w:p>
        </w:tc>
        <w:tc>
          <w:tcPr>
            <w:tcW w:w="1215" w:type="dxa"/>
            <w:noWrap w:val="0"/>
            <w:vAlign w:val="center"/>
          </w:tcPr>
          <w:p w14:paraId="67607F8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烧瓶</w:t>
            </w:r>
          </w:p>
        </w:tc>
        <w:tc>
          <w:tcPr>
            <w:tcW w:w="804" w:type="dxa"/>
            <w:noWrap w:val="0"/>
            <w:vAlign w:val="center"/>
          </w:tcPr>
          <w:p w14:paraId="7C87EB4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EB3CD8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6351" w:type="dxa"/>
            <w:noWrap w:val="0"/>
            <w:vAlign w:val="center"/>
          </w:tcPr>
          <w:p w14:paraId="11715E0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2.烧瓶容量为250ml,底部为平底，整体高度160mm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3.底部圆球直径为83mm,颈部外径32mm,长度为75mm,厚度不低于1.8mm</w:t>
            </w:r>
          </w:p>
        </w:tc>
      </w:tr>
      <w:tr w14:paraId="666E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68B342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w:t>
            </w:r>
            <w:r>
              <w:rPr>
                <w:rFonts w:hint="eastAsia" w:ascii="宋体" w:hAnsi="宋体" w:cs="宋体"/>
                <w:i w:val="0"/>
                <w:iCs w:val="0"/>
                <w:color w:val="auto"/>
                <w:kern w:val="0"/>
                <w:sz w:val="21"/>
                <w:szCs w:val="21"/>
                <w:u w:val="none"/>
                <w:lang w:val="en-US" w:eastAsia="zh-CN" w:bidi="ar"/>
              </w:rPr>
              <w:t>3</w:t>
            </w:r>
          </w:p>
        </w:tc>
        <w:tc>
          <w:tcPr>
            <w:tcW w:w="1215" w:type="dxa"/>
            <w:noWrap w:val="0"/>
            <w:vAlign w:val="center"/>
          </w:tcPr>
          <w:p w14:paraId="2F041D2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锥形瓶</w:t>
            </w:r>
          </w:p>
        </w:tc>
        <w:tc>
          <w:tcPr>
            <w:tcW w:w="804" w:type="dxa"/>
            <w:noWrap w:val="0"/>
            <w:vAlign w:val="center"/>
          </w:tcPr>
          <w:p w14:paraId="3ACDBE6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9843E2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6351" w:type="dxa"/>
            <w:noWrap w:val="0"/>
            <w:vAlign w:val="center"/>
          </w:tcPr>
          <w:p w14:paraId="28CD10C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2.规格：100ml,最小刻度40ml,精度值20ml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3.底部直径61mm,口部直径25mm,高102mm,壁厚不低于1.2mm</w:t>
            </w:r>
          </w:p>
        </w:tc>
      </w:tr>
      <w:tr w14:paraId="0F53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9DEA16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w:t>
            </w:r>
            <w:r>
              <w:rPr>
                <w:rFonts w:hint="eastAsia" w:ascii="宋体" w:hAnsi="宋体" w:cs="宋体"/>
                <w:i w:val="0"/>
                <w:iCs w:val="0"/>
                <w:color w:val="auto"/>
                <w:kern w:val="0"/>
                <w:sz w:val="21"/>
                <w:szCs w:val="21"/>
                <w:u w:val="none"/>
                <w:lang w:val="en-US" w:eastAsia="zh-CN" w:bidi="ar"/>
              </w:rPr>
              <w:t>4</w:t>
            </w:r>
          </w:p>
        </w:tc>
        <w:tc>
          <w:tcPr>
            <w:tcW w:w="1215" w:type="dxa"/>
            <w:noWrap w:val="0"/>
            <w:vAlign w:val="center"/>
          </w:tcPr>
          <w:p w14:paraId="1A6F3A4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锥形瓶</w:t>
            </w:r>
          </w:p>
        </w:tc>
        <w:tc>
          <w:tcPr>
            <w:tcW w:w="804" w:type="dxa"/>
            <w:noWrap w:val="0"/>
            <w:vAlign w:val="center"/>
          </w:tcPr>
          <w:p w14:paraId="668402C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B4F297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60FCAD7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2.规格：250ml,最小刻度100ml,精度值50ml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3.底部直径85mm,口部直径40mm,高140mm,壁厚不低于1.5mm</w:t>
            </w:r>
          </w:p>
        </w:tc>
      </w:tr>
      <w:tr w14:paraId="1EBE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B5497C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w:t>
            </w:r>
            <w:r>
              <w:rPr>
                <w:rFonts w:hint="eastAsia" w:ascii="宋体" w:hAnsi="宋体" w:cs="宋体"/>
                <w:i w:val="0"/>
                <w:iCs w:val="0"/>
                <w:color w:val="auto"/>
                <w:kern w:val="0"/>
                <w:sz w:val="21"/>
                <w:szCs w:val="21"/>
                <w:u w:val="none"/>
                <w:lang w:val="en-US" w:eastAsia="zh-CN" w:bidi="ar"/>
              </w:rPr>
              <w:t>5</w:t>
            </w:r>
          </w:p>
        </w:tc>
        <w:tc>
          <w:tcPr>
            <w:tcW w:w="1215" w:type="dxa"/>
            <w:noWrap w:val="0"/>
            <w:vAlign w:val="center"/>
          </w:tcPr>
          <w:p w14:paraId="04E1158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蒸馏烧瓶</w:t>
            </w:r>
          </w:p>
        </w:tc>
        <w:tc>
          <w:tcPr>
            <w:tcW w:w="804" w:type="dxa"/>
            <w:noWrap w:val="0"/>
            <w:vAlign w:val="center"/>
          </w:tcPr>
          <w:p w14:paraId="4D6921A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A8FA75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6351" w:type="dxa"/>
            <w:noWrap w:val="0"/>
            <w:vAlign w:val="center"/>
          </w:tcPr>
          <w:p w14:paraId="0EBFA87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1.为高硼硅玻璃制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2.容量为250ml,支管直径7-8mm，长度不低于70mm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3.厚度不低于1.8mm</w:t>
            </w:r>
          </w:p>
        </w:tc>
      </w:tr>
      <w:tr w14:paraId="110B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213AA8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w:t>
            </w:r>
            <w:r>
              <w:rPr>
                <w:rFonts w:hint="eastAsia" w:ascii="宋体" w:hAnsi="宋体" w:cs="宋体"/>
                <w:i w:val="0"/>
                <w:iCs w:val="0"/>
                <w:color w:val="auto"/>
                <w:kern w:val="0"/>
                <w:sz w:val="21"/>
                <w:szCs w:val="21"/>
                <w:u w:val="none"/>
                <w:lang w:val="en-US" w:eastAsia="zh-CN" w:bidi="ar"/>
              </w:rPr>
              <w:t>6</w:t>
            </w:r>
          </w:p>
        </w:tc>
        <w:tc>
          <w:tcPr>
            <w:tcW w:w="1215" w:type="dxa"/>
            <w:noWrap w:val="0"/>
            <w:vAlign w:val="center"/>
          </w:tcPr>
          <w:p w14:paraId="6FB9F46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三口烧瓶</w:t>
            </w:r>
          </w:p>
        </w:tc>
        <w:tc>
          <w:tcPr>
            <w:tcW w:w="804" w:type="dxa"/>
            <w:noWrap w:val="0"/>
            <w:vAlign w:val="center"/>
          </w:tcPr>
          <w:p w14:paraId="3402AF4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67CE56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6351" w:type="dxa"/>
            <w:noWrap w:val="0"/>
            <w:vAlign w:val="center"/>
          </w:tcPr>
          <w:p w14:paraId="2515B72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1.为高硼硅玻璃制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2.容量为250ml,三口直径分别为27mm、15mm、15mm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3.厚度不低于1.8mm</w:t>
            </w:r>
          </w:p>
        </w:tc>
      </w:tr>
      <w:tr w14:paraId="2185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B7F713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w:t>
            </w:r>
            <w:r>
              <w:rPr>
                <w:rFonts w:hint="eastAsia" w:ascii="宋体" w:hAnsi="宋体" w:cs="宋体"/>
                <w:i w:val="0"/>
                <w:iCs w:val="0"/>
                <w:color w:val="auto"/>
                <w:kern w:val="0"/>
                <w:sz w:val="21"/>
                <w:szCs w:val="21"/>
                <w:u w:val="none"/>
                <w:lang w:val="en-US" w:eastAsia="zh-CN" w:bidi="ar"/>
              </w:rPr>
              <w:t>7</w:t>
            </w:r>
          </w:p>
        </w:tc>
        <w:tc>
          <w:tcPr>
            <w:tcW w:w="1215" w:type="dxa"/>
            <w:noWrap w:val="0"/>
            <w:vAlign w:val="center"/>
          </w:tcPr>
          <w:p w14:paraId="4E13281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酒精灯</w:t>
            </w:r>
          </w:p>
        </w:tc>
        <w:tc>
          <w:tcPr>
            <w:tcW w:w="804" w:type="dxa"/>
            <w:noWrap w:val="0"/>
            <w:vAlign w:val="center"/>
          </w:tcPr>
          <w:p w14:paraId="726C8C9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5C6ACC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01AC498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1.由酒精灯容器、瓷灯芯、棉灯芯和灯罩组成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2.酒精灯主体为高硼硅玻璃制造，容积为150ml,最大直径80mm,高度为95mm,口部壁厚不小于4mm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3.棉灯芯长度为150mm</w:t>
            </w:r>
          </w:p>
        </w:tc>
      </w:tr>
      <w:tr w14:paraId="1FCB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7DC45B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w:t>
            </w:r>
            <w:r>
              <w:rPr>
                <w:rFonts w:hint="eastAsia" w:ascii="宋体" w:hAnsi="宋体" w:cs="宋体"/>
                <w:i w:val="0"/>
                <w:iCs w:val="0"/>
                <w:color w:val="auto"/>
                <w:kern w:val="0"/>
                <w:sz w:val="21"/>
                <w:szCs w:val="21"/>
                <w:u w:val="none"/>
                <w:lang w:val="en-US" w:eastAsia="zh-CN" w:bidi="ar"/>
              </w:rPr>
              <w:t>8</w:t>
            </w:r>
          </w:p>
        </w:tc>
        <w:tc>
          <w:tcPr>
            <w:tcW w:w="1215" w:type="dxa"/>
            <w:noWrap w:val="0"/>
            <w:vAlign w:val="center"/>
          </w:tcPr>
          <w:p w14:paraId="337C8F9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酒精灯</w:t>
            </w:r>
          </w:p>
        </w:tc>
        <w:tc>
          <w:tcPr>
            <w:tcW w:w="804" w:type="dxa"/>
            <w:noWrap w:val="0"/>
            <w:vAlign w:val="center"/>
          </w:tcPr>
          <w:p w14:paraId="06AC941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3F685B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6351" w:type="dxa"/>
            <w:noWrap w:val="0"/>
            <w:vAlign w:val="center"/>
          </w:tcPr>
          <w:p w14:paraId="125629F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1.由酒精灯容器、瓷灯芯、棉灯芯和灯罩组成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2.酒精灯主体为高硼硅玻璃制造，容积为250ml,最大直径95mm,高度为105mm,口部壁厚不小于4mm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3.棉灯芯长度为150mm</w:t>
            </w:r>
          </w:p>
        </w:tc>
      </w:tr>
      <w:tr w14:paraId="458C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0028079">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79</w:t>
            </w:r>
          </w:p>
        </w:tc>
        <w:tc>
          <w:tcPr>
            <w:tcW w:w="1215" w:type="dxa"/>
            <w:noWrap w:val="0"/>
            <w:vAlign w:val="center"/>
          </w:tcPr>
          <w:p w14:paraId="58B4D87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酒精灯</w:t>
            </w:r>
          </w:p>
        </w:tc>
        <w:tc>
          <w:tcPr>
            <w:tcW w:w="804" w:type="dxa"/>
            <w:noWrap w:val="0"/>
            <w:vAlign w:val="center"/>
          </w:tcPr>
          <w:p w14:paraId="66543E4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68D577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6351" w:type="dxa"/>
            <w:noWrap w:val="0"/>
            <w:vAlign w:val="center"/>
          </w:tcPr>
          <w:p w14:paraId="58FE16D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1.为高硼硅玻璃制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2.容量250mL，双头</w:t>
            </w:r>
          </w:p>
        </w:tc>
      </w:tr>
      <w:tr w14:paraId="2543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7061F6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r>
              <w:rPr>
                <w:rFonts w:hint="eastAsia" w:ascii="宋体" w:hAnsi="宋体" w:cs="宋体"/>
                <w:i w:val="0"/>
                <w:iCs w:val="0"/>
                <w:color w:val="auto"/>
                <w:kern w:val="0"/>
                <w:sz w:val="21"/>
                <w:szCs w:val="21"/>
                <w:u w:val="none"/>
                <w:lang w:val="en-US" w:eastAsia="zh-CN" w:bidi="ar"/>
              </w:rPr>
              <w:t>0</w:t>
            </w:r>
          </w:p>
        </w:tc>
        <w:tc>
          <w:tcPr>
            <w:tcW w:w="1215" w:type="dxa"/>
            <w:noWrap w:val="0"/>
            <w:vAlign w:val="center"/>
          </w:tcPr>
          <w:p w14:paraId="3B5885D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干燥塔</w:t>
            </w:r>
          </w:p>
        </w:tc>
        <w:tc>
          <w:tcPr>
            <w:tcW w:w="804" w:type="dxa"/>
            <w:noWrap w:val="0"/>
            <w:vAlign w:val="center"/>
          </w:tcPr>
          <w:p w14:paraId="5F63E8C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937E5E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6351" w:type="dxa"/>
            <w:noWrap w:val="0"/>
            <w:vAlign w:val="center"/>
          </w:tcPr>
          <w:p w14:paraId="4E3FBF1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1.为高硼硅玻璃制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2.下部圆柱直径65mm，上部圆柱直径45mm；上下支管分别分布在两侧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3.顶部和玻璃塞做磨砂处理</w:t>
            </w:r>
          </w:p>
        </w:tc>
      </w:tr>
      <w:tr w14:paraId="502E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D167B3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r>
              <w:rPr>
                <w:rFonts w:hint="eastAsia" w:ascii="宋体" w:hAnsi="宋体" w:cs="宋体"/>
                <w:i w:val="0"/>
                <w:iCs w:val="0"/>
                <w:color w:val="auto"/>
                <w:kern w:val="0"/>
                <w:sz w:val="21"/>
                <w:szCs w:val="21"/>
                <w:u w:val="none"/>
                <w:lang w:val="en-US" w:eastAsia="zh-CN" w:bidi="ar"/>
              </w:rPr>
              <w:t>1</w:t>
            </w:r>
          </w:p>
        </w:tc>
        <w:tc>
          <w:tcPr>
            <w:tcW w:w="1215" w:type="dxa"/>
            <w:noWrap w:val="0"/>
            <w:vAlign w:val="center"/>
          </w:tcPr>
          <w:p w14:paraId="125AD3D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气体洗瓶</w:t>
            </w:r>
          </w:p>
        </w:tc>
        <w:tc>
          <w:tcPr>
            <w:tcW w:w="804" w:type="dxa"/>
            <w:noWrap w:val="0"/>
            <w:vAlign w:val="center"/>
          </w:tcPr>
          <w:p w14:paraId="0420A77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E276A7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6351" w:type="dxa"/>
            <w:noWrap w:val="0"/>
            <w:vAlign w:val="center"/>
          </w:tcPr>
          <w:p w14:paraId="2B8117A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1.为高硼硅玻璃制，有洗气瓶和通气管组成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2.洗气瓶容量为250ml，通气管的长度不低于170mm，主管直径12mm，支管直径7-8mm</w:t>
            </w:r>
          </w:p>
        </w:tc>
      </w:tr>
      <w:tr w14:paraId="2243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995710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r>
              <w:rPr>
                <w:rFonts w:hint="eastAsia" w:ascii="宋体" w:hAnsi="宋体" w:cs="宋体"/>
                <w:i w:val="0"/>
                <w:iCs w:val="0"/>
                <w:color w:val="auto"/>
                <w:kern w:val="0"/>
                <w:sz w:val="21"/>
                <w:szCs w:val="21"/>
                <w:u w:val="none"/>
                <w:lang w:val="en-US" w:eastAsia="zh-CN" w:bidi="ar"/>
              </w:rPr>
              <w:t>2</w:t>
            </w:r>
          </w:p>
        </w:tc>
        <w:tc>
          <w:tcPr>
            <w:tcW w:w="1215" w:type="dxa"/>
            <w:noWrap w:val="0"/>
            <w:vAlign w:val="center"/>
          </w:tcPr>
          <w:p w14:paraId="5A78586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抽滤瓶</w:t>
            </w:r>
          </w:p>
        </w:tc>
        <w:tc>
          <w:tcPr>
            <w:tcW w:w="804" w:type="dxa"/>
            <w:noWrap w:val="0"/>
            <w:vAlign w:val="center"/>
          </w:tcPr>
          <w:p w14:paraId="2CD4AA7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0FC9DC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13736D7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2.最大容量500ml,最小刻度200ml,精度值50ml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3.接嘴长度为20mm,开口直径10mm，做钳口处理</w:t>
            </w:r>
          </w:p>
        </w:tc>
      </w:tr>
      <w:tr w14:paraId="6146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829AF7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r>
              <w:rPr>
                <w:rFonts w:hint="eastAsia" w:ascii="宋体" w:hAnsi="宋体" w:cs="宋体"/>
                <w:i w:val="0"/>
                <w:iCs w:val="0"/>
                <w:color w:val="auto"/>
                <w:kern w:val="0"/>
                <w:sz w:val="21"/>
                <w:szCs w:val="21"/>
                <w:u w:val="none"/>
                <w:lang w:val="en-US" w:eastAsia="zh-CN" w:bidi="ar"/>
              </w:rPr>
              <w:t>3</w:t>
            </w:r>
          </w:p>
        </w:tc>
        <w:tc>
          <w:tcPr>
            <w:tcW w:w="1215" w:type="dxa"/>
            <w:noWrap w:val="0"/>
            <w:vAlign w:val="center"/>
          </w:tcPr>
          <w:p w14:paraId="32A597C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抽气管</w:t>
            </w:r>
          </w:p>
        </w:tc>
        <w:tc>
          <w:tcPr>
            <w:tcW w:w="804" w:type="dxa"/>
            <w:noWrap w:val="0"/>
            <w:vAlign w:val="center"/>
          </w:tcPr>
          <w:p w14:paraId="3717584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649F56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4AA6C5E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1.为玻璃制抽气管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2.整体长度不低于300mm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3.顶部呈双球型，抽气口做钳口处理</w:t>
            </w:r>
          </w:p>
        </w:tc>
      </w:tr>
      <w:tr w14:paraId="6E62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DF8AE0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r>
              <w:rPr>
                <w:rFonts w:hint="eastAsia" w:ascii="宋体" w:hAnsi="宋体" w:cs="宋体"/>
                <w:i w:val="0"/>
                <w:iCs w:val="0"/>
                <w:color w:val="auto"/>
                <w:kern w:val="0"/>
                <w:sz w:val="21"/>
                <w:szCs w:val="21"/>
                <w:u w:val="none"/>
                <w:lang w:val="en-US" w:eastAsia="zh-CN" w:bidi="ar"/>
              </w:rPr>
              <w:t>4</w:t>
            </w:r>
          </w:p>
        </w:tc>
        <w:tc>
          <w:tcPr>
            <w:tcW w:w="1215" w:type="dxa"/>
            <w:noWrap w:val="0"/>
            <w:vAlign w:val="center"/>
          </w:tcPr>
          <w:p w14:paraId="2A4DF66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干燥器</w:t>
            </w:r>
          </w:p>
        </w:tc>
        <w:tc>
          <w:tcPr>
            <w:tcW w:w="804" w:type="dxa"/>
            <w:noWrap w:val="0"/>
            <w:vAlign w:val="center"/>
          </w:tcPr>
          <w:p w14:paraId="7EF6B3F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AA6E18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08E0CF8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2.由容器、瓷片和盖子组成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3.容器内径160mm,边缘款24mm,厚度不低于6mm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4.盖子和容器边缘做磨砂处理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5.瓷片为圆形，直接13mm,上面有4个直径27mm的圆孔</w:t>
            </w:r>
          </w:p>
        </w:tc>
      </w:tr>
      <w:tr w14:paraId="3432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884D14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r>
              <w:rPr>
                <w:rFonts w:hint="eastAsia" w:ascii="宋体" w:hAnsi="宋体" w:cs="宋体"/>
                <w:i w:val="0"/>
                <w:iCs w:val="0"/>
                <w:color w:val="auto"/>
                <w:kern w:val="0"/>
                <w:sz w:val="21"/>
                <w:szCs w:val="21"/>
                <w:u w:val="none"/>
                <w:lang w:val="en-US" w:eastAsia="zh-CN" w:bidi="ar"/>
              </w:rPr>
              <w:t>5</w:t>
            </w:r>
          </w:p>
        </w:tc>
        <w:tc>
          <w:tcPr>
            <w:tcW w:w="1215" w:type="dxa"/>
            <w:noWrap w:val="0"/>
            <w:vAlign w:val="center"/>
          </w:tcPr>
          <w:p w14:paraId="7FFF54B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气体发生器</w:t>
            </w:r>
          </w:p>
        </w:tc>
        <w:tc>
          <w:tcPr>
            <w:tcW w:w="804" w:type="dxa"/>
            <w:noWrap w:val="0"/>
            <w:vAlign w:val="center"/>
          </w:tcPr>
          <w:p w14:paraId="40FC254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59A518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1AB3324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1.由气体发生器、导管和胶塞组成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2.气体发生器为全玻璃制,高238mm,反应底座直径90mm,中间球直径55mm,顶部球直径62mm</w:t>
            </w:r>
          </w:p>
        </w:tc>
      </w:tr>
      <w:tr w14:paraId="423A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125E9C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r>
              <w:rPr>
                <w:rFonts w:hint="eastAsia" w:ascii="宋体" w:hAnsi="宋体" w:cs="宋体"/>
                <w:i w:val="0"/>
                <w:iCs w:val="0"/>
                <w:color w:val="auto"/>
                <w:kern w:val="0"/>
                <w:sz w:val="21"/>
                <w:szCs w:val="21"/>
                <w:u w:val="none"/>
                <w:lang w:val="en-US" w:eastAsia="zh-CN" w:bidi="ar"/>
              </w:rPr>
              <w:t>6</w:t>
            </w:r>
          </w:p>
        </w:tc>
        <w:tc>
          <w:tcPr>
            <w:tcW w:w="1215" w:type="dxa"/>
            <w:noWrap w:val="0"/>
            <w:vAlign w:val="center"/>
          </w:tcPr>
          <w:p w14:paraId="6ECF1E7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冷凝器</w:t>
            </w:r>
          </w:p>
        </w:tc>
        <w:tc>
          <w:tcPr>
            <w:tcW w:w="804" w:type="dxa"/>
            <w:noWrap w:val="0"/>
            <w:vAlign w:val="center"/>
          </w:tcPr>
          <w:p w14:paraId="3D21C17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7BC04A5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375694D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1.为玻璃制冷凝器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2.规格：直固，长300mm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3.外管直径30mm</w:t>
            </w:r>
          </w:p>
        </w:tc>
      </w:tr>
      <w:tr w14:paraId="3118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06F9DE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r>
              <w:rPr>
                <w:rFonts w:hint="eastAsia" w:ascii="宋体" w:hAnsi="宋体" w:cs="宋体"/>
                <w:i w:val="0"/>
                <w:iCs w:val="0"/>
                <w:color w:val="auto"/>
                <w:kern w:val="0"/>
                <w:sz w:val="21"/>
                <w:szCs w:val="21"/>
                <w:u w:val="none"/>
                <w:lang w:val="en-US" w:eastAsia="zh-CN" w:bidi="ar"/>
              </w:rPr>
              <w:t>7</w:t>
            </w:r>
          </w:p>
        </w:tc>
        <w:tc>
          <w:tcPr>
            <w:tcW w:w="1215" w:type="dxa"/>
            <w:noWrap w:val="0"/>
            <w:vAlign w:val="center"/>
          </w:tcPr>
          <w:p w14:paraId="26740FF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冷凝器</w:t>
            </w:r>
          </w:p>
        </w:tc>
        <w:tc>
          <w:tcPr>
            <w:tcW w:w="804" w:type="dxa"/>
            <w:noWrap w:val="0"/>
            <w:vAlign w:val="center"/>
          </w:tcPr>
          <w:p w14:paraId="6E2434E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6E3B8E6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22BE178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1.为玻璃制冷凝器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2.规格：球形，长300mm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3.外管直径30mm，内管有五个球</w:t>
            </w:r>
          </w:p>
        </w:tc>
      </w:tr>
      <w:tr w14:paraId="1D18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CD96C9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r>
              <w:rPr>
                <w:rFonts w:hint="eastAsia" w:ascii="宋体" w:hAnsi="宋体" w:cs="宋体"/>
                <w:i w:val="0"/>
                <w:iCs w:val="0"/>
                <w:color w:val="auto"/>
                <w:kern w:val="0"/>
                <w:sz w:val="21"/>
                <w:szCs w:val="21"/>
                <w:u w:val="none"/>
                <w:lang w:val="en-US" w:eastAsia="zh-CN" w:bidi="ar"/>
              </w:rPr>
              <w:t>8</w:t>
            </w:r>
          </w:p>
        </w:tc>
        <w:tc>
          <w:tcPr>
            <w:tcW w:w="1215" w:type="dxa"/>
            <w:noWrap w:val="0"/>
            <w:vAlign w:val="center"/>
          </w:tcPr>
          <w:p w14:paraId="7DBCEDC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牛角管</w:t>
            </w:r>
          </w:p>
        </w:tc>
        <w:tc>
          <w:tcPr>
            <w:tcW w:w="804" w:type="dxa"/>
            <w:noWrap w:val="0"/>
            <w:vAlign w:val="center"/>
          </w:tcPr>
          <w:p w14:paraId="177E060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1A8040D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w:t>
            </w:r>
          </w:p>
        </w:tc>
        <w:tc>
          <w:tcPr>
            <w:tcW w:w="6351" w:type="dxa"/>
            <w:noWrap w:val="0"/>
            <w:vAlign w:val="center"/>
          </w:tcPr>
          <w:p w14:paraId="21B5B8D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1.为玻璃制牛角管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2.规格：弯形，φ18mm×150mm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3.管口卷边</w:t>
            </w:r>
          </w:p>
        </w:tc>
      </w:tr>
      <w:tr w14:paraId="3514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92114A9">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89</w:t>
            </w:r>
          </w:p>
        </w:tc>
        <w:tc>
          <w:tcPr>
            <w:tcW w:w="1215" w:type="dxa"/>
            <w:noWrap w:val="0"/>
            <w:vAlign w:val="center"/>
          </w:tcPr>
          <w:p w14:paraId="48AD83F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漏斗</w:t>
            </w:r>
          </w:p>
        </w:tc>
        <w:tc>
          <w:tcPr>
            <w:tcW w:w="804" w:type="dxa"/>
            <w:noWrap w:val="0"/>
            <w:vAlign w:val="center"/>
          </w:tcPr>
          <w:p w14:paraId="4846EEF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ACECED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w:t>
            </w:r>
          </w:p>
        </w:tc>
        <w:tc>
          <w:tcPr>
            <w:tcW w:w="6351" w:type="dxa"/>
            <w:noWrap w:val="0"/>
            <w:vAlign w:val="center"/>
          </w:tcPr>
          <w:p w14:paraId="12AF90A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2.最大口径为60mm,整的长度为110mm,壁厚不低于1.5mm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3.漏斗底部玻璃管直径7mm,长度55mm</w:t>
            </w:r>
          </w:p>
        </w:tc>
      </w:tr>
      <w:tr w14:paraId="0FA7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F03339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w:t>
            </w:r>
            <w:r>
              <w:rPr>
                <w:rFonts w:hint="eastAsia" w:ascii="宋体" w:hAnsi="宋体" w:cs="宋体"/>
                <w:i w:val="0"/>
                <w:iCs w:val="0"/>
                <w:color w:val="auto"/>
                <w:kern w:val="0"/>
                <w:sz w:val="21"/>
                <w:szCs w:val="21"/>
                <w:u w:val="none"/>
                <w:lang w:val="en-US" w:eastAsia="zh-CN" w:bidi="ar"/>
              </w:rPr>
              <w:t>0</w:t>
            </w:r>
          </w:p>
        </w:tc>
        <w:tc>
          <w:tcPr>
            <w:tcW w:w="1215" w:type="dxa"/>
            <w:noWrap w:val="0"/>
            <w:vAlign w:val="center"/>
          </w:tcPr>
          <w:p w14:paraId="5825F77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漏斗</w:t>
            </w:r>
          </w:p>
        </w:tc>
        <w:tc>
          <w:tcPr>
            <w:tcW w:w="804" w:type="dxa"/>
            <w:noWrap w:val="0"/>
            <w:vAlign w:val="center"/>
          </w:tcPr>
          <w:p w14:paraId="3B85B0C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A07E64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6351" w:type="dxa"/>
            <w:noWrap w:val="0"/>
            <w:vAlign w:val="center"/>
          </w:tcPr>
          <w:p w14:paraId="73E3410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2.最大口径为90mm,整的长度为155mm,壁厚不低于1.5mm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3.漏斗底部玻璃管直径10mm,长度85mm</w:t>
            </w:r>
          </w:p>
        </w:tc>
      </w:tr>
      <w:tr w14:paraId="36D0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FC210F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192</w:t>
            </w:r>
          </w:p>
        </w:tc>
        <w:tc>
          <w:tcPr>
            <w:tcW w:w="1215" w:type="dxa"/>
            <w:noWrap w:val="0"/>
            <w:vAlign w:val="center"/>
          </w:tcPr>
          <w:p w14:paraId="2A342AD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安全漏斗</w:t>
            </w:r>
          </w:p>
        </w:tc>
        <w:tc>
          <w:tcPr>
            <w:tcW w:w="804" w:type="dxa"/>
            <w:noWrap w:val="0"/>
            <w:vAlign w:val="center"/>
          </w:tcPr>
          <w:p w14:paraId="519BBA4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489FAB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249DA29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1.为玻璃制直形安全漏斗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2.整体长度不低于25mm,上部球直径不低于32mm,下部支管直径6-7mm</w:t>
            </w:r>
          </w:p>
        </w:tc>
      </w:tr>
      <w:tr w14:paraId="7314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21BD7D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193</w:t>
            </w:r>
          </w:p>
        </w:tc>
        <w:tc>
          <w:tcPr>
            <w:tcW w:w="1215" w:type="dxa"/>
            <w:noWrap w:val="0"/>
            <w:vAlign w:val="center"/>
          </w:tcPr>
          <w:p w14:paraId="59FAAB9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安全漏斗</w:t>
            </w:r>
          </w:p>
        </w:tc>
        <w:tc>
          <w:tcPr>
            <w:tcW w:w="804" w:type="dxa"/>
            <w:noWrap w:val="0"/>
            <w:vAlign w:val="center"/>
          </w:tcPr>
          <w:p w14:paraId="5562EFF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9CF6E2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62C7E02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1.为玻璃制双球安全漏斗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2.整体长度不低于22mm,上部球直径不低于32mm,下部支管直径7-8mm</w:t>
            </w:r>
          </w:p>
        </w:tc>
      </w:tr>
      <w:tr w14:paraId="59D78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DA1612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194</w:t>
            </w:r>
          </w:p>
        </w:tc>
        <w:tc>
          <w:tcPr>
            <w:tcW w:w="1215" w:type="dxa"/>
            <w:noWrap w:val="0"/>
            <w:vAlign w:val="center"/>
          </w:tcPr>
          <w:p w14:paraId="78CE7DE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分液漏斗</w:t>
            </w:r>
          </w:p>
        </w:tc>
        <w:tc>
          <w:tcPr>
            <w:tcW w:w="804" w:type="dxa"/>
            <w:noWrap w:val="0"/>
            <w:vAlign w:val="center"/>
          </w:tcPr>
          <w:p w14:paraId="0883258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B36143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18AA9FE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1.为玻璃制分液漏斗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2.规格：锥形，100mL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3.活塞为玻璃制，不漏水；顶部开口和塞子做磨砂处理</w:t>
            </w:r>
          </w:p>
        </w:tc>
      </w:tr>
      <w:tr w14:paraId="4FD4A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B751DD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195</w:t>
            </w:r>
          </w:p>
        </w:tc>
        <w:tc>
          <w:tcPr>
            <w:tcW w:w="1215" w:type="dxa"/>
            <w:noWrap w:val="0"/>
            <w:vAlign w:val="center"/>
          </w:tcPr>
          <w:p w14:paraId="4E63D38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分液漏斗</w:t>
            </w:r>
          </w:p>
        </w:tc>
        <w:tc>
          <w:tcPr>
            <w:tcW w:w="804" w:type="dxa"/>
            <w:noWrap w:val="0"/>
            <w:vAlign w:val="center"/>
          </w:tcPr>
          <w:p w14:paraId="67CE247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FF00EE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03F42FD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1.为玻璃制分液漏斗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2.规格：球形，50mL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3.活塞为玻璃制，不漏水；顶部开口和塞子做磨砂处理</w:t>
            </w:r>
          </w:p>
        </w:tc>
      </w:tr>
      <w:tr w14:paraId="117B2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EDFE0A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196</w:t>
            </w:r>
          </w:p>
        </w:tc>
        <w:tc>
          <w:tcPr>
            <w:tcW w:w="1215" w:type="dxa"/>
            <w:noWrap w:val="0"/>
            <w:vAlign w:val="center"/>
          </w:tcPr>
          <w:p w14:paraId="3E76B6C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布氏漏斗</w:t>
            </w:r>
          </w:p>
        </w:tc>
        <w:tc>
          <w:tcPr>
            <w:tcW w:w="804" w:type="dxa"/>
            <w:noWrap w:val="0"/>
            <w:vAlign w:val="center"/>
          </w:tcPr>
          <w:p w14:paraId="37E88DF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B9D189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745089B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1.为瓷制布氏漏斗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2.漏斗内径不低于80mm，高度105mm，漏斗底部均匀分布35个小孔</w:t>
            </w:r>
          </w:p>
        </w:tc>
      </w:tr>
      <w:tr w14:paraId="506E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00E09C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197</w:t>
            </w:r>
          </w:p>
        </w:tc>
        <w:tc>
          <w:tcPr>
            <w:tcW w:w="1215" w:type="dxa"/>
            <w:noWrap w:val="0"/>
            <w:vAlign w:val="center"/>
          </w:tcPr>
          <w:p w14:paraId="2886FF0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T形管</w:t>
            </w:r>
          </w:p>
        </w:tc>
        <w:tc>
          <w:tcPr>
            <w:tcW w:w="804" w:type="dxa"/>
            <w:noWrap w:val="0"/>
            <w:vAlign w:val="center"/>
          </w:tcPr>
          <w:p w14:paraId="0BC076F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8C735C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2A0043A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1.为玻璃管制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2.玻璃管直径为7mm～8mm，整体呈T形，连接点到三个顶点的距离均为50mm</w:t>
            </w:r>
          </w:p>
        </w:tc>
      </w:tr>
      <w:tr w14:paraId="2932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51D328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198</w:t>
            </w:r>
          </w:p>
        </w:tc>
        <w:tc>
          <w:tcPr>
            <w:tcW w:w="1215" w:type="dxa"/>
            <w:noWrap w:val="0"/>
            <w:vAlign w:val="center"/>
          </w:tcPr>
          <w:p w14:paraId="3E8F851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Y形管</w:t>
            </w:r>
          </w:p>
        </w:tc>
        <w:tc>
          <w:tcPr>
            <w:tcW w:w="804" w:type="dxa"/>
            <w:noWrap w:val="0"/>
            <w:vAlign w:val="center"/>
          </w:tcPr>
          <w:p w14:paraId="6C8FB8A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7AFC18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0E31FDE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1.为玻璃管制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2.玻璃管直径为7mm～8mm，整体呈Y形，连接点到三个顶点的距离均为50mm</w:t>
            </w:r>
          </w:p>
        </w:tc>
      </w:tr>
      <w:tr w14:paraId="55DD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7661B2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199</w:t>
            </w:r>
          </w:p>
        </w:tc>
        <w:tc>
          <w:tcPr>
            <w:tcW w:w="1215" w:type="dxa"/>
            <w:noWrap w:val="0"/>
            <w:vAlign w:val="center"/>
          </w:tcPr>
          <w:p w14:paraId="5572B05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离心管</w:t>
            </w:r>
          </w:p>
        </w:tc>
        <w:tc>
          <w:tcPr>
            <w:tcW w:w="804" w:type="dxa"/>
            <w:noWrap w:val="0"/>
            <w:vAlign w:val="center"/>
          </w:tcPr>
          <w:p w14:paraId="74BAC2E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0D00624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067F709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1.为玻璃制离心管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2.离心管柱直径16mm.长110mm,卷口，壁厚不低于1mm</w:t>
            </w:r>
          </w:p>
        </w:tc>
      </w:tr>
      <w:tr w14:paraId="5946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71AB4A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200</w:t>
            </w:r>
          </w:p>
        </w:tc>
        <w:tc>
          <w:tcPr>
            <w:tcW w:w="1215" w:type="dxa"/>
            <w:noWrap w:val="0"/>
            <w:vAlign w:val="center"/>
          </w:tcPr>
          <w:p w14:paraId="5A68703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干燥管</w:t>
            </w:r>
          </w:p>
        </w:tc>
        <w:tc>
          <w:tcPr>
            <w:tcW w:w="804" w:type="dxa"/>
            <w:noWrap w:val="0"/>
            <w:vAlign w:val="center"/>
          </w:tcPr>
          <w:p w14:paraId="43CC492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230A302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6351" w:type="dxa"/>
            <w:noWrap w:val="0"/>
            <w:vAlign w:val="center"/>
          </w:tcPr>
          <w:p w14:paraId="78718B5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1.为玻璃制单球干燥管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2.整体不低于长度150mm,球直径不低于30mm，玻璃管直径17mm，卷口</w:t>
            </w:r>
          </w:p>
        </w:tc>
      </w:tr>
      <w:tr w14:paraId="6B68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426A05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201</w:t>
            </w:r>
          </w:p>
        </w:tc>
        <w:tc>
          <w:tcPr>
            <w:tcW w:w="1215" w:type="dxa"/>
            <w:noWrap w:val="0"/>
            <w:vAlign w:val="center"/>
          </w:tcPr>
          <w:p w14:paraId="6BAFEEE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干燥管</w:t>
            </w:r>
          </w:p>
        </w:tc>
        <w:tc>
          <w:tcPr>
            <w:tcW w:w="804" w:type="dxa"/>
            <w:noWrap w:val="0"/>
            <w:vAlign w:val="center"/>
          </w:tcPr>
          <w:p w14:paraId="040AFA9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5663727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6351" w:type="dxa"/>
            <w:noWrap w:val="0"/>
            <w:vAlign w:val="center"/>
          </w:tcPr>
          <w:p w14:paraId="2B4D4C4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1.由高硼硅玻璃制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2.规格：U型φ15mm×150mm，壁厚不低于1mm</w:t>
            </w:r>
          </w:p>
        </w:tc>
      </w:tr>
      <w:tr w14:paraId="5ACC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912C53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w:t>
            </w:r>
          </w:p>
        </w:tc>
        <w:tc>
          <w:tcPr>
            <w:tcW w:w="1215" w:type="dxa"/>
            <w:noWrap w:val="0"/>
            <w:vAlign w:val="center"/>
          </w:tcPr>
          <w:p w14:paraId="50B17C3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干燥管</w:t>
            </w:r>
          </w:p>
        </w:tc>
        <w:tc>
          <w:tcPr>
            <w:tcW w:w="804" w:type="dxa"/>
            <w:noWrap w:val="0"/>
            <w:vAlign w:val="center"/>
          </w:tcPr>
          <w:p w14:paraId="1D5AEEF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43C8B68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351" w:type="dxa"/>
            <w:noWrap w:val="0"/>
            <w:vAlign w:val="center"/>
          </w:tcPr>
          <w:p w14:paraId="180D552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1.由高硼硅玻璃制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2.规格：U型φφ20mm×200mm，壁厚不低于1.2mm</w:t>
            </w:r>
          </w:p>
        </w:tc>
      </w:tr>
      <w:tr w14:paraId="0391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1AB0FA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203</w:t>
            </w:r>
          </w:p>
        </w:tc>
        <w:tc>
          <w:tcPr>
            <w:tcW w:w="1215" w:type="dxa"/>
            <w:noWrap w:val="0"/>
            <w:vAlign w:val="center"/>
          </w:tcPr>
          <w:p w14:paraId="781AF4F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干燥管</w:t>
            </w:r>
          </w:p>
        </w:tc>
        <w:tc>
          <w:tcPr>
            <w:tcW w:w="804" w:type="dxa"/>
            <w:noWrap w:val="0"/>
            <w:vAlign w:val="center"/>
          </w:tcPr>
          <w:p w14:paraId="0FA7CAA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3345D35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351" w:type="dxa"/>
            <w:noWrap w:val="0"/>
            <w:vAlign w:val="center"/>
          </w:tcPr>
          <w:p w14:paraId="0262DBA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1.由高硼硅玻璃制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2.规格：U型具支φ15mm×150mm，壁厚不低于1mm，支管直径7-8mm</w:t>
            </w:r>
          </w:p>
        </w:tc>
      </w:tr>
      <w:tr w14:paraId="07BB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10ECBB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204</w:t>
            </w:r>
          </w:p>
        </w:tc>
        <w:tc>
          <w:tcPr>
            <w:tcW w:w="1215" w:type="dxa"/>
            <w:noWrap w:val="0"/>
            <w:vAlign w:val="center"/>
          </w:tcPr>
          <w:p w14:paraId="69ECB0A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比色管</w:t>
            </w:r>
          </w:p>
        </w:tc>
        <w:tc>
          <w:tcPr>
            <w:tcW w:w="804" w:type="dxa"/>
            <w:noWrap w:val="0"/>
            <w:vAlign w:val="center"/>
          </w:tcPr>
          <w:p w14:paraId="329E41D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3F078F4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6351" w:type="dxa"/>
            <w:noWrap w:val="0"/>
            <w:vAlign w:val="center"/>
          </w:tcPr>
          <w:p w14:paraId="54D4014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1.由比色管和玻璃塞组成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2.比色管最大刻度为25ml，精度值0.5ml，玻璃管直径为20mm，盖帽呈六边形</w:t>
            </w:r>
          </w:p>
        </w:tc>
      </w:tr>
      <w:tr w14:paraId="1637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83CA50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205</w:t>
            </w:r>
          </w:p>
        </w:tc>
        <w:tc>
          <w:tcPr>
            <w:tcW w:w="1215" w:type="dxa"/>
            <w:noWrap w:val="0"/>
            <w:vAlign w:val="center"/>
          </w:tcPr>
          <w:p w14:paraId="7A0260D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活塞</w:t>
            </w:r>
          </w:p>
        </w:tc>
        <w:tc>
          <w:tcPr>
            <w:tcW w:w="804" w:type="dxa"/>
            <w:noWrap w:val="0"/>
            <w:vAlign w:val="center"/>
          </w:tcPr>
          <w:p w14:paraId="13A0FB9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05DD0F6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5B894A6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1.为玻璃制直形活塞</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2.整体长度不低于170mm,连接管直径7-8mm,活塞口外径不小于20mm，不漏水</w:t>
            </w:r>
          </w:p>
        </w:tc>
      </w:tr>
      <w:tr w14:paraId="781B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6965D1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206</w:t>
            </w:r>
          </w:p>
        </w:tc>
        <w:tc>
          <w:tcPr>
            <w:tcW w:w="1215" w:type="dxa"/>
            <w:noWrap w:val="0"/>
            <w:vAlign w:val="center"/>
          </w:tcPr>
          <w:p w14:paraId="6BA2B72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活塞</w:t>
            </w:r>
          </w:p>
        </w:tc>
        <w:tc>
          <w:tcPr>
            <w:tcW w:w="804" w:type="dxa"/>
            <w:noWrap w:val="0"/>
            <w:vAlign w:val="center"/>
          </w:tcPr>
          <w:p w14:paraId="6141D71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75683E7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485BB8D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1.为玻璃制T形活塞</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2.整体长度不低于170mm,连接管直径7-8mm,活塞口外径不小于22mm，不漏水</w:t>
            </w:r>
          </w:p>
        </w:tc>
      </w:tr>
      <w:tr w14:paraId="72FB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42B412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207</w:t>
            </w:r>
          </w:p>
        </w:tc>
        <w:tc>
          <w:tcPr>
            <w:tcW w:w="1215" w:type="dxa"/>
            <w:noWrap w:val="0"/>
            <w:vAlign w:val="center"/>
          </w:tcPr>
          <w:p w14:paraId="4A03D5A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圆水槽</w:t>
            </w:r>
          </w:p>
        </w:tc>
        <w:tc>
          <w:tcPr>
            <w:tcW w:w="804" w:type="dxa"/>
            <w:noWrap w:val="0"/>
            <w:vAlign w:val="center"/>
          </w:tcPr>
          <w:p w14:paraId="6DD0722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1623FA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6351" w:type="dxa"/>
            <w:noWrap w:val="0"/>
            <w:vAlign w:val="center"/>
          </w:tcPr>
          <w:p w14:paraId="4023C91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2.规格为φ200mm×100mm，壁厚不低于8mm</w:t>
            </w:r>
          </w:p>
        </w:tc>
      </w:tr>
      <w:tr w14:paraId="4CE7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E24FF1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208</w:t>
            </w:r>
          </w:p>
        </w:tc>
        <w:tc>
          <w:tcPr>
            <w:tcW w:w="1215" w:type="dxa"/>
            <w:noWrap w:val="0"/>
            <w:vAlign w:val="center"/>
          </w:tcPr>
          <w:p w14:paraId="022693C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圆水槽</w:t>
            </w:r>
          </w:p>
        </w:tc>
        <w:tc>
          <w:tcPr>
            <w:tcW w:w="804" w:type="dxa"/>
            <w:noWrap w:val="0"/>
            <w:vAlign w:val="center"/>
          </w:tcPr>
          <w:p w14:paraId="58DBA42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E323D9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351" w:type="dxa"/>
            <w:noWrap w:val="0"/>
            <w:vAlign w:val="center"/>
          </w:tcPr>
          <w:p w14:paraId="25F38B2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2.规格为φ270mm×140mm，壁厚不低于8mm</w:t>
            </w:r>
          </w:p>
        </w:tc>
      </w:tr>
      <w:tr w14:paraId="68B7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DC87A3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209</w:t>
            </w:r>
          </w:p>
        </w:tc>
        <w:tc>
          <w:tcPr>
            <w:tcW w:w="1215" w:type="dxa"/>
            <w:noWrap w:val="0"/>
            <w:vAlign w:val="center"/>
          </w:tcPr>
          <w:p w14:paraId="3A14A18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玻璃钟罩</w:t>
            </w:r>
          </w:p>
        </w:tc>
        <w:tc>
          <w:tcPr>
            <w:tcW w:w="804" w:type="dxa"/>
            <w:noWrap w:val="0"/>
            <w:vAlign w:val="center"/>
          </w:tcPr>
          <w:p w14:paraId="3093F00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E380BC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06AD647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2.规格：φ150mm×280mm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3.具上口，开口内径30mm,壁厚不低于4mm,整体壁厚不低于2mm</w:t>
            </w:r>
          </w:p>
        </w:tc>
      </w:tr>
      <w:tr w14:paraId="1A40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992116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210</w:t>
            </w:r>
          </w:p>
        </w:tc>
        <w:tc>
          <w:tcPr>
            <w:tcW w:w="1215" w:type="dxa"/>
            <w:noWrap w:val="0"/>
            <w:vAlign w:val="center"/>
          </w:tcPr>
          <w:p w14:paraId="64C076F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钴玻璃片</w:t>
            </w:r>
          </w:p>
        </w:tc>
        <w:tc>
          <w:tcPr>
            <w:tcW w:w="804" w:type="dxa"/>
            <w:noWrap w:val="0"/>
            <w:vAlign w:val="center"/>
          </w:tcPr>
          <w:p w14:paraId="0BB9049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9942EB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592E265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1.为含钴玻璃制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2.尺寸不低于50*100mm，厚度不低于2mm</w:t>
            </w:r>
          </w:p>
        </w:tc>
      </w:tr>
      <w:tr w14:paraId="6ED2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3DC5CA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211</w:t>
            </w:r>
          </w:p>
        </w:tc>
        <w:tc>
          <w:tcPr>
            <w:tcW w:w="1215" w:type="dxa"/>
            <w:noWrap w:val="0"/>
            <w:vAlign w:val="center"/>
          </w:tcPr>
          <w:p w14:paraId="52FE26A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集气瓶</w:t>
            </w:r>
          </w:p>
        </w:tc>
        <w:tc>
          <w:tcPr>
            <w:tcW w:w="804" w:type="dxa"/>
            <w:noWrap w:val="0"/>
            <w:vAlign w:val="center"/>
          </w:tcPr>
          <w:p w14:paraId="77E61D7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DE424B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6351" w:type="dxa"/>
            <w:noWrap w:val="0"/>
            <w:vAlign w:val="center"/>
          </w:tcPr>
          <w:p w14:paraId="37C9DB3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1.由集气瓶和毛玻璃片组成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2.集气瓶为高硼硅玻璃制造，容量：125ml,底部直径54mm,开口外径42mm,壁厚不低于2mm，高99mm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3.毛玻璃片的尺寸为：45*45mm,厚3mm</w:t>
            </w:r>
          </w:p>
        </w:tc>
      </w:tr>
      <w:tr w14:paraId="42618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432F02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212</w:t>
            </w:r>
          </w:p>
        </w:tc>
        <w:tc>
          <w:tcPr>
            <w:tcW w:w="1215" w:type="dxa"/>
            <w:noWrap w:val="0"/>
            <w:vAlign w:val="center"/>
          </w:tcPr>
          <w:p w14:paraId="0B6B531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集气瓶</w:t>
            </w:r>
          </w:p>
        </w:tc>
        <w:tc>
          <w:tcPr>
            <w:tcW w:w="804" w:type="dxa"/>
            <w:noWrap w:val="0"/>
            <w:vAlign w:val="center"/>
          </w:tcPr>
          <w:p w14:paraId="374BD5A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9F90D9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08FE584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1.由集气瓶和毛玻璃片组成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2.集气瓶为高硼硅玻璃制造，容量：250ml,底部直径66mm,开口外径51mm,壁厚不低于2mm，高124mm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3.毛玻璃片的尺寸为：55*55mm,厚3mm</w:t>
            </w:r>
          </w:p>
        </w:tc>
      </w:tr>
      <w:tr w14:paraId="5E9B4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A7CA55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213</w:t>
            </w:r>
          </w:p>
        </w:tc>
        <w:tc>
          <w:tcPr>
            <w:tcW w:w="1215" w:type="dxa"/>
            <w:noWrap w:val="0"/>
            <w:vAlign w:val="center"/>
          </w:tcPr>
          <w:p w14:paraId="50283B1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集气瓶</w:t>
            </w:r>
          </w:p>
        </w:tc>
        <w:tc>
          <w:tcPr>
            <w:tcW w:w="804" w:type="dxa"/>
            <w:noWrap w:val="0"/>
            <w:vAlign w:val="center"/>
          </w:tcPr>
          <w:p w14:paraId="375F005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19F833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6351" w:type="dxa"/>
            <w:noWrap w:val="0"/>
            <w:vAlign w:val="center"/>
          </w:tcPr>
          <w:p w14:paraId="3CD519F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1.由集气瓶和毛玻璃片组成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2.集气瓶为高硼硅玻璃制造，容量：500ml,底部直径81mm,开口外径58mm,壁厚不低于2mm，高160mm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3.毛玻璃片的尺寸为：65*65mm,厚3mm</w:t>
            </w:r>
          </w:p>
        </w:tc>
      </w:tr>
      <w:tr w14:paraId="3B7F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D94528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214</w:t>
            </w:r>
          </w:p>
        </w:tc>
        <w:tc>
          <w:tcPr>
            <w:tcW w:w="1215" w:type="dxa"/>
            <w:noWrap w:val="0"/>
            <w:vAlign w:val="center"/>
          </w:tcPr>
          <w:p w14:paraId="1CA2803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液封除毒气集气瓶</w:t>
            </w:r>
          </w:p>
        </w:tc>
        <w:tc>
          <w:tcPr>
            <w:tcW w:w="804" w:type="dxa"/>
            <w:noWrap w:val="0"/>
            <w:vAlign w:val="center"/>
          </w:tcPr>
          <w:p w14:paraId="6602A77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F47981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1C09BBE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1.由长颈集气瓶、开口玻璃盖、胶塞、燃烧匙、毛玻片等组成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2.容量250mL；直径58mm；总高度200mm</w:t>
            </w:r>
          </w:p>
        </w:tc>
      </w:tr>
      <w:tr w14:paraId="08BA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A8A164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215</w:t>
            </w:r>
          </w:p>
        </w:tc>
        <w:tc>
          <w:tcPr>
            <w:tcW w:w="1215" w:type="dxa"/>
            <w:noWrap w:val="0"/>
            <w:vAlign w:val="center"/>
          </w:tcPr>
          <w:p w14:paraId="57098A3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广口瓶</w:t>
            </w:r>
          </w:p>
        </w:tc>
        <w:tc>
          <w:tcPr>
            <w:tcW w:w="804" w:type="dxa"/>
            <w:noWrap w:val="0"/>
            <w:vAlign w:val="center"/>
          </w:tcPr>
          <w:p w14:paraId="400E087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AF99DC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77C3BCA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2.容量：60mL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3.底部直径：44mm,不含瓶塞高76mm,开口直径25mm，壁厚不低于2mm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4.瓶口上部内侧和瓶盖下部外侧做磨砂处理</w:t>
            </w:r>
          </w:p>
        </w:tc>
      </w:tr>
      <w:tr w14:paraId="1940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36DAB5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216</w:t>
            </w:r>
          </w:p>
        </w:tc>
        <w:tc>
          <w:tcPr>
            <w:tcW w:w="1215" w:type="dxa"/>
            <w:noWrap w:val="0"/>
            <w:vAlign w:val="center"/>
          </w:tcPr>
          <w:p w14:paraId="2C839AC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广口瓶</w:t>
            </w:r>
          </w:p>
        </w:tc>
        <w:tc>
          <w:tcPr>
            <w:tcW w:w="804" w:type="dxa"/>
            <w:noWrap w:val="0"/>
            <w:vAlign w:val="center"/>
          </w:tcPr>
          <w:p w14:paraId="5BE053A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526EA2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80</w:t>
            </w:r>
          </w:p>
        </w:tc>
        <w:tc>
          <w:tcPr>
            <w:tcW w:w="6351" w:type="dxa"/>
            <w:noWrap w:val="0"/>
            <w:vAlign w:val="center"/>
          </w:tcPr>
          <w:p w14:paraId="6920910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2.容量：125mL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3.底部直径：54mm,不含瓶塞高102mm,开口直径33mm，壁厚不低于2mm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4.瓶口上部内侧和瓶盖下部外侧做磨砂处理</w:t>
            </w:r>
          </w:p>
        </w:tc>
      </w:tr>
      <w:tr w14:paraId="26D5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411BE0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217</w:t>
            </w:r>
          </w:p>
        </w:tc>
        <w:tc>
          <w:tcPr>
            <w:tcW w:w="1215" w:type="dxa"/>
            <w:noWrap w:val="0"/>
            <w:vAlign w:val="center"/>
          </w:tcPr>
          <w:p w14:paraId="2EFF57F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广口瓶</w:t>
            </w:r>
          </w:p>
        </w:tc>
        <w:tc>
          <w:tcPr>
            <w:tcW w:w="804" w:type="dxa"/>
            <w:noWrap w:val="0"/>
            <w:vAlign w:val="center"/>
          </w:tcPr>
          <w:p w14:paraId="3C69F8B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CC61AF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6351" w:type="dxa"/>
            <w:noWrap w:val="0"/>
            <w:vAlign w:val="center"/>
          </w:tcPr>
          <w:p w14:paraId="14247FC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2.容量：250mL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3.底部直径：66mm,不含瓶塞高123mm,开口直径38mm，壁厚不低于2mm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4.瓶口上部内侧和瓶盖下部外侧做磨砂处理</w:t>
            </w:r>
          </w:p>
        </w:tc>
      </w:tr>
      <w:tr w14:paraId="390D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FA187F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218</w:t>
            </w:r>
          </w:p>
        </w:tc>
        <w:tc>
          <w:tcPr>
            <w:tcW w:w="1215" w:type="dxa"/>
            <w:noWrap w:val="0"/>
            <w:vAlign w:val="center"/>
          </w:tcPr>
          <w:p w14:paraId="58D9099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广口瓶</w:t>
            </w:r>
          </w:p>
        </w:tc>
        <w:tc>
          <w:tcPr>
            <w:tcW w:w="804" w:type="dxa"/>
            <w:noWrap w:val="0"/>
            <w:vAlign w:val="center"/>
          </w:tcPr>
          <w:p w14:paraId="1FACDA3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C2EC66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6351" w:type="dxa"/>
            <w:noWrap w:val="0"/>
            <w:vAlign w:val="center"/>
          </w:tcPr>
          <w:p w14:paraId="328E3AA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2.容量：500mL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3.底部直径：80mm,不含瓶塞高160mm,开口直径45mm，壁厚不低于2mm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4.瓶口上部内侧和瓶盖下部外侧做磨砂处理</w:t>
            </w:r>
          </w:p>
        </w:tc>
      </w:tr>
      <w:tr w14:paraId="30E32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98425D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219</w:t>
            </w:r>
          </w:p>
        </w:tc>
        <w:tc>
          <w:tcPr>
            <w:tcW w:w="1215" w:type="dxa"/>
            <w:noWrap w:val="0"/>
            <w:vAlign w:val="center"/>
          </w:tcPr>
          <w:p w14:paraId="1A8DB88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广口瓶</w:t>
            </w:r>
          </w:p>
        </w:tc>
        <w:tc>
          <w:tcPr>
            <w:tcW w:w="804" w:type="dxa"/>
            <w:noWrap w:val="0"/>
            <w:vAlign w:val="center"/>
          </w:tcPr>
          <w:p w14:paraId="16367FD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A42985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6351" w:type="dxa"/>
            <w:noWrap w:val="0"/>
            <w:vAlign w:val="center"/>
          </w:tcPr>
          <w:p w14:paraId="5034ABB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2.规格：棕色60mL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3.底部直径：44mm,不含瓶塞高81mm,开口直径25mm，壁厚不低于2mm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4.瓶口上部内侧和瓶盖下部外侧做磨砂处理</w:t>
            </w:r>
          </w:p>
        </w:tc>
      </w:tr>
      <w:tr w14:paraId="5BF3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96D2A1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220</w:t>
            </w:r>
          </w:p>
        </w:tc>
        <w:tc>
          <w:tcPr>
            <w:tcW w:w="1215" w:type="dxa"/>
            <w:noWrap w:val="0"/>
            <w:vAlign w:val="center"/>
          </w:tcPr>
          <w:p w14:paraId="02573FD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广口瓶</w:t>
            </w:r>
          </w:p>
        </w:tc>
        <w:tc>
          <w:tcPr>
            <w:tcW w:w="804" w:type="dxa"/>
            <w:noWrap w:val="0"/>
            <w:vAlign w:val="center"/>
          </w:tcPr>
          <w:p w14:paraId="26B0FF9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BE9134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1E7031C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2.规格：棕色125mL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3.底部直径：56mm,不含瓶塞高104mm,开口直径30mm，壁厚不低于2mm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4.瓶口上部内侧和瓶盖下部外侧做磨砂处理</w:t>
            </w:r>
          </w:p>
        </w:tc>
      </w:tr>
      <w:tr w14:paraId="0945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146B68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221</w:t>
            </w:r>
          </w:p>
        </w:tc>
        <w:tc>
          <w:tcPr>
            <w:tcW w:w="1215" w:type="dxa"/>
            <w:noWrap w:val="0"/>
            <w:vAlign w:val="center"/>
          </w:tcPr>
          <w:p w14:paraId="19B0D30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广口瓶</w:t>
            </w:r>
          </w:p>
        </w:tc>
        <w:tc>
          <w:tcPr>
            <w:tcW w:w="804" w:type="dxa"/>
            <w:noWrap w:val="0"/>
            <w:vAlign w:val="center"/>
          </w:tcPr>
          <w:p w14:paraId="2C046FB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50A22F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24FAE9C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2.规格：棕色250mL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3.底部直径：66mm,不含瓶塞高125mm,开口直径38mm，壁厚不低于2mm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4.瓶口上部内侧和瓶盖下部外侧做磨砂处理</w:t>
            </w:r>
          </w:p>
        </w:tc>
      </w:tr>
      <w:tr w14:paraId="628B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0D96F7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222</w:t>
            </w:r>
          </w:p>
        </w:tc>
        <w:tc>
          <w:tcPr>
            <w:tcW w:w="1215" w:type="dxa"/>
            <w:noWrap w:val="0"/>
            <w:vAlign w:val="center"/>
          </w:tcPr>
          <w:p w14:paraId="2B88575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细口瓶</w:t>
            </w:r>
          </w:p>
        </w:tc>
        <w:tc>
          <w:tcPr>
            <w:tcW w:w="804" w:type="dxa"/>
            <w:noWrap w:val="0"/>
            <w:vAlign w:val="center"/>
          </w:tcPr>
          <w:p w14:paraId="7B3C298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C877F3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70</w:t>
            </w:r>
          </w:p>
        </w:tc>
        <w:tc>
          <w:tcPr>
            <w:tcW w:w="6351" w:type="dxa"/>
            <w:noWrap w:val="0"/>
            <w:vAlign w:val="center"/>
          </w:tcPr>
          <w:p w14:paraId="75E828D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2.容量：60mL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3.底部直径：44mm,不含瓶塞高76mm,开口直径17mm，壁厚不低于2mm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4.瓶口上部内侧和瓶盖下部外侧做磨砂处理</w:t>
            </w:r>
          </w:p>
        </w:tc>
      </w:tr>
      <w:tr w14:paraId="79B8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606C1E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223</w:t>
            </w:r>
          </w:p>
        </w:tc>
        <w:tc>
          <w:tcPr>
            <w:tcW w:w="1215" w:type="dxa"/>
            <w:noWrap w:val="0"/>
            <w:vAlign w:val="center"/>
          </w:tcPr>
          <w:p w14:paraId="56876E1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细口瓶</w:t>
            </w:r>
          </w:p>
        </w:tc>
        <w:tc>
          <w:tcPr>
            <w:tcW w:w="804" w:type="dxa"/>
            <w:noWrap w:val="0"/>
            <w:vAlign w:val="center"/>
          </w:tcPr>
          <w:p w14:paraId="231D15B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B566A3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2CEF5BE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2.容量：125mL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3.底部直径：58mm,不含瓶塞高102mm,开口直径18mm，壁厚不低于2mm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4.瓶口上部内侧和瓶盖下部外侧做磨砂处理</w:t>
            </w:r>
          </w:p>
        </w:tc>
      </w:tr>
      <w:tr w14:paraId="208C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CE97C2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224</w:t>
            </w:r>
          </w:p>
        </w:tc>
        <w:tc>
          <w:tcPr>
            <w:tcW w:w="1215" w:type="dxa"/>
            <w:noWrap w:val="0"/>
            <w:vAlign w:val="center"/>
          </w:tcPr>
          <w:p w14:paraId="445E2CC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细口瓶</w:t>
            </w:r>
          </w:p>
        </w:tc>
        <w:tc>
          <w:tcPr>
            <w:tcW w:w="804" w:type="dxa"/>
            <w:noWrap w:val="0"/>
            <w:vAlign w:val="center"/>
          </w:tcPr>
          <w:p w14:paraId="68713CB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10FDBC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80</w:t>
            </w:r>
          </w:p>
        </w:tc>
        <w:tc>
          <w:tcPr>
            <w:tcW w:w="6351" w:type="dxa"/>
            <w:noWrap w:val="0"/>
            <w:vAlign w:val="center"/>
          </w:tcPr>
          <w:p w14:paraId="70E0D6F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2.容量：250mL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3.底部直径：64mm,不含瓶塞高125mm,开口直径23mm，壁厚不低于2mm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4.瓶口上部内侧和瓶盖下部外侧做磨砂处理</w:t>
            </w:r>
          </w:p>
        </w:tc>
      </w:tr>
      <w:tr w14:paraId="08F1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B77E1C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225</w:t>
            </w:r>
          </w:p>
        </w:tc>
        <w:tc>
          <w:tcPr>
            <w:tcW w:w="1215" w:type="dxa"/>
            <w:noWrap w:val="0"/>
            <w:vAlign w:val="center"/>
          </w:tcPr>
          <w:p w14:paraId="3FE81FC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细口瓶</w:t>
            </w:r>
          </w:p>
        </w:tc>
        <w:tc>
          <w:tcPr>
            <w:tcW w:w="804" w:type="dxa"/>
            <w:noWrap w:val="0"/>
            <w:vAlign w:val="center"/>
          </w:tcPr>
          <w:p w14:paraId="0598718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B78D98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294880D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2.容量：500mL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3.底部直径：80mm,不含瓶塞高160mm,开口直径26mm，壁厚不低于2mm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4.瓶口上部内侧和瓶盖下部外侧做磨砂处理</w:t>
            </w:r>
          </w:p>
        </w:tc>
      </w:tr>
      <w:tr w14:paraId="6D70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18A8EF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226</w:t>
            </w:r>
          </w:p>
        </w:tc>
        <w:tc>
          <w:tcPr>
            <w:tcW w:w="1215" w:type="dxa"/>
            <w:noWrap w:val="0"/>
            <w:vAlign w:val="center"/>
          </w:tcPr>
          <w:p w14:paraId="08B855E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细口瓶</w:t>
            </w:r>
          </w:p>
        </w:tc>
        <w:tc>
          <w:tcPr>
            <w:tcW w:w="804" w:type="dxa"/>
            <w:noWrap w:val="0"/>
            <w:vAlign w:val="center"/>
          </w:tcPr>
          <w:p w14:paraId="7A1D1F0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5AE4D5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260AA28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2.容量：1000mL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3.底部直径：105mm,不含瓶塞高195mm,开口直径32mm，壁厚不低于2mm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4.瓶口上部内侧和瓶盖下部外侧做磨砂处理</w:t>
            </w:r>
          </w:p>
        </w:tc>
      </w:tr>
      <w:tr w14:paraId="5BE2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BB09C9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227</w:t>
            </w:r>
          </w:p>
        </w:tc>
        <w:tc>
          <w:tcPr>
            <w:tcW w:w="1215" w:type="dxa"/>
            <w:noWrap w:val="0"/>
            <w:vAlign w:val="center"/>
          </w:tcPr>
          <w:p w14:paraId="6423200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细口瓶</w:t>
            </w:r>
          </w:p>
        </w:tc>
        <w:tc>
          <w:tcPr>
            <w:tcW w:w="804" w:type="dxa"/>
            <w:noWrap w:val="0"/>
            <w:vAlign w:val="center"/>
          </w:tcPr>
          <w:p w14:paraId="6291E84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0DD687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351" w:type="dxa"/>
            <w:noWrap w:val="0"/>
            <w:vAlign w:val="center"/>
          </w:tcPr>
          <w:p w14:paraId="46B718B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2.容量：3000mL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3.底部直径：160mm,不含瓶塞高265mm,开口直径45mm，壁厚不低于2mm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4.瓶口上部内侧和瓶盖下部外侧做磨砂处理</w:t>
            </w:r>
          </w:p>
        </w:tc>
      </w:tr>
      <w:tr w14:paraId="7AD5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610350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228</w:t>
            </w:r>
          </w:p>
        </w:tc>
        <w:tc>
          <w:tcPr>
            <w:tcW w:w="1215" w:type="dxa"/>
            <w:noWrap w:val="0"/>
            <w:vAlign w:val="center"/>
          </w:tcPr>
          <w:p w14:paraId="73F361B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细口瓶</w:t>
            </w:r>
          </w:p>
        </w:tc>
        <w:tc>
          <w:tcPr>
            <w:tcW w:w="804" w:type="dxa"/>
            <w:noWrap w:val="0"/>
            <w:vAlign w:val="center"/>
          </w:tcPr>
          <w:p w14:paraId="375C332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014800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6351" w:type="dxa"/>
            <w:noWrap w:val="0"/>
            <w:vAlign w:val="center"/>
          </w:tcPr>
          <w:p w14:paraId="356FA82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2.规格：棕色60mL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3.底部直径：44mm,不含瓶塞高81mm,开口直径17mm，壁厚不低于2mm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4.瓶口上部内侧和瓶盖下部外侧做磨砂处理</w:t>
            </w:r>
          </w:p>
        </w:tc>
      </w:tr>
      <w:tr w14:paraId="18A8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29BB03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229</w:t>
            </w:r>
          </w:p>
        </w:tc>
        <w:tc>
          <w:tcPr>
            <w:tcW w:w="1215" w:type="dxa"/>
            <w:noWrap w:val="0"/>
            <w:vAlign w:val="center"/>
          </w:tcPr>
          <w:p w14:paraId="3206D65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细口瓶</w:t>
            </w:r>
          </w:p>
        </w:tc>
        <w:tc>
          <w:tcPr>
            <w:tcW w:w="804" w:type="dxa"/>
            <w:noWrap w:val="0"/>
            <w:vAlign w:val="center"/>
          </w:tcPr>
          <w:p w14:paraId="5076B18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D3FE55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6351" w:type="dxa"/>
            <w:noWrap w:val="0"/>
            <w:vAlign w:val="center"/>
          </w:tcPr>
          <w:p w14:paraId="2B40F6C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2.规格：棕色125mL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3.底部直径：57mm,不含瓶塞高102mm,开口直径18mm，壁厚不低于2mm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4.瓶口上部内侧和瓶盖下部外侧做磨砂处理</w:t>
            </w:r>
          </w:p>
        </w:tc>
      </w:tr>
      <w:tr w14:paraId="7306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2E9D86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230</w:t>
            </w:r>
          </w:p>
        </w:tc>
        <w:tc>
          <w:tcPr>
            <w:tcW w:w="1215" w:type="dxa"/>
            <w:noWrap w:val="0"/>
            <w:vAlign w:val="center"/>
          </w:tcPr>
          <w:p w14:paraId="44E79FB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细口瓶</w:t>
            </w:r>
          </w:p>
        </w:tc>
        <w:tc>
          <w:tcPr>
            <w:tcW w:w="804" w:type="dxa"/>
            <w:noWrap w:val="0"/>
            <w:vAlign w:val="center"/>
          </w:tcPr>
          <w:p w14:paraId="5745200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AE054C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5E3A306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2.规格：棕色250mL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3.底部直径：66mm,不含瓶塞高127mm,开口直径23mm，壁厚不低于2mm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4.瓶口上部内侧和瓶盖下部外侧做磨砂处理</w:t>
            </w:r>
          </w:p>
        </w:tc>
      </w:tr>
      <w:tr w14:paraId="1986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98D85C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231</w:t>
            </w:r>
          </w:p>
        </w:tc>
        <w:tc>
          <w:tcPr>
            <w:tcW w:w="1215" w:type="dxa"/>
            <w:noWrap w:val="0"/>
            <w:vAlign w:val="center"/>
          </w:tcPr>
          <w:p w14:paraId="105B6A6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细口瓶</w:t>
            </w:r>
          </w:p>
        </w:tc>
        <w:tc>
          <w:tcPr>
            <w:tcW w:w="804" w:type="dxa"/>
            <w:noWrap w:val="0"/>
            <w:vAlign w:val="center"/>
          </w:tcPr>
          <w:p w14:paraId="5E39C5D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F1A29D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6351" w:type="dxa"/>
            <w:noWrap w:val="0"/>
            <w:vAlign w:val="center"/>
          </w:tcPr>
          <w:p w14:paraId="7B7DB2C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2.规格：棕色500mL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3.底部直径：80mm,不含瓶塞高160mm,开口直径26mm，壁厚不低于2mm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4.瓶口上部内侧和瓶盖下部外侧做磨砂处理</w:t>
            </w:r>
          </w:p>
        </w:tc>
      </w:tr>
      <w:tr w14:paraId="0804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90D16F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232</w:t>
            </w:r>
          </w:p>
        </w:tc>
        <w:tc>
          <w:tcPr>
            <w:tcW w:w="1215" w:type="dxa"/>
            <w:noWrap w:val="0"/>
            <w:vAlign w:val="center"/>
          </w:tcPr>
          <w:p w14:paraId="735B1A3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细口瓶</w:t>
            </w:r>
          </w:p>
        </w:tc>
        <w:tc>
          <w:tcPr>
            <w:tcW w:w="804" w:type="dxa"/>
            <w:noWrap w:val="0"/>
            <w:vAlign w:val="center"/>
          </w:tcPr>
          <w:p w14:paraId="7CE5724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4ECF60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6351" w:type="dxa"/>
            <w:noWrap w:val="0"/>
            <w:vAlign w:val="center"/>
          </w:tcPr>
          <w:p w14:paraId="63BF913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2.规格：棕色1000mL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3.底部直径：103mm,不含瓶塞高195mm,开口直径32mm，壁厚不低于2mm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4.瓶口上部内侧和瓶盖下部外侧做磨砂处理</w:t>
            </w:r>
          </w:p>
        </w:tc>
      </w:tr>
      <w:tr w14:paraId="0990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83A6BC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233</w:t>
            </w:r>
          </w:p>
        </w:tc>
        <w:tc>
          <w:tcPr>
            <w:tcW w:w="1215" w:type="dxa"/>
            <w:noWrap w:val="0"/>
            <w:vAlign w:val="center"/>
          </w:tcPr>
          <w:p w14:paraId="3BC4980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细口瓶</w:t>
            </w:r>
          </w:p>
        </w:tc>
        <w:tc>
          <w:tcPr>
            <w:tcW w:w="804" w:type="dxa"/>
            <w:noWrap w:val="0"/>
            <w:vAlign w:val="center"/>
          </w:tcPr>
          <w:p w14:paraId="7ECBA23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B1E4CB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6351" w:type="dxa"/>
            <w:noWrap w:val="0"/>
            <w:vAlign w:val="center"/>
          </w:tcPr>
          <w:p w14:paraId="27DBF17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2.规格：棕色3000mL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3.底部直径：145mm,不含瓶塞高270mm,开口直径45mm，壁厚不低于2mm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4.瓶口上部内侧和瓶盖下部外侧做磨砂处理</w:t>
            </w:r>
          </w:p>
        </w:tc>
      </w:tr>
      <w:tr w14:paraId="13A11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3369A9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234</w:t>
            </w:r>
          </w:p>
        </w:tc>
        <w:tc>
          <w:tcPr>
            <w:tcW w:w="1215" w:type="dxa"/>
            <w:noWrap w:val="0"/>
            <w:vAlign w:val="center"/>
          </w:tcPr>
          <w:p w14:paraId="21D9B53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下口瓶</w:t>
            </w:r>
          </w:p>
        </w:tc>
        <w:tc>
          <w:tcPr>
            <w:tcW w:w="804" w:type="dxa"/>
            <w:noWrap w:val="0"/>
            <w:vAlign w:val="center"/>
          </w:tcPr>
          <w:p w14:paraId="0A2E17A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611B98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351" w:type="dxa"/>
            <w:noWrap w:val="0"/>
            <w:vAlign w:val="center"/>
          </w:tcPr>
          <w:p w14:paraId="0675678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2.容量：3000mL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3.底部直径：160mm,不含瓶塞高325mm,开口直径50mm，壁厚不低于4mm；出水口开口直径23mm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4.瓶口上部内侧和瓶盖下部外侧做磨砂处理</w:t>
            </w:r>
          </w:p>
        </w:tc>
      </w:tr>
      <w:tr w14:paraId="58B7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55572F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235</w:t>
            </w:r>
          </w:p>
        </w:tc>
        <w:tc>
          <w:tcPr>
            <w:tcW w:w="1215" w:type="dxa"/>
            <w:noWrap w:val="0"/>
            <w:vAlign w:val="center"/>
          </w:tcPr>
          <w:p w14:paraId="70496A8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滴瓶</w:t>
            </w:r>
          </w:p>
        </w:tc>
        <w:tc>
          <w:tcPr>
            <w:tcW w:w="804" w:type="dxa"/>
            <w:noWrap w:val="0"/>
            <w:vAlign w:val="center"/>
          </w:tcPr>
          <w:p w14:paraId="277A42E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1ED4D8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6351" w:type="dxa"/>
            <w:noWrap w:val="0"/>
            <w:vAlign w:val="center"/>
          </w:tcPr>
          <w:p w14:paraId="635DF98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1.全部由高硼硅玻璃制造，无明显气泡,由细口瓶、滴头和胶头组成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2.规格：30mL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4.滴头做翻口处理，瓶口上部内侧和滴头外侧做磨砂处理</w:t>
            </w:r>
          </w:p>
        </w:tc>
      </w:tr>
      <w:tr w14:paraId="0AA4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61059A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236</w:t>
            </w:r>
          </w:p>
        </w:tc>
        <w:tc>
          <w:tcPr>
            <w:tcW w:w="1215" w:type="dxa"/>
            <w:noWrap w:val="0"/>
            <w:vAlign w:val="center"/>
          </w:tcPr>
          <w:p w14:paraId="28848CD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滴瓶</w:t>
            </w:r>
          </w:p>
        </w:tc>
        <w:tc>
          <w:tcPr>
            <w:tcW w:w="804" w:type="dxa"/>
            <w:noWrap w:val="0"/>
            <w:vAlign w:val="center"/>
          </w:tcPr>
          <w:p w14:paraId="1F56285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29047D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6A5AA6E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1.全部由高硼硅玻璃制造，无明显气泡,由细口瓶、滴头和胶头组成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2.规格：60mL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4.滴头做翻口处理，瓶口上部内侧和滴头外侧做磨砂处理</w:t>
            </w:r>
          </w:p>
        </w:tc>
      </w:tr>
      <w:tr w14:paraId="1E17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9176D3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237</w:t>
            </w:r>
          </w:p>
        </w:tc>
        <w:tc>
          <w:tcPr>
            <w:tcW w:w="1215" w:type="dxa"/>
            <w:noWrap w:val="0"/>
            <w:vAlign w:val="center"/>
          </w:tcPr>
          <w:p w14:paraId="48E060A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滴瓶</w:t>
            </w:r>
          </w:p>
        </w:tc>
        <w:tc>
          <w:tcPr>
            <w:tcW w:w="804" w:type="dxa"/>
            <w:noWrap w:val="0"/>
            <w:vAlign w:val="center"/>
          </w:tcPr>
          <w:p w14:paraId="68C5F59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FCCC96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6351" w:type="dxa"/>
            <w:noWrap w:val="0"/>
            <w:vAlign w:val="center"/>
          </w:tcPr>
          <w:p w14:paraId="32D3C42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1.全部由高硼硅玻璃制造，无明显气泡,由细口瓶、滴头和胶头组成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2.规格：棕色30mL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4.滴头做翻口处理，瓶口上部内侧和滴头外侧做磨砂处理</w:t>
            </w:r>
          </w:p>
        </w:tc>
      </w:tr>
      <w:tr w14:paraId="0405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96DF74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238</w:t>
            </w:r>
          </w:p>
        </w:tc>
        <w:tc>
          <w:tcPr>
            <w:tcW w:w="1215" w:type="dxa"/>
            <w:noWrap w:val="0"/>
            <w:vAlign w:val="center"/>
          </w:tcPr>
          <w:p w14:paraId="6820E57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滴瓶</w:t>
            </w:r>
          </w:p>
        </w:tc>
        <w:tc>
          <w:tcPr>
            <w:tcW w:w="804" w:type="dxa"/>
            <w:noWrap w:val="0"/>
            <w:vAlign w:val="center"/>
          </w:tcPr>
          <w:p w14:paraId="2ECA46E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8E4441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80</w:t>
            </w:r>
          </w:p>
        </w:tc>
        <w:tc>
          <w:tcPr>
            <w:tcW w:w="6351" w:type="dxa"/>
            <w:noWrap w:val="0"/>
            <w:vAlign w:val="center"/>
          </w:tcPr>
          <w:p w14:paraId="63E4EB8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1.全部由高硼硅玻璃制造，无明显气泡,由细口瓶、滴头和胶头组成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2.规格：棕色60mL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4.滴头做翻口处理，瓶口上部内侧和滴头外侧做磨砂处理</w:t>
            </w:r>
          </w:p>
        </w:tc>
      </w:tr>
      <w:tr w14:paraId="2A16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794091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239</w:t>
            </w:r>
          </w:p>
        </w:tc>
        <w:tc>
          <w:tcPr>
            <w:tcW w:w="1215" w:type="dxa"/>
            <w:noWrap w:val="0"/>
            <w:vAlign w:val="center"/>
          </w:tcPr>
          <w:p w14:paraId="34A6A68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称量瓶</w:t>
            </w:r>
          </w:p>
        </w:tc>
        <w:tc>
          <w:tcPr>
            <w:tcW w:w="804" w:type="dxa"/>
            <w:noWrap w:val="0"/>
            <w:vAlign w:val="center"/>
          </w:tcPr>
          <w:p w14:paraId="66B7A51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4104D8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6351" w:type="dxa"/>
            <w:noWrap w:val="0"/>
            <w:vAlign w:val="center"/>
          </w:tcPr>
          <w:p w14:paraId="40A4F1D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1.为高硼硅玻璃制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2.容量φ25mm×40mm</w:t>
            </w:r>
          </w:p>
        </w:tc>
      </w:tr>
      <w:tr w14:paraId="7F40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B0ECA6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240</w:t>
            </w:r>
          </w:p>
        </w:tc>
        <w:tc>
          <w:tcPr>
            <w:tcW w:w="1215" w:type="dxa"/>
            <w:noWrap w:val="0"/>
            <w:vAlign w:val="center"/>
          </w:tcPr>
          <w:p w14:paraId="5F53308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坩埚</w:t>
            </w:r>
          </w:p>
        </w:tc>
        <w:tc>
          <w:tcPr>
            <w:tcW w:w="804" w:type="dxa"/>
            <w:noWrap w:val="0"/>
            <w:vAlign w:val="center"/>
          </w:tcPr>
          <w:p w14:paraId="69F0CC4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A8D9CD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6351" w:type="dxa"/>
            <w:noWrap w:val="0"/>
            <w:vAlign w:val="center"/>
          </w:tcPr>
          <w:p w14:paraId="251E7BB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1.由坩埚和盖子组成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2.为瓷制，坩埚容量30ml，口部直径42mm,高42mm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3.坩埚盖顶尖呈偏平状，便于坩埚钳夹持</w:t>
            </w:r>
          </w:p>
        </w:tc>
      </w:tr>
      <w:tr w14:paraId="7DD3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58584B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241</w:t>
            </w:r>
          </w:p>
        </w:tc>
        <w:tc>
          <w:tcPr>
            <w:tcW w:w="1215" w:type="dxa"/>
            <w:noWrap w:val="0"/>
            <w:vAlign w:val="center"/>
          </w:tcPr>
          <w:p w14:paraId="26B8696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坩埚钳</w:t>
            </w:r>
          </w:p>
        </w:tc>
        <w:tc>
          <w:tcPr>
            <w:tcW w:w="804" w:type="dxa"/>
            <w:noWrap w:val="0"/>
            <w:vAlign w:val="center"/>
          </w:tcPr>
          <w:p w14:paraId="3D96589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09EF5E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6351" w:type="dxa"/>
            <w:noWrap w:val="0"/>
            <w:vAlign w:val="center"/>
          </w:tcPr>
          <w:p w14:paraId="22A13B7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1.由直径5mm圆钢制造，总长度为 240mm。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2.钳子光滑、平整、无缺陷。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3.钳子的夹持端为弯头，端头有齿纹，便于夹住物体吻合一致。</w:t>
            </w:r>
          </w:p>
        </w:tc>
      </w:tr>
      <w:tr w14:paraId="023C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294D2E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242</w:t>
            </w:r>
          </w:p>
        </w:tc>
        <w:tc>
          <w:tcPr>
            <w:tcW w:w="1215" w:type="dxa"/>
            <w:noWrap w:val="0"/>
            <w:vAlign w:val="center"/>
          </w:tcPr>
          <w:p w14:paraId="058A953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烧杯夹</w:t>
            </w:r>
          </w:p>
        </w:tc>
        <w:tc>
          <w:tcPr>
            <w:tcW w:w="804" w:type="dxa"/>
            <w:noWrap w:val="0"/>
            <w:vAlign w:val="center"/>
          </w:tcPr>
          <w:p w14:paraId="5EE4883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0E01FB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2519DE3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1.由直径5mm圆钢制造，总长度为 260mm。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2.光滑、平整、无缺陷。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3.的夹持部分有耐高温、防滑橡胶保护套。</w:t>
            </w:r>
          </w:p>
        </w:tc>
      </w:tr>
      <w:tr w14:paraId="1A8E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584B87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243</w:t>
            </w:r>
          </w:p>
        </w:tc>
        <w:tc>
          <w:tcPr>
            <w:tcW w:w="1215" w:type="dxa"/>
            <w:noWrap w:val="0"/>
            <w:vAlign w:val="center"/>
          </w:tcPr>
          <w:p w14:paraId="2C721D4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镊子</w:t>
            </w:r>
          </w:p>
        </w:tc>
        <w:tc>
          <w:tcPr>
            <w:tcW w:w="804" w:type="dxa"/>
            <w:noWrap w:val="0"/>
            <w:vAlign w:val="center"/>
          </w:tcPr>
          <w:p w14:paraId="6E625B4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EA16ED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2EF56B6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1.为家用型镊子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2.全长132mm,尖头</w:t>
            </w:r>
          </w:p>
        </w:tc>
      </w:tr>
      <w:tr w14:paraId="57F2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896712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244</w:t>
            </w:r>
          </w:p>
        </w:tc>
        <w:tc>
          <w:tcPr>
            <w:tcW w:w="1215" w:type="dxa"/>
            <w:noWrap w:val="0"/>
            <w:vAlign w:val="center"/>
          </w:tcPr>
          <w:p w14:paraId="0150475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试管夹</w:t>
            </w:r>
          </w:p>
        </w:tc>
        <w:tc>
          <w:tcPr>
            <w:tcW w:w="804" w:type="dxa"/>
            <w:noWrap w:val="0"/>
            <w:vAlign w:val="center"/>
          </w:tcPr>
          <w:p w14:paraId="4CDB60A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E0F787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2301BD5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1.为竹制试管夹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2.可夹持试管直径10mm～25mm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3.总长度为178mm</w:t>
            </w:r>
          </w:p>
        </w:tc>
      </w:tr>
      <w:tr w14:paraId="1820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5A4ED3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245</w:t>
            </w:r>
          </w:p>
        </w:tc>
        <w:tc>
          <w:tcPr>
            <w:tcW w:w="1215" w:type="dxa"/>
            <w:noWrap w:val="0"/>
            <w:vAlign w:val="center"/>
          </w:tcPr>
          <w:p w14:paraId="06A243A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水止皮管夹</w:t>
            </w:r>
          </w:p>
        </w:tc>
        <w:tc>
          <w:tcPr>
            <w:tcW w:w="804" w:type="dxa"/>
            <w:noWrap w:val="0"/>
            <w:vAlign w:val="center"/>
          </w:tcPr>
          <w:p w14:paraId="7EA38A9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81C394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2ABF361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1.为金属制，弹簧式，表面镀锌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2.夹持皮管直径不小于100mm</w:t>
            </w:r>
          </w:p>
        </w:tc>
      </w:tr>
      <w:tr w14:paraId="57BA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DF4068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246</w:t>
            </w:r>
          </w:p>
        </w:tc>
        <w:tc>
          <w:tcPr>
            <w:tcW w:w="1215" w:type="dxa"/>
            <w:noWrap w:val="0"/>
            <w:vAlign w:val="center"/>
          </w:tcPr>
          <w:p w14:paraId="23F62A0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螺旋皮管夹</w:t>
            </w:r>
          </w:p>
        </w:tc>
        <w:tc>
          <w:tcPr>
            <w:tcW w:w="804" w:type="dxa"/>
            <w:noWrap w:val="0"/>
            <w:vAlign w:val="center"/>
          </w:tcPr>
          <w:p w14:paraId="268AD45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94B007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5E892EE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1.为金属制，螺旋式，表面镀锌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2.夹持皮管直径不小于150mm</w:t>
            </w:r>
          </w:p>
        </w:tc>
      </w:tr>
      <w:tr w14:paraId="5572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B57918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247</w:t>
            </w:r>
          </w:p>
        </w:tc>
        <w:tc>
          <w:tcPr>
            <w:tcW w:w="1215" w:type="dxa"/>
            <w:noWrap w:val="0"/>
            <w:vAlign w:val="center"/>
          </w:tcPr>
          <w:p w14:paraId="5937490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石棉网</w:t>
            </w:r>
          </w:p>
        </w:tc>
        <w:tc>
          <w:tcPr>
            <w:tcW w:w="804" w:type="dxa"/>
            <w:noWrap w:val="0"/>
            <w:vAlign w:val="center"/>
          </w:tcPr>
          <w:p w14:paraId="2E650CC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F8224C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5687623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1.由钢丝网和石棉组成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2.钢丝网尺寸为125*125mm，石棉直径不小于80mm</w:t>
            </w:r>
          </w:p>
        </w:tc>
      </w:tr>
      <w:tr w14:paraId="1A3B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B2D303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248</w:t>
            </w:r>
          </w:p>
        </w:tc>
        <w:tc>
          <w:tcPr>
            <w:tcW w:w="1215" w:type="dxa"/>
            <w:noWrap w:val="0"/>
            <w:vAlign w:val="center"/>
          </w:tcPr>
          <w:p w14:paraId="331BD7B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隔热网</w:t>
            </w:r>
          </w:p>
        </w:tc>
        <w:tc>
          <w:tcPr>
            <w:tcW w:w="804" w:type="dxa"/>
            <w:noWrap w:val="0"/>
            <w:vAlign w:val="center"/>
          </w:tcPr>
          <w:p w14:paraId="4C0A344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FA951C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478F368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1.由钢丝网和陶土组成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2.钢丝网尺寸为125*125mm，陶土直径不小于80mm</w:t>
            </w:r>
          </w:p>
        </w:tc>
      </w:tr>
      <w:tr w14:paraId="3D2D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8DC47F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249</w:t>
            </w:r>
          </w:p>
        </w:tc>
        <w:tc>
          <w:tcPr>
            <w:tcW w:w="1215" w:type="dxa"/>
            <w:noWrap w:val="0"/>
            <w:vAlign w:val="center"/>
          </w:tcPr>
          <w:p w14:paraId="5B63BAA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二连球</w:t>
            </w:r>
          </w:p>
        </w:tc>
        <w:tc>
          <w:tcPr>
            <w:tcW w:w="804" w:type="dxa"/>
            <w:noWrap w:val="0"/>
            <w:vAlign w:val="center"/>
          </w:tcPr>
          <w:p w14:paraId="266BE5E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16ED37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w:t>
            </w:r>
          </w:p>
        </w:tc>
        <w:tc>
          <w:tcPr>
            <w:tcW w:w="6351" w:type="dxa"/>
            <w:noWrap w:val="0"/>
            <w:vAlign w:val="center"/>
          </w:tcPr>
          <w:p w14:paraId="05C8512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1.由橡胶制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2.按压球直径45mm,充气球充气后直径不小于75mm,橡胶管长度不低于400mm</w:t>
            </w:r>
          </w:p>
        </w:tc>
      </w:tr>
      <w:tr w14:paraId="0FD7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584F55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250</w:t>
            </w:r>
          </w:p>
        </w:tc>
        <w:tc>
          <w:tcPr>
            <w:tcW w:w="1215" w:type="dxa"/>
            <w:noWrap w:val="0"/>
            <w:vAlign w:val="center"/>
          </w:tcPr>
          <w:p w14:paraId="577F41A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燃烧匙</w:t>
            </w:r>
          </w:p>
        </w:tc>
        <w:tc>
          <w:tcPr>
            <w:tcW w:w="804" w:type="dxa"/>
            <w:noWrap w:val="0"/>
            <w:vAlign w:val="center"/>
          </w:tcPr>
          <w:p w14:paraId="44F032E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DAEBDF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16DBE49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1.由铁丝和铜制小勺铆合而成。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2.总长210mm,铜勺直径19mm。</w:t>
            </w:r>
          </w:p>
        </w:tc>
      </w:tr>
      <w:tr w14:paraId="13FA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FD67A8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251</w:t>
            </w:r>
          </w:p>
        </w:tc>
        <w:tc>
          <w:tcPr>
            <w:tcW w:w="1215" w:type="dxa"/>
            <w:noWrap w:val="0"/>
            <w:vAlign w:val="center"/>
          </w:tcPr>
          <w:p w14:paraId="03249F4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药匙</w:t>
            </w:r>
          </w:p>
        </w:tc>
        <w:tc>
          <w:tcPr>
            <w:tcW w:w="804" w:type="dxa"/>
            <w:noWrap w:val="0"/>
            <w:vAlign w:val="center"/>
          </w:tcPr>
          <w:p w14:paraId="6D5DC12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8C51B1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80</w:t>
            </w:r>
          </w:p>
        </w:tc>
        <w:tc>
          <w:tcPr>
            <w:tcW w:w="6351" w:type="dxa"/>
            <w:noWrap w:val="0"/>
            <w:vAlign w:val="center"/>
          </w:tcPr>
          <w:p w14:paraId="14936EE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1.为塑料制双头药匙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2.总长度为145mm</w:t>
            </w:r>
          </w:p>
        </w:tc>
      </w:tr>
      <w:tr w14:paraId="580F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74C4C8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252</w:t>
            </w:r>
          </w:p>
        </w:tc>
        <w:tc>
          <w:tcPr>
            <w:tcW w:w="1215" w:type="dxa"/>
            <w:noWrap w:val="0"/>
            <w:vAlign w:val="center"/>
          </w:tcPr>
          <w:p w14:paraId="3D03A31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玻璃管</w:t>
            </w:r>
          </w:p>
        </w:tc>
        <w:tc>
          <w:tcPr>
            <w:tcW w:w="804" w:type="dxa"/>
            <w:noWrap w:val="0"/>
            <w:vAlign w:val="center"/>
          </w:tcPr>
          <w:p w14:paraId="03C1F5D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千克</w:t>
            </w:r>
          </w:p>
        </w:tc>
        <w:tc>
          <w:tcPr>
            <w:tcW w:w="765" w:type="dxa"/>
            <w:gridSpan w:val="2"/>
            <w:noWrap w:val="0"/>
            <w:vAlign w:val="center"/>
          </w:tcPr>
          <w:p w14:paraId="6DEA055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576D069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1.玻璃管直径φ5mm～φ6mm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2.长度不低于300mm</w:t>
            </w:r>
          </w:p>
        </w:tc>
      </w:tr>
      <w:tr w14:paraId="6270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FB4D98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253</w:t>
            </w:r>
          </w:p>
        </w:tc>
        <w:tc>
          <w:tcPr>
            <w:tcW w:w="1215" w:type="dxa"/>
            <w:noWrap w:val="0"/>
            <w:vAlign w:val="center"/>
          </w:tcPr>
          <w:p w14:paraId="6DD76C8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玻璃管</w:t>
            </w:r>
          </w:p>
        </w:tc>
        <w:tc>
          <w:tcPr>
            <w:tcW w:w="804" w:type="dxa"/>
            <w:noWrap w:val="0"/>
            <w:vAlign w:val="center"/>
          </w:tcPr>
          <w:p w14:paraId="40C1158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千克</w:t>
            </w:r>
          </w:p>
        </w:tc>
        <w:tc>
          <w:tcPr>
            <w:tcW w:w="765" w:type="dxa"/>
            <w:gridSpan w:val="2"/>
            <w:noWrap w:val="0"/>
            <w:vAlign w:val="center"/>
          </w:tcPr>
          <w:p w14:paraId="799A9A6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76D48FC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1.玻璃管直径φ7mm～φ8mm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2.长度不低于300mm</w:t>
            </w:r>
          </w:p>
        </w:tc>
      </w:tr>
      <w:tr w14:paraId="5F92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2DBECB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254</w:t>
            </w:r>
          </w:p>
        </w:tc>
        <w:tc>
          <w:tcPr>
            <w:tcW w:w="1215" w:type="dxa"/>
            <w:noWrap w:val="0"/>
            <w:vAlign w:val="center"/>
          </w:tcPr>
          <w:p w14:paraId="622D9C0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玻璃棒</w:t>
            </w:r>
          </w:p>
        </w:tc>
        <w:tc>
          <w:tcPr>
            <w:tcW w:w="804" w:type="dxa"/>
            <w:noWrap w:val="0"/>
            <w:vAlign w:val="center"/>
          </w:tcPr>
          <w:p w14:paraId="7F61491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千克</w:t>
            </w:r>
          </w:p>
        </w:tc>
        <w:tc>
          <w:tcPr>
            <w:tcW w:w="765" w:type="dxa"/>
            <w:gridSpan w:val="2"/>
            <w:noWrap w:val="0"/>
            <w:vAlign w:val="center"/>
          </w:tcPr>
          <w:p w14:paraId="1A9D6D4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3230EA9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1.玻璃棒直径φ3～φ4mm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2.长度不低于300mm</w:t>
            </w:r>
          </w:p>
        </w:tc>
      </w:tr>
      <w:tr w14:paraId="31AB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E9BA36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255</w:t>
            </w:r>
          </w:p>
        </w:tc>
        <w:tc>
          <w:tcPr>
            <w:tcW w:w="1215" w:type="dxa"/>
            <w:noWrap w:val="0"/>
            <w:vAlign w:val="center"/>
          </w:tcPr>
          <w:p w14:paraId="3FAA43C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玻璃棒</w:t>
            </w:r>
          </w:p>
        </w:tc>
        <w:tc>
          <w:tcPr>
            <w:tcW w:w="804" w:type="dxa"/>
            <w:noWrap w:val="0"/>
            <w:vAlign w:val="center"/>
          </w:tcPr>
          <w:p w14:paraId="6862261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千克</w:t>
            </w:r>
          </w:p>
        </w:tc>
        <w:tc>
          <w:tcPr>
            <w:tcW w:w="765" w:type="dxa"/>
            <w:gridSpan w:val="2"/>
            <w:noWrap w:val="0"/>
            <w:vAlign w:val="center"/>
          </w:tcPr>
          <w:p w14:paraId="5A17E23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7036278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1.璃棒直径φ5～φ6mm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2.长度不低于300mm</w:t>
            </w:r>
          </w:p>
        </w:tc>
      </w:tr>
      <w:tr w14:paraId="5BCA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5469D0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256</w:t>
            </w:r>
          </w:p>
        </w:tc>
        <w:tc>
          <w:tcPr>
            <w:tcW w:w="1215" w:type="dxa"/>
            <w:noWrap w:val="0"/>
            <w:vAlign w:val="center"/>
          </w:tcPr>
          <w:p w14:paraId="22BB68A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软胶塞</w:t>
            </w:r>
          </w:p>
        </w:tc>
        <w:tc>
          <w:tcPr>
            <w:tcW w:w="804" w:type="dxa"/>
            <w:noWrap w:val="0"/>
            <w:vAlign w:val="center"/>
          </w:tcPr>
          <w:p w14:paraId="2A860B9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千克</w:t>
            </w:r>
          </w:p>
        </w:tc>
        <w:tc>
          <w:tcPr>
            <w:tcW w:w="765" w:type="dxa"/>
            <w:gridSpan w:val="2"/>
            <w:noWrap w:val="0"/>
            <w:vAlign w:val="center"/>
          </w:tcPr>
          <w:p w14:paraId="2E9D22C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02C6184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1.用优质天然橡胶制造，白色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2.内径6-7mm,壁厚2mm</w:t>
            </w:r>
          </w:p>
        </w:tc>
      </w:tr>
      <w:tr w14:paraId="1296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4C0FE4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257</w:t>
            </w:r>
          </w:p>
        </w:tc>
        <w:tc>
          <w:tcPr>
            <w:tcW w:w="1215" w:type="dxa"/>
            <w:noWrap w:val="0"/>
            <w:vAlign w:val="center"/>
          </w:tcPr>
          <w:p w14:paraId="456A656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橡胶管</w:t>
            </w:r>
          </w:p>
        </w:tc>
        <w:tc>
          <w:tcPr>
            <w:tcW w:w="804" w:type="dxa"/>
            <w:noWrap w:val="0"/>
            <w:vAlign w:val="center"/>
          </w:tcPr>
          <w:p w14:paraId="043AAC9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千克</w:t>
            </w:r>
          </w:p>
        </w:tc>
        <w:tc>
          <w:tcPr>
            <w:tcW w:w="765" w:type="dxa"/>
            <w:gridSpan w:val="2"/>
            <w:noWrap w:val="0"/>
            <w:vAlign w:val="center"/>
          </w:tcPr>
          <w:p w14:paraId="5F4FA1A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6A0D349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1.用优质天然橡胶制造，白色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2.由0-10#组成，共11种大小</w:t>
            </w:r>
          </w:p>
        </w:tc>
      </w:tr>
      <w:tr w14:paraId="382F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273E8D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258</w:t>
            </w:r>
          </w:p>
        </w:tc>
        <w:tc>
          <w:tcPr>
            <w:tcW w:w="1215" w:type="dxa"/>
            <w:noWrap w:val="0"/>
            <w:vAlign w:val="center"/>
          </w:tcPr>
          <w:p w14:paraId="732ABBD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乳胶管</w:t>
            </w:r>
          </w:p>
        </w:tc>
        <w:tc>
          <w:tcPr>
            <w:tcW w:w="804" w:type="dxa"/>
            <w:noWrap w:val="0"/>
            <w:vAlign w:val="center"/>
          </w:tcPr>
          <w:p w14:paraId="64B4A1A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米</w:t>
            </w:r>
          </w:p>
        </w:tc>
        <w:tc>
          <w:tcPr>
            <w:tcW w:w="765" w:type="dxa"/>
            <w:gridSpan w:val="2"/>
            <w:noWrap w:val="0"/>
            <w:vAlign w:val="center"/>
          </w:tcPr>
          <w:p w14:paraId="76D872B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6351" w:type="dxa"/>
            <w:noWrap w:val="0"/>
            <w:vAlign w:val="center"/>
          </w:tcPr>
          <w:p w14:paraId="0C94C75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1.为天然乳胶制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2.规格5*7mm</w:t>
            </w:r>
          </w:p>
        </w:tc>
      </w:tr>
      <w:tr w14:paraId="36CB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F2F8EF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259</w:t>
            </w:r>
          </w:p>
        </w:tc>
        <w:tc>
          <w:tcPr>
            <w:tcW w:w="1215" w:type="dxa"/>
            <w:noWrap w:val="0"/>
            <w:vAlign w:val="center"/>
          </w:tcPr>
          <w:p w14:paraId="7A90DF7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洗耳球</w:t>
            </w:r>
          </w:p>
        </w:tc>
        <w:tc>
          <w:tcPr>
            <w:tcW w:w="804" w:type="dxa"/>
            <w:noWrap w:val="0"/>
            <w:vAlign w:val="center"/>
          </w:tcPr>
          <w:p w14:paraId="3087E84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43D591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6351" w:type="dxa"/>
            <w:noWrap w:val="0"/>
            <w:vAlign w:val="center"/>
          </w:tcPr>
          <w:p w14:paraId="3B0ACD6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1.为橡胶制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2.容量60ml,球直径不低于50mm</w:t>
            </w:r>
          </w:p>
        </w:tc>
      </w:tr>
      <w:tr w14:paraId="51FA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2CACE6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260</w:t>
            </w:r>
          </w:p>
        </w:tc>
        <w:tc>
          <w:tcPr>
            <w:tcW w:w="1215" w:type="dxa"/>
            <w:noWrap w:val="0"/>
            <w:vAlign w:val="center"/>
          </w:tcPr>
          <w:p w14:paraId="595B006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试管刷</w:t>
            </w:r>
          </w:p>
        </w:tc>
        <w:tc>
          <w:tcPr>
            <w:tcW w:w="804" w:type="dxa"/>
            <w:noWrap w:val="0"/>
            <w:vAlign w:val="center"/>
          </w:tcPr>
          <w:p w14:paraId="3A2020B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FB7072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79C2E63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1.由金属丝和绞合在其上的猪鬃毛制成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2.分大中小号，鬃毛呈圆柱形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3.大中小号猪鬃的直径分别为：22mm、26mm、34mm；总长度分别为180mm、210mm、250mm</w:t>
            </w:r>
          </w:p>
        </w:tc>
      </w:tr>
      <w:tr w14:paraId="3D7E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CC14BA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261</w:t>
            </w:r>
          </w:p>
        </w:tc>
        <w:tc>
          <w:tcPr>
            <w:tcW w:w="1215" w:type="dxa"/>
            <w:noWrap w:val="0"/>
            <w:vAlign w:val="center"/>
          </w:tcPr>
          <w:p w14:paraId="4ED2A59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烧瓶刷</w:t>
            </w:r>
          </w:p>
        </w:tc>
        <w:tc>
          <w:tcPr>
            <w:tcW w:w="804" w:type="dxa"/>
            <w:noWrap w:val="0"/>
            <w:vAlign w:val="center"/>
          </w:tcPr>
          <w:p w14:paraId="636E069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ED8FBB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411542B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1.由金属丝和绞合在其上的猪鬃毛制成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2.分大中小号，鬃毛呈圆锥形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3.大中小号猪鬃的最大直径分别为：50mm、60mm、70mm；总长度分别为200mm、250mm、300mm</w:t>
            </w:r>
          </w:p>
        </w:tc>
      </w:tr>
      <w:tr w14:paraId="6225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CF5B0D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262</w:t>
            </w:r>
          </w:p>
        </w:tc>
        <w:tc>
          <w:tcPr>
            <w:tcW w:w="1215" w:type="dxa"/>
            <w:noWrap w:val="0"/>
            <w:vAlign w:val="center"/>
          </w:tcPr>
          <w:p w14:paraId="4D0003F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滴定管刷</w:t>
            </w:r>
          </w:p>
        </w:tc>
        <w:tc>
          <w:tcPr>
            <w:tcW w:w="804" w:type="dxa"/>
            <w:noWrap w:val="0"/>
            <w:vAlign w:val="center"/>
          </w:tcPr>
          <w:p w14:paraId="064101A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9D770B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222B9FF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1.由金属丝和绞合在其上的猪鬃毛制成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2.猪鬃的直径为25mm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3.整体长度不低于680mm</w:t>
            </w:r>
          </w:p>
        </w:tc>
      </w:tr>
      <w:tr w14:paraId="232E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9B8749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263</w:t>
            </w:r>
          </w:p>
        </w:tc>
        <w:tc>
          <w:tcPr>
            <w:tcW w:w="1215" w:type="dxa"/>
            <w:noWrap w:val="0"/>
            <w:vAlign w:val="center"/>
          </w:tcPr>
          <w:p w14:paraId="6614D99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结晶皿</w:t>
            </w:r>
          </w:p>
        </w:tc>
        <w:tc>
          <w:tcPr>
            <w:tcW w:w="804" w:type="dxa"/>
            <w:noWrap w:val="0"/>
            <w:vAlign w:val="center"/>
          </w:tcPr>
          <w:p w14:paraId="7F68408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972FF0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52D9C14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1.为带尖嘴玻璃皿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2.高度不低于50mm</w:t>
            </w:r>
          </w:p>
        </w:tc>
      </w:tr>
      <w:tr w14:paraId="0AC8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AA9078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264</w:t>
            </w:r>
          </w:p>
        </w:tc>
        <w:tc>
          <w:tcPr>
            <w:tcW w:w="1215" w:type="dxa"/>
            <w:noWrap w:val="0"/>
            <w:vAlign w:val="center"/>
          </w:tcPr>
          <w:p w14:paraId="2C09DBB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表面皿</w:t>
            </w:r>
          </w:p>
        </w:tc>
        <w:tc>
          <w:tcPr>
            <w:tcW w:w="804" w:type="dxa"/>
            <w:noWrap w:val="0"/>
            <w:vAlign w:val="center"/>
          </w:tcPr>
          <w:p w14:paraId="743709B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462DD9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07E00B4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1.为玻璃制，呈曲面状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2.直径60mm，厚度不低于1.2mm</w:t>
            </w:r>
          </w:p>
        </w:tc>
      </w:tr>
      <w:tr w14:paraId="6D3E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70730A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265</w:t>
            </w:r>
          </w:p>
        </w:tc>
        <w:tc>
          <w:tcPr>
            <w:tcW w:w="1215" w:type="dxa"/>
            <w:noWrap w:val="0"/>
            <w:vAlign w:val="center"/>
          </w:tcPr>
          <w:p w14:paraId="2E0BC62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表面皿</w:t>
            </w:r>
          </w:p>
        </w:tc>
        <w:tc>
          <w:tcPr>
            <w:tcW w:w="804" w:type="dxa"/>
            <w:noWrap w:val="0"/>
            <w:vAlign w:val="center"/>
          </w:tcPr>
          <w:p w14:paraId="7A38FEE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6B93DE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48B08F6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1.为玻璃制，呈曲面状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2.直径100mm，厚度不低于1.2mm</w:t>
            </w:r>
          </w:p>
        </w:tc>
      </w:tr>
      <w:tr w14:paraId="7C8D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B5E81F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266</w:t>
            </w:r>
          </w:p>
        </w:tc>
        <w:tc>
          <w:tcPr>
            <w:tcW w:w="1215" w:type="dxa"/>
            <w:noWrap w:val="0"/>
            <w:vAlign w:val="center"/>
          </w:tcPr>
          <w:p w14:paraId="77B9D88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研钵</w:t>
            </w:r>
          </w:p>
        </w:tc>
        <w:tc>
          <w:tcPr>
            <w:tcW w:w="804" w:type="dxa"/>
            <w:noWrap w:val="0"/>
            <w:vAlign w:val="center"/>
          </w:tcPr>
          <w:p w14:paraId="2ACF29B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5E44F9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5734E8D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1.由研钵和杵组成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2.为瓷制，上口直径不低于60mm，厚度不低于5mm</w:t>
            </w:r>
          </w:p>
        </w:tc>
      </w:tr>
      <w:tr w14:paraId="0D3C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DE2652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267</w:t>
            </w:r>
          </w:p>
        </w:tc>
        <w:tc>
          <w:tcPr>
            <w:tcW w:w="1215" w:type="dxa"/>
            <w:noWrap w:val="0"/>
            <w:vAlign w:val="center"/>
          </w:tcPr>
          <w:p w14:paraId="67BFBFA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研钵</w:t>
            </w:r>
          </w:p>
        </w:tc>
        <w:tc>
          <w:tcPr>
            <w:tcW w:w="804" w:type="dxa"/>
            <w:noWrap w:val="0"/>
            <w:vAlign w:val="center"/>
          </w:tcPr>
          <w:p w14:paraId="1A899B7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CB25CB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7C2ED3A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1.由研钵和杵组成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2.为瓷制，上口直径不低于90mm，厚度不低于7mm</w:t>
            </w:r>
          </w:p>
        </w:tc>
      </w:tr>
      <w:tr w14:paraId="622F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ADA6CD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268</w:t>
            </w:r>
          </w:p>
        </w:tc>
        <w:tc>
          <w:tcPr>
            <w:tcW w:w="1215" w:type="dxa"/>
            <w:noWrap w:val="0"/>
            <w:vAlign w:val="center"/>
          </w:tcPr>
          <w:p w14:paraId="1967462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蒸发皿</w:t>
            </w:r>
          </w:p>
        </w:tc>
        <w:tc>
          <w:tcPr>
            <w:tcW w:w="804" w:type="dxa"/>
            <w:noWrap w:val="0"/>
            <w:vAlign w:val="center"/>
          </w:tcPr>
          <w:p w14:paraId="668D5EC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3CD891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0EE52BF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1.为带嘴陶瓷蒸发皿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2.直径不小于60mm，厚度不小于2mm</w:t>
            </w:r>
          </w:p>
        </w:tc>
      </w:tr>
      <w:tr w14:paraId="4F0D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97A458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269</w:t>
            </w:r>
          </w:p>
        </w:tc>
        <w:tc>
          <w:tcPr>
            <w:tcW w:w="1215" w:type="dxa"/>
            <w:noWrap w:val="0"/>
            <w:vAlign w:val="center"/>
          </w:tcPr>
          <w:p w14:paraId="7536C90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蒸发皿</w:t>
            </w:r>
          </w:p>
        </w:tc>
        <w:tc>
          <w:tcPr>
            <w:tcW w:w="804" w:type="dxa"/>
            <w:noWrap w:val="0"/>
            <w:vAlign w:val="center"/>
          </w:tcPr>
          <w:p w14:paraId="0F476F0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A37D8B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7151549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1.为带嘴陶瓷蒸发皿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2.直径不小于100mm，厚度不小于4mm</w:t>
            </w:r>
          </w:p>
        </w:tc>
      </w:tr>
      <w:tr w14:paraId="5D1BB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8E45D7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270</w:t>
            </w:r>
          </w:p>
        </w:tc>
        <w:tc>
          <w:tcPr>
            <w:tcW w:w="1215" w:type="dxa"/>
            <w:noWrap w:val="0"/>
            <w:vAlign w:val="center"/>
          </w:tcPr>
          <w:p w14:paraId="1A7A8C0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反应板</w:t>
            </w:r>
          </w:p>
        </w:tc>
        <w:tc>
          <w:tcPr>
            <w:tcW w:w="804" w:type="dxa"/>
            <w:noWrap w:val="0"/>
            <w:vAlign w:val="center"/>
          </w:tcPr>
          <w:p w14:paraId="1666094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76803C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6623A8A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1.为瓷制反应板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2.上有六个穴，单穴直径20mm，整体尺寸81*55*12mm</w:t>
            </w:r>
          </w:p>
        </w:tc>
      </w:tr>
      <w:tr w14:paraId="30E0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22D3DC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271</w:t>
            </w:r>
          </w:p>
        </w:tc>
        <w:tc>
          <w:tcPr>
            <w:tcW w:w="1215" w:type="dxa"/>
            <w:noWrap w:val="0"/>
            <w:vAlign w:val="center"/>
          </w:tcPr>
          <w:p w14:paraId="0B62A49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井穴板</w:t>
            </w:r>
          </w:p>
        </w:tc>
        <w:tc>
          <w:tcPr>
            <w:tcW w:w="804" w:type="dxa"/>
            <w:noWrap w:val="0"/>
            <w:vAlign w:val="center"/>
          </w:tcPr>
          <w:p w14:paraId="1880147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6C06C0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117DA8B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1.为透明塑料制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2.共9孔，呈单行排列，单孔内径7.5mm，高17.5mm</w:t>
            </w:r>
          </w:p>
        </w:tc>
      </w:tr>
      <w:tr w14:paraId="34CC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988913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272</w:t>
            </w:r>
          </w:p>
        </w:tc>
        <w:tc>
          <w:tcPr>
            <w:tcW w:w="1215" w:type="dxa"/>
            <w:noWrap w:val="0"/>
            <w:vAlign w:val="center"/>
          </w:tcPr>
          <w:p w14:paraId="1719D52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井穴板</w:t>
            </w:r>
          </w:p>
        </w:tc>
        <w:tc>
          <w:tcPr>
            <w:tcW w:w="804" w:type="dxa"/>
            <w:noWrap w:val="0"/>
            <w:vAlign w:val="center"/>
          </w:tcPr>
          <w:p w14:paraId="2EAB5F9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2E61BE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767C18A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1.为透明塑料制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2.共6孔，呈双行排列，单孔内径19mm，高21mm</w:t>
            </w:r>
          </w:p>
        </w:tc>
      </w:tr>
      <w:tr w14:paraId="4317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972FC6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273</w:t>
            </w:r>
          </w:p>
        </w:tc>
        <w:tc>
          <w:tcPr>
            <w:tcW w:w="1215" w:type="dxa"/>
            <w:noWrap w:val="0"/>
            <w:vAlign w:val="center"/>
          </w:tcPr>
          <w:p w14:paraId="370C8B4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塑料多用滴管</w:t>
            </w:r>
          </w:p>
        </w:tc>
        <w:tc>
          <w:tcPr>
            <w:tcW w:w="804" w:type="dxa"/>
            <w:noWrap w:val="0"/>
            <w:vAlign w:val="center"/>
          </w:tcPr>
          <w:p w14:paraId="1E4A459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4B8FBBC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800</w:t>
            </w:r>
          </w:p>
        </w:tc>
        <w:tc>
          <w:tcPr>
            <w:tcW w:w="6351" w:type="dxa"/>
            <w:noWrap w:val="0"/>
            <w:vAlign w:val="center"/>
          </w:tcPr>
          <w:p w14:paraId="080FF72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1.为全塑料滴管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2.总长度为150mm</w:t>
            </w:r>
          </w:p>
        </w:tc>
      </w:tr>
      <w:tr w14:paraId="4F3C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1734D7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274</w:t>
            </w:r>
          </w:p>
        </w:tc>
        <w:tc>
          <w:tcPr>
            <w:tcW w:w="1215" w:type="dxa"/>
            <w:noWrap w:val="0"/>
            <w:vAlign w:val="center"/>
          </w:tcPr>
          <w:p w14:paraId="7AFAC8F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白金丝</w:t>
            </w:r>
          </w:p>
        </w:tc>
        <w:tc>
          <w:tcPr>
            <w:tcW w:w="804" w:type="dxa"/>
            <w:noWrap w:val="0"/>
            <w:vAlign w:val="center"/>
          </w:tcPr>
          <w:p w14:paraId="29C487B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49E6808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437ED0C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1.由接种杆和合金金属丝组成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2.手柄长86mm，采用耐高温塑料材质制成，上接长100mm的铜制连接杆，附带螺旋式锁针孔。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3.合金金属丝长度不低于60mm</w:t>
            </w:r>
          </w:p>
        </w:tc>
      </w:tr>
      <w:tr w14:paraId="2F6F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557B66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275</w:t>
            </w:r>
          </w:p>
        </w:tc>
        <w:tc>
          <w:tcPr>
            <w:tcW w:w="1215" w:type="dxa"/>
            <w:noWrap w:val="0"/>
            <w:vAlign w:val="center"/>
          </w:tcPr>
          <w:p w14:paraId="323D79B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铝(条)</w:t>
            </w:r>
          </w:p>
        </w:tc>
        <w:tc>
          <w:tcPr>
            <w:tcW w:w="804" w:type="dxa"/>
            <w:noWrap w:val="0"/>
            <w:vAlign w:val="center"/>
          </w:tcPr>
          <w:p w14:paraId="7070DC2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190D63F6">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500</w:t>
            </w:r>
          </w:p>
        </w:tc>
        <w:tc>
          <w:tcPr>
            <w:tcW w:w="6351" w:type="dxa"/>
            <w:noWrap w:val="0"/>
            <w:vAlign w:val="center"/>
          </w:tcPr>
          <w:p w14:paraId="5011A98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2.每包500g</w:t>
            </w:r>
          </w:p>
        </w:tc>
      </w:tr>
      <w:tr w14:paraId="0475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42AED4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276</w:t>
            </w:r>
          </w:p>
        </w:tc>
        <w:tc>
          <w:tcPr>
            <w:tcW w:w="1215" w:type="dxa"/>
            <w:noWrap w:val="0"/>
            <w:vAlign w:val="center"/>
          </w:tcPr>
          <w:p w14:paraId="4AA64F6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铝(片)</w:t>
            </w:r>
          </w:p>
        </w:tc>
        <w:tc>
          <w:tcPr>
            <w:tcW w:w="804" w:type="dxa"/>
            <w:noWrap w:val="0"/>
            <w:vAlign w:val="center"/>
          </w:tcPr>
          <w:p w14:paraId="71EE7A8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7C9A15C2">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500</w:t>
            </w:r>
          </w:p>
        </w:tc>
        <w:tc>
          <w:tcPr>
            <w:tcW w:w="6351" w:type="dxa"/>
            <w:noWrap w:val="0"/>
            <w:vAlign w:val="center"/>
          </w:tcPr>
          <w:p w14:paraId="6A678A3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2.每包500g</w:t>
            </w:r>
          </w:p>
        </w:tc>
      </w:tr>
      <w:tr w14:paraId="69C4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FF36C1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277</w:t>
            </w:r>
          </w:p>
        </w:tc>
        <w:tc>
          <w:tcPr>
            <w:tcW w:w="1215" w:type="dxa"/>
            <w:noWrap w:val="0"/>
            <w:vAlign w:val="center"/>
          </w:tcPr>
          <w:p w14:paraId="11CEE5F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铝(箔)</w:t>
            </w:r>
          </w:p>
        </w:tc>
        <w:tc>
          <w:tcPr>
            <w:tcW w:w="804" w:type="dxa"/>
            <w:noWrap w:val="0"/>
            <w:vAlign w:val="center"/>
          </w:tcPr>
          <w:p w14:paraId="6CFAEC4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12CA6E1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w:t>
            </w:r>
          </w:p>
        </w:tc>
        <w:tc>
          <w:tcPr>
            <w:tcW w:w="6351" w:type="dxa"/>
            <w:noWrap w:val="0"/>
            <w:vAlign w:val="center"/>
          </w:tcPr>
          <w:p w14:paraId="2BA95DC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2.每包100g</w:t>
            </w:r>
          </w:p>
        </w:tc>
      </w:tr>
      <w:tr w14:paraId="7F6E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10F2BF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278</w:t>
            </w:r>
          </w:p>
        </w:tc>
        <w:tc>
          <w:tcPr>
            <w:tcW w:w="1215" w:type="dxa"/>
            <w:noWrap w:val="0"/>
            <w:vAlign w:val="center"/>
          </w:tcPr>
          <w:p w14:paraId="0754C87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锌(粒)</w:t>
            </w:r>
          </w:p>
        </w:tc>
        <w:tc>
          <w:tcPr>
            <w:tcW w:w="804" w:type="dxa"/>
            <w:noWrap w:val="0"/>
            <w:vAlign w:val="center"/>
          </w:tcPr>
          <w:p w14:paraId="3306DD2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58F5BE7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w:t>
            </w:r>
          </w:p>
        </w:tc>
        <w:tc>
          <w:tcPr>
            <w:tcW w:w="6351" w:type="dxa"/>
            <w:noWrap w:val="0"/>
            <w:vAlign w:val="center"/>
          </w:tcPr>
          <w:p w14:paraId="65F4F35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081E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05A086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279</w:t>
            </w:r>
          </w:p>
        </w:tc>
        <w:tc>
          <w:tcPr>
            <w:tcW w:w="1215" w:type="dxa"/>
            <w:noWrap w:val="0"/>
            <w:vAlign w:val="center"/>
          </w:tcPr>
          <w:p w14:paraId="593EDB3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锌(粒)</w:t>
            </w:r>
          </w:p>
        </w:tc>
        <w:tc>
          <w:tcPr>
            <w:tcW w:w="804" w:type="dxa"/>
            <w:noWrap w:val="0"/>
            <w:vAlign w:val="center"/>
          </w:tcPr>
          <w:p w14:paraId="00EF2B7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415E70B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66D9499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5883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DF981B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280</w:t>
            </w:r>
          </w:p>
        </w:tc>
        <w:tc>
          <w:tcPr>
            <w:tcW w:w="1215" w:type="dxa"/>
            <w:noWrap w:val="0"/>
            <w:vAlign w:val="center"/>
          </w:tcPr>
          <w:p w14:paraId="2FD407A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铁(还原铁粉)</w:t>
            </w:r>
          </w:p>
        </w:tc>
        <w:tc>
          <w:tcPr>
            <w:tcW w:w="804" w:type="dxa"/>
            <w:noWrap w:val="0"/>
            <w:vAlign w:val="center"/>
          </w:tcPr>
          <w:p w14:paraId="0ADE917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1B662B8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4D20E5C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04BE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A35849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281</w:t>
            </w:r>
          </w:p>
        </w:tc>
        <w:tc>
          <w:tcPr>
            <w:tcW w:w="1215" w:type="dxa"/>
            <w:noWrap w:val="0"/>
            <w:vAlign w:val="center"/>
          </w:tcPr>
          <w:p w14:paraId="432A72E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铁(片)</w:t>
            </w:r>
          </w:p>
        </w:tc>
        <w:tc>
          <w:tcPr>
            <w:tcW w:w="804" w:type="dxa"/>
            <w:noWrap w:val="0"/>
            <w:vAlign w:val="center"/>
          </w:tcPr>
          <w:p w14:paraId="746B9A0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74FDFBC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3FF4CA5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2.每包500g</w:t>
            </w:r>
          </w:p>
        </w:tc>
      </w:tr>
      <w:tr w14:paraId="02C3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A9C377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282</w:t>
            </w:r>
          </w:p>
        </w:tc>
        <w:tc>
          <w:tcPr>
            <w:tcW w:w="1215" w:type="dxa"/>
            <w:noWrap w:val="0"/>
            <w:vAlign w:val="center"/>
          </w:tcPr>
          <w:p w14:paraId="69B0C77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铁(丝)</w:t>
            </w:r>
          </w:p>
        </w:tc>
        <w:tc>
          <w:tcPr>
            <w:tcW w:w="804" w:type="dxa"/>
            <w:noWrap w:val="0"/>
            <w:vAlign w:val="center"/>
          </w:tcPr>
          <w:p w14:paraId="420EBAF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0D2E8D3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198A413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2.每包500g</w:t>
            </w:r>
          </w:p>
        </w:tc>
      </w:tr>
      <w:tr w14:paraId="7FA5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4070CD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283</w:t>
            </w:r>
          </w:p>
        </w:tc>
        <w:tc>
          <w:tcPr>
            <w:tcW w:w="1215" w:type="dxa"/>
            <w:noWrap w:val="0"/>
            <w:vAlign w:val="center"/>
          </w:tcPr>
          <w:p w14:paraId="137A351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铜(紫铜片)</w:t>
            </w:r>
          </w:p>
        </w:tc>
        <w:tc>
          <w:tcPr>
            <w:tcW w:w="804" w:type="dxa"/>
            <w:noWrap w:val="0"/>
            <w:vAlign w:val="center"/>
          </w:tcPr>
          <w:p w14:paraId="1A608EA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49A24D8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w:t>
            </w:r>
          </w:p>
        </w:tc>
        <w:tc>
          <w:tcPr>
            <w:tcW w:w="6351" w:type="dxa"/>
            <w:noWrap w:val="0"/>
            <w:vAlign w:val="center"/>
          </w:tcPr>
          <w:p w14:paraId="41DE7D8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2.每包500g</w:t>
            </w:r>
          </w:p>
        </w:tc>
      </w:tr>
      <w:tr w14:paraId="07A4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0D50D0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284</w:t>
            </w:r>
          </w:p>
        </w:tc>
        <w:tc>
          <w:tcPr>
            <w:tcW w:w="1215" w:type="dxa"/>
            <w:noWrap w:val="0"/>
            <w:vAlign w:val="center"/>
          </w:tcPr>
          <w:p w14:paraId="0F64D93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铜(丝)</w:t>
            </w:r>
          </w:p>
        </w:tc>
        <w:tc>
          <w:tcPr>
            <w:tcW w:w="804" w:type="dxa"/>
            <w:noWrap w:val="0"/>
            <w:vAlign w:val="center"/>
          </w:tcPr>
          <w:p w14:paraId="0BB8B36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0E22A54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w:t>
            </w:r>
          </w:p>
        </w:tc>
        <w:tc>
          <w:tcPr>
            <w:tcW w:w="6351" w:type="dxa"/>
            <w:noWrap w:val="0"/>
            <w:vAlign w:val="center"/>
          </w:tcPr>
          <w:p w14:paraId="27F9E3A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2.每包500g</w:t>
            </w:r>
          </w:p>
        </w:tc>
      </w:tr>
      <w:tr w14:paraId="281F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D6F87A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285</w:t>
            </w:r>
          </w:p>
        </w:tc>
        <w:tc>
          <w:tcPr>
            <w:tcW w:w="1215" w:type="dxa"/>
            <w:noWrap w:val="0"/>
            <w:vAlign w:val="center"/>
          </w:tcPr>
          <w:p w14:paraId="76350BB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碘</w:t>
            </w:r>
          </w:p>
        </w:tc>
        <w:tc>
          <w:tcPr>
            <w:tcW w:w="804" w:type="dxa"/>
            <w:noWrap w:val="0"/>
            <w:vAlign w:val="center"/>
          </w:tcPr>
          <w:p w14:paraId="6010D73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637CF00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250</w:t>
            </w:r>
          </w:p>
        </w:tc>
        <w:tc>
          <w:tcPr>
            <w:tcW w:w="6351" w:type="dxa"/>
            <w:noWrap w:val="0"/>
            <w:vAlign w:val="center"/>
          </w:tcPr>
          <w:p w14:paraId="0E6522A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2.每瓶250g</w:t>
            </w:r>
          </w:p>
        </w:tc>
      </w:tr>
      <w:tr w14:paraId="562C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F17194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286</w:t>
            </w:r>
          </w:p>
        </w:tc>
        <w:tc>
          <w:tcPr>
            <w:tcW w:w="1215" w:type="dxa"/>
            <w:noWrap w:val="0"/>
            <w:vAlign w:val="center"/>
          </w:tcPr>
          <w:p w14:paraId="2A46FDA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活性炭</w:t>
            </w:r>
          </w:p>
        </w:tc>
        <w:tc>
          <w:tcPr>
            <w:tcW w:w="804" w:type="dxa"/>
            <w:noWrap w:val="0"/>
            <w:vAlign w:val="center"/>
          </w:tcPr>
          <w:p w14:paraId="26BBAF2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0C7DB91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26221E8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5309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2ABD92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287</w:t>
            </w:r>
          </w:p>
        </w:tc>
        <w:tc>
          <w:tcPr>
            <w:tcW w:w="1215" w:type="dxa"/>
            <w:noWrap w:val="0"/>
            <w:vAlign w:val="center"/>
          </w:tcPr>
          <w:p w14:paraId="278953F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二氧化锰</w:t>
            </w:r>
          </w:p>
        </w:tc>
        <w:tc>
          <w:tcPr>
            <w:tcW w:w="804" w:type="dxa"/>
            <w:noWrap w:val="0"/>
            <w:vAlign w:val="center"/>
          </w:tcPr>
          <w:p w14:paraId="1421216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6E19990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2000</w:t>
            </w:r>
          </w:p>
        </w:tc>
        <w:tc>
          <w:tcPr>
            <w:tcW w:w="6351" w:type="dxa"/>
            <w:noWrap w:val="0"/>
            <w:vAlign w:val="center"/>
          </w:tcPr>
          <w:p w14:paraId="428412B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1793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6EABD8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288</w:t>
            </w:r>
          </w:p>
        </w:tc>
        <w:tc>
          <w:tcPr>
            <w:tcW w:w="1215" w:type="dxa"/>
            <w:noWrap w:val="0"/>
            <w:vAlign w:val="center"/>
          </w:tcPr>
          <w:p w14:paraId="747FE56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三氧化二铁</w:t>
            </w:r>
          </w:p>
        </w:tc>
        <w:tc>
          <w:tcPr>
            <w:tcW w:w="804" w:type="dxa"/>
            <w:noWrap w:val="0"/>
            <w:vAlign w:val="center"/>
          </w:tcPr>
          <w:p w14:paraId="4E595B7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5266F00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4E16DE1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3C53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DF5A5D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289</w:t>
            </w:r>
          </w:p>
        </w:tc>
        <w:tc>
          <w:tcPr>
            <w:tcW w:w="1215" w:type="dxa"/>
            <w:noWrap w:val="0"/>
            <w:vAlign w:val="center"/>
          </w:tcPr>
          <w:p w14:paraId="660C68A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氧化铜</w:t>
            </w:r>
          </w:p>
        </w:tc>
        <w:tc>
          <w:tcPr>
            <w:tcW w:w="804" w:type="dxa"/>
            <w:noWrap w:val="0"/>
            <w:vAlign w:val="center"/>
          </w:tcPr>
          <w:p w14:paraId="53263CD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455A2C2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5E7258B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08FB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C1606A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290</w:t>
            </w:r>
          </w:p>
        </w:tc>
        <w:tc>
          <w:tcPr>
            <w:tcW w:w="1215" w:type="dxa"/>
            <w:noWrap w:val="0"/>
            <w:vAlign w:val="center"/>
          </w:tcPr>
          <w:p w14:paraId="43060CF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氧化铝</w:t>
            </w:r>
          </w:p>
        </w:tc>
        <w:tc>
          <w:tcPr>
            <w:tcW w:w="804" w:type="dxa"/>
            <w:noWrap w:val="0"/>
            <w:vAlign w:val="center"/>
          </w:tcPr>
          <w:p w14:paraId="2D3FAE1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245C7E8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3DFCAE4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2.每包500g</w:t>
            </w:r>
          </w:p>
        </w:tc>
      </w:tr>
      <w:tr w14:paraId="23D2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5552D0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291</w:t>
            </w:r>
          </w:p>
        </w:tc>
        <w:tc>
          <w:tcPr>
            <w:tcW w:w="1215" w:type="dxa"/>
            <w:noWrap w:val="0"/>
            <w:vAlign w:val="center"/>
          </w:tcPr>
          <w:p w14:paraId="17B6E47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氯化铝</w:t>
            </w:r>
          </w:p>
        </w:tc>
        <w:tc>
          <w:tcPr>
            <w:tcW w:w="804" w:type="dxa"/>
            <w:noWrap w:val="0"/>
            <w:vAlign w:val="center"/>
          </w:tcPr>
          <w:p w14:paraId="1C45BBC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1C6B945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0B1C501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2.每包500g</w:t>
            </w:r>
          </w:p>
        </w:tc>
      </w:tr>
      <w:tr w14:paraId="2813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CB9471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292</w:t>
            </w:r>
          </w:p>
        </w:tc>
        <w:tc>
          <w:tcPr>
            <w:tcW w:w="1215" w:type="dxa"/>
            <w:noWrap w:val="0"/>
            <w:vAlign w:val="center"/>
          </w:tcPr>
          <w:p w14:paraId="34FF377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氯化钾</w:t>
            </w:r>
          </w:p>
        </w:tc>
        <w:tc>
          <w:tcPr>
            <w:tcW w:w="804" w:type="dxa"/>
            <w:noWrap w:val="0"/>
            <w:vAlign w:val="center"/>
          </w:tcPr>
          <w:p w14:paraId="237C1B1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25C361A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1BC7643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2.每包500g</w:t>
            </w:r>
          </w:p>
        </w:tc>
      </w:tr>
      <w:tr w14:paraId="4087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5CE1AC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293</w:t>
            </w:r>
          </w:p>
        </w:tc>
        <w:tc>
          <w:tcPr>
            <w:tcW w:w="1215" w:type="dxa"/>
            <w:noWrap w:val="0"/>
            <w:vAlign w:val="center"/>
          </w:tcPr>
          <w:p w14:paraId="22F3D01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氯化钠</w:t>
            </w:r>
          </w:p>
        </w:tc>
        <w:tc>
          <w:tcPr>
            <w:tcW w:w="804" w:type="dxa"/>
            <w:noWrap w:val="0"/>
            <w:vAlign w:val="center"/>
          </w:tcPr>
          <w:p w14:paraId="5480DA4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67C2060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2000</w:t>
            </w:r>
          </w:p>
        </w:tc>
        <w:tc>
          <w:tcPr>
            <w:tcW w:w="6351" w:type="dxa"/>
            <w:noWrap w:val="0"/>
            <w:vAlign w:val="center"/>
          </w:tcPr>
          <w:p w14:paraId="7AD5389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2.每包500g</w:t>
            </w:r>
          </w:p>
        </w:tc>
      </w:tr>
      <w:tr w14:paraId="28D8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79B31E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294</w:t>
            </w:r>
          </w:p>
        </w:tc>
        <w:tc>
          <w:tcPr>
            <w:tcW w:w="1215" w:type="dxa"/>
            <w:noWrap w:val="0"/>
            <w:vAlign w:val="center"/>
          </w:tcPr>
          <w:p w14:paraId="104C423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氯化钠</w:t>
            </w:r>
          </w:p>
        </w:tc>
        <w:tc>
          <w:tcPr>
            <w:tcW w:w="804" w:type="dxa"/>
            <w:noWrap w:val="0"/>
            <w:vAlign w:val="center"/>
          </w:tcPr>
          <w:p w14:paraId="7A17B98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50F3749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3000</w:t>
            </w:r>
          </w:p>
        </w:tc>
        <w:tc>
          <w:tcPr>
            <w:tcW w:w="6351" w:type="dxa"/>
            <w:noWrap w:val="0"/>
            <w:vAlign w:val="center"/>
          </w:tcPr>
          <w:p w14:paraId="75E54BE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2.每包500g</w:t>
            </w:r>
          </w:p>
        </w:tc>
      </w:tr>
      <w:tr w14:paraId="5B43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2D96BA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295</w:t>
            </w:r>
          </w:p>
        </w:tc>
        <w:tc>
          <w:tcPr>
            <w:tcW w:w="1215" w:type="dxa"/>
            <w:noWrap w:val="0"/>
            <w:vAlign w:val="center"/>
          </w:tcPr>
          <w:p w14:paraId="35D6961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氯化钙(无水)</w:t>
            </w:r>
          </w:p>
        </w:tc>
        <w:tc>
          <w:tcPr>
            <w:tcW w:w="804" w:type="dxa"/>
            <w:noWrap w:val="0"/>
            <w:vAlign w:val="center"/>
          </w:tcPr>
          <w:p w14:paraId="64819EB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39B27B0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w:t>
            </w:r>
          </w:p>
        </w:tc>
        <w:tc>
          <w:tcPr>
            <w:tcW w:w="6351" w:type="dxa"/>
            <w:noWrap w:val="0"/>
            <w:vAlign w:val="center"/>
          </w:tcPr>
          <w:p w14:paraId="21DED85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2.每包500g</w:t>
            </w:r>
          </w:p>
        </w:tc>
      </w:tr>
      <w:tr w14:paraId="0F8C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FFE6C1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296</w:t>
            </w:r>
          </w:p>
        </w:tc>
        <w:tc>
          <w:tcPr>
            <w:tcW w:w="1215" w:type="dxa"/>
            <w:noWrap w:val="0"/>
            <w:vAlign w:val="center"/>
          </w:tcPr>
          <w:p w14:paraId="13D46A2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氯化镁</w:t>
            </w:r>
          </w:p>
        </w:tc>
        <w:tc>
          <w:tcPr>
            <w:tcW w:w="804" w:type="dxa"/>
            <w:noWrap w:val="0"/>
            <w:vAlign w:val="center"/>
          </w:tcPr>
          <w:p w14:paraId="1E3F3A7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21EBF30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7B80D88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2.每包500g</w:t>
            </w:r>
          </w:p>
        </w:tc>
      </w:tr>
      <w:tr w14:paraId="4C23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5EEDBC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297</w:t>
            </w:r>
          </w:p>
        </w:tc>
        <w:tc>
          <w:tcPr>
            <w:tcW w:w="1215" w:type="dxa"/>
            <w:noWrap w:val="0"/>
            <w:vAlign w:val="center"/>
          </w:tcPr>
          <w:p w14:paraId="761E991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三氯化铁</w:t>
            </w:r>
          </w:p>
        </w:tc>
        <w:tc>
          <w:tcPr>
            <w:tcW w:w="804" w:type="dxa"/>
            <w:noWrap w:val="0"/>
            <w:vAlign w:val="center"/>
          </w:tcPr>
          <w:p w14:paraId="0663925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70F3ADB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3F51466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2.每包500g</w:t>
            </w:r>
          </w:p>
        </w:tc>
      </w:tr>
      <w:tr w14:paraId="441D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06F1C3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298</w:t>
            </w:r>
          </w:p>
        </w:tc>
        <w:tc>
          <w:tcPr>
            <w:tcW w:w="1215" w:type="dxa"/>
            <w:noWrap w:val="0"/>
            <w:vAlign w:val="center"/>
          </w:tcPr>
          <w:p w14:paraId="5F07982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氯化铵</w:t>
            </w:r>
          </w:p>
        </w:tc>
        <w:tc>
          <w:tcPr>
            <w:tcW w:w="804" w:type="dxa"/>
            <w:noWrap w:val="0"/>
            <w:vAlign w:val="center"/>
          </w:tcPr>
          <w:p w14:paraId="478F352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1E0F7EB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1500</w:t>
            </w:r>
          </w:p>
        </w:tc>
        <w:tc>
          <w:tcPr>
            <w:tcW w:w="6351" w:type="dxa"/>
            <w:noWrap w:val="0"/>
            <w:vAlign w:val="center"/>
          </w:tcPr>
          <w:p w14:paraId="67424DC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2.每包500g</w:t>
            </w:r>
          </w:p>
        </w:tc>
      </w:tr>
      <w:tr w14:paraId="19F7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D22F62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299</w:t>
            </w:r>
          </w:p>
        </w:tc>
        <w:tc>
          <w:tcPr>
            <w:tcW w:w="1215" w:type="dxa"/>
            <w:noWrap w:val="0"/>
            <w:vAlign w:val="center"/>
          </w:tcPr>
          <w:p w14:paraId="1F92DA4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氯化亚铁</w:t>
            </w:r>
          </w:p>
        </w:tc>
        <w:tc>
          <w:tcPr>
            <w:tcW w:w="804" w:type="dxa"/>
            <w:noWrap w:val="0"/>
            <w:vAlign w:val="center"/>
          </w:tcPr>
          <w:p w14:paraId="6948FFE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7019C30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1075FFC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2.每包500g</w:t>
            </w:r>
          </w:p>
        </w:tc>
      </w:tr>
      <w:tr w14:paraId="5C23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AE2C35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300</w:t>
            </w:r>
          </w:p>
        </w:tc>
        <w:tc>
          <w:tcPr>
            <w:tcW w:w="1215" w:type="dxa"/>
            <w:noWrap w:val="0"/>
            <w:vAlign w:val="center"/>
          </w:tcPr>
          <w:p w14:paraId="73A89F7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氯化亚锡</w:t>
            </w:r>
          </w:p>
        </w:tc>
        <w:tc>
          <w:tcPr>
            <w:tcW w:w="804" w:type="dxa"/>
            <w:noWrap w:val="0"/>
            <w:vAlign w:val="center"/>
          </w:tcPr>
          <w:p w14:paraId="326653D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0C78C2D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0BAD1DD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2.每包500g</w:t>
            </w:r>
          </w:p>
        </w:tc>
      </w:tr>
      <w:tr w14:paraId="69B2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0924D8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301</w:t>
            </w:r>
          </w:p>
        </w:tc>
        <w:tc>
          <w:tcPr>
            <w:tcW w:w="1215" w:type="dxa"/>
            <w:noWrap w:val="0"/>
            <w:vAlign w:val="center"/>
          </w:tcPr>
          <w:p w14:paraId="661D40E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溴化钠</w:t>
            </w:r>
          </w:p>
        </w:tc>
        <w:tc>
          <w:tcPr>
            <w:tcW w:w="804" w:type="dxa"/>
            <w:noWrap w:val="0"/>
            <w:vAlign w:val="center"/>
          </w:tcPr>
          <w:p w14:paraId="44E8675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09C7C3A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2229B20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2.每包500g</w:t>
            </w:r>
          </w:p>
        </w:tc>
      </w:tr>
      <w:tr w14:paraId="7FFF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12F391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302</w:t>
            </w:r>
          </w:p>
        </w:tc>
        <w:tc>
          <w:tcPr>
            <w:tcW w:w="1215" w:type="dxa"/>
            <w:noWrap w:val="0"/>
            <w:vAlign w:val="center"/>
          </w:tcPr>
          <w:p w14:paraId="24B2244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溴化钾</w:t>
            </w:r>
          </w:p>
        </w:tc>
        <w:tc>
          <w:tcPr>
            <w:tcW w:w="804" w:type="dxa"/>
            <w:noWrap w:val="0"/>
            <w:vAlign w:val="center"/>
          </w:tcPr>
          <w:p w14:paraId="0E0A7B1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154674F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7AC2889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2.每包500g</w:t>
            </w:r>
          </w:p>
        </w:tc>
      </w:tr>
      <w:tr w14:paraId="35EE2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B7C5ED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303</w:t>
            </w:r>
          </w:p>
        </w:tc>
        <w:tc>
          <w:tcPr>
            <w:tcW w:w="1215" w:type="dxa"/>
            <w:noWrap w:val="0"/>
            <w:vAlign w:val="center"/>
          </w:tcPr>
          <w:p w14:paraId="5CC04E3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溴化铜</w:t>
            </w:r>
          </w:p>
        </w:tc>
        <w:tc>
          <w:tcPr>
            <w:tcW w:w="804" w:type="dxa"/>
            <w:noWrap w:val="0"/>
            <w:vAlign w:val="center"/>
          </w:tcPr>
          <w:p w14:paraId="7E34A2F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4373774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63578F1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2.每瓶100g</w:t>
            </w:r>
          </w:p>
        </w:tc>
      </w:tr>
      <w:tr w14:paraId="7275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FC6AB7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304</w:t>
            </w:r>
          </w:p>
        </w:tc>
        <w:tc>
          <w:tcPr>
            <w:tcW w:w="1215" w:type="dxa"/>
            <w:noWrap w:val="0"/>
            <w:vAlign w:val="center"/>
          </w:tcPr>
          <w:p w14:paraId="158BC12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碘化铅</w:t>
            </w:r>
          </w:p>
        </w:tc>
        <w:tc>
          <w:tcPr>
            <w:tcW w:w="804" w:type="dxa"/>
            <w:noWrap w:val="0"/>
            <w:vAlign w:val="center"/>
          </w:tcPr>
          <w:p w14:paraId="6B82130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47C8F20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w:t>
            </w:r>
          </w:p>
        </w:tc>
        <w:tc>
          <w:tcPr>
            <w:tcW w:w="6351" w:type="dxa"/>
            <w:noWrap w:val="0"/>
            <w:vAlign w:val="center"/>
          </w:tcPr>
          <w:p w14:paraId="2E6AE39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2.每瓶100g</w:t>
            </w:r>
          </w:p>
        </w:tc>
      </w:tr>
      <w:tr w14:paraId="4E03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7CECA9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305</w:t>
            </w:r>
          </w:p>
        </w:tc>
        <w:tc>
          <w:tcPr>
            <w:tcW w:w="1215" w:type="dxa"/>
            <w:noWrap w:val="0"/>
            <w:vAlign w:val="center"/>
          </w:tcPr>
          <w:p w14:paraId="6833B06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碘化钾</w:t>
            </w:r>
          </w:p>
        </w:tc>
        <w:tc>
          <w:tcPr>
            <w:tcW w:w="804" w:type="dxa"/>
            <w:noWrap w:val="0"/>
            <w:vAlign w:val="center"/>
          </w:tcPr>
          <w:p w14:paraId="09F542C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6D3ACB6B">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500</w:t>
            </w:r>
          </w:p>
        </w:tc>
        <w:tc>
          <w:tcPr>
            <w:tcW w:w="6351" w:type="dxa"/>
            <w:noWrap w:val="0"/>
            <w:vAlign w:val="center"/>
          </w:tcPr>
          <w:p w14:paraId="397EE77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2.每包500g</w:t>
            </w:r>
          </w:p>
        </w:tc>
      </w:tr>
      <w:tr w14:paraId="2F31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D1DB39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306</w:t>
            </w:r>
          </w:p>
        </w:tc>
        <w:tc>
          <w:tcPr>
            <w:tcW w:w="1215" w:type="dxa"/>
            <w:noWrap w:val="0"/>
            <w:vAlign w:val="center"/>
          </w:tcPr>
          <w:p w14:paraId="227BA63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亚硫酸钠(无水)</w:t>
            </w:r>
          </w:p>
        </w:tc>
        <w:tc>
          <w:tcPr>
            <w:tcW w:w="804" w:type="dxa"/>
            <w:noWrap w:val="0"/>
            <w:vAlign w:val="center"/>
          </w:tcPr>
          <w:p w14:paraId="50EDE75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761FD52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w:t>
            </w:r>
          </w:p>
        </w:tc>
        <w:tc>
          <w:tcPr>
            <w:tcW w:w="6351" w:type="dxa"/>
            <w:noWrap w:val="0"/>
            <w:vAlign w:val="center"/>
          </w:tcPr>
          <w:p w14:paraId="77D3097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5DC9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631746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307</w:t>
            </w:r>
          </w:p>
        </w:tc>
        <w:tc>
          <w:tcPr>
            <w:tcW w:w="1215" w:type="dxa"/>
            <w:noWrap w:val="0"/>
            <w:vAlign w:val="center"/>
          </w:tcPr>
          <w:p w14:paraId="12A7B24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硫酸亚铁</w:t>
            </w:r>
          </w:p>
        </w:tc>
        <w:tc>
          <w:tcPr>
            <w:tcW w:w="804" w:type="dxa"/>
            <w:noWrap w:val="0"/>
            <w:vAlign w:val="center"/>
          </w:tcPr>
          <w:p w14:paraId="49AE561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28821FC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w:t>
            </w:r>
          </w:p>
        </w:tc>
        <w:tc>
          <w:tcPr>
            <w:tcW w:w="6351" w:type="dxa"/>
            <w:noWrap w:val="0"/>
            <w:vAlign w:val="center"/>
          </w:tcPr>
          <w:p w14:paraId="040500F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4ACD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12B7A6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308</w:t>
            </w:r>
          </w:p>
        </w:tc>
        <w:tc>
          <w:tcPr>
            <w:tcW w:w="1215" w:type="dxa"/>
            <w:noWrap w:val="0"/>
            <w:vAlign w:val="center"/>
          </w:tcPr>
          <w:p w14:paraId="10E98AF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硫酸亚铁铵</w:t>
            </w:r>
          </w:p>
        </w:tc>
        <w:tc>
          <w:tcPr>
            <w:tcW w:w="804" w:type="dxa"/>
            <w:noWrap w:val="0"/>
            <w:vAlign w:val="center"/>
          </w:tcPr>
          <w:p w14:paraId="7AE6EFD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6FDC0FB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083ABF9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75A1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96188F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309</w:t>
            </w:r>
          </w:p>
        </w:tc>
        <w:tc>
          <w:tcPr>
            <w:tcW w:w="1215" w:type="dxa"/>
            <w:noWrap w:val="0"/>
            <w:vAlign w:val="center"/>
          </w:tcPr>
          <w:p w14:paraId="701F930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硫酸钾</w:t>
            </w:r>
          </w:p>
        </w:tc>
        <w:tc>
          <w:tcPr>
            <w:tcW w:w="804" w:type="dxa"/>
            <w:noWrap w:val="0"/>
            <w:vAlign w:val="center"/>
          </w:tcPr>
          <w:p w14:paraId="3C69FBE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5F07D16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1CFE96F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401F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5497FF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310</w:t>
            </w:r>
          </w:p>
        </w:tc>
        <w:tc>
          <w:tcPr>
            <w:tcW w:w="1215" w:type="dxa"/>
            <w:noWrap w:val="0"/>
            <w:vAlign w:val="center"/>
          </w:tcPr>
          <w:p w14:paraId="348D7C0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硫酸钠</w:t>
            </w:r>
          </w:p>
        </w:tc>
        <w:tc>
          <w:tcPr>
            <w:tcW w:w="804" w:type="dxa"/>
            <w:noWrap w:val="0"/>
            <w:vAlign w:val="center"/>
          </w:tcPr>
          <w:p w14:paraId="2F1E7D9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2AD3E0C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6704311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03DC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D0D8CA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311</w:t>
            </w:r>
          </w:p>
        </w:tc>
        <w:tc>
          <w:tcPr>
            <w:tcW w:w="1215" w:type="dxa"/>
            <w:noWrap w:val="0"/>
            <w:vAlign w:val="center"/>
          </w:tcPr>
          <w:p w14:paraId="339A0C0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硫酸铝</w:t>
            </w:r>
          </w:p>
        </w:tc>
        <w:tc>
          <w:tcPr>
            <w:tcW w:w="804" w:type="dxa"/>
            <w:noWrap w:val="0"/>
            <w:vAlign w:val="center"/>
          </w:tcPr>
          <w:p w14:paraId="096F739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66278B0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6D7BD67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24DF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4D8B86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312</w:t>
            </w:r>
          </w:p>
        </w:tc>
        <w:tc>
          <w:tcPr>
            <w:tcW w:w="1215" w:type="dxa"/>
            <w:noWrap w:val="0"/>
            <w:vAlign w:val="center"/>
          </w:tcPr>
          <w:p w14:paraId="2C0D2AC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硫酸铜(蓝矾.胆矾)</w:t>
            </w:r>
          </w:p>
        </w:tc>
        <w:tc>
          <w:tcPr>
            <w:tcW w:w="804" w:type="dxa"/>
            <w:noWrap w:val="0"/>
            <w:vAlign w:val="center"/>
          </w:tcPr>
          <w:p w14:paraId="78E03F6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3546BD4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2000</w:t>
            </w:r>
          </w:p>
        </w:tc>
        <w:tc>
          <w:tcPr>
            <w:tcW w:w="6351" w:type="dxa"/>
            <w:noWrap w:val="0"/>
            <w:vAlign w:val="center"/>
          </w:tcPr>
          <w:p w14:paraId="48903FC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46C2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A0501C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313</w:t>
            </w:r>
          </w:p>
        </w:tc>
        <w:tc>
          <w:tcPr>
            <w:tcW w:w="1215" w:type="dxa"/>
            <w:noWrap w:val="0"/>
            <w:vAlign w:val="center"/>
          </w:tcPr>
          <w:p w14:paraId="1E3BFC7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硫酸铜(无水)</w:t>
            </w:r>
          </w:p>
        </w:tc>
        <w:tc>
          <w:tcPr>
            <w:tcW w:w="804" w:type="dxa"/>
            <w:noWrap w:val="0"/>
            <w:vAlign w:val="center"/>
          </w:tcPr>
          <w:p w14:paraId="71C13F8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77A22E0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191ADBE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22D2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DCBC87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314</w:t>
            </w:r>
          </w:p>
        </w:tc>
        <w:tc>
          <w:tcPr>
            <w:tcW w:w="1215" w:type="dxa"/>
            <w:noWrap w:val="0"/>
            <w:vAlign w:val="center"/>
          </w:tcPr>
          <w:p w14:paraId="16C82C6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硫酸铵</w:t>
            </w:r>
          </w:p>
        </w:tc>
        <w:tc>
          <w:tcPr>
            <w:tcW w:w="804" w:type="dxa"/>
            <w:noWrap w:val="0"/>
            <w:vAlign w:val="center"/>
          </w:tcPr>
          <w:p w14:paraId="6C79076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4B641A9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0C6236C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1974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AF4D51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315</w:t>
            </w:r>
          </w:p>
        </w:tc>
        <w:tc>
          <w:tcPr>
            <w:tcW w:w="1215" w:type="dxa"/>
            <w:noWrap w:val="0"/>
            <w:vAlign w:val="center"/>
          </w:tcPr>
          <w:p w14:paraId="6E6F3C9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硫酸铝钾(明矾)</w:t>
            </w:r>
          </w:p>
        </w:tc>
        <w:tc>
          <w:tcPr>
            <w:tcW w:w="804" w:type="dxa"/>
            <w:noWrap w:val="0"/>
            <w:vAlign w:val="center"/>
          </w:tcPr>
          <w:p w14:paraId="7E110AD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1C96165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w:t>
            </w:r>
          </w:p>
        </w:tc>
        <w:tc>
          <w:tcPr>
            <w:tcW w:w="6351" w:type="dxa"/>
            <w:noWrap w:val="0"/>
            <w:vAlign w:val="center"/>
          </w:tcPr>
          <w:p w14:paraId="30A1D42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5F9A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4F5156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316</w:t>
            </w:r>
          </w:p>
        </w:tc>
        <w:tc>
          <w:tcPr>
            <w:tcW w:w="1215" w:type="dxa"/>
            <w:noWrap w:val="0"/>
            <w:vAlign w:val="center"/>
          </w:tcPr>
          <w:p w14:paraId="6B51131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硫酸铁</w:t>
            </w:r>
          </w:p>
        </w:tc>
        <w:tc>
          <w:tcPr>
            <w:tcW w:w="804" w:type="dxa"/>
            <w:noWrap w:val="0"/>
            <w:vAlign w:val="center"/>
          </w:tcPr>
          <w:p w14:paraId="407934B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0EA3B3C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56187E4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2127C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458958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317</w:t>
            </w:r>
          </w:p>
        </w:tc>
        <w:tc>
          <w:tcPr>
            <w:tcW w:w="1215" w:type="dxa"/>
            <w:noWrap w:val="0"/>
            <w:vAlign w:val="center"/>
          </w:tcPr>
          <w:p w14:paraId="6E8B020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硫酸锰</w:t>
            </w:r>
          </w:p>
        </w:tc>
        <w:tc>
          <w:tcPr>
            <w:tcW w:w="804" w:type="dxa"/>
            <w:noWrap w:val="0"/>
            <w:vAlign w:val="center"/>
          </w:tcPr>
          <w:p w14:paraId="1B129CE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4946F5C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421E433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11FB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E0D8DF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318</w:t>
            </w:r>
          </w:p>
        </w:tc>
        <w:tc>
          <w:tcPr>
            <w:tcW w:w="1215" w:type="dxa"/>
            <w:noWrap w:val="0"/>
            <w:vAlign w:val="center"/>
          </w:tcPr>
          <w:p w14:paraId="137006E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硫酸锌</w:t>
            </w:r>
          </w:p>
        </w:tc>
        <w:tc>
          <w:tcPr>
            <w:tcW w:w="804" w:type="dxa"/>
            <w:noWrap w:val="0"/>
            <w:vAlign w:val="center"/>
          </w:tcPr>
          <w:p w14:paraId="2CACC50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05461F3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5CAEF53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4F7B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056122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319</w:t>
            </w:r>
          </w:p>
        </w:tc>
        <w:tc>
          <w:tcPr>
            <w:tcW w:w="1215" w:type="dxa"/>
            <w:noWrap w:val="0"/>
            <w:vAlign w:val="center"/>
          </w:tcPr>
          <w:p w14:paraId="35073CE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硫化亚铁</w:t>
            </w:r>
          </w:p>
        </w:tc>
        <w:tc>
          <w:tcPr>
            <w:tcW w:w="804" w:type="dxa"/>
            <w:noWrap w:val="0"/>
            <w:vAlign w:val="center"/>
          </w:tcPr>
          <w:p w14:paraId="78E9C0C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1DD9355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5DAACAB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5297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2AFCEC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320</w:t>
            </w:r>
          </w:p>
        </w:tc>
        <w:tc>
          <w:tcPr>
            <w:tcW w:w="1215" w:type="dxa"/>
            <w:noWrap w:val="0"/>
            <w:vAlign w:val="center"/>
          </w:tcPr>
          <w:p w14:paraId="59927A5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碳酸钠</w:t>
            </w:r>
          </w:p>
        </w:tc>
        <w:tc>
          <w:tcPr>
            <w:tcW w:w="804" w:type="dxa"/>
            <w:noWrap w:val="0"/>
            <w:vAlign w:val="center"/>
          </w:tcPr>
          <w:p w14:paraId="0ED657F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5BD0428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2500</w:t>
            </w:r>
          </w:p>
        </w:tc>
        <w:tc>
          <w:tcPr>
            <w:tcW w:w="6351" w:type="dxa"/>
            <w:noWrap w:val="0"/>
            <w:vAlign w:val="center"/>
          </w:tcPr>
          <w:p w14:paraId="4CC46E4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7706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A057B5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321</w:t>
            </w:r>
          </w:p>
        </w:tc>
        <w:tc>
          <w:tcPr>
            <w:tcW w:w="1215" w:type="dxa"/>
            <w:noWrap w:val="0"/>
            <w:vAlign w:val="center"/>
          </w:tcPr>
          <w:p w14:paraId="2A78A24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碳酸氢钠</w:t>
            </w:r>
          </w:p>
        </w:tc>
        <w:tc>
          <w:tcPr>
            <w:tcW w:w="804" w:type="dxa"/>
            <w:noWrap w:val="0"/>
            <w:vAlign w:val="center"/>
          </w:tcPr>
          <w:p w14:paraId="4FD160F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3CDE4A3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2000</w:t>
            </w:r>
          </w:p>
        </w:tc>
        <w:tc>
          <w:tcPr>
            <w:tcW w:w="6351" w:type="dxa"/>
            <w:noWrap w:val="0"/>
            <w:vAlign w:val="center"/>
          </w:tcPr>
          <w:p w14:paraId="52436E2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00B8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302114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322</w:t>
            </w:r>
          </w:p>
        </w:tc>
        <w:tc>
          <w:tcPr>
            <w:tcW w:w="1215" w:type="dxa"/>
            <w:noWrap w:val="0"/>
            <w:vAlign w:val="center"/>
          </w:tcPr>
          <w:p w14:paraId="396CDC2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大理石</w:t>
            </w:r>
          </w:p>
        </w:tc>
        <w:tc>
          <w:tcPr>
            <w:tcW w:w="804" w:type="dxa"/>
            <w:noWrap w:val="0"/>
            <w:vAlign w:val="center"/>
          </w:tcPr>
          <w:p w14:paraId="13A4FB6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487C155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2000</w:t>
            </w:r>
          </w:p>
        </w:tc>
        <w:tc>
          <w:tcPr>
            <w:tcW w:w="6351" w:type="dxa"/>
            <w:noWrap w:val="0"/>
            <w:vAlign w:val="center"/>
          </w:tcPr>
          <w:p w14:paraId="1B270FE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4EFF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71BF68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323</w:t>
            </w:r>
          </w:p>
        </w:tc>
        <w:tc>
          <w:tcPr>
            <w:tcW w:w="1215" w:type="dxa"/>
            <w:noWrap w:val="0"/>
            <w:vAlign w:val="center"/>
          </w:tcPr>
          <w:p w14:paraId="4A753D2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碳酸氢铵</w:t>
            </w:r>
          </w:p>
        </w:tc>
        <w:tc>
          <w:tcPr>
            <w:tcW w:w="804" w:type="dxa"/>
            <w:noWrap w:val="0"/>
            <w:vAlign w:val="center"/>
          </w:tcPr>
          <w:p w14:paraId="6494F54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194C599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24A53A7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24E1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BD1055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324</w:t>
            </w:r>
          </w:p>
        </w:tc>
        <w:tc>
          <w:tcPr>
            <w:tcW w:w="1215" w:type="dxa"/>
            <w:noWrap w:val="0"/>
            <w:vAlign w:val="center"/>
          </w:tcPr>
          <w:p w14:paraId="2F5F56D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硅酸钠(水玻璃)</w:t>
            </w:r>
          </w:p>
        </w:tc>
        <w:tc>
          <w:tcPr>
            <w:tcW w:w="804" w:type="dxa"/>
            <w:noWrap w:val="0"/>
            <w:vAlign w:val="center"/>
          </w:tcPr>
          <w:p w14:paraId="15CBFB00">
            <w:pPr>
              <w:keepNext w:val="0"/>
              <w:keepLines w:val="0"/>
              <w:pageBreakBefore w:val="0"/>
              <w:widowControl/>
              <w:suppressLineNumbers w:val="0"/>
              <w:kinsoku/>
              <w:wordWrap/>
              <w:overflowPunct/>
              <w:topLinePunct w:val="0"/>
              <w:bidi w:val="0"/>
              <w:spacing w:line="440" w:lineRule="exact"/>
              <w:jc w:val="center"/>
              <w:textAlignment w:val="center"/>
            </w:pPr>
            <w:r>
              <w:rPr>
                <w:rFonts w:hint="eastAsia" w:ascii="宋体" w:hAnsi="宋体" w:cs="宋体"/>
                <w:i w:val="0"/>
                <w:iCs w:val="0"/>
                <w:color w:val="auto"/>
                <w:kern w:val="0"/>
                <w:sz w:val="21"/>
                <w:szCs w:val="21"/>
                <w:highlight w:val="none"/>
                <w:u w:val="none"/>
                <w:lang w:val="en-US" w:eastAsia="zh-CN" w:bidi="ar"/>
              </w:rPr>
              <w:t>克</w:t>
            </w:r>
          </w:p>
        </w:tc>
        <w:tc>
          <w:tcPr>
            <w:tcW w:w="765" w:type="dxa"/>
            <w:gridSpan w:val="2"/>
            <w:noWrap w:val="0"/>
            <w:vAlign w:val="center"/>
          </w:tcPr>
          <w:p w14:paraId="1BEC4B1F">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500</w:t>
            </w:r>
          </w:p>
        </w:tc>
        <w:tc>
          <w:tcPr>
            <w:tcW w:w="6351" w:type="dxa"/>
            <w:noWrap w:val="0"/>
            <w:vAlign w:val="center"/>
          </w:tcPr>
          <w:p w14:paraId="78D5998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7872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D66CB0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325</w:t>
            </w:r>
          </w:p>
        </w:tc>
        <w:tc>
          <w:tcPr>
            <w:tcW w:w="1215" w:type="dxa"/>
            <w:noWrap w:val="0"/>
            <w:vAlign w:val="center"/>
          </w:tcPr>
          <w:p w14:paraId="7775CF4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乙酸钠</w:t>
            </w:r>
          </w:p>
        </w:tc>
        <w:tc>
          <w:tcPr>
            <w:tcW w:w="804" w:type="dxa"/>
            <w:noWrap w:val="0"/>
            <w:vAlign w:val="center"/>
          </w:tcPr>
          <w:p w14:paraId="15960B9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6125138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4DEBC06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52D3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E6CB62E">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327</w:t>
            </w:r>
          </w:p>
        </w:tc>
        <w:tc>
          <w:tcPr>
            <w:tcW w:w="1215" w:type="dxa"/>
            <w:noWrap w:val="0"/>
            <w:vAlign w:val="center"/>
          </w:tcPr>
          <w:p w14:paraId="50F4BEA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硫代硫酸钠</w:t>
            </w:r>
          </w:p>
        </w:tc>
        <w:tc>
          <w:tcPr>
            <w:tcW w:w="804" w:type="dxa"/>
            <w:noWrap w:val="0"/>
            <w:vAlign w:val="center"/>
          </w:tcPr>
          <w:p w14:paraId="6DECAD5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71CDE5D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5DB1058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35D2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304C966">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328</w:t>
            </w:r>
          </w:p>
        </w:tc>
        <w:tc>
          <w:tcPr>
            <w:tcW w:w="1215" w:type="dxa"/>
            <w:noWrap w:val="0"/>
            <w:vAlign w:val="center"/>
          </w:tcPr>
          <w:p w14:paraId="1880A34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硼酸</w:t>
            </w:r>
          </w:p>
        </w:tc>
        <w:tc>
          <w:tcPr>
            <w:tcW w:w="804" w:type="dxa"/>
            <w:noWrap w:val="0"/>
            <w:vAlign w:val="center"/>
          </w:tcPr>
          <w:p w14:paraId="51846A7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1AA126E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07CC16A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4673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6B1A987">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331</w:t>
            </w:r>
          </w:p>
        </w:tc>
        <w:tc>
          <w:tcPr>
            <w:tcW w:w="1215" w:type="dxa"/>
            <w:noWrap w:val="0"/>
            <w:vAlign w:val="center"/>
          </w:tcPr>
          <w:p w14:paraId="4E80FE7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氧化钙(生石灰)</w:t>
            </w:r>
          </w:p>
        </w:tc>
        <w:tc>
          <w:tcPr>
            <w:tcW w:w="804" w:type="dxa"/>
            <w:noWrap w:val="0"/>
            <w:vAlign w:val="center"/>
          </w:tcPr>
          <w:p w14:paraId="2D8A9FF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1B7FE7D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69EF095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69CD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417006D">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332</w:t>
            </w:r>
          </w:p>
        </w:tc>
        <w:tc>
          <w:tcPr>
            <w:tcW w:w="1215" w:type="dxa"/>
            <w:noWrap w:val="0"/>
            <w:vAlign w:val="center"/>
          </w:tcPr>
          <w:p w14:paraId="699AF76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氢氧化钙(熟石灰)</w:t>
            </w:r>
          </w:p>
        </w:tc>
        <w:tc>
          <w:tcPr>
            <w:tcW w:w="804" w:type="dxa"/>
            <w:noWrap w:val="0"/>
            <w:vAlign w:val="center"/>
          </w:tcPr>
          <w:p w14:paraId="116C2FD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211E80B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w:t>
            </w:r>
          </w:p>
        </w:tc>
        <w:tc>
          <w:tcPr>
            <w:tcW w:w="6351" w:type="dxa"/>
            <w:noWrap w:val="0"/>
            <w:vAlign w:val="center"/>
          </w:tcPr>
          <w:p w14:paraId="60EB017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447A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5FCFAD1">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333</w:t>
            </w:r>
          </w:p>
        </w:tc>
        <w:tc>
          <w:tcPr>
            <w:tcW w:w="1215" w:type="dxa"/>
            <w:noWrap w:val="0"/>
            <w:vAlign w:val="center"/>
          </w:tcPr>
          <w:p w14:paraId="05B8141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碱石灰</w:t>
            </w:r>
          </w:p>
        </w:tc>
        <w:tc>
          <w:tcPr>
            <w:tcW w:w="804" w:type="dxa"/>
            <w:noWrap w:val="0"/>
            <w:vAlign w:val="center"/>
          </w:tcPr>
          <w:p w14:paraId="4D04D7C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1E7F205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5065305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4F01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91A8C89">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334</w:t>
            </w:r>
          </w:p>
        </w:tc>
        <w:tc>
          <w:tcPr>
            <w:tcW w:w="1215" w:type="dxa"/>
            <w:noWrap w:val="0"/>
            <w:vAlign w:val="center"/>
          </w:tcPr>
          <w:p w14:paraId="1F93688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葡萄糖</w:t>
            </w:r>
          </w:p>
        </w:tc>
        <w:tc>
          <w:tcPr>
            <w:tcW w:w="804" w:type="dxa"/>
            <w:noWrap w:val="0"/>
            <w:vAlign w:val="center"/>
          </w:tcPr>
          <w:p w14:paraId="3D4463E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0227FF3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5ACA041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55E5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F012F07">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335</w:t>
            </w:r>
          </w:p>
        </w:tc>
        <w:tc>
          <w:tcPr>
            <w:tcW w:w="1215" w:type="dxa"/>
            <w:noWrap w:val="0"/>
            <w:vAlign w:val="center"/>
          </w:tcPr>
          <w:p w14:paraId="0D79475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蔗糖</w:t>
            </w:r>
          </w:p>
        </w:tc>
        <w:tc>
          <w:tcPr>
            <w:tcW w:w="804" w:type="dxa"/>
            <w:noWrap w:val="0"/>
            <w:vAlign w:val="center"/>
          </w:tcPr>
          <w:p w14:paraId="7C55FD5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344BBA5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636851E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2A42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BB8BB14">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336</w:t>
            </w:r>
          </w:p>
        </w:tc>
        <w:tc>
          <w:tcPr>
            <w:tcW w:w="1215" w:type="dxa"/>
            <w:noWrap w:val="0"/>
            <w:vAlign w:val="center"/>
          </w:tcPr>
          <w:p w14:paraId="4F37D78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可溶性淀粉</w:t>
            </w:r>
          </w:p>
        </w:tc>
        <w:tc>
          <w:tcPr>
            <w:tcW w:w="804" w:type="dxa"/>
            <w:noWrap w:val="0"/>
            <w:vAlign w:val="center"/>
          </w:tcPr>
          <w:p w14:paraId="1BA6A09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0AA3BEE1">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500</w:t>
            </w:r>
          </w:p>
        </w:tc>
        <w:tc>
          <w:tcPr>
            <w:tcW w:w="6351" w:type="dxa"/>
            <w:noWrap w:val="0"/>
            <w:vAlign w:val="center"/>
          </w:tcPr>
          <w:p w14:paraId="74B8CEA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148D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045E32F">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338</w:t>
            </w:r>
          </w:p>
        </w:tc>
        <w:tc>
          <w:tcPr>
            <w:tcW w:w="1215" w:type="dxa"/>
            <w:noWrap w:val="0"/>
            <w:vAlign w:val="center"/>
          </w:tcPr>
          <w:p w14:paraId="28BB8DF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植物油</w:t>
            </w:r>
          </w:p>
        </w:tc>
        <w:tc>
          <w:tcPr>
            <w:tcW w:w="804" w:type="dxa"/>
            <w:noWrap w:val="0"/>
            <w:vAlign w:val="center"/>
          </w:tcPr>
          <w:p w14:paraId="475D559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毫升</w:t>
            </w:r>
          </w:p>
        </w:tc>
        <w:tc>
          <w:tcPr>
            <w:tcW w:w="765" w:type="dxa"/>
            <w:gridSpan w:val="2"/>
            <w:noWrap w:val="0"/>
            <w:vAlign w:val="center"/>
          </w:tcPr>
          <w:p w14:paraId="65F83C7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5F264B0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2.每瓶500ml</w:t>
            </w:r>
          </w:p>
        </w:tc>
      </w:tr>
      <w:tr w14:paraId="1415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A68CDF4">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339</w:t>
            </w:r>
          </w:p>
        </w:tc>
        <w:tc>
          <w:tcPr>
            <w:tcW w:w="1215" w:type="dxa"/>
            <w:noWrap w:val="0"/>
            <w:vAlign w:val="center"/>
          </w:tcPr>
          <w:p w14:paraId="5B19733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石蜡</w:t>
            </w:r>
          </w:p>
        </w:tc>
        <w:tc>
          <w:tcPr>
            <w:tcW w:w="804" w:type="dxa"/>
            <w:noWrap w:val="0"/>
            <w:vAlign w:val="center"/>
          </w:tcPr>
          <w:p w14:paraId="79186A0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38C39A6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137A1FF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249C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3CAD6E4">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340</w:t>
            </w:r>
          </w:p>
        </w:tc>
        <w:tc>
          <w:tcPr>
            <w:tcW w:w="1215" w:type="dxa"/>
            <w:noWrap w:val="0"/>
            <w:vAlign w:val="center"/>
          </w:tcPr>
          <w:p w14:paraId="43CC562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石蜡(油)</w:t>
            </w:r>
          </w:p>
        </w:tc>
        <w:tc>
          <w:tcPr>
            <w:tcW w:w="804" w:type="dxa"/>
            <w:noWrap w:val="0"/>
            <w:vAlign w:val="center"/>
          </w:tcPr>
          <w:p w14:paraId="49691FD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毫升</w:t>
            </w:r>
          </w:p>
        </w:tc>
        <w:tc>
          <w:tcPr>
            <w:tcW w:w="765" w:type="dxa"/>
            <w:gridSpan w:val="2"/>
            <w:noWrap w:val="0"/>
            <w:vAlign w:val="center"/>
          </w:tcPr>
          <w:p w14:paraId="4DEE787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7BD810E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2.每瓶500ml</w:t>
            </w:r>
          </w:p>
        </w:tc>
      </w:tr>
      <w:tr w14:paraId="2F77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938BF0E">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341</w:t>
            </w:r>
          </w:p>
        </w:tc>
        <w:tc>
          <w:tcPr>
            <w:tcW w:w="1215" w:type="dxa"/>
            <w:noWrap w:val="0"/>
            <w:vAlign w:val="center"/>
          </w:tcPr>
          <w:p w14:paraId="19659F4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苯甲酸</w:t>
            </w:r>
          </w:p>
        </w:tc>
        <w:tc>
          <w:tcPr>
            <w:tcW w:w="804" w:type="dxa"/>
            <w:noWrap w:val="0"/>
            <w:vAlign w:val="center"/>
          </w:tcPr>
          <w:p w14:paraId="7F61645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39EF7BE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29B4C7E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2.每瓶250g</w:t>
            </w:r>
          </w:p>
        </w:tc>
      </w:tr>
      <w:tr w14:paraId="35EF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8B6734B">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342</w:t>
            </w:r>
          </w:p>
        </w:tc>
        <w:tc>
          <w:tcPr>
            <w:tcW w:w="1215" w:type="dxa"/>
            <w:noWrap w:val="0"/>
            <w:vAlign w:val="center"/>
          </w:tcPr>
          <w:p w14:paraId="2A036FA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硬脂酸</w:t>
            </w:r>
          </w:p>
        </w:tc>
        <w:tc>
          <w:tcPr>
            <w:tcW w:w="804" w:type="dxa"/>
            <w:noWrap w:val="0"/>
            <w:vAlign w:val="center"/>
          </w:tcPr>
          <w:p w14:paraId="46A374E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1694AAD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250</w:t>
            </w:r>
          </w:p>
        </w:tc>
        <w:tc>
          <w:tcPr>
            <w:tcW w:w="6351" w:type="dxa"/>
            <w:noWrap w:val="0"/>
            <w:vAlign w:val="center"/>
          </w:tcPr>
          <w:p w14:paraId="28814B1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2.每瓶250g</w:t>
            </w:r>
          </w:p>
        </w:tc>
      </w:tr>
      <w:tr w14:paraId="5A49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2B8B8C7">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343</w:t>
            </w:r>
          </w:p>
        </w:tc>
        <w:tc>
          <w:tcPr>
            <w:tcW w:w="1215" w:type="dxa"/>
            <w:noWrap w:val="0"/>
            <w:vAlign w:val="center"/>
          </w:tcPr>
          <w:p w14:paraId="0DD6132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硬脂酸丁酯</w:t>
            </w:r>
          </w:p>
        </w:tc>
        <w:tc>
          <w:tcPr>
            <w:tcW w:w="804" w:type="dxa"/>
            <w:noWrap w:val="0"/>
            <w:vAlign w:val="center"/>
          </w:tcPr>
          <w:p w14:paraId="2300133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681397C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1D64BB9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6189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980310F">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344</w:t>
            </w:r>
          </w:p>
        </w:tc>
        <w:tc>
          <w:tcPr>
            <w:tcW w:w="1215" w:type="dxa"/>
            <w:noWrap w:val="0"/>
            <w:vAlign w:val="center"/>
          </w:tcPr>
          <w:p w14:paraId="41499F6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石蕊</w:t>
            </w:r>
          </w:p>
        </w:tc>
        <w:tc>
          <w:tcPr>
            <w:tcW w:w="804" w:type="dxa"/>
            <w:noWrap w:val="0"/>
            <w:vAlign w:val="center"/>
          </w:tcPr>
          <w:p w14:paraId="4DB4CB2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29C1D82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6351" w:type="dxa"/>
            <w:noWrap w:val="0"/>
            <w:vAlign w:val="center"/>
          </w:tcPr>
          <w:p w14:paraId="3E70BE7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2.每瓶25g</w:t>
            </w:r>
          </w:p>
        </w:tc>
      </w:tr>
      <w:tr w14:paraId="1FFD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4EB0A07">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345</w:t>
            </w:r>
          </w:p>
        </w:tc>
        <w:tc>
          <w:tcPr>
            <w:tcW w:w="1215" w:type="dxa"/>
            <w:noWrap w:val="0"/>
            <w:vAlign w:val="center"/>
          </w:tcPr>
          <w:p w14:paraId="5D5BA8C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酚酞</w:t>
            </w:r>
          </w:p>
        </w:tc>
        <w:tc>
          <w:tcPr>
            <w:tcW w:w="804" w:type="dxa"/>
            <w:noWrap w:val="0"/>
            <w:vAlign w:val="center"/>
          </w:tcPr>
          <w:p w14:paraId="1A88BEF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335069C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6351" w:type="dxa"/>
            <w:noWrap w:val="0"/>
            <w:vAlign w:val="center"/>
          </w:tcPr>
          <w:p w14:paraId="66F4DAB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2.每瓶25g</w:t>
            </w:r>
          </w:p>
        </w:tc>
      </w:tr>
      <w:tr w14:paraId="0621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7B7169B">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346</w:t>
            </w:r>
          </w:p>
        </w:tc>
        <w:tc>
          <w:tcPr>
            <w:tcW w:w="1215" w:type="dxa"/>
            <w:noWrap w:val="0"/>
            <w:vAlign w:val="center"/>
          </w:tcPr>
          <w:p w14:paraId="74F7939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品红</w:t>
            </w:r>
          </w:p>
        </w:tc>
        <w:tc>
          <w:tcPr>
            <w:tcW w:w="804" w:type="dxa"/>
            <w:noWrap w:val="0"/>
            <w:vAlign w:val="center"/>
          </w:tcPr>
          <w:p w14:paraId="09A8F5B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1CA6950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6351" w:type="dxa"/>
            <w:noWrap w:val="0"/>
            <w:vAlign w:val="center"/>
          </w:tcPr>
          <w:p w14:paraId="0380F28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2.每瓶25g</w:t>
            </w:r>
          </w:p>
        </w:tc>
      </w:tr>
      <w:tr w14:paraId="324B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76532B2">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347</w:t>
            </w:r>
          </w:p>
        </w:tc>
        <w:tc>
          <w:tcPr>
            <w:tcW w:w="1215" w:type="dxa"/>
            <w:noWrap w:val="0"/>
            <w:vAlign w:val="center"/>
          </w:tcPr>
          <w:p w14:paraId="53CE638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甲基橙</w:t>
            </w:r>
          </w:p>
        </w:tc>
        <w:tc>
          <w:tcPr>
            <w:tcW w:w="804" w:type="dxa"/>
            <w:noWrap w:val="0"/>
            <w:vAlign w:val="center"/>
          </w:tcPr>
          <w:p w14:paraId="0F13DB7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3967CF8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6351" w:type="dxa"/>
            <w:noWrap w:val="0"/>
            <w:vAlign w:val="center"/>
          </w:tcPr>
          <w:p w14:paraId="7441A5B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2.每瓶25g</w:t>
            </w:r>
          </w:p>
        </w:tc>
      </w:tr>
      <w:tr w14:paraId="32A6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2658DA0">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348</w:t>
            </w:r>
          </w:p>
        </w:tc>
        <w:tc>
          <w:tcPr>
            <w:tcW w:w="1215" w:type="dxa"/>
            <w:noWrap w:val="0"/>
            <w:vAlign w:val="center"/>
          </w:tcPr>
          <w:p w14:paraId="1CAE2EE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pH广范围试纸</w:t>
            </w:r>
          </w:p>
        </w:tc>
        <w:tc>
          <w:tcPr>
            <w:tcW w:w="804" w:type="dxa"/>
            <w:noWrap w:val="0"/>
            <w:vAlign w:val="center"/>
          </w:tcPr>
          <w:p w14:paraId="57D417A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w:t>
            </w:r>
          </w:p>
        </w:tc>
        <w:tc>
          <w:tcPr>
            <w:tcW w:w="765" w:type="dxa"/>
            <w:gridSpan w:val="2"/>
            <w:noWrap w:val="0"/>
            <w:vAlign w:val="center"/>
          </w:tcPr>
          <w:p w14:paraId="248167F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6351" w:type="dxa"/>
            <w:noWrap w:val="0"/>
            <w:vAlign w:val="center"/>
          </w:tcPr>
          <w:p w14:paraId="7DE6176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1.由试纸和对比色卡组成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2.测量范围1～14，每本100张，每张尺寸为56*10mm</w:t>
            </w:r>
          </w:p>
        </w:tc>
      </w:tr>
      <w:tr w14:paraId="2201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5774627">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349</w:t>
            </w:r>
          </w:p>
        </w:tc>
        <w:tc>
          <w:tcPr>
            <w:tcW w:w="1215" w:type="dxa"/>
            <w:noWrap w:val="0"/>
            <w:vAlign w:val="center"/>
          </w:tcPr>
          <w:p w14:paraId="4DEA79D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蓝石蕊试纸</w:t>
            </w:r>
          </w:p>
        </w:tc>
        <w:tc>
          <w:tcPr>
            <w:tcW w:w="804" w:type="dxa"/>
            <w:noWrap w:val="0"/>
            <w:vAlign w:val="center"/>
          </w:tcPr>
          <w:p w14:paraId="52A0C14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w:t>
            </w:r>
          </w:p>
        </w:tc>
        <w:tc>
          <w:tcPr>
            <w:tcW w:w="765" w:type="dxa"/>
            <w:gridSpan w:val="2"/>
            <w:noWrap w:val="0"/>
            <w:vAlign w:val="center"/>
          </w:tcPr>
          <w:p w14:paraId="395B044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6351" w:type="dxa"/>
            <w:noWrap w:val="0"/>
            <w:vAlign w:val="center"/>
          </w:tcPr>
          <w:p w14:paraId="08CCD6D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1.教学用蓝石蕊试纸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2.每本100张，每张尺寸为56*10mm</w:t>
            </w:r>
          </w:p>
        </w:tc>
      </w:tr>
      <w:tr w14:paraId="3B42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2404303">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350</w:t>
            </w:r>
          </w:p>
        </w:tc>
        <w:tc>
          <w:tcPr>
            <w:tcW w:w="1215" w:type="dxa"/>
            <w:noWrap w:val="0"/>
            <w:vAlign w:val="center"/>
          </w:tcPr>
          <w:p w14:paraId="34A42A9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红石蕊试纸</w:t>
            </w:r>
          </w:p>
        </w:tc>
        <w:tc>
          <w:tcPr>
            <w:tcW w:w="804" w:type="dxa"/>
            <w:noWrap w:val="0"/>
            <w:vAlign w:val="center"/>
          </w:tcPr>
          <w:p w14:paraId="4C1698F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w:t>
            </w:r>
          </w:p>
        </w:tc>
        <w:tc>
          <w:tcPr>
            <w:tcW w:w="765" w:type="dxa"/>
            <w:gridSpan w:val="2"/>
            <w:noWrap w:val="0"/>
            <w:vAlign w:val="center"/>
          </w:tcPr>
          <w:p w14:paraId="26996AD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6351" w:type="dxa"/>
            <w:noWrap w:val="0"/>
            <w:vAlign w:val="center"/>
          </w:tcPr>
          <w:p w14:paraId="7DE3CE8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1.教学用红石蕊试纸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2.每本100张，每张尺寸为56*10mm</w:t>
            </w:r>
          </w:p>
        </w:tc>
      </w:tr>
      <w:tr w14:paraId="0738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4E4B10D">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351</w:t>
            </w:r>
          </w:p>
        </w:tc>
        <w:tc>
          <w:tcPr>
            <w:tcW w:w="1215" w:type="dxa"/>
            <w:noWrap w:val="0"/>
            <w:vAlign w:val="center"/>
          </w:tcPr>
          <w:p w14:paraId="4308D83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淀粉碘化钾试纸</w:t>
            </w:r>
          </w:p>
        </w:tc>
        <w:tc>
          <w:tcPr>
            <w:tcW w:w="804" w:type="dxa"/>
            <w:noWrap w:val="0"/>
            <w:vAlign w:val="center"/>
          </w:tcPr>
          <w:p w14:paraId="350B628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w:t>
            </w:r>
          </w:p>
        </w:tc>
        <w:tc>
          <w:tcPr>
            <w:tcW w:w="765" w:type="dxa"/>
            <w:gridSpan w:val="2"/>
            <w:noWrap w:val="0"/>
            <w:vAlign w:val="center"/>
          </w:tcPr>
          <w:p w14:paraId="3C7622D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6351" w:type="dxa"/>
            <w:noWrap w:val="0"/>
            <w:vAlign w:val="center"/>
          </w:tcPr>
          <w:p w14:paraId="570448E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1.教学用淀粉碘化钾试纸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2.每本100张，每张尺寸为56*10mm</w:t>
            </w:r>
          </w:p>
        </w:tc>
      </w:tr>
      <w:tr w14:paraId="21B2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2DE08D5">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352</w:t>
            </w:r>
          </w:p>
        </w:tc>
        <w:tc>
          <w:tcPr>
            <w:tcW w:w="1215" w:type="dxa"/>
            <w:noWrap w:val="0"/>
            <w:vAlign w:val="center"/>
          </w:tcPr>
          <w:p w14:paraId="298026F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亚甲基蓝</w:t>
            </w:r>
          </w:p>
        </w:tc>
        <w:tc>
          <w:tcPr>
            <w:tcW w:w="804" w:type="dxa"/>
            <w:noWrap w:val="0"/>
            <w:vAlign w:val="center"/>
          </w:tcPr>
          <w:p w14:paraId="27F66D5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534469A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6351" w:type="dxa"/>
            <w:noWrap w:val="0"/>
            <w:vAlign w:val="center"/>
          </w:tcPr>
          <w:p w14:paraId="2363116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2.每瓶25g</w:t>
            </w:r>
          </w:p>
        </w:tc>
      </w:tr>
      <w:tr w14:paraId="02DF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771967C">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353</w:t>
            </w:r>
          </w:p>
        </w:tc>
        <w:tc>
          <w:tcPr>
            <w:tcW w:w="1215" w:type="dxa"/>
            <w:noWrap w:val="0"/>
            <w:vAlign w:val="center"/>
          </w:tcPr>
          <w:p w14:paraId="1DE36FD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定性滤纸</w:t>
            </w:r>
          </w:p>
        </w:tc>
        <w:tc>
          <w:tcPr>
            <w:tcW w:w="804" w:type="dxa"/>
            <w:noWrap w:val="0"/>
            <w:vAlign w:val="center"/>
          </w:tcPr>
          <w:p w14:paraId="514D727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盒</w:t>
            </w:r>
          </w:p>
        </w:tc>
        <w:tc>
          <w:tcPr>
            <w:tcW w:w="765" w:type="dxa"/>
            <w:gridSpan w:val="2"/>
            <w:noWrap w:val="0"/>
            <w:vAlign w:val="center"/>
          </w:tcPr>
          <w:p w14:paraId="0C0A311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6351" w:type="dxa"/>
            <w:noWrap w:val="0"/>
            <w:vAlign w:val="center"/>
          </w:tcPr>
          <w:p w14:paraId="7760EB7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1.为实验用中速定性滤纸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2.每盒100张，每片直径11cm</w:t>
            </w:r>
          </w:p>
        </w:tc>
      </w:tr>
      <w:tr w14:paraId="58E5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99016AE">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354</w:t>
            </w:r>
          </w:p>
        </w:tc>
        <w:tc>
          <w:tcPr>
            <w:tcW w:w="1215" w:type="dxa"/>
            <w:noWrap w:val="0"/>
            <w:vAlign w:val="center"/>
          </w:tcPr>
          <w:p w14:paraId="51DD1FF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乙醛</w:t>
            </w:r>
          </w:p>
        </w:tc>
        <w:tc>
          <w:tcPr>
            <w:tcW w:w="804" w:type="dxa"/>
            <w:noWrap w:val="0"/>
            <w:vAlign w:val="center"/>
          </w:tcPr>
          <w:p w14:paraId="6D88E0E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毫升</w:t>
            </w:r>
          </w:p>
        </w:tc>
        <w:tc>
          <w:tcPr>
            <w:tcW w:w="765" w:type="dxa"/>
            <w:gridSpan w:val="2"/>
            <w:noWrap w:val="0"/>
            <w:vAlign w:val="center"/>
          </w:tcPr>
          <w:p w14:paraId="26AD2C6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11F8813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2.每瓶500ml</w:t>
            </w:r>
          </w:p>
        </w:tc>
      </w:tr>
      <w:tr w14:paraId="174F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7E4A81F">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357</w:t>
            </w:r>
          </w:p>
        </w:tc>
        <w:tc>
          <w:tcPr>
            <w:tcW w:w="1215" w:type="dxa"/>
            <w:noWrap w:val="0"/>
            <w:vAlign w:val="center"/>
          </w:tcPr>
          <w:p w14:paraId="436898A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乙酸乙酯</w:t>
            </w:r>
          </w:p>
        </w:tc>
        <w:tc>
          <w:tcPr>
            <w:tcW w:w="804" w:type="dxa"/>
            <w:noWrap w:val="0"/>
            <w:vAlign w:val="center"/>
          </w:tcPr>
          <w:p w14:paraId="19672A6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毫升</w:t>
            </w:r>
          </w:p>
        </w:tc>
        <w:tc>
          <w:tcPr>
            <w:tcW w:w="765" w:type="dxa"/>
            <w:gridSpan w:val="2"/>
            <w:noWrap w:val="0"/>
            <w:vAlign w:val="center"/>
          </w:tcPr>
          <w:p w14:paraId="457EC0A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w:t>
            </w:r>
          </w:p>
        </w:tc>
        <w:tc>
          <w:tcPr>
            <w:tcW w:w="6351" w:type="dxa"/>
            <w:noWrap w:val="0"/>
            <w:vAlign w:val="center"/>
          </w:tcPr>
          <w:p w14:paraId="22BCF4D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2.每瓶500ml</w:t>
            </w:r>
          </w:p>
        </w:tc>
      </w:tr>
      <w:tr w14:paraId="4883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63F6C41">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362</w:t>
            </w:r>
          </w:p>
        </w:tc>
        <w:tc>
          <w:tcPr>
            <w:tcW w:w="1215" w:type="dxa"/>
            <w:noWrap w:val="0"/>
            <w:vAlign w:val="center"/>
          </w:tcPr>
          <w:p w14:paraId="4D5BD30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碳化钙</w:t>
            </w:r>
          </w:p>
        </w:tc>
        <w:tc>
          <w:tcPr>
            <w:tcW w:w="804" w:type="dxa"/>
            <w:noWrap w:val="0"/>
            <w:vAlign w:val="center"/>
          </w:tcPr>
          <w:p w14:paraId="0B0D089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克</w:t>
            </w:r>
          </w:p>
        </w:tc>
        <w:tc>
          <w:tcPr>
            <w:tcW w:w="765" w:type="dxa"/>
            <w:gridSpan w:val="2"/>
            <w:noWrap w:val="0"/>
            <w:vAlign w:val="center"/>
          </w:tcPr>
          <w:p w14:paraId="174E18B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741BB88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4536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319DA7B">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371</w:t>
            </w:r>
          </w:p>
        </w:tc>
        <w:tc>
          <w:tcPr>
            <w:tcW w:w="1215" w:type="dxa"/>
            <w:noWrap w:val="0"/>
            <w:vAlign w:val="center"/>
          </w:tcPr>
          <w:p w14:paraId="7DFC27F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乙酸</w:t>
            </w:r>
          </w:p>
        </w:tc>
        <w:tc>
          <w:tcPr>
            <w:tcW w:w="804" w:type="dxa"/>
            <w:noWrap w:val="0"/>
            <w:vAlign w:val="center"/>
          </w:tcPr>
          <w:p w14:paraId="650374B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毫升</w:t>
            </w:r>
          </w:p>
        </w:tc>
        <w:tc>
          <w:tcPr>
            <w:tcW w:w="765" w:type="dxa"/>
            <w:gridSpan w:val="2"/>
            <w:noWrap w:val="0"/>
            <w:vAlign w:val="center"/>
          </w:tcPr>
          <w:p w14:paraId="71A4175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2000</w:t>
            </w:r>
          </w:p>
        </w:tc>
        <w:tc>
          <w:tcPr>
            <w:tcW w:w="6351" w:type="dxa"/>
            <w:noWrap w:val="0"/>
            <w:vAlign w:val="center"/>
          </w:tcPr>
          <w:p w14:paraId="2532DD8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2.每瓶500ml</w:t>
            </w:r>
          </w:p>
        </w:tc>
      </w:tr>
      <w:tr w14:paraId="7AD0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346AB6E">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378</w:t>
            </w:r>
          </w:p>
        </w:tc>
        <w:tc>
          <w:tcPr>
            <w:tcW w:w="1215" w:type="dxa"/>
            <w:noWrap w:val="0"/>
            <w:vAlign w:val="center"/>
          </w:tcPr>
          <w:p w14:paraId="6F235CC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甲醛</w:t>
            </w:r>
          </w:p>
        </w:tc>
        <w:tc>
          <w:tcPr>
            <w:tcW w:w="804" w:type="dxa"/>
            <w:noWrap w:val="0"/>
            <w:vAlign w:val="center"/>
          </w:tcPr>
          <w:p w14:paraId="5974093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毫升</w:t>
            </w:r>
          </w:p>
        </w:tc>
        <w:tc>
          <w:tcPr>
            <w:tcW w:w="765" w:type="dxa"/>
            <w:gridSpan w:val="2"/>
            <w:noWrap w:val="0"/>
            <w:vAlign w:val="center"/>
          </w:tcPr>
          <w:p w14:paraId="2FB9050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500</w:t>
            </w:r>
          </w:p>
        </w:tc>
        <w:tc>
          <w:tcPr>
            <w:tcW w:w="6351" w:type="dxa"/>
            <w:noWrap w:val="0"/>
            <w:vAlign w:val="center"/>
          </w:tcPr>
          <w:p w14:paraId="6C4CFE2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highlight w:val="none"/>
                <w:shd w:val="clear" w:color="auto" w:fill="FFFFFF"/>
              </w:rPr>
            </w:pPr>
            <w:r>
              <w:rPr>
                <w:rFonts w:hint="eastAsia" w:ascii="宋体" w:hAnsi="宋体" w:eastAsia="宋体" w:cs="宋体"/>
                <w:i w:val="0"/>
                <w:iCs w:val="0"/>
                <w:color w:val="auto"/>
                <w:kern w:val="0"/>
                <w:sz w:val="21"/>
                <w:szCs w:val="21"/>
                <w:highlight w:val="none"/>
                <w:u w:val="none"/>
                <w:lang w:val="en-US" w:eastAsia="zh-CN" w:bidi="ar"/>
              </w:rPr>
              <w:t>1.为实验用试剂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2.每瓶500ml</w:t>
            </w:r>
          </w:p>
        </w:tc>
      </w:tr>
      <w:tr w14:paraId="6FE9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F1F7DA6">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379</w:t>
            </w:r>
          </w:p>
        </w:tc>
        <w:tc>
          <w:tcPr>
            <w:tcW w:w="1215" w:type="dxa"/>
            <w:noWrap w:val="0"/>
            <w:vAlign w:val="center"/>
          </w:tcPr>
          <w:p w14:paraId="62A8F46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高中化学实验材料</w:t>
            </w:r>
          </w:p>
        </w:tc>
        <w:tc>
          <w:tcPr>
            <w:tcW w:w="804" w:type="dxa"/>
            <w:noWrap w:val="0"/>
            <w:vAlign w:val="center"/>
          </w:tcPr>
          <w:p w14:paraId="47160C1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份</w:t>
            </w:r>
          </w:p>
        </w:tc>
        <w:tc>
          <w:tcPr>
            <w:tcW w:w="765" w:type="dxa"/>
            <w:gridSpan w:val="2"/>
            <w:noWrap w:val="0"/>
            <w:vAlign w:val="center"/>
          </w:tcPr>
          <w:p w14:paraId="5E6CB6A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4385382E">
            <w:pPr>
              <w:keepNext w:val="0"/>
              <w:keepLines w:val="0"/>
              <w:widowControl/>
              <w:suppressLineNumbers w:val="0"/>
              <w:jc w:val="left"/>
              <w:textAlignment w:val="center"/>
              <w:rPr>
                <w:rFonts w:hint="eastAsia" w:ascii="宋体" w:hAnsi="宋体" w:eastAsia="宋体" w:cs="宋体"/>
                <w:bCs/>
                <w:color w:val="auto"/>
                <w:sz w:val="21"/>
                <w:szCs w:val="21"/>
                <w:highlight w:val="none"/>
                <w:shd w:val="clear" w:color="auto" w:fill="FFFFFF"/>
              </w:rPr>
            </w:pPr>
            <w:r>
              <w:rPr>
                <w:rFonts w:hint="eastAsia" w:ascii="宋体" w:hAnsi="宋体" w:eastAsia="宋体" w:cs="宋体"/>
                <w:i w:val="0"/>
                <w:iCs w:val="0"/>
                <w:color w:val="auto"/>
                <w:kern w:val="0"/>
                <w:sz w:val="22"/>
                <w:szCs w:val="22"/>
                <w:highlight w:val="none"/>
                <w:u w:val="none"/>
                <w:lang w:val="en-US" w:eastAsia="zh-CN" w:bidi="ar"/>
              </w:rPr>
              <w:t>小刀、棉花、木炭、火柴、蜡烛、剪刀、焊锡、炭棒、导线、电灯泡、木板、电池、电珠、砂纸等。</w:t>
            </w:r>
          </w:p>
        </w:tc>
      </w:tr>
      <w:tr w14:paraId="39A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073AED9">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380</w:t>
            </w:r>
          </w:p>
        </w:tc>
        <w:tc>
          <w:tcPr>
            <w:tcW w:w="1215" w:type="dxa"/>
            <w:noWrap w:val="0"/>
            <w:vAlign w:val="center"/>
          </w:tcPr>
          <w:p w14:paraId="049FB12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电极材料</w:t>
            </w:r>
          </w:p>
        </w:tc>
        <w:tc>
          <w:tcPr>
            <w:tcW w:w="804" w:type="dxa"/>
            <w:noWrap w:val="0"/>
            <w:vAlign w:val="center"/>
          </w:tcPr>
          <w:p w14:paraId="5A0524E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04DDBCE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19E104EE">
            <w:pPr>
              <w:keepNext w:val="0"/>
              <w:keepLines w:val="0"/>
              <w:widowControl/>
              <w:suppressLineNumbers w:val="0"/>
              <w:jc w:val="left"/>
              <w:textAlignment w:val="center"/>
              <w:rPr>
                <w:rFonts w:hint="eastAsia" w:ascii="宋体" w:hAnsi="宋体" w:eastAsia="宋体" w:cs="宋体"/>
                <w:bCs/>
                <w:color w:val="auto"/>
                <w:sz w:val="21"/>
                <w:szCs w:val="21"/>
                <w:highlight w:val="none"/>
                <w:shd w:val="clear" w:color="auto" w:fill="FFFFFF"/>
              </w:rPr>
            </w:pPr>
            <w:r>
              <w:rPr>
                <w:rFonts w:hint="eastAsia" w:ascii="宋体" w:hAnsi="宋体" w:eastAsia="宋体" w:cs="宋体"/>
                <w:i w:val="0"/>
                <w:iCs w:val="0"/>
                <w:color w:val="auto"/>
                <w:kern w:val="0"/>
                <w:sz w:val="22"/>
                <w:szCs w:val="22"/>
                <w:highlight w:val="none"/>
                <w:u w:val="none"/>
                <w:lang w:val="en-US" w:eastAsia="zh-CN" w:bidi="ar"/>
              </w:rPr>
              <w:t>石墨、铜、锌、镁、铁、锡等电极。</w:t>
            </w:r>
          </w:p>
        </w:tc>
      </w:tr>
      <w:tr w14:paraId="3DD3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747DFA2">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381</w:t>
            </w:r>
          </w:p>
        </w:tc>
        <w:tc>
          <w:tcPr>
            <w:tcW w:w="1215" w:type="dxa"/>
            <w:noWrap w:val="0"/>
            <w:vAlign w:val="center"/>
          </w:tcPr>
          <w:p w14:paraId="18C53C1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一字螺丝刀</w:t>
            </w:r>
          </w:p>
        </w:tc>
        <w:tc>
          <w:tcPr>
            <w:tcW w:w="804" w:type="dxa"/>
            <w:noWrap w:val="0"/>
            <w:vAlign w:val="center"/>
          </w:tcPr>
          <w:p w14:paraId="4B3967A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2826AEC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4F3FDE8">
            <w:pPr>
              <w:keepNext w:val="0"/>
              <w:keepLines w:val="0"/>
              <w:widowControl/>
              <w:suppressLineNumbers w:val="0"/>
              <w:jc w:val="left"/>
              <w:textAlignment w:val="center"/>
              <w:rPr>
                <w:rFonts w:hint="eastAsia" w:ascii="宋体" w:hAnsi="宋体" w:eastAsia="宋体" w:cs="宋体"/>
                <w:bCs/>
                <w:color w:val="auto"/>
                <w:sz w:val="21"/>
                <w:szCs w:val="21"/>
                <w:highlight w:val="none"/>
                <w:shd w:val="clear" w:color="auto" w:fill="FFFFFF"/>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规格150mm；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旋杆采用45#钢，工作部硬度不低于HRC48；</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手柄采用绝缘材质，外形根据人体工程学设计，手感舒适；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旋杆应经镀鉻防锈处理；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旋柄为硬质塑料制成，表面光洁、无毛刺，无缩迹。</w:t>
            </w:r>
          </w:p>
        </w:tc>
      </w:tr>
      <w:tr w14:paraId="7676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5D309A2">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382</w:t>
            </w:r>
          </w:p>
        </w:tc>
        <w:tc>
          <w:tcPr>
            <w:tcW w:w="1215" w:type="dxa"/>
            <w:noWrap w:val="0"/>
            <w:vAlign w:val="center"/>
          </w:tcPr>
          <w:p w14:paraId="2938391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十字螺丝刀</w:t>
            </w:r>
          </w:p>
        </w:tc>
        <w:tc>
          <w:tcPr>
            <w:tcW w:w="804" w:type="dxa"/>
            <w:noWrap w:val="0"/>
            <w:vAlign w:val="center"/>
          </w:tcPr>
          <w:p w14:paraId="242E583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04E992A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7FCEA78">
            <w:pPr>
              <w:keepNext w:val="0"/>
              <w:keepLines w:val="0"/>
              <w:widowControl/>
              <w:suppressLineNumbers w:val="0"/>
              <w:jc w:val="left"/>
              <w:textAlignment w:val="center"/>
              <w:rPr>
                <w:rFonts w:hint="eastAsia" w:ascii="宋体" w:hAnsi="宋体" w:eastAsia="宋体" w:cs="宋体"/>
                <w:bCs/>
                <w:color w:val="auto"/>
                <w:sz w:val="21"/>
                <w:szCs w:val="21"/>
                <w:highlight w:val="none"/>
                <w:shd w:val="clear" w:color="auto" w:fill="FFFFFF"/>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规格150mm；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旋杆材料采用45#钢，工作部长度内硬度HRC48～54；手柄采用绝缘材质，外形根据人体工程学设计，手感舒适；</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旋杆应经镀铬防锈处理；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旋柄为硬质塑料制成，表面光洁无毛刺，无缩迹，与旋杆接合牢固；</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其它技术要求按GB10635的规定执行。</w:t>
            </w:r>
          </w:p>
        </w:tc>
      </w:tr>
      <w:tr w14:paraId="04F0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93BF439">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383</w:t>
            </w:r>
          </w:p>
        </w:tc>
        <w:tc>
          <w:tcPr>
            <w:tcW w:w="1215" w:type="dxa"/>
            <w:noWrap w:val="0"/>
            <w:vAlign w:val="center"/>
          </w:tcPr>
          <w:p w14:paraId="24FBB03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尖嘴钳</w:t>
            </w:r>
          </w:p>
        </w:tc>
        <w:tc>
          <w:tcPr>
            <w:tcW w:w="804" w:type="dxa"/>
            <w:noWrap w:val="0"/>
            <w:vAlign w:val="center"/>
          </w:tcPr>
          <w:p w14:paraId="66516F9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w:t>
            </w:r>
          </w:p>
        </w:tc>
        <w:tc>
          <w:tcPr>
            <w:tcW w:w="765" w:type="dxa"/>
            <w:gridSpan w:val="2"/>
            <w:noWrap w:val="0"/>
            <w:vAlign w:val="center"/>
          </w:tcPr>
          <w:p w14:paraId="2E3A3D6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EA0E1ED">
            <w:pPr>
              <w:keepNext w:val="0"/>
              <w:keepLines w:val="0"/>
              <w:widowControl/>
              <w:suppressLineNumbers w:val="0"/>
              <w:jc w:val="left"/>
              <w:textAlignment w:val="center"/>
              <w:rPr>
                <w:rFonts w:hint="eastAsia" w:ascii="宋体" w:hAnsi="宋体" w:eastAsia="宋体" w:cs="宋体"/>
                <w:bCs/>
                <w:color w:val="auto"/>
                <w:sz w:val="21"/>
                <w:szCs w:val="21"/>
                <w:highlight w:val="none"/>
                <w:shd w:val="clear" w:color="auto" w:fill="FFFFFF"/>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型号规格：150mm；</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采用45号高碳钢精工铸造，整体精抛光、热处理，钳口高频淬火，硬度45～48HRC，PVC全新料环保手柄；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其它技术要求应符合GB6290夹扭钳和剪切钳通用技术条件的规定。</w:t>
            </w:r>
          </w:p>
        </w:tc>
      </w:tr>
      <w:tr w14:paraId="7641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CDBF12B">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384</w:t>
            </w:r>
          </w:p>
        </w:tc>
        <w:tc>
          <w:tcPr>
            <w:tcW w:w="1215" w:type="dxa"/>
            <w:noWrap w:val="0"/>
            <w:vAlign w:val="center"/>
          </w:tcPr>
          <w:p w14:paraId="7349CEA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手锤</w:t>
            </w:r>
          </w:p>
        </w:tc>
        <w:tc>
          <w:tcPr>
            <w:tcW w:w="804" w:type="dxa"/>
            <w:noWrap w:val="0"/>
            <w:vAlign w:val="center"/>
          </w:tcPr>
          <w:p w14:paraId="2450EF2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w:t>
            </w:r>
          </w:p>
        </w:tc>
        <w:tc>
          <w:tcPr>
            <w:tcW w:w="765" w:type="dxa"/>
            <w:gridSpan w:val="2"/>
            <w:noWrap w:val="0"/>
            <w:vAlign w:val="center"/>
          </w:tcPr>
          <w:p w14:paraId="6807E9D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B760E58">
            <w:pPr>
              <w:keepNext w:val="0"/>
              <w:keepLines w:val="0"/>
              <w:widowControl/>
              <w:suppressLineNumbers w:val="0"/>
              <w:jc w:val="left"/>
              <w:textAlignment w:val="center"/>
              <w:rPr>
                <w:rFonts w:hint="eastAsia" w:ascii="宋体" w:hAnsi="宋体" w:eastAsia="宋体" w:cs="宋体"/>
                <w:bCs/>
                <w:color w:val="auto"/>
                <w:sz w:val="21"/>
                <w:szCs w:val="21"/>
                <w:highlight w:val="none"/>
                <w:shd w:val="clear" w:color="auto" w:fill="FFFFFF"/>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供学生敲击物体的手动工具；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材质：45～55优质碳素结构钢；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硬度：大头HRC≥48～55，小头HRC≥40；</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锤体孔眼端正，轮廓清晰、表面不应有裂纹、折叠、缺口、凹凸不平、生锈等缺陷；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木柄采用材质坚韧的木材制作，并应平直圆滑，无裂纺、霉变、虫蛀，表面涂清漆；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6</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榔头装柄后不得松动摇头。</w:t>
            </w:r>
          </w:p>
        </w:tc>
      </w:tr>
      <w:tr w14:paraId="274B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916DBE0">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385</w:t>
            </w:r>
          </w:p>
        </w:tc>
        <w:tc>
          <w:tcPr>
            <w:tcW w:w="1215" w:type="dxa"/>
            <w:noWrap w:val="0"/>
            <w:vAlign w:val="center"/>
          </w:tcPr>
          <w:p w14:paraId="59503A7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三角锉刀</w:t>
            </w:r>
          </w:p>
        </w:tc>
        <w:tc>
          <w:tcPr>
            <w:tcW w:w="804" w:type="dxa"/>
            <w:noWrap w:val="0"/>
            <w:vAlign w:val="center"/>
          </w:tcPr>
          <w:p w14:paraId="30AA7CF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F3CFF9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45D0588">
            <w:pPr>
              <w:keepNext w:val="0"/>
              <w:keepLines w:val="0"/>
              <w:widowControl/>
              <w:suppressLineNumbers w:val="0"/>
              <w:jc w:val="left"/>
              <w:textAlignment w:val="center"/>
              <w:rPr>
                <w:rFonts w:hint="eastAsia" w:ascii="宋体" w:hAnsi="宋体" w:eastAsia="宋体" w:cs="宋体"/>
                <w:bCs/>
                <w:color w:val="auto"/>
                <w:sz w:val="21"/>
                <w:szCs w:val="21"/>
                <w:highlight w:val="none"/>
                <w:shd w:val="clear" w:color="auto" w:fill="FFFFFF"/>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250mm，带柄中齿锉刀（三角锉）；</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采用T12特殊钢材制造，淬火处理。软胶手柄。齿高和齿距合理，确保工件表面锉削后干净。</w:t>
            </w:r>
          </w:p>
        </w:tc>
      </w:tr>
      <w:tr w14:paraId="441F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36C00C4">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386</w:t>
            </w:r>
          </w:p>
        </w:tc>
        <w:tc>
          <w:tcPr>
            <w:tcW w:w="1215" w:type="dxa"/>
            <w:noWrap w:val="0"/>
            <w:vAlign w:val="center"/>
          </w:tcPr>
          <w:p w14:paraId="6E63022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剪刀</w:t>
            </w:r>
          </w:p>
        </w:tc>
        <w:tc>
          <w:tcPr>
            <w:tcW w:w="804" w:type="dxa"/>
            <w:noWrap w:val="0"/>
            <w:vAlign w:val="center"/>
          </w:tcPr>
          <w:p w14:paraId="699DA9E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w:t>
            </w:r>
          </w:p>
        </w:tc>
        <w:tc>
          <w:tcPr>
            <w:tcW w:w="765" w:type="dxa"/>
            <w:gridSpan w:val="2"/>
            <w:noWrap w:val="0"/>
            <w:vAlign w:val="center"/>
          </w:tcPr>
          <w:p w14:paraId="00F5B1B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04050CF">
            <w:pPr>
              <w:keepNext w:val="0"/>
              <w:keepLines w:val="0"/>
              <w:widowControl/>
              <w:suppressLineNumbers w:val="0"/>
              <w:jc w:val="left"/>
              <w:textAlignment w:val="center"/>
              <w:rPr>
                <w:rFonts w:hint="eastAsia" w:ascii="宋体" w:hAnsi="宋体" w:eastAsia="宋体" w:cs="宋体"/>
                <w:bCs/>
                <w:color w:val="auto"/>
                <w:sz w:val="21"/>
                <w:szCs w:val="21"/>
                <w:highlight w:val="none"/>
                <w:shd w:val="clear" w:color="auto" w:fill="FFFFFF"/>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产品表面处理为电镀剪；</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剪刀刃口硬度不低于HRC52；</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两片刃口对应点硬度差不大于HRC4；</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全长不小于150mm。剪刀性能应手感轻松、均匀、剪布锋利、不咬口、崩口、变形；</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其它应符合《QB/T1966-1994民用剪刀》</w:t>
            </w:r>
          </w:p>
        </w:tc>
      </w:tr>
      <w:tr w14:paraId="2DAF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9D56E9E">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387</w:t>
            </w:r>
          </w:p>
        </w:tc>
        <w:tc>
          <w:tcPr>
            <w:tcW w:w="1215" w:type="dxa"/>
            <w:noWrap w:val="0"/>
            <w:vAlign w:val="center"/>
          </w:tcPr>
          <w:p w14:paraId="4F87BC2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玻璃瓶盖开启器</w:t>
            </w:r>
          </w:p>
        </w:tc>
        <w:tc>
          <w:tcPr>
            <w:tcW w:w="804" w:type="dxa"/>
            <w:noWrap w:val="0"/>
            <w:vAlign w:val="center"/>
          </w:tcPr>
          <w:p w14:paraId="2BC094F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50E70E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8591D91">
            <w:pPr>
              <w:keepNext w:val="0"/>
              <w:keepLines w:val="0"/>
              <w:widowControl/>
              <w:suppressLineNumbers w:val="0"/>
              <w:jc w:val="left"/>
              <w:textAlignment w:val="center"/>
              <w:rPr>
                <w:rFonts w:hint="eastAsia" w:ascii="宋体" w:hAnsi="宋体" w:eastAsia="宋体" w:cs="宋体"/>
                <w:bCs/>
                <w:color w:val="auto"/>
                <w:sz w:val="21"/>
                <w:szCs w:val="21"/>
                <w:highlight w:val="none"/>
                <w:shd w:val="clear" w:color="auto" w:fill="FFFFFF"/>
              </w:rPr>
            </w:pPr>
            <w:r>
              <w:rPr>
                <w:rFonts w:hint="eastAsia" w:ascii="宋体" w:hAnsi="宋体" w:eastAsia="宋体" w:cs="宋体"/>
                <w:i w:val="0"/>
                <w:iCs w:val="0"/>
                <w:color w:val="auto"/>
                <w:kern w:val="0"/>
                <w:sz w:val="22"/>
                <w:szCs w:val="22"/>
                <w:highlight w:val="none"/>
                <w:u w:val="none"/>
                <w:lang w:val="en-US" w:eastAsia="zh-CN" w:bidi="ar"/>
              </w:rPr>
              <w:t>可开启实验室所有瓶塞瓶盖。</w:t>
            </w:r>
          </w:p>
        </w:tc>
      </w:tr>
      <w:tr w14:paraId="4425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1B99274">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388</w:t>
            </w:r>
          </w:p>
        </w:tc>
        <w:tc>
          <w:tcPr>
            <w:tcW w:w="1215" w:type="dxa"/>
            <w:noWrap w:val="0"/>
            <w:vAlign w:val="center"/>
          </w:tcPr>
          <w:p w14:paraId="085A2D2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玻璃管切割器</w:t>
            </w:r>
          </w:p>
        </w:tc>
        <w:tc>
          <w:tcPr>
            <w:tcW w:w="804" w:type="dxa"/>
            <w:noWrap w:val="0"/>
            <w:vAlign w:val="center"/>
          </w:tcPr>
          <w:p w14:paraId="5F3F77F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28D089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B3C46AC">
            <w:pPr>
              <w:keepNext w:val="0"/>
              <w:keepLines w:val="0"/>
              <w:widowControl/>
              <w:suppressLineNumbers w:val="0"/>
              <w:jc w:val="left"/>
              <w:textAlignment w:val="center"/>
              <w:rPr>
                <w:rFonts w:hint="eastAsia" w:ascii="宋体" w:hAnsi="宋体" w:eastAsia="宋体" w:cs="宋体"/>
                <w:bCs/>
                <w:color w:val="auto"/>
                <w:sz w:val="21"/>
                <w:szCs w:val="21"/>
                <w:highlight w:val="none"/>
                <w:shd w:val="clear" w:color="auto" w:fill="FFFFFF"/>
              </w:rPr>
            </w:pPr>
            <w:r>
              <w:rPr>
                <w:rFonts w:hint="eastAsia" w:ascii="宋体" w:hAnsi="宋体" w:eastAsia="宋体" w:cs="宋体"/>
                <w:i w:val="0"/>
                <w:iCs w:val="0"/>
                <w:color w:val="auto"/>
                <w:kern w:val="0"/>
                <w:sz w:val="22"/>
                <w:szCs w:val="22"/>
                <w:highlight w:val="none"/>
                <w:u w:val="none"/>
                <w:lang w:val="en-US" w:eastAsia="zh-CN" w:bidi="ar"/>
              </w:rPr>
              <w:t>适应于细小玻璃管（可切20mm以内的玻璃试管）的切割，环形刀片。</w:t>
            </w:r>
          </w:p>
        </w:tc>
      </w:tr>
      <w:tr w14:paraId="36D0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946FBA4">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389</w:t>
            </w:r>
          </w:p>
        </w:tc>
        <w:tc>
          <w:tcPr>
            <w:tcW w:w="1215" w:type="dxa"/>
            <w:noWrap w:val="0"/>
            <w:vAlign w:val="center"/>
          </w:tcPr>
          <w:p w14:paraId="76AC7F6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工作服</w:t>
            </w:r>
          </w:p>
        </w:tc>
        <w:tc>
          <w:tcPr>
            <w:tcW w:w="804" w:type="dxa"/>
            <w:noWrap w:val="0"/>
            <w:vAlign w:val="center"/>
          </w:tcPr>
          <w:p w14:paraId="156752B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1B84C2F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351" w:type="dxa"/>
            <w:noWrap w:val="0"/>
            <w:vAlign w:val="center"/>
          </w:tcPr>
          <w:p w14:paraId="7A0C1C3B">
            <w:pPr>
              <w:keepNext w:val="0"/>
              <w:keepLines w:val="0"/>
              <w:widowControl/>
              <w:suppressLineNumbers w:val="0"/>
              <w:jc w:val="left"/>
              <w:textAlignment w:val="center"/>
              <w:rPr>
                <w:rFonts w:hint="eastAsia" w:ascii="宋体" w:hAnsi="宋体" w:eastAsia="宋体" w:cs="宋体"/>
                <w:bCs/>
                <w:color w:val="auto"/>
                <w:sz w:val="21"/>
                <w:szCs w:val="21"/>
                <w:highlight w:val="none"/>
                <w:shd w:val="clear" w:color="auto" w:fill="FFFFFF"/>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材质：涤卡；身长120cm，颜色为白色；</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工作服具有一定的防静电，及防酸、碱及其他化学腐蚀的能力；</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产品应做工精细，产品外观无破损、斑点、污物等缺陷；</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产品所用材料应能满足日常穿用和中学实验室日常使用要求，具有一定耐穿性、牢固性和和舒适感。</w:t>
            </w:r>
          </w:p>
        </w:tc>
      </w:tr>
      <w:tr w14:paraId="2EAD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A13FE80">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390</w:t>
            </w:r>
          </w:p>
        </w:tc>
        <w:tc>
          <w:tcPr>
            <w:tcW w:w="1215" w:type="dxa"/>
            <w:noWrap w:val="0"/>
            <w:vAlign w:val="center"/>
          </w:tcPr>
          <w:p w14:paraId="7E0CA9A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护目镜</w:t>
            </w:r>
          </w:p>
        </w:tc>
        <w:tc>
          <w:tcPr>
            <w:tcW w:w="804" w:type="dxa"/>
            <w:noWrap w:val="0"/>
            <w:vAlign w:val="center"/>
          </w:tcPr>
          <w:p w14:paraId="114EB60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E631E0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0FE8BA4A">
            <w:pPr>
              <w:keepNext w:val="0"/>
              <w:keepLines w:val="0"/>
              <w:widowControl/>
              <w:suppressLineNumbers w:val="0"/>
              <w:jc w:val="left"/>
              <w:textAlignment w:val="center"/>
              <w:rPr>
                <w:rFonts w:hint="eastAsia" w:ascii="宋体" w:hAnsi="宋体" w:eastAsia="宋体" w:cs="宋体"/>
                <w:bCs/>
                <w:color w:val="auto"/>
                <w:sz w:val="21"/>
                <w:szCs w:val="21"/>
                <w:highlight w:val="none"/>
                <w:shd w:val="clear" w:color="auto" w:fill="FFFFFF"/>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用于实验教师防强光、眩光、紫外、激光，或是机械性伤害(机加工)；</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护目镜镜片由高级光学树脂（聚碳酸酯）制成，透光率高，应达到97％，强度好，防摔，能遮挡各种强光、射线等辐射，且耐腐蚀，无屈光度；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镜片无波纹、无结瘤、疵点、无划伤等缺陷。</w:t>
            </w:r>
          </w:p>
        </w:tc>
      </w:tr>
      <w:tr w14:paraId="26C3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B7D218A">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391</w:t>
            </w:r>
          </w:p>
        </w:tc>
        <w:tc>
          <w:tcPr>
            <w:tcW w:w="1215" w:type="dxa"/>
            <w:noWrap w:val="0"/>
            <w:vAlign w:val="center"/>
          </w:tcPr>
          <w:p w14:paraId="4DBC830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防护面罩</w:t>
            </w:r>
          </w:p>
        </w:tc>
        <w:tc>
          <w:tcPr>
            <w:tcW w:w="804" w:type="dxa"/>
            <w:noWrap w:val="0"/>
            <w:vAlign w:val="center"/>
          </w:tcPr>
          <w:p w14:paraId="0A3678B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C32734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351" w:type="dxa"/>
            <w:noWrap w:val="0"/>
            <w:vAlign w:val="center"/>
          </w:tcPr>
          <w:p w14:paraId="115B0C2C">
            <w:pPr>
              <w:keepNext w:val="0"/>
              <w:keepLines w:val="0"/>
              <w:widowControl/>
              <w:suppressLineNumbers w:val="0"/>
              <w:jc w:val="left"/>
              <w:textAlignment w:val="center"/>
              <w:rPr>
                <w:rFonts w:hint="eastAsia" w:ascii="宋体" w:hAnsi="宋体" w:eastAsia="宋体" w:cs="宋体"/>
                <w:bCs/>
                <w:color w:val="auto"/>
                <w:sz w:val="21"/>
                <w:szCs w:val="21"/>
                <w:highlight w:val="none"/>
                <w:shd w:val="clear" w:color="auto" w:fill="FFFFFF"/>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产品由透明有机玻璃组成；能屏蔽和吸收放射性的α射线和低能量β射线，能防护酸、碱、油类化学液体、金属溶液、铁屑或玻璃碎片飞溅而引起的损害，能防护辐射热所引起的灼伤；</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面罩应清洁透明，应无波纹、无划伤、裂纹。</w:t>
            </w:r>
          </w:p>
        </w:tc>
      </w:tr>
      <w:tr w14:paraId="7510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7DAE673">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392</w:t>
            </w:r>
          </w:p>
        </w:tc>
        <w:tc>
          <w:tcPr>
            <w:tcW w:w="1215" w:type="dxa"/>
            <w:noWrap w:val="0"/>
            <w:vAlign w:val="center"/>
          </w:tcPr>
          <w:p w14:paraId="6C940EE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防毒口罩</w:t>
            </w:r>
          </w:p>
        </w:tc>
        <w:tc>
          <w:tcPr>
            <w:tcW w:w="804" w:type="dxa"/>
            <w:noWrap w:val="0"/>
            <w:vAlign w:val="center"/>
          </w:tcPr>
          <w:p w14:paraId="79D6449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951B0F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351" w:type="dxa"/>
            <w:noWrap w:val="0"/>
            <w:vAlign w:val="center"/>
          </w:tcPr>
          <w:p w14:paraId="58FE36B5">
            <w:pPr>
              <w:keepNext w:val="0"/>
              <w:keepLines w:val="0"/>
              <w:widowControl/>
              <w:suppressLineNumbers w:val="0"/>
              <w:jc w:val="left"/>
              <w:textAlignment w:val="center"/>
              <w:rPr>
                <w:rFonts w:hint="eastAsia" w:ascii="宋体" w:hAnsi="宋体" w:eastAsia="宋体" w:cs="宋体"/>
                <w:bCs/>
                <w:color w:val="auto"/>
                <w:sz w:val="21"/>
                <w:szCs w:val="21"/>
                <w:highlight w:val="none"/>
                <w:shd w:val="clear" w:color="auto" w:fill="FFFFFF"/>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直接式防毒口罩；</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口罩能完全罩住口、鼻不漏气；</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防毒时间不小于1小时；</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口罩应卫生清洁，不得有灰尘。不得用有毒材料制作。</w:t>
            </w:r>
          </w:p>
        </w:tc>
      </w:tr>
      <w:tr w14:paraId="3FC9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5EDC51E">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393</w:t>
            </w:r>
          </w:p>
        </w:tc>
        <w:tc>
          <w:tcPr>
            <w:tcW w:w="1215" w:type="dxa"/>
            <w:noWrap w:val="0"/>
            <w:vAlign w:val="center"/>
          </w:tcPr>
          <w:p w14:paraId="2E020D9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手套</w:t>
            </w:r>
          </w:p>
        </w:tc>
        <w:tc>
          <w:tcPr>
            <w:tcW w:w="804" w:type="dxa"/>
            <w:noWrap w:val="0"/>
            <w:vAlign w:val="center"/>
          </w:tcPr>
          <w:p w14:paraId="344814C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w:t>
            </w:r>
          </w:p>
        </w:tc>
        <w:tc>
          <w:tcPr>
            <w:tcW w:w="765" w:type="dxa"/>
            <w:gridSpan w:val="2"/>
            <w:noWrap w:val="0"/>
            <w:vAlign w:val="center"/>
          </w:tcPr>
          <w:p w14:paraId="628FD65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w:t>
            </w:r>
          </w:p>
        </w:tc>
        <w:tc>
          <w:tcPr>
            <w:tcW w:w="6351" w:type="dxa"/>
            <w:noWrap w:val="0"/>
            <w:vAlign w:val="center"/>
          </w:tcPr>
          <w:p w14:paraId="13C93FAD">
            <w:pPr>
              <w:keepNext w:val="0"/>
              <w:keepLines w:val="0"/>
              <w:widowControl/>
              <w:suppressLineNumbers w:val="0"/>
              <w:jc w:val="left"/>
              <w:textAlignment w:val="center"/>
              <w:rPr>
                <w:rFonts w:hint="eastAsia" w:ascii="宋体" w:hAnsi="宋体" w:eastAsia="宋体" w:cs="宋体"/>
                <w:bCs/>
                <w:color w:val="auto"/>
                <w:sz w:val="21"/>
                <w:szCs w:val="21"/>
                <w:highlight w:val="none"/>
                <w:shd w:val="clear" w:color="auto" w:fill="FFFFFF"/>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产品为橡胶制品，长袖口带五指套；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应耐强酸、强碱及氧化剂、还原剂等化学药品试剂的腐蚀，并结实耐用；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冬季不得发硬，夏季不得粘连；各部位应完整严密，无开裂和小孔。</w:t>
            </w:r>
          </w:p>
        </w:tc>
      </w:tr>
      <w:tr w14:paraId="6E47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F58B161">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394</w:t>
            </w:r>
          </w:p>
        </w:tc>
        <w:tc>
          <w:tcPr>
            <w:tcW w:w="1215" w:type="dxa"/>
            <w:noWrap w:val="0"/>
            <w:vAlign w:val="center"/>
          </w:tcPr>
          <w:p w14:paraId="526AFEA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手套</w:t>
            </w:r>
          </w:p>
        </w:tc>
        <w:tc>
          <w:tcPr>
            <w:tcW w:w="804" w:type="dxa"/>
            <w:noWrap w:val="0"/>
            <w:vAlign w:val="center"/>
          </w:tcPr>
          <w:p w14:paraId="3096D2D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w:t>
            </w:r>
          </w:p>
        </w:tc>
        <w:tc>
          <w:tcPr>
            <w:tcW w:w="765" w:type="dxa"/>
            <w:gridSpan w:val="2"/>
            <w:noWrap w:val="0"/>
            <w:vAlign w:val="center"/>
          </w:tcPr>
          <w:p w14:paraId="7C7430C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6351" w:type="dxa"/>
            <w:noWrap w:val="0"/>
            <w:vAlign w:val="center"/>
          </w:tcPr>
          <w:p w14:paraId="0861BCF6">
            <w:pPr>
              <w:keepNext w:val="0"/>
              <w:keepLines w:val="0"/>
              <w:widowControl/>
              <w:suppressLineNumbers w:val="0"/>
              <w:jc w:val="left"/>
              <w:textAlignment w:val="center"/>
              <w:rPr>
                <w:rFonts w:hint="eastAsia" w:ascii="宋体" w:hAnsi="宋体" w:eastAsia="宋体" w:cs="宋体"/>
                <w:bCs/>
                <w:color w:val="auto"/>
                <w:sz w:val="21"/>
                <w:szCs w:val="21"/>
                <w:highlight w:val="none"/>
                <w:shd w:val="clear" w:color="auto" w:fill="FFFFFF"/>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产品为橡胶制品，长袖口带五指套；</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应耐强酸、强碱及氧化剂、还原剂等化学药品试剂的腐蚀，并结实耐用；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冬季不得发硬，夏季不得粘连；各部位应完整严密，无开裂和小孔。</w:t>
            </w:r>
          </w:p>
        </w:tc>
      </w:tr>
      <w:tr w14:paraId="5DDD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40D3F2C">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395</w:t>
            </w:r>
          </w:p>
        </w:tc>
        <w:tc>
          <w:tcPr>
            <w:tcW w:w="1215" w:type="dxa"/>
            <w:noWrap w:val="0"/>
            <w:vAlign w:val="center"/>
          </w:tcPr>
          <w:p w14:paraId="20C11E0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洗眼器</w:t>
            </w:r>
          </w:p>
        </w:tc>
        <w:tc>
          <w:tcPr>
            <w:tcW w:w="804" w:type="dxa"/>
            <w:noWrap w:val="0"/>
            <w:vAlign w:val="center"/>
          </w:tcPr>
          <w:p w14:paraId="3CCFCE5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06D57B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F05D07F">
            <w:pPr>
              <w:keepNext w:val="0"/>
              <w:keepLines w:val="0"/>
              <w:widowControl/>
              <w:suppressLineNumbers w:val="0"/>
              <w:jc w:val="left"/>
              <w:textAlignment w:val="center"/>
              <w:rPr>
                <w:rFonts w:hint="eastAsia" w:ascii="宋体" w:hAnsi="宋体" w:eastAsia="宋体" w:cs="宋体"/>
                <w:bCs/>
                <w:color w:val="auto"/>
                <w:sz w:val="21"/>
                <w:szCs w:val="21"/>
                <w:highlight w:val="none"/>
                <w:shd w:val="clear" w:color="auto" w:fill="FFFFFF"/>
              </w:rPr>
            </w:pPr>
            <w:r>
              <w:rPr>
                <w:rFonts w:hint="eastAsia" w:ascii="宋体" w:hAnsi="宋体" w:eastAsia="宋体" w:cs="宋体"/>
                <w:i w:val="0"/>
                <w:iCs w:val="0"/>
                <w:color w:val="auto"/>
                <w:kern w:val="0"/>
                <w:sz w:val="22"/>
                <w:szCs w:val="22"/>
                <w:highlight w:val="none"/>
                <w:u w:val="none"/>
                <w:lang w:val="en-US" w:eastAsia="zh-CN" w:bidi="ar"/>
              </w:rPr>
              <w:t>壶式，冲洗型，玻璃。</w:t>
            </w:r>
          </w:p>
        </w:tc>
      </w:tr>
      <w:tr w14:paraId="68D0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ABF8E40">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396</w:t>
            </w:r>
          </w:p>
        </w:tc>
        <w:tc>
          <w:tcPr>
            <w:tcW w:w="1215" w:type="dxa"/>
            <w:noWrap w:val="0"/>
            <w:vAlign w:val="center"/>
          </w:tcPr>
          <w:p w14:paraId="2D2006A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简易急救箱</w:t>
            </w:r>
          </w:p>
        </w:tc>
        <w:tc>
          <w:tcPr>
            <w:tcW w:w="804" w:type="dxa"/>
            <w:noWrap w:val="0"/>
            <w:vAlign w:val="center"/>
          </w:tcPr>
          <w:p w14:paraId="1CD9AC2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4A8473B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6549633E">
            <w:pPr>
              <w:keepNext w:val="0"/>
              <w:keepLines w:val="0"/>
              <w:widowControl/>
              <w:suppressLineNumbers w:val="0"/>
              <w:jc w:val="left"/>
              <w:textAlignment w:val="center"/>
              <w:rPr>
                <w:rFonts w:hint="eastAsia" w:ascii="宋体" w:hAnsi="宋体" w:eastAsia="宋体" w:cs="宋体"/>
                <w:bCs/>
                <w:color w:val="auto"/>
                <w:sz w:val="21"/>
                <w:szCs w:val="21"/>
                <w:highlight w:val="none"/>
                <w:shd w:val="clear" w:color="auto" w:fill="FFFFFF"/>
              </w:rPr>
            </w:pPr>
            <w:r>
              <w:rPr>
                <w:rFonts w:hint="eastAsia" w:ascii="宋体" w:hAnsi="宋体" w:eastAsia="宋体" w:cs="宋体"/>
                <w:i w:val="0"/>
                <w:iCs w:val="0"/>
                <w:color w:val="auto"/>
                <w:kern w:val="0"/>
                <w:sz w:val="22"/>
                <w:szCs w:val="22"/>
                <w:highlight w:val="none"/>
                <w:u w:val="none"/>
                <w:lang w:val="en-US" w:eastAsia="zh-CN" w:bidi="ar"/>
              </w:rPr>
              <w:t>塑料箱急救箱内应配备以下药品及器材：绿药膏1瓶；烧伤药膏1瓶；苏打粉100g；创可贴10条；紫药水50ml；3％双氧水100ml；胶布1卷；绷带1卷；药棉1包；手术剪1把；镊子1把；一次性注射器1支。</w:t>
            </w:r>
          </w:p>
        </w:tc>
      </w:tr>
      <w:tr w14:paraId="4DDB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35E1700">
            <w:pPr>
              <w:keepNext w:val="0"/>
              <w:keepLines w:val="0"/>
              <w:pageBreakBefore w:val="0"/>
              <w:widowControl/>
              <w:numPr>
                <w:ilvl w:val="0"/>
                <w:numId w:val="4"/>
              </w:numPr>
              <w:suppressLineNumbers w:val="0"/>
              <w:kinsoku/>
              <w:wordWrap/>
              <w:overflowPunct/>
              <w:topLinePunct w:val="0"/>
              <w:bidi w:val="0"/>
              <w:spacing w:line="440" w:lineRule="exact"/>
              <w:ind w:left="425" w:leftChars="0" w:hanging="304"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397</w:t>
            </w:r>
          </w:p>
        </w:tc>
        <w:tc>
          <w:tcPr>
            <w:tcW w:w="1215" w:type="dxa"/>
            <w:noWrap w:val="0"/>
            <w:vAlign w:val="center"/>
          </w:tcPr>
          <w:p w14:paraId="1EBF425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实验防护屏</w:t>
            </w:r>
          </w:p>
        </w:tc>
        <w:tc>
          <w:tcPr>
            <w:tcW w:w="804" w:type="dxa"/>
            <w:noWrap w:val="0"/>
            <w:vAlign w:val="center"/>
          </w:tcPr>
          <w:p w14:paraId="6DA79D6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12B02CE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8345541">
            <w:pPr>
              <w:keepNext w:val="0"/>
              <w:keepLines w:val="0"/>
              <w:widowControl/>
              <w:suppressLineNumbers w:val="0"/>
              <w:jc w:val="left"/>
              <w:textAlignment w:val="center"/>
              <w:rPr>
                <w:rFonts w:hint="eastAsia" w:ascii="宋体" w:hAnsi="宋体" w:eastAsia="宋体" w:cs="宋体"/>
                <w:bCs/>
                <w:color w:val="auto"/>
                <w:sz w:val="21"/>
                <w:szCs w:val="21"/>
                <w:highlight w:val="none"/>
                <w:shd w:val="clear" w:color="auto" w:fill="FFFFFF"/>
              </w:rPr>
            </w:pPr>
            <w:r>
              <w:rPr>
                <w:rFonts w:hint="eastAsia" w:ascii="宋体" w:hAnsi="宋体" w:eastAsia="宋体" w:cs="宋体"/>
                <w:i w:val="0"/>
                <w:iCs w:val="0"/>
                <w:color w:val="auto"/>
                <w:kern w:val="0"/>
                <w:sz w:val="22"/>
                <w:szCs w:val="22"/>
                <w:highlight w:val="none"/>
                <w:u w:val="none"/>
                <w:lang w:val="en-US" w:eastAsia="zh-CN" w:bidi="ar"/>
              </w:rPr>
              <w:t>三片折叠式结构，有机玻璃制。</w:t>
            </w:r>
          </w:p>
        </w:tc>
      </w:tr>
      <w:tr w14:paraId="2109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5" w:type="dxa"/>
            <w:gridSpan w:val="6"/>
            <w:noWrap w:val="0"/>
            <w:vAlign w:val="center"/>
          </w:tcPr>
          <w:p w14:paraId="3C0808EA">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lang w:val="en-US" w:eastAsia="zh-CN"/>
              </w:rPr>
            </w:pPr>
            <w:r>
              <w:rPr>
                <w:rFonts w:hint="eastAsia" w:ascii="宋体" w:hAnsi="宋体" w:cs="宋体"/>
                <w:b/>
                <w:bCs w:val="0"/>
                <w:color w:val="auto"/>
                <w:sz w:val="21"/>
                <w:szCs w:val="21"/>
                <w:shd w:val="clear" w:color="auto" w:fill="FFFFFF"/>
                <w:lang w:val="en-US" w:eastAsia="zh-CN"/>
              </w:rPr>
              <w:t>六（</w:t>
            </w:r>
            <w:r>
              <w:rPr>
                <w:rFonts w:hint="eastAsia" w:ascii="宋体" w:hAnsi="宋体" w:eastAsia="宋体" w:cs="宋体"/>
                <w:b/>
                <w:bCs w:val="0"/>
                <w:color w:val="auto"/>
                <w:sz w:val="21"/>
                <w:szCs w:val="21"/>
                <w:shd w:val="clear" w:color="auto" w:fill="FFFFFF"/>
                <w:lang w:val="en-US" w:eastAsia="zh-CN"/>
              </w:rPr>
              <w:t>生物</w:t>
            </w:r>
            <w:r>
              <w:rPr>
                <w:rFonts w:hint="eastAsia" w:ascii="宋体" w:hAnsi="宋体" w:cs="宋体"/>
                <w:b/>
                <w:bCs w:val="0"/>
                <w:color w:val="auto"/>
                <w:sz w:val="21"/>
                <w:szCs w:val="21"/>
                <w:shd w:val="clear" w:color="auto" w:fill="FFFFFF"/>
                <w:lang w:val="en-US" w:eastAsia="zh-CN"/>
              </w:rPr>
              <w:t>）</w:t>
            </w:r>
          </w:p>
        </w:tc>
      </w:tr>
      <w:tr w14:paraId="1C04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D3EF046">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1215" w:type="dxa"/>
            <w:noWrap w:val="0"/>
            <w:vAlign w:val="center"/>
          </w:tcPr>
          <w:p w14:paraId="41A2EC5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计算机数据采集处理系统</w:t>
            </w:r>
          </w:p>
        </w:tc>
        <w:tc>
          <w:tcPr>
            <w:tcW w:w="804" w:type="dxa"/>
            <w:noWrap w:val="0"/>
            <w:vAlign w:val="center"/>
          </w:tcPr>
          <w:p w14:paraId="77D81A5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5408412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F7EDBB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有通用界面软件系统，智能接口，可配套专用实验仪器，详细配置如下：</w:t>
            </w:r>
          </w:p>
          <w:p w14:paraId="1EAF0EE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多量程电压传感器：量程1≥-0.3V～0.3V，分辨率≤0.001V；量程2≥-3V～3V，分辨率≤0.003V；量程3≥-20V～20V，分辨率≤0.01V；</w:t>
            </w:r>
          </w:p>
          <w:p w14:paraId="1AEF323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ype-C接口，可以通过USB数据线直接与计算机通讯，不需要通过数据采集器；自带不少于5个功能按键，可以通过按键进行量程选择、调零、开始、暂停、复位等操作；自带不少于2个不同方位M5螺纹孔，方便多方位与其他固定装置（如铁架台等）配套使用；（提供第三方检测机构出具的依据GB/T2423.1-200</w:t>
            </w:r>
            <w:r>
              <w:rPr>
                <w:rFonts w:hint="eastAsia" w:ascii="宋体" w:hAnsi="宋体" w:cs="宋体"/>
                <w:i w:val="0"/>
                <w:iCs w:val="0"/>
                <w:color w:val="auto"/>
                <w:kern w:val="0"/>
                <w:sz w:val="21"/>
                <w:szCs w:val="21"/>
                <w:u w:val="none"/>
                <w:lang w:val="en-US" w:eastAsia="zh-CN" w:bidi="ar"/>
              </w:rPr>
              <w:t>8.</w:t>
            </w:r>
            <w:r>
              <w:rPr>
                <w:rFonts w:hint="eastAsia" w:ascii="宋体" w:hAnsi="宋体" w:eastAsia="宋体" w:cs="宋体"/>
                <w:i w:val="0"/>
                <w:iCs w:val="0"/>
                <w:color w:val="auto"/>
                <w:kern w:val="0"/>
                <w:sz w:val="21"/>
                <w:szCs w:val="21"/>
                <w:u w:val="none"/>
                <w:lang w:val="en-US" w:eastAsia="zh-CN" w:bidi="ar"/>
              </w:rPr>
              <w:t>GB/T2423.2-2008《电工电子产品环境试验》低温及高温试验合格的检测报告）</w:t>
            </w:r>
          </w:p>
          <w:p w14:paraId="410FE45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光照强度传感器：量程≥0~60000lux，分辨率≤1lux，USB数据接口，可通过USB连接线直接与计算机通讯，自带2个螺纹孔固定位；</w:t>
            </w:r>
          </w:p>
          <w:p w14:paraId="5E77D47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力传感器：量程≥-50N~+50N，分辨率≤0.01N，USB数据接口，可通过USB连接线直接与计算机通讯，自带2个螺纹孔固定位；</w:t>
            </w:r>
          </w:p>
          <w:p w14:paraId="3F153B8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位移传感器：量程≥0.01m~1.5m，分辨率≤0.1mm，USB数据接口，可通过USB连接线直接与计算机通讯，自带2个螺纹孔固定位；</w:t>
            </w:r>
          </w:p>
          <w:p w14:paraId="65B7278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磁感应强度传感器：量程≥-84mT~+84mT，分辨率≤0.1mT，USB数据接口，可通过USB连接线直接与计算机通讯，自带2个螺纹孔固定位；</w:t>
            </w:r>
          </w:p>
          <w:p w14:paraId="2A3005F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压强传感器：量程≥0~700kPa，分辨率≤0.1kPa，USB数据接口，可通过USB连接线直接与计算机通讯，自带2个螺纹孔固定位；</w:t>
            </w:r>
          </w:p>
          <w:p w14:paraId="669B673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声音传感器：量程≥20~20000 Hz，分辨率≤1Hz，USB数据接口，可通过USB连接线直接与计算机通讯，自带2个螺纹孔固定位；</w:t>
            </w:r>
          </w:p>
          <w:p w14:paraId="048FFE0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温度传感器：量程≥-50℃~+200℃，分辨率≤0.01℃，USB数据接口，可通过USB连接线直接与计算机通讯，自带2个螺纹孔固定位；</w:t>
            </w:r>
          </w:p>
          <w:p w14:paraId="1531BD8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光电门传感器：量程≥0-∞，分辨率≤ 0.01mS，USB数据接口，可通过USB连接线直接与计算机通讯，自带2个螺纹孔固定位；</w:t>
            </w:r>
          </w:p>
          <w:p w14:paraId="752C45F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微电流传感器：量程≥-30μA~+30μA，分辨率≤0.01μA，USB数据接口，可通过USB连接线直接与计算机通讯，自带2个螺纹孔固定位；</w:t>
            </w:r>
          </w:p>
          <w:p w14:paraId="44ECCC0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电流传感器：量程≥-3A~+3A，分辨率≤0.01A，USB数据接口，可通过USB连接线直接与计算机通讯，自带2个螺纹孔固定位；（提供第三方检测机构出具的依据GB/T 4208-2017外壳防护等级(IP代码)防水等级≥IPX4测定合格的检测报告）</w:t>
            </w:r>
          </w:p>
          <w:p w14:paraId="165434E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数据分析软件：支持不少于20通道并行采集；自动识别新插入传感器并自动运行；支持自由设置传感器初始状态；支持多种数据显示方式(包括数字、曲线、混合、列表)；具有多种采集模式（自动采集和手动采集，自动采集频率可选）；可以添加常用公式和自定义公式；具有多种数据分析功能包括拟合、积分、微分、计算频率等；具有多曲线模式，可以多种曲线同时采集同时分析；传感器界面支持裁剪部分曲线并暂存，方便快速采集多组数据；支持多段曲线原样输出，多段曲线对齐等功能，方便快速对比实验结果；支持断续采集，防止因意外操作不得不终止实验时，无需重新开启采集；支持对选中的数据进行复制，可复制到除本软件以外的任何地方；无需借助第三方软件，可以直接将实验报告上传到教师端；</w:t>
            </w:r>
          </w:p>
          <w:p w14:paraId="0EA502B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铝合金箱及各种配件：铝合金材质收纳箱1个，传感器数据线4条，通用连接套件1对，软件U盘1个，彩色实验手册1本。</w:t>
            </w:r>
          </w:p>
        </w:tc>
      </w:tr>
      <w:tr w14:paraId="714B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1604697">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p>
        </w:tc>
        <w:tc>
          <w:tcPr>
            <w:tcW w:w="1215" w:type="dxa"/>
            <w:noWrap w:val="0"/>
            <w:vAlign w:val="center"/>
          </w:tcPr>
          <w:p w14:paraId="60A8502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打孔器</w:t>
            </w:r>
          </w:p>
        </w:tc>
        <w:tc>
          <w:tcPr>
            <w:tcW w:w="804" w:type="dxa"/>
            <w:noWrap w:val="0"/>
            <w:vAlign w:val="center"/>
          </w:tcPr>
          <w:p w14:paraId="535F48C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B13557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51D60EE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1.实验室常用工具，供对胶塞和木塞打孔用。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2.有三支不同孔径带手柄的空芯钻头、顶屑杆（通条）组成。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3.每支空芯管长度为82㎜，管外径分别为6.8.10mm。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4.钻头用无缝钢管制成，表面镀铬。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5.顶屑杆直径φ3×91㎜。</w:t>
            </w:r>
          </w:p>
        </w:tc>
      </w:tr>
      <w:tr w14:paraId="4D26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570BE21">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p>
        </w:tc>
        <w:tc>
          <w:tcPr>
            <w:tcW w:w="1215" w:type="dxa"/>
            <w:noWrap w:val="0"/>
            <w:vAlign w:val="center"/>
          </w:tcPr>
          <w:p w14:paraId="69924F6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生物显微镜</w:t>
            </w:r>
          </w:p>
        </w:tc>
        <w:tc>
          <w:tcPr>
            <w:tcW w:w="804" w:type="dxa"/>
            <w:noWrap w:val="0"/>
            <w:vAlign w:val="center"/>
          </w:tcPr>
          <w:p w14:paraId="4775383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2932FDC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6D77C8A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1.由底座、反光镜、载物台、标尺、转换器、镜桶、粗调旋钮、微调旋钮、物镜、目镜等组成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总放大倍数：1600X</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整机结构件：材料要求:底座、镜臂、齿条、物镜和目镜镜筒均为金属制。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目镜：H5X  H10X  H16X惠更斯目镜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 物镜： 10X、40XS、100XS,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5.转换器：转换器三孔同心，定位准确，并带有限位装置。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6.环保便携手提塑料箱包装。</w:t>
            </w:r>
          </w:p>
        </w:tc>
      </w:tr>
      <w:tr w14:paraId="7A25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3B3952D">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w:t>
            </w:r>
          </w:p>
        </w:tc>
        <w:tc>
          <w:tcPr>
            <w:tcW w:w="1215" w:type="dxa"/>
            <w:noWrap w:val="0"/>
            <w:vAlign w:val="center"/>
          </w:tcPr>
          <w:p w14:paraId="377EC8C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数码显微镜</w:t>
            </w:r>
          </w:p>
        </w:tc>
        <w:tc>
          <w:tcPr>
            <w:tcW w:w="804" w:type="dxa"/>
            <w:noWrap w:val="0"/>
            <w:vAlign w:val="center"/>
          </w:tcPr>
          <w:p w14:paraId="47B36D8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44BE489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76ED64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1.有显微镜、液晶显示屏组成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2.显示屏为7寸高清液晶显示屏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3.高清电子目镜，进口芯片，AV电视输出；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4.光学总放大倍数：640X；数码放大5000倍以上，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5.单目直筒，镜臂可45°倾斜，不易倾倒；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6.照明：LED亮度可调光源。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7.便携式一体尼龙箱，可以将显示屏、显微镜、电池装同一个包装内。</w:t>
            </w:r>
          </w:p>
        </w:tc>
      </w:tr>
      <w:tr w14:paraId="1A93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6C9491D">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w:t>
            </w:r>
          </w:p>
        </w:tc>
        <w:tc>
          <w:tcPr>
            <w:tcW w:w="1215" w:type="dxa"/>
            <w:noWrap w:val="0"/>
            <w:vAlign w:val="center"/>
          </w:tcPr>
          <w:p w14:paraId="67E44D6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双目立体显微镜</w:t>
            </w:r>
          </w:p>
        </w:tc>
        <w:tc>
          <w:tcPr>
            <w:tcW w:w="804" w:type="dxa"/>
            <w:noWrap w:val="0"/>
            <w:vAlign w:val="center"/>
          </w:tcPr>
          <w:p w14:paraId="0DDB429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4F00732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66FA01F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1.由底座、载物台、目镜、物镜及镜筒2.总放大倍数：40倍。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3.广角目镜:WF10X。</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4.物镜：物镜: 4X。</w:t>
            </w:r>
          </w:p>
        </w:tc>
      </w:tr>
      <w:tr w14:paraId="2F6EE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4798515">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6</w:t>
            </w:r>
          </w:p>
        </w:tc>
        <w:tc>
          <w:tcPr>
            <w:tcW w:w="1215" w:type="dxa"/>
            <w:noWrap w:val="0"/>
            <w:vAlign w:val="center"/>
          </w:tcPr>
          <w:p w14:paraId="62AA9B9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放大镜</w:t>
            </w:r>
          </w:p>
        </w:tc>
        <w:tc>
          <w:tcPr>
            <w:tcW w:w="804" w:type="dxa"/>
            <w:noWrap w:val="0"/>
            <w:vAlign w:val="center"/>
          </w:tcPr>
          <w:p w14:paraId="7663010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0E68B5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6351" w:type="dxa"/>
            <w:noWrap w:val="0"/>
            <w:vAlign w:val="center"/>
          </w:tcPr>
          <w:p w14:paraId="257E2AB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1.由边框、手柄和镜片组成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2.边框和手柄为塑料制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3.镜片直径30mm,放大倍数5倍</w:t>
            </w:r>
          </w:p>
        </w:tc>
      </w:tr>
      <w:tr w14:paraId="43DB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553C9B5">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7</w:t>
            </w:r>
          </w:p>
        </w:tc>
        <w:tc>
          <w:tcPr>
            <w:tcW w:w="1215" w:type="dxa"/>
            <w:noWrap w:val="0"/>
            <w:vAlign w:val="center"/>
          </w:tcPr>
          <w:p w14:paraId="7773F9F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电动离心机</w:t>
            </w:r>
          </w:p>
        </w:tc>
        <w:tc>
          <w:tcPr>
            <w:tcW w:w="804" w:type="dxa"/>
            <w:noWrap w:val="0"/>
            <w:vAlign w:val="center"/>
          </w:tcPr>
          <w:p w14:paraId="1323C4E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25DFC5A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0E19FB3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1.由开关、离心转子、定时开关、调速装置及离心管等组成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2.定时开关可进行0-60分定时选择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3.转速0-4000可调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4.容量20mL×6</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5.外观尺寸：268*230*200mm</w:t>
            </w:r>
          </w:p>
        </w:tc>
      </w:tr>
      <w:tr w14:paraId="01BC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A2A29B5">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8</w:t>
            </w:r>
          </w:p>
        </w:tc>
        <w:tc>
          <w:tcPr>
            <w:tcW w:w="1215" w:type="dxa"/>
            <w:noWrap w:val="0"/>
            <w:vAlign w:val="center"/>
          </w:tcPr>
          <w:p w14:paraId="23CD6FE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电动离心机</w:t>
            </w:r>
          </w:p>
        </w:tc>
        <w:tc>
          <w:tcPr>
            <w:tcW w:w="804" w:type="dxa"/>
            <w:noWrap w:val="0"/>
            <w:vAlign w:val="center"/>
          </w:tcPr>
          <w:p w14:paraId="500B630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0660F33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AEF782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1.由开关、离心转子、定时开关、调速装置及离心管等组成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2.定时开关可进行0-60分定时选择</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3.转速0-4000可调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4.容量20mL×6</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5.外观尺寸：268*230*200mm</w:t>
            </w:r>
          </w:p>
        </w:tc>
      </w:tr>
      <w:tr w14:paraId="3FF2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E0DB716">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9</w:t>
            </w:r>
          </w:p>
        </w:tc>
        <w:tc>
          <w:tcPr>
            <w:tcW w:w="1215" w:type="dxa"/>
            <w:noWrap w:val="0"/>
            <w:vAlign w:val="center"/>
          </w:tcPr>
          <w:p w14:paraId="1130550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磁力加热搅拌器</w:t>
            </w:r>
          </w:p>
        </w:tc>
        <w:tc>
          <w:tcPr>
            <w:tcW w:w="804" w:type="dxa"/>
            <w:noWrap w:val="0"/>
            <w:vAlign w:val="center"/>
          </w:tcPr>
          <w:p w14:paraId="1DFCF70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7B9677A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A40620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 xml:space="preserve">1.由主机 、搅拌子、立杆等组成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2.工作电源：220V、50Hz；电动功率：25W；加热功率：150W，无极调整：0-2000转/分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3.外观尺寸235*135*82mm</w:t>
            </w:r>
          </w:p>
        </w:tc>
      </w:tr>
      <w:tr w14:paraId="23BC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6A66AA6">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10</w:t>
            </w:r>
          </w:p>
        </w:tc>
        <w:tc>
          <w:tcPr>
            <w:tcW w:w="1215" w:type="dxa"/>
            <w:noWrap w:val="0"/>
            <w:vAlign w:val="center"/>
          </w:tcPr>
          <w:p w14:paraId="3790114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高压灭菌锅</w:t>
            </w:r>
          </w:p>
        </w:tc>
        <w:tc>
          <w:tcPr>
            <w:tcW w:w="804" w:type="dxa"/>
            <w:noWrap w:val="0"/>
            <w:vAlign w:val="center"/>
          </w:tcPr>
          <w:p w14:paraId="4008282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41FC56A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9F3B51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1.由压力内胆及盖、压力表、阀门、电器控制件、电热管及外壳组成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2.为电热式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3.额定工作压力：0-0.21MPa,额定工作温度：100 ℃-134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4.加热电热管功率：3Kw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5.规格：30L(XFH-30MA)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6.提供医疗器械许可证号和压力容器生产许可证号</w:t>
            </w:r>
          </w:p>
        </w:tc>
      </w:tr>
      <w:tr w14:paraId="16544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A7D2EC0">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11</w:t>
            </w:r>
          </w:p>
        </w:tc>
        <w:tc>
          <w:tcPr>
            <w:tcW w:w="1215" w:type="dxa"/>
            <w:noWrap w:val="0"/>
            <w:vAlign w:val="center"/>
          </w:tcPr>
          <w:p w14:paraId="7502767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恒温水浴锅</w:t>
            </w:r>
          </w:p>
        </w:tc>
        <w:tc>
          <w:tcPr>
            <w:tcW w:w="804" w:type="dxa"/>
            <w:noWrap w:val="0"/>
            <w:vAlign w:val="center"/>
          </w:tcPr>
          <w:p w14:paraId="766CC56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379DAFE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A07FB0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1.由水浴锅和固定片组成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2.双孔，不锈钢内胆，单孔直径104mm，去除固定片可转为单槽，单槽尺寸为238*138*95mm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3.功率：600W，温控范围：室温-100℃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4.外观尺寸：377*168*140mm</w:t>
            </w:r>
          </w:p>
        </w:tc>
      </w:tr>
      <w:tr w14:paraId="3CC8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D1B2549">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12</w:t>
            </w:r>
          </w:p>
        </w:tc>
        <w:tc>
          <w:tcPr>
            <w:tcW w:w="1215" w:type="dxa"/>
            <w:noWrap w:val="0"/>
            <w:vAlign w:val="center"/>
          </w:tcPr>
          <w:p w14:paraId="0E4EC8C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烘干箱</w:t>
            </w:r>
          </w:p>
        </w:tc>
        <w:tc>
          <w:tcPr>
            <w:tcW w:w="804" w:type="dxa"/>
            <w:noWrap w:val="0"/>
            <w:vAlign w:val="center"/>
          </w:tcPr>
          <w:p w14:paraId="195699E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4475E19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AB85C2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1.外观尺寸520*560*735mm                                                  2.电源电压 AC220V / 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3.控温范围 RT+10-250℃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4.温度波动度 ±1℃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5.输入功率 1200w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6.工作室尺寸 415*450*465mm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7.载物托架 2块</w:t>
            </w:r>
          </w:p>
        </w:tc>
      </w:tr>
      <w:tr w14:paraId="7F60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071EFF5">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13</w:t>
            </w:r>
          </w:p>
        </w:tc>
        <w:tc>
          <w:tcPr>
            <w:tcW w:w="1215" w:type="dxa"/>
            <w:noWrap w:val="0"/>
            <w:vAlign w:val="center"/>
          </w:tcPr>
          <w:p w14:paraId="73E210B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恒温培养箱</w:t>
            </w:r>
          </w:p>
        </w:tc>
        <w:tc>
          <w:tcPr>
            <w:tcW w:w="804" w:type="dxa"/>
            <w:noWrap w:val="0"/>
            <w:vAlign w:val="center"/>
          </w:tcPr>
          <w:p w14:paraId="7B22AF9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2E15CA8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53AF5C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1.外观尺寸520*560*735mm                                                  2.电源电压 AC220V / 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3.控温范围 RT+10-90℃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4.温度波动度 ±1℃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5.输入功率 600w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6.工作室尺寸 415*450*465mm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7.载物托架 2块</w:t>
            </w:r>
          </w:p>
        </w:tc>
      </w:tr>
      <w:tr w14:paraId="24E3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4339CF7">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14</w:t>
            </w:r>
          </w:p>
        </w:tc>
        <w:tc>
          <w:tcPr>
            <w:tcW w:w="1215" w:type="dxa"/>
            <w:noWrap w:val="0"/>
            <w:vAlign w:val="center"/>
          </w:tcPr>
          <w:p w14:paraId="72ACFAC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光照培养箱</w:t>
            </w:r>
          </w:p>
        </w:tc>
        <w:tc>
          <w:tcPr>
            <w:tcW w:w="804" w:type="dxa"/>
            <w:noWrap w:val="0"/>
            <w:vAlign w:val="center"/>
          </w:tcPr>
          <w:p w14:paraId="7589FD9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4D1C3E9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DCA655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1.由培养箱体和控制面板组成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2.控温范围：全光照10～50℃、无光照5～50℃，加热功率≥100W，光照功率：48W，光照度≥2500lx,温度波动性：±1℃ ,温度均匀度：±2℃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3.容积：250L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4.采用微电脑智能化控制，可编程序预设温度、光照强度，并可设定99个控制时段，每段设置时间范围1～99小时，可以模拟白天及黑夜之温度、光照变化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5.外观尺寸：178cm*55cm*50cm </w:t>
            </w:r>
          </w:p>
        </w:tc>
      </w:tr>
      <w:tr w14:paraId="6FA3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33260D6">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15</w:t>
            </w:r>
          </w:p>
        </w:tc>
        <w:tc>
          <w:tcPr>
            <w:tcW w:w="1215" w:type="dxa"/>
            <w:noWrap w:val="0"/>
            <w:vAlign w:val="center"/>
          </w:tcPr>
          <w:p w14:paraId="265EBFB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超净工作台</w:t>
            </w:r>
          </w:p>
        </w:tc>
        <w:tc>
          <w:tcPr>
            <w:tcW w:w="804" w:type="dxa"/>
            <w:noWrap w:val="0"/>
            <w:vAlign w:val="center"/>
          </w:tcPr>
          <w:p w14:paraId="1A33FA3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566DABD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444B50B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1.由工作台、紫外光管、风机等组成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2.过滤效果≥0.3-0.5微米的尘埃粒子每升小于三个，震动：工作台面不大于5微米，风速：工作区域风速不小于0.25米/秒，噪音：一档噪音≤65分贝，启动紫外线光管30分钟后，工作区域可达到无菌，电机功率：80W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外形尺寸：120cm*50cm*147cm</w:t>
            </w:r>
          </w:p>
        </w:tc>
      </w:tr>
      <w:tr w14:paraId="792E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D0157F9">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18</w:t>
            </w:r>
          </w:p>
        </w:tc>
        <w:tc>
          <w:tcPr>
            <w:tcW w:w="1215" w:type="dxa"/>
            <w:noWrap w:val="0"/>
            <w:vAlign w:val="center"/>
          </w:tcPr>
          <w:p w14:paraId="4BDB723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塑料洗瓶</w:t>
            </w:r>
          </w:p>
        </w:tc>
        <w:tc>
          <w:tcPr>
            <w:tcW w:w="804" w:type="dxa"/>
            <w:noWrap w:val="0"/>
            <w:vAlign w:val="center"/>
          </w:tcPr>
          <w:p w14:paraId="0506B06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FDD552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4D51F76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1.由洗瓶和带喷嘴的壶盖组成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2.洗瓶容量250ml,最小刻度25ml,精度值25ml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3.喷嘴长100mm</w:t>
            </w:r>
          </w:p>
        </w:tc>
      </w:tr>
      <w:tr w14:paraId="03A2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87A6AA1">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19</w:t>
            </w:r>
          </w:p>
        </w:tc>
        <w:tc>
          <w:tcPr>
            <w:tcW w:w="1215" w:type="dxa"/>
            <w:noWrap w:val="0"/>
            <w:vAlign w:val="center"/>
          </w:tcPr>
          <w:p w14:paraId="54F9C48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试管架</w:t>
            </w:r>
          </w:p>
        </w:tc>
        <w:tc>
          <w:tcPr>
            <w:tcW w:w="804" w:type="dxa"/>
            <w:noWrap w:val="0"/>
            <w:vAlign w:val="center"/>
          </w:tcPr>
          <w:p w14:paraId="7E3625C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9CD268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682F6DB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1.为木质试管架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2.为12孔12柱，孔径为21mm,立柱直径8mm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3.表面做清漆处理</w:t>
            </w:r>
          </w:p>
        </w:tc>
      </w:tr>
      <w:tr w14:paraId="5174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9F8F540">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20</w:t>
            </w:r>
          </w:p>
        </w:tc>
        <w:tc>
          <w:tcPr>
            <w:tcW w:w="1215" w:type="dxa"/>
            <w:noWrap w:val="0"/>
            <w:vAlign w:val="center"/>
          </w:tcPr>
          <w:p w14:paraId="34C5748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试管架</w:t>
            </w:r>
          </w:p>
        </w:tc>
        <w:tc>
          <w:tcPr>
            <w:tcW w:w="804" w:type="dxa"/>
            <w:noWrap w:val="0"/>
            <w:vAlign w:val="center"/>
          </w:tcPr>
          <w:p w14:paraId="0029471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19A957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351" w:type="dxa"/>
            <w:noWrap w:val="0"/>
            <w:vAlign w:val="center"/>
          </w:tcPr>
          <w:p w14:paraId="439FE09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1.为铝合金制试管架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2.为四排32孔，孔径15mm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3.整体尺寸240*128*70mm</w:t>
            </w:r>
          </w:p>
        </w:tc>
      </w:tr>
      <w:tr w14:paraId="101E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8EE377A">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21</w:t>
            </w:r>
          </w:p>
        </w:tc>
        <w:tc>
          <w:tcPr>
            <w:tcW w:w="1215" w:type="dxa"/>
            <w:noWrap w:val="0"/>
            <w:vAlign w:val="center"/>
          </w:tcPr>
          <w:p w14:paraId="3E07241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电子天平</w:t>
            </w:r>
          </w:p>
        </w:tc>
        <w:tc>
          <w:tcPr>
            <w:tcW w:w="804" w:type="dxa"/>
            <w:noWrap w:val="0"/>
            <w:vAlign w:val="center"/>
          </w:tcPr>
          <w:p w14:paraId="11DD992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5638E72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37CE2A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1.由主机、秤盘、防风罩、电源线和校准砝码组成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2.最大称量：200g，精度值0.01g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3.主机尺寸：230*186*50mm,秤盘直径130mm</w:t>
            </w:r>
          </w:p>
        </w:tc>
      </w:tr>
      <w:tr w14:paraId="2F05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AEE10E7">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22</w:t>
            </w:r>
          </w:p>
        </w:tc>
        <w:tc>
          <w:tcPr>
            <w:tcW w:w="1215" w:type="dxa"/>
            <w:noWrap w:val="0"/>
            <w:vAlign w:val="center"/>
          </w:tcPr>
          <w:p w14:paraId="0D621EC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温度计</w:t>
            </w:r>
          </w:p>
        </w:tc>
        <w:tc>
          <w:tcPr>
            <w:tcW w:w="804" w:type="dxa"/>
            <w:noWrap w:val="0"/>
            <w:vAlign w:val="center"/>
          </w:tcPr>
          <w:p w14:paraId="799BD51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1F7C16A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596AA88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1.为棒式红液温度计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2.测量范围：0℃～100℃，精度值1℃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3.为玻璃制，直径5.5mm,有保护套</w:t>
            </w:r>
          </w:p>
        </w:tc>
      </w:tr>
      <w:tr w14:paraId="4A02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C8672B5">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23</w:t>
            </w:r>
          </w:p>
        </w:tc>
        <w:tc>
          <w:tcPr>
            <w:tcW w:w="1215" w:type="dxa"/>
            <w:noWrap w:val="0"/>
            <w:vAlign w:val="center"/>
          </w:tcPr>
          <w:p w14:paraId="714CD46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温度计</w:t>
            </w:r>
          </w:p>
        </w:tc>
        <w:tc>
          <w:tcPr>
            <w:tcW w:w="804" w:type="dxa"/>
            <w:noWrap w:val="0"/>
            <w:vAlign w:val="center"/>
          </w:tcPr>
          <w:p w14:paraId="1500449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68D5356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1D10B02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1.为棒式水银温度计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2.测量范围：0℃～200℃，精度值2℃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3.为玻璃制，直径5.5mm,有保护套</w:t>
            </w:r>
          </w:p>
        </w:tc>
      </w:tr>
      <w:tr w14:paraId="6E58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9C43EDC">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24</w:t>
            </w:r>
          </w:p>
        </w:tc>
        <w:tc>
          <w:tcPr>
            <w:tcW w:w="1215" w:type="dxa"/>
            <w:noWrap w:val="0"/>
            <w:vAlign w:val="center"/>
          </w:tcPr>
          <w:p w14:paraId="0D1FB19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酸度计(pH计)</w:t>
            </w:r>
          </w:p>
        </w:tc>
        <w:tc>
          <w:tcPr>
            <w:tcW w:w="804" w:type="dxa"/>
            <w:noWrap w:val="0"/>
            <w:vAlign w:val="center"/>
          </w:tcPr>
          <w:p w14:paraId="1DC0384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588E26D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351" w:type="dxa"/>
            <w:noWrap w:val="0"/>
            <w:vAlign w:val="center"/>
          </w:tcPr>
          <w:p w14:paraId="01646F3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1.为笔式酸度计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2.测量范围pH0.0～14.0，精度值：0.1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3.尺寸：152*30*15mm</w:t>
            </w:r>
          </w:p>
        </w:tc>
      </w:tr>
      <w:tr w14:paraId="3D95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D1DFD28">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25</w:t>
            </w:r>
          </w:p>
        </w:tc>
        <w:tc>
          <w:tcPr>
            <w:tcW w:w="1215" w:type="dxa"/>
            <w:noWrap w:val="0"/>
            <w:vAlign w:val="center"/>
          </w:tcPr>
          <w:p w14:paraId="32DBC89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血球计数板</w:t>
            </w:r>
          </w:p>
        </w:tc>
        <w:tc>
          <w:tcPr>
            <w:tcW w:w="804" w:type="dxa"/>
            <w:noWrap w:val="0"/>
            <w:vAlign w:val="center"/>
          </w:tcPr>
          <w:p w14:paraId="0AD4243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片</w:t>
            </w:r>
          </w:p>
        </w:tc>
        <w:tc>
          <w:tcPr>
            <w:tcW w:w="765" w:type="dxa"/>
            <w:gridSpan w:val="2"/>
            <w:noWrap w:val="0"/>
            <w:vAlign w:val="center"/>
          </w:tcPr>
          <w:p w14:paraId="6A5BE0B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48314E2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1.为玻璃制医用血球计数板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2.尺寸：74*33mm</w:t>
            </w:r>
          </w:p>
        </w:tc>
      </w:tr>
      <w:tr w14:paraId="44F2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917CE67">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26</w:t>
            </w:r>
          </w:p>
        </w:tc>
        <w:tc>
          <w:tcPr>
            <w:tcW w:w="1215" w:type="dxa"/>
            <w:noWrap w:val="0"/>
            <w:vAlign w:val="center"/>
          </w:tcPr>
          <w:p w14:paraId="32CE96B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计数器</w:t>
            </w:r>
          </w:p>
        </w:tc>
        <w:tc>
          <w:tcPr>
            <w:tcW w:w="804" w:type="dxa"/>
            <w:noWrap w:val="0"/>
            <w:vAlign w:val="center"/>
          </w:tcPr>
          <w:p w14:paraId="3D4952F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74D02B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6351" w:type="dxa"/>
            <w:noWrap w:val="0"/>
            <w:vAlign w:val="center"/>
          </w:tcPr>
          <w:p w14:paraId="6BBFD66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1.有计数按钮、复位按钮和显示窗口组成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2.最大计数9999</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3.外壳为金属制</w:t>
            </w:r>
          </w:p>
        </w:tc>
      </w:tr>
      <w:tr w14:paraId="7906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9241E9C">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27</w:t>
            </w:r>
          </w:p>
        </w:tc>
        <w:tc>
          <w:tcPr>
            <w:tcW w:w="1215" w:type="dxa"/>
            <w:noWrap w:val="0"/>
            <w:vAlign w:val="center"/>
          </w:tcPr>
          <w:p w14:paraId="5689D1C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接种环</w:t>
            </w:r>
          </w:p>
        </w:tc>
        <w:tc>
          <w:tcPr>
            <w:tcW w:w="804" w:type="dxa"/>
            <w:noWrap w:val="0"/>
            <w:vAlign w:val="center"/>
          </w:tcPr>
          <w:p w14:paraId="6A02C8A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4D8BB17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6351" w:type="dxa"/>
            <w:noWrap w:val="0"/>
            <w:vAlign w:val="center"/>
          </w:tcPr>
          <w:p w14:paraId="4E0C3E9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1.由接种杆和合金金属丝组成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2.手柄长86mm，采用耐高温塑料材质制成，上接长100mm的铜制连接杆，附带螺旋式锁针孔。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3.合金金属丝长度不低于60mm</w:t>
            </w:r>
          </w:p>
        </w:tc>
      </w:tr>
      <w:tr w14:paraId="1F25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E99B020">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28</w:t>
            </w:r>
          </w:p>
        </w:tc>
        <w:tc>
          <w:tcPr>
            <w:tcW w:w="1215" w:type="dxa"/>
            <w:noWrap w:val="0"/>
            <w:vAlign w:val="center"/>
          </w:tcPr>
          <w:p w14:paraId="6029BFC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研磨过滤器</w:t>
            </w:r>
          </w:p>
        </w:tc>
        <w:tc>
          <w:tcPr>
            <w:tcW w:w="804" w:type="dxa"/>
            <w:noWrap w:val="0"/>
            <w:vAlign w:val="center"/>
          </w:tcPr>
          <w:p w14:paraId="1D9DE8E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C75C25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6552A7A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1.由顶盖、研磨杆、过滤网、研磨头、外套筒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2.容量20mL，外套铜底座54*54mm,整体高度100mm</w:t>
            </w:r>
          </w:p>
        </w:tc>
      </w:tr>
      <w:tr w14:paraId="4B0D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6636372">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29</w:t>
            </w:r>
          </w:p>
        </w:tc>
        <w:tc>
          <w:tcPr>
            <w:tcW w:w="1215" w:type="dxa"/>
            <w:noWrap w:val="0"/>
            <w:vAlign w:val="center"/>
          </w:tcPr>
          <w:p w14:paraId="2E11A64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光照培养架</w:t>
            </w:r>
          </w:p>
        </w:tc>
        <w:tc>
          <w:tcPr>
            <w:tcW w:w="804" w:type="dxa"/>
            <w:noWrap w:val="0"/>
            <w:vAlign w:val="center"/>
          </w:tcPr>
          <w:p w14:paraId="4A96B0B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128CE04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F79BCF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1.由模拟阳光的灯泡，连续可调三层开关，喷塑钢结构等组成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2.安装完毕后尺寸1010*1500*300mm</w:t>
            </w:r>
          </w:p>
        </w:tc>
      </w:tr>
      <w:tr w14:paraId="3382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E6650D7">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30</w:t>
            </w:r>
          </w:p>
        </w:tc>
        <w:tc>
          <w:tcPr>
            <w:tcW w:w="1215" w:type="dxa"/>
            <w:noWrap w:val="0"/>
            <w:vAlign w:val="center"/>
          </w:tcPr>
          <w:p w14:paraId="00497E6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普通手术剪</w:t>
            </w:r>
          </w:p>
        </w:tc>
        <w:tc>
          <w:tcPr>
            <w:tcW w:w="804" w:type="dxa"/>
            <w:noWrap w:val="0"/>
            <w:vAlign w:val="center"/>
          </w:tcPr>
          <w:p w14:paraId="38842FA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w:t>
            </w:r>
          </w:p>
        </w:tc>
        <w:tc>
          <w:tcPr>
            <w:tcW w:w="765" w:type="dxa"/>
            <w:gridSpan w:val="2"/>
            <w:noWrap w:val="0"/>
            <w:vAlign w:val="center"/>
          </w:tcPr>
          <w:p w14:paraId="257156D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w:t>
            </w:r>
          </w:p>
        </w:tc>
        <w:tc>
          <w:tcPr>
            <w:tcW w:w="6351" w:type="dxa"/>
            <w:noWrap w:val="0"/>
            <w:vAlign w:val="center"/>
          </w:tcPr>
          <w:p w14:paraId="274A306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1.为直尖头解剖剪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2.为不锈钢制，长140mm</w:t>
            </w:r>
          </w:p>
        </w:tc>
      </w:tr>
      <w:tr w14:paraId="012E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3B74A45">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31</w:t>
            </w:r>
          </w:p>
        </w:tc>
        <w:tc>
          <w:tcPr>
            <w:tcW w:w="1215" w:type="dxa"/>
            <w:noWrap w:val="0"/>
            <w:vAlign w:val="center"/>
          </w:tcPr>
          <w:p w14:paraId="68F68FE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眼用手术剪</w:t>
            </w:r>
          </w:p>
        </w:tc>
        <w:tc>
          <w:tcPr>
            <w:tcW w:w="804" w:type="dxa"/>
            <w:noWrap w:val="0"/>
            <w:vAlign w:val="center"/>
          </w:tcPr>
          <w:p w14:paraId="04B9003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w:t>
            </w:r>
          </w:p>
        </w:tc>
        <w:tc>
          <w:tcPr>
            <w:tcW w:w="765" w:type="dxa"/>
            <w:gridSpan w:val="2"/>
            <w:noWrap w:val="0"/>
            <w:vAlign w:val="center"/>
          </w:tcPr>
          <w:p w14:paraId="38A19AE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61D912A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1.为直尖头眼用手术剪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2.为不锈钢制，长100mm</w:t>
            </w:r>
          </w:p>
        </w:tc>
      </w:tr>
      <w:tr w14:paraId="6461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4A56C0D">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32</w:t>
            </w:r>
          </w:p>
        </w:tc>
        <w:tc>
          <w:tcPr>
            <w:tcW w:w="1215" w:type="dxa"/>
            <w:noWrap w:val="0"/>
            <w:vAlign w:val="center"/>
          </w:tcPr>
          <w:p w14:paraId="1271C52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手术刀柄</w:t>
            </w:r>
          </w:p>
        </w:tc>
        <w:tc>
          <w:tcPr>
            <w:tcW w:w="804" w:type="dxa"/>
            <w:noWrap w:val="0"/>
            <w:vAlign w:val="center"/>
          </w:tcPr>
          <w:p w14:paraId="2B52273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w:t>
            </w:r>
          </w:p>
        </w:tc>
        <w:tc>
          <w:tcPr>
            <w:tcW w:w="765" w:type="dxa"/>
            <w:gridSpan w:val="2"/>
            <w:noWrap w:val="0"/>
            <w:vAlign w:val="center"/>
          </w:tcPr>
          <w:p w14:paraId="187C9FC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6351" w:type="dxa"/>
            <w:noWrap w:val="0"/>
            <w:vAlign w:val="center"/>
          </w:tcPr>
          <w:p w14:paraId="30C7838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1.为不锈钢手术刀柄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2.长127mm</w:t>
            </w:r>
          </w:p>
        </w:tc>
      </w:tr>
      <w:tr w14:paraId="4157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F152314">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34</w:t>
            </w:r>
          </w:p>
        </w:tc>
        <w:tc>
          <w:tcPr>
            <w:tcW w:w="1215" w:type="dxa"/>
            <w:noWrap w:val="0"/>
            <w:vAlign w:val="center"/>
          </w:tcPr>
          <w:p w14:paraId="36B74B0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解剖镊</w:t>
            </w:r>
          </w:p>
        </w:tc>
        <w:tc>
          <w:tcPr>
            <w:tcW w:w="804" w:type="dxa"/>
            <w:noWrap w:val="0"/>
            <w:vAlign w:val="center"/>
          </w:tcPr>
          <w:p w14:paraId="655858F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w:t>
            </w:r>
          </w:p>
        </w:tc>
        <w:tc>
          <w:tcPr>
            <w:tcW w:w="765" w:type="dxa"/>
            <w:gridSpan w:val="2"/>
            <w:noWrap w:val="0"/>
            <w:vAlign w:val="center"/>
          </w:tcPr>
          <w:p w14:paraId="000E59F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w:t>
            </w:r>
          </w:p>
        </w:tc>
        <w:tc>
          <w:tcPr>
            <w:tcW w:w="6351" w:type="dxa"/>
            <w:noWrap w:val="0"/>
            <w:vAlign w:val="center"/>
          </w:tcPr>
          <w:p w14:paraId="4B42C18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1.为不锈钢解剖镊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2.全长132mm,尖头</w:t>
            </w:r>
          </w:p>
        </w:tc>
      </w:tr>
      <w:tr w14:paraId="3FF9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5AC0C69">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35</w:t>
            </w:r>
          </w:p>
        </w:tc>
        <w:tc>
          <w:tcPr>
            <w:tcW w:w="1215" w:type="dxa"/>
            <w:noWrap w:val="0"/>
            <w:vAlign w:val="center"/>
          </w:tcPr>
          <w:p w14:paraId="72DD1D4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解剖镊</w:t>
            </w:r>
          </w:p>
        </w:tc>
        <w:tc>
          <w:tcPr>
            <w:tcW w:w="804" w:type="dxa"/>
            <w:noWrap w:val="0"/>
            <w:vAlign w:val="center"/>
          </w:tcPr>
          <w:p w14:paraId="57D30AB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w:t>
            </w:r>
          </w:p>
        </w:tc>
        <w:tc>
          <w:tcPr>
            <w:tcW w:w="765" w:type="dxa"/>
            <w:gridSpan w:val="2"/>
            <w:noWrap w:val="0"/>
            <w:vAlign w:val="center"/>
          </w:tcPr>
          <w:p w14:paraId="5EC4634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w:t>
            </w:r>
          </w:p>
        </w:tc>
        <w:tc>
          <w:tcPr>
            <w:tcW w:w="6351" w:type="dxa"/>
            <w:noWrap w:val="0"/>
            <w:vAlign w:val="center"/>
          </w:tcPr>
          <w:p w14:paraId="2AC8ADF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1.为不锈钢解剖镊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2.全长不低于125mm,阔头</w:t>
            </w:r>
          </w:p>
        </w:tc>
      </w:tr>
      <w:tr w14:paraId="61CC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315A93E">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36</w:t>
            </w:r>
          </w:p>
        </w:tc>
        <w:tc>
          <w:tcPr>
            <w:tcW w:w="1215" w:type="dxa"/>
            <w:noWrap w:val="0"/>
            <w:vAlign w:val="center"/>
          </w:tcPr>
          <w:p w14:paraId="4155ABE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牙用镊</w:t>
            </w:r>
          </w:p>
        </w:tc>
        <w:tc>
          <w:tcPr>
            <w:tcW w:w="804" w:type="dxa"/>
            <w:noWrap w:val="0"/>
            <w:vAlign w:val="center"/>
          </w:tcPr>
          <w:p w14:paraId="08F2F08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w:t>
            </w:r>
          </w:p>
        </w:tc>
        <w:tc>
          <w:tcPr>
            <w:tcW w:w="765" w:type="dxa"/>
            <w:gridSpan w:val="2"/>
            <w:noWrap w:val="0"/>
            <w:vAlign w:val="center"/>
          </w:tcPr>
          <w:p w14:paraId="676879A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6351" w:type="dxa"/>
            <w:noWrap w:val="0"/>
            <w:vAlign w:val="center"/>
          </w:tcPr>
          <w:p w14:paraId="6578BDE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1.为不锈钢牙用镊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2.为弯头，长160mm</w:t>
            </w:r>
          </w:p>
        </w:tc>
      </w:tr>
      <w:tr w14:paraId="0B26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E853F95">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37</w:t>
            </w:r>
          </w:p>
        </w:tc>
        <w:tc>
          <w:tcPr>
            <w:tcW w:w="1215" w:type="dxa"/>
            <w:noWrap w:val="0"/>
            <w:vAlign w:val="center"/>
          </w:tcPr>
          <w:p w14:paraId="4E3B261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眼用镊</w:t>
            </w:r>
          </w:p>
        </w:tc>
        <w:tc>
          <w:tcPr>
            <w:tcW w:w="804" w:type="dxa"/>
            <w:noWrap w:val="0"/>
            <w:vAlign w:val="center"/>
          </w:tcPr>
          <w:p w14:paraId="66D252E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w:t>
            </w:r>
          </w:p>
        </w:tc>
        <w:tc>
          <w:tcPr>
            <w:tcW w:w="765" w:type="dxa"/>
            <w:gridSpan w:val="2"/>
            <w:noWrap w:val="0"/>
            <w:vAlign w:val="center"/>
          </w:tcPr>
          <w:p w14:paraId="4B3899C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5C5596B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1.为不锈钢眼用镊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2.为直形，唇头有齿，长100mm</w:t>
            </w:r>
          </w:p>
        </w:tc>
      </w:tr>
      <w:tr w14:paraId="687E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6CC89D3">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38</w:t>
            </w:r>
          </w:p>
        </w:tc>
        <w:tc>
          <w:tcPr>
            <w:tcW w:w="1215" w:type="dxa"/>
            <w:noWrap w:val="0"/>
            <w:vAlign w:val="center"/>
          </w:tcPr>
          <w:p w14:paraId="6A8BDC8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电泳仪</w:t>
            </w:r>
          </w:p>
        </w:tc>
        <w:tc>
          <w:tcPr>
            <w:tcW w:w="804" w:type="dxa"/>
            <w:noWrap w:val="0"/>
            <w:vAlign w:val="center"/>
          </w:tcPr>
          <w:p w14:paraId="4C3A195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3D2FDE3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E192AF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1.采用微电脑处理器作为控制核心，输出单元采用开关电源构成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2.输出信息采用液晶显示，可同时显示电压、电流、功率、定时时间、工作状态、保护等功能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3.具有定时报警功能。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4.具有4组并联的输出端子，可进行多槽并用。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5.具有空载、超限、过载等多种保护功能.</w:t>
            </w:r>
          </w:p>
        </w:tc>
      </w:tr>
      <w:tr w14:paraId="6BA9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8950AEB">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39</w:t>
            </w:r>
          </w:p>
        </w:tc>
        <w:tc>
          <w:tcPr>
            <w:tcW w:w="1215" w:type="dxa"/>
            <w:noWrap w:val="0"/>
            <w:vAlign w:val="center"/>
          </w:tcPr>
          <w:p w14:paraId="21EFB00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恒温震荡器</w:t>
            </w:r>
          </w:p>
        </w:tc>
        <w:tc>
          <w:tcPr>
            <w:tcW w:w="804" w:type="dxa"/>
            <w:noWrap w:val="0"/>
            <w:vAlign w:val="center"/>
          </w:tcPr>
          <w:p w14:paraId="274BCCD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580E883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51002C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 xml:space="preserve">1.采用回旋式工作方式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2.室温 +5 ℃～ 60 ℃ ，± 1 ℃ ,PID 数显温控 , 速度数显可调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3.外形尺寸：长345*宽385*高275mm</w:t>
            </w:r>
          </w:p>
        </w:tc>
      </w:tr>
      <w:tr w14:paraId="38F2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63E6150">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40</w:t>
            </w:r>
          </w:p>
        </w:tc>
        <w:tc>
          <w:tcPr>
            <w:tcW w:w="1215" w:type="dxa"/>
            <w:noWrap w:val="0"/>
            <w:vAlign w:val="center"/>
          </w:tcPr>
          <w:p w14:paraId="701082E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水平电泳槽</w:t>
            </w:r>
          </w:p>
        </w:tc>
        <w:tc>
          <w:tcPr>
            <w:tcW w:w="804" w:type="dxa"/>
            <w:noWrap w:val="0"/>
            <w:vAlign w:val="center"/>
          </w:tcPr>
          <w:p w14:paraId="658FFB5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E36BD1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12A7D76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1.由槽体、凝胶托盘和凝胶板等组成，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2.槽体由碳酸脂注塑成型；凝胶托盘带有荧光标尺；凝胶板的尺寸60mm*60mm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3.具有开盖断电保护功能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4.尺寸：210*105*60mm</w:t>
            </w:r>
          </w:p>
        </w:tc>
      </w:tr>
      <w:tr w14:paraId="4F01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D7D01C4">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41</w:t>
            </w:r>
          </w:p>
        </w:tc>
        <w:tc>
          <w:tcPr>
            <w:tcW w:w="1215" w:type="dxa"/>
            <w:noWrap w:val="0"/>
            <w:vAlign w:val="center"/>
          </w:tcPr>
          <w:p w14:paraId="1FE1532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垂直电泳槽</w:t>
            </w:r>
          </w:p>
        </w:tc>
        <w:tc>
          <w:tcPr>
            <w:tcW w:w="804" w:type="dxa"/>
            <w:noWrap w:val="0"/>
            <w:vAlign w:val="center"/>
          </w:tcPr>
          <w:p w14:paraId="4137CEA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C9287B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08FAB57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1.由槽体和凝胶板等组成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2.槽体由聚碳酸脂注塑成型；凝胶板的尺寸75mm*75mm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3.可实现原位制胶、两块凝胶同时电泳，具有开盖断电等功能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4.尺寸：135*105*105mm</w:t>
            </w:r>
          </w:p>
        </w:tc>
      </w:tr>
      <w:tr w14:paraId="21E9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2631CEA">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42</w:t>
            </w:r>
          </w:p>
        </w:tc>
        <w:tc>
          <w:tcPr>
            <w:tcW w:w="1215" w:type="dxa"/>
            <w:noWrap w:val="0"/>
            <w:vAlign w:val="center"/>
          </w:tcPr>
          <w:p w14:paraId="64029E8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微量进样器</w:t>
            </w:r>
          </w:p>
        </w:tc>
        <w:tc>
          <w:tcPr>
            <w:tcW w:w="804" w:type="dxa"/>
            <w:noWrap w:val="0"/>
            <w:vAlign w:val="center"/>
          </w:tcPr>
          <w:p w14:paraId="7DC9F43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942BC0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6351" w:type="dxa"/>
            <w:noWrap w:val="0"/>
            <w:vAlign w:val="center"/>
          </w:tcPr>
          <w:p w14:paraId="46DD0C9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1.由进样管、进样杆和针头组成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2.最大刻度为50µL，精度值1µL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3.整体长度为160mm,进样管直径6mm</w:t>
            </w:r>
          </w:p>
        </w:tc>
      </w:tr>
      <w:tr w14:paraId="6232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A57283A">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43</w:t>
            </w:r>
          </w:p>
        </w:tc>
        <w:tc>
          <w:tcPr>
            <w:tcW w:w="1215" w:type="dxa"/>
            <w:noWrap w:val="0"/>
            <w:vAlign w:val="center"/>
          </w:tcPr>
          <w:p w14:paraId="41BA1CB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凝胶色谱柱</w:t>
            </w:r>
          </w:p>
        </w:tc>
        <w:tc>
          <w:tcPr>
            <w:tcW w:w="804" w:type="dxa"/>
            <w:noWrap w:val="0"/>
            <w:vAlign w:val="center"/>
          </w:tcPr>
          <w:p w14:paraId="7DD4738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DE55B8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6351" w:type="dxa"/>
            <w:noWrap w:val="0"/>
            <w:vAlign w:val="center"/>
          </w:tcPr>
          <w:p w14:paraId="3FB5456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1.由16mm*500mmPC管、进液管和带有100目的出液管组成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2.PC管尺寸φ16mm*500mm</w:t>
            </w:r>
          </w:p>
        </w:tc>
      </w:tr>
      <w:tr w14:paraId="7C17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229C93E">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44</w:t>
            </w:r>
          </w:p>
        </w:tc>
        <w:tc>
          <w:tcPr>
            <w:tcW w:w="1215" w:type="dxa"/>
            <w:noWrap w:val="0"/>
            <w:vAlign w:val="center"/>
          </w:tcPr>
          <w:p w14:paraId="00FA123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微量移液器</w:t>
            </w:r>
          </w:p>
        </w:tc>
        <w:tc>
          <w:tcPr>
            <w:tcW w:w="804" w:type="dxa"/>
            <w:noWrap w:val="0"/>
            <w:vAlign w:val="center"/>
          </w:tcPr>
          <w:p w14:paraId="2AE81EA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3B75973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6351" w:type="dxa"/>
            <w:noWrap w:val="0"/>
            <w:vAlign w:val="center"/>
          </w:tcPr>
          <w:p w14:paraId="22C5416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1.由移液器和移液管组成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2.每套含移液器1个和移液管5个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3.移液范围：1µL～10µL，机械可调，共6挡，分别为1µL、2µL、4µL、6µL、8µL、10µL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4.移液器长度为203mm,移液管长度为50mm</w:t>
            </w:r>
          </w:p>
        </w:tc>
      </w:tr>
      <w:tr w14:paraId="7EC7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2947D49">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45</w:t>
            </w:r>
          </w:p>
        </w:tc>
        <w:tc>
          <w:tcPr>
            <w:tcW w:w="1215" w:type="dxa"/>
            <w:noWrap w:val="0"/>
            <w:vAlign w:val="center"/>
          </w:tcPr>
          <w:p w14:paraId="184C04D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微量移液器</w:t>
            </w:r>
          </w:p>
        </w:tc>
        <w:tc>
          <w:tcPr>
            <w:tcW w:w="804" w:type="dxa"/>
            <w:noWrap w:val="0"/>
            <w:vAlign w:val="center"/>
          </w:tcPr>
          <w:p w14:paraId="1A9B459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7AE67C7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6351" w:type="dxa"/>
            <w:noWrap w:val="0"/>
            <w:vAlign w:val="center"/>
          </w:tcPr>
          <w:p w14:paraId="774C5A9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1.由移液器和移液管组成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2.每套含移液器1个和移液管5个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3.移液范围：20µL～200µL，机械可调，共5挡，分别为20µL、50µL、100µL、150µL、200µL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4.移液器长度为203mm,移液管长度为50mm</w:t>
            </w:r>
          </w:p>
        </w:tc>
      </w:tr>
      <w:tr w14:paraId="7BEE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5974E98">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46</w:t>
            </w:r>
          </w:p>
        </w:tc>
        <w:tc>
          <w:tcPr>
            <w:tcW w:w="1215" w:type="dxa"/>
            <w:noWrap w:val="0"/>
            <w:vAlign w:val="center"/>
          </w:tcPr>
          <w:p w14:paraId="4410DEC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微量移液器</w:t>
            </w:r>
          </w:p>
        </w:tc>
        <w:tc>
          <w:tcPr>
            <w:tcW w:w="804" w:type="dxa"/>
            <w:noWrap w:val="0"/>
            <w:vAlign w:val="center"/>
          </w:tcPr>
          <w:p w14:paraId="07A96B3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724C697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6351" w:type="dxa"/>
            <w:noWrap w:val="0"/>
            <w:vAlign w:val="center"/>
          </w:tcPr>
          <w:p w14:paraId="112355D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1.由移液器和移液管组成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2.每套含移液器1个和移液管3个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3.移液范围：100µL～1000µL，机械可调，共6挡，分别为100µL、200µL、400µL、600µL、800µL、1000µL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4.移液器长度为203mm,移液管长度为70mm</w:t>
            </w:r>
          </w:p>
        </w:tc>
      </w:tr>
      <w:tr w14:paraId="55D6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C456FA0">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47</w:t>
            </w:r>
          </w:p>
        </w:tc>
        <w:tc>
          <w:tcPr>
            <w:tcW w:w="1215" w:type="dxa"/>
            <w:noWrap w:val="0"/>
            <w:vAlign w:val="center"/>
          </w:tcPr>
          <w:p w14:paraId="142F303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微量移液器</w:t>
            </w:r>
          </w:p>
        </w:tc>
        <w:tc>
          <w:tcPr>
            <w:tcW w:w="804" w:type="dxa"/>
            <w:noWrap w:val="0"/>
            <w:vAlign w:val="center"/>
          </w:tcPr>
          <w:p w14:paraId="68F29FF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510A882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6351" w:type="dxa"/>
            <w:noWrap w:val="0"/>
            <w:vAlign w:val="center"/>
          </w:tcPr>
          <w:p w14:paraId="114488E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1.由移液器和移液管组成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2.每套含移液器和移液管各1个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3.移液范围：500µL～5000µL，机械可调，共6挡，分别为500µL、1000µL、2000µL、3000µL、4000µL、5000µL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4.移液器长度为203mm,移液管长度为147mm</w:t>
            </w:r>
          </w:p>
        </w:tc>
      </w:tr>
      <w:tr w14:paraId="28F4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70BB288">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48</w:t>
            </w:r>
          </w:p>
        </w:tc>
        <w:tc>
          <w:tcPr>
            <w:tcW w:w="1215" w:type="dxa"/>
            <w:noWrap w:val="0"/>
            <w:vAlign w:val="center"/>
          </w:tcPr>
          <w:p w14:paraId="4970B83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移液器架</w:t>
            </w:r>
          </w:p>
        </w:tc>
        <w:tc>
          <w:tcPr>
            <w:tcW w:w="804" w:type="dxa"/>
            <w:noWrap w:val="0"/>
            <w:vAlign w:val="center"/>
          </w:tcPr>
          <w:p w14:paraId="028F871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FBB731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6351" w:type="dxa"/>
            <w:noWrap w:val="0"/>
            <w:vAlign w:val="center"/>
          </w:tcPr>
          <w:p w14:paraId="7E0E2A4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1.为有机玻璃制移液器架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2.可放置5支移液器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3.底座尺寸：232*108mm,总高295mm,有机玻璃板壁厚不小于4mm</w:t>
            </w:r>
          </w:p>
        </w:tc>
      </w:tr>
      <w:tr w14:paraId="1758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30C2719">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49</w:t>
            </w:r>
          </w:p>
        </w:tc>
        <w:tc>
          <w:tcPr>
            <w:tcW w:w="1215" w:type="dxa"/>
            <w:noWrap w:val="0"/>
            <w:vAlign w:val="center"/>
          </w:tcPr>
          <w:p w14:paraId="3BFEC79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DNA电泳图谱观察仪</w:t>
            </w:r>
          </w:p>
        </w:tc>
        <w:tc>
          <w:tcPr>
            <w:tcW w:w="804" w:type="dxa"/>
            <w:noWrap w:val="0"/>
            <w:vAlign w:val="center"/>
          </w:tcPr>
          <w:p w14:paraId="7072919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7B4C16E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CC9E8D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1.外壳采用高强度塑料喷塑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2.凝胶观察面积12*12cm，透过观察窗可观察到基因样品的不同的DNA电泳谱图谱线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3.光源：采用蓝紫光谱观察（非紫外）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4.外形尺寸270*220*100mm,电源电压：AC220V±10%  50Hz,功耗：＜10W。</w:t>
            </w:r>
          </w:p>
        </w:tc>
      </w:tr>
      <w:tr w14:paraId="57B4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9346724">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50</w:t>
            </w:r>
          </w:p>
        </w:tc>
        <w:tc>
          <w:tcPr>
            <w:tcW w:w="1215" w:type="dxa"/>
            <w:noWrap w:val="0"/>
            <w:vAlign w:val="center"/>
          </w:tcPr>
          <w:p w14:paraId="123786C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精油提取器</w:t>
            </w:r>
          </w:p>
        </w:tc>
        <w:tc>
          <w:tcPr>
            <w:tcW w:w="804" w:type="dxa"/>
            <w:noWrap w:val="0"/>
            <w:vAlign w:val="center"/>
          </w:tcPr>
          <w:p w14:paraId="68F93C5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2A9786F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837E79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1.由蒸汽发生器、冷凝器等组成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2.外观尺寸：400*245*286mm</w:t>
            </w:r>
          </w:p>
        </w:tc>
      </w:tr>
      <w:tr w14:paraId="3E67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CF5F839">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51</w:t>
            </w:r>
          </w:p>
        </w:tc>
        <w:tc>
          <w:tcPr>
            <w:tcW w:w="1215" w:type="dxa"/>
            <w:noWrap w:val="0"/>
            <w:vAlign w:val="center"/>
          </w:tcPr>
          <w:p w14:paraId="1CFC64E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PCR仪</w:t>
            </w:r>
          </w:p>
        </w:tc>
        <w:tc>
          <w:tcPr>
            <w:tcW w:w="804" w:type="dxa"/>
            <w:noWrap w:val="0"/>
            <w:vAlign w:val="center"/>
          </w:tcPr>
          <w:p w14:paraId="5ABE4D3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404AC29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7D70A5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1.采用微电脑控制， 温度、时间液晶显示；同时显示设置温度和即时温度；温度、时间控制节数可设定（6节）；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2.控温范围0°C～99.9°C.样本容量：标配32管×0.2 ml，最大功率240w。升温速率≥2℃/s，降温时间≥2℃/s，控温精度≤±0.5°C，显示精度0.1°C，模块温度均匀性≤±0.5℃（95℃）、≤±0.3℃,可存储蓄20组运行数据,带热盖控制及断电记忆功能。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3.仪器尺寸：240*330*220mm</w:t>
            </w:r>
          </w:p>
        </w:tc>
      </w:tr>
      <w:tr w14:paraId="5B18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B3F6322">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52</w:t>
            </w:r>
          </w:p>
        </w:tc>
        <w:tc>
          <w:tcPr>
            <w:tcW w:w="1215" w:type="dxa"/>
            <w:noWrap w:val="0"/>
            <w:vAlign w:val="center"/>
          </w:tcPr>
          <w:p w14:paraId="38467F5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组织捣碎匀浆机</w:t>
            </w:r>
          </w:p>
        </w:tc>
        <w:tc>
          <w:tcPr>
            <w:tcW w:w="804" w:type="dxa"/>
            <w:noWrap w:val="0"/>
            <w:vAlign w:val="center"/>
          </w:tcPr>
          <w:p w14:paraId="164E86A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7BA2E31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1DBCCB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1.转速0r/min～12000r/min，无级调速  最大容量：1L，设有机械定时，无级调速，匀浆杯为不锈钢。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2.电源：220V  50Hz。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3.仪器尺寸210*260*430mm。 </w:t>
            </w:r>
          </w:p>
        </w:tc>
      </w:tr>
      <w:tr w14:paraId="5226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C48139E">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53</w:t>
            </w:r>
          </w:p>
        </w:tc>
        <w:tc>
          <w:tcPr>
            <w:tcW w:w="1215" w:type="dxa"/>
            <w:noWrap w:val="0"/>
            <w:vAlign w:val="center"/>
          </w:tcPr>
          <w:p w14:paraId="282860B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DNA快速杂交仪</w:t>
            </w:r>
          </w:p>
        </w:tc>
        <w:tc>
          <w:tcPr>
            <w:tcW w:w="804" w:type="dxa"/>
            <w:noWrap w:val="0"/>
            <w:vAlign w:val="center"/>
          </w:tcPr>
          <w:p w14:paraId="0916064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7E8B8F8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8C8E3F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1.采用先进的单片计算机进行控制，直观显示系统的运行状祝。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2.温度控制，控制精度高，稳定性好，并设有超温保护装置。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3.仪器采用滚动式反应装置，每次可夹4根特制玻璃封管在水平轴旋转，旋转速度为每分钟0~20转/可调.杂交管规格：φ 35× 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4.温控范围：环境温度+5℃~70℃可调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5.电源电压：AC220V士10% 50Hz，功率350W。温度波动值:士1℃，温度显示分辨率：0.1℃，、温度均匀性：土0.03 ℃，滚动式反应装置转速：0~20转/分可调。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6.仪器尺寸：340*385*260mm</w:t>
            </w:r>
          </w:p>
        </w:tc>
      </w:tr>
      <w:tr w14:paraId="2D5C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356EF41">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54</w:t>
            </w:r>
          </w:p>
        </w:tc>
        <w:tc>
          <w:tcPr>
            <w:tcW w:w="1215" w:type="dxa"/>
            <w:noWrap w:val="0"/>
            <w:vAlign w:val="center"/>
          </w:tcPr>
          <w:p w14:paraId="5CF3E16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果酒果醋发酵装置</w:t>
            </w:r>
          </w:p>
        </w:tc>
        <w:tc>
          <w:tcPr>
            <w:tcW w:w="804" w:type="dxa"/>
            <w:noWrap w:val="0"/>
            <w:vAlign w:val="center"/>
          </w:tcPr>
          <w:p w14:paraId="1D5534E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0E20CE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6351" w:type="dxa"/>
            <w:noWrap w:val="0"/>
            <w:vAlign w:val="center"/>
          </w:tcPr>
          <w:p w14:paraId="664AF70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1.由容器瓶、进气调节控制阀、出气口等组成。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2.容器瓶为1L的透明PET瓶</w:t>
            </w:r>
          </w:p>
        </w:tc>
      </w:tr>
      <w:tr w14:paraId="1F7F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8759F74">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55</w:t>
            </w:r>
          </w:p>
        </w:tc>
        <w:tc>
          <w:tcPr>
            <w:tcW w:w="1215" w:type="dxa"/>
            <w:noWrap w:val="0"/>
            <w:vAlign w:val="center"/>
          </w:tcPr>
          <w:p w14:paraId="54515D0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玻璃三角刮刀(涂布器)</w:t>
            </w:r>
          </w:p>
        </w:tc>
        <w:tc>
          <w:tcPr>
            <w:tcW w:w="804" w:type="dxa"/>
            <w:noWrap w:val="0"/>
            <w:vAlign w:val="center"/>
          </w:tcPr>
          <w:p w14:paraId="7341366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B60C96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6351" w:type="dxa"/>
            <w:noWrap w:val="0"/>
            <w:vAlign w:val="center"/>
          </w:tcPr>
          <w:p w14:paraId="144350C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1.为玻璃制三角刮刀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2.玻璃棒直径5-6mm，整体长不低于120mm，刀口长不低于30mm</w:t>
            </w:r>
          </w:p>
        </w:tc>
      </w:tr>
      <w:tr w14:paraId="7132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F00737F">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56</w:t>
            </w:r>
          </w:p>
        </w:tc>
        <w:tc>
          <w:tcPr>
            <w:tcW w:w="1215" w:type="dxa"/>
            <w:noWrap w:val="0"/>
            <w:vAlign w:val="center"/>
          </w:tcPr>
          <w:p w14:paraId="6BAF919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始祖鸟化石及复原模型</w:t>
            </w:r>
          </w:p>
        </w:tc>
        <w:tc>
          <w:tcPr>
            <w:tcW w:w="804" w:type="dxa"/>
            <w:noWrap w:val="0"/>
            <w:vAlign w:val="center"/>
          </w:tcPr>
          <w:p w14:paraId="42C8E3F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616C5E1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B30847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1.由始祖鸟化石模型和复原模型组成，分别置于底座上，模型应采用硬塑料制作。</w:t>
            </w:r>
          </w:p>
        </w:tc>
      </w:tr>
      <w:tr w14:paraId="171B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D2FFC0B">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57</w:t>
            </w:r>
          </w:p>
        </w:tc>
        <w:tc>
          <w:tcPr>
            <w:tcW w:w="1215" w:type="dxa"/>
            <w:noWrap w:val="0"/>
            <w:vAlign w:val="center"/>
          </w:tcPr>
          <w:p w14:paraId="7D274A6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细胞亚显微结构模型</w:t>
            </w:r>
          </w:p>
        </w:tc>
        <w:tc>
          <w:tcPr>
            <w:tcW w:w="804" w:type="dxa"/>
            <w:noWrap w:val="0"/>
            <w:vAlign w:val="center"/>
          </w:tcPr>
          <w:p w14:paraId="7F9D40C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2731631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C337E9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1.为高等真核细胞立体亚显微结构模型。细胞直径约放大2万倍。</w:t>
            </w:r>
          </w:p>
        </w:tc>
      </w:tr>
      <w:tr w14:paraId="54FC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945241C">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58</w:t>
            </w:r>
          </w:p>
        </w:tc>
        <w:tc>
          <w:tcPr>
            <w:tcW w:w="1215" w:type="dxa"/>
            <w:noWrap w:val="0"/>
            <w:vAlign w:val="center"/>
          </w:tcPr>
          <w:p w14:paraId="31ACD18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细胞膜结构模型</w:t>
            </w:r>
          </w:p>
        </w:tc>
        <w:tc>
          <w:tcPr>
            <w:tcW w:w="804" w:type="dxa"/>
            <w:noWrap w:val="0"/>
            <w:vAlign w:val="center"/>
          </w:tcPr>
          <w:p w14:paraId="79EC757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3F83A34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863339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1.采用选用无毒硬质pvc塑料制作。</w:t>
            </w:r>
          </w:p>
        </w:tc>
      </w:tr>
      <w:tr w14:paraId="0739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34D5F40">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59</w:t>
            </w:r>
          </w:p>
        </w:tc>
        <w:tc>
          <w:tcPr>
            <w:tcW w:w="1215" w:type="dxa"/>
            <w:noWrap w:val="0"/>
            <w:vAlign w:val="center"/>
          </w:tcPr>
          <w:p w14:paraId="4372F02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细胞膜流动镶嵌模型组件</w:t>
            </w:r>
          </w:p>
        </w:tc>
        <w:tc>
          <w:tcPr>
            <w:tcW w:w="804" w:type="dxa"/>
            <w:noWrap w:val="0"/>
            <w:vAlign w:val="center"/>
          </w:tcPr>
          <w:p w14:paraId="3CB15FD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3312E31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351" w:type="dxa"/>
            <w:noWrap w:val="0"/>
            <w:vAlign w:val="center"/>
          </w:tcPr>
          <w:p w14:paraId="6FE1741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1.由细胞膜流动镶嵌模型及部分磷脂分子组成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2.细胞膜由两层磷脂分子相向排列组成</w:t>
            </w:r>
          </w:p>
        </w:tc>
      </w:tr>
      <w:tr w14:paraId="5E74C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3119B1E">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60</w:t>
            </w:r>
          </w:p>
        </w:tc>
        <w:tc>
          <w:tcPr>
            <w:tcW w:w="1215" w:type="dxa"/>
            <w:noWrap w:val="0"/>
            <w:vAlign w:val="center"/>
          </w:tcPr>
          <w:p w14:paraId="5576F17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减数分裂中染色体变化模型组件</w:t>
            </w:r>
          </w:p>
        </w:tc>
        <w:tc>
          <w:tcPr>
            <w:tcW w:w="804" w:type="dxa"/>
            <w:noWrap w:val="0"/>
            <w:vAlign w:val="center"/>
          </w:tcPr>
          <w:p w14:paraId="68AC0FD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14EA948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6351" w:type="dxa"/>
            <w:noWrap w:val="0"/>
            <w:vAlign w:val="center"/>
          </w:tcPr>
          <w:p w14:paraId="42E9DDE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1.由磁性黑板和染色体组成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2.染色体共四条，每条可拆分，四条染色体有两大两小，每种分红黄两色</w:t>
            </w:r>
          </w:p>
        </w:tc>
      </w:tr>
      <w:tr w14:paraId="4955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8540032">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61</w:t>
            </w:r>
          </w:p>
        </w:tc>
        <w:tc>
          <w:tcPr>
            <w:tcW w:w="1215" w:type="dxa"/>
            <w:noWrap w:val="0"/>
            <w:vAlign w:val="center"/>
          </w:tcPr>
          <w:p w14:paraId="2964918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DNA结构模型</w:t>
            </w:r>
          </w:p>
        </w:tc>
        <w:tc>
          <w:tcPr>
            <w:tcW w:w="804" w:type="dxa"/>
            <w:noWrap w:val="0"/>
            <w:vAlign w:val="center"/>
          </w:tcPr>
          <w:p w14:paraId="30FFA47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7EC3C5A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31ED5B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1.由塑料底盘，支架及代表四种碱基的塑料块组成，分别为：绿色塑料块（A腺嘌呤）、黄色塑料块（T胸腺嘧啶）、蓝色塑料块（G鸟嘌呤）、粉红塑料块（C胞嘧啶）</w:t>
            </w:r>
          </w:p>
        </w:tc>
      </w:tr>
      <w:tr w14:paraId="188D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8283B35">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62</w:t>
            </w:r>
          </w:p>
        </w:tc>
        <w:tc>
          <w:tcPr>
            <w:tcW w:w="1215" w:type="dxa"/>
            <w:noWrap w:val="0"/>
            <w:vAlign w:val="center"/>
          </w:tcPr>
          <w:p w14:paraId="446EBAE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DNA双螺旋结构模型组件</w:t>
            </w:r>
          </w:p>
        </w:tc>
        <w:tc>
          <w:tcPr>
            <w:tcW w:w="804" w:type="dxa"/>
            <w:noWrap w:val="0"/>
            <w:vAlign w:val="center"/>
          </w:tcPr>
          <w:p w14:paraId="7EEA3BB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3DA8FA5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6351" w:type="dxa"/>
            <w:noWrap w:val="0"/>
            <w:vAlign w:val="center"/>
          </w:tcPr>
          <w:p w14:paraId="0536351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1.由粗连接棒40根、细连接棒20根、脱氧核糖20个、磷酸22个、四种碱基各5个组成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2.塑料盒装</w:t>
            </w:r>
          </w:p>
        </w:tc>
      </w:tr>
      <w:tr w14:paraId="1000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718EBE3">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63</w:t>
            </w:r>
          </w:p>
        </w:tc>
        <w:tc>
          <w:tcPr>
            <w:tcW w:w="1215" w:type="dxa"/>
            <w:noWrap w:val="0"/>
            <w:vAlign w:val="center"/>
          </w:tcPr>
          <w:p w14:paraId="2F0A120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验证基因分离规律玉米标本</w:t>
            </w:r>
          </w:p>
        </w:tc>
        <w:tc>
          <w:tcPr>
            <w:tcW w:w="804" w:type="dxa"/>
            <w:noWrap w:val="0"/>
            <w:vAlign w:val="center"/>
          </w:tcPr>
          <w:p w14:paraId="73705E8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B85DA4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6351" w:type="dxa"/>
            <w:noWrap w:val="0"/>
            <w:vAlign w:val="center"/>
          </w:tcPr>
          <w:p w14:paraId="24711EF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1.选用父代穗、母代穗、子一代穗、子二代穗及子二代测交穗5块玉米穗.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2.标本盒上盖采用透明浮法玻璃制作，下盖由环保厚卡纸加工制作而成，标本盒尺寸不小于217*171*32mm，上下盖可以打开</w:t>
            </w:r>
          </w:p>
        </w:tc>
      </w:tr>
      <w:tr w14:paraId="50D9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13A64A3">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64</w:t>
            </w:r>
          </w:p>
        </w:tc>
        <w:tc>
          <w:tcPr>
            <w:tcW w:w="1215" w:type="dxa"/>
            <w:noWrap w:val="0"/>
            <w:vAlign w:val="center"/>
          </w:tcPr>
          <w:p w14:paraId="025C83C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验证基因自由组合规律玉米标本</w:t>
            </w:r>
          </w:p>
        </w:tc>
        <w:tc>
          <w:tcPr>
            <w:tcW w:w="804" w:type="dxa"/>
            <w:noWrap w:val="0"/>
            <w:vAlign w:val="center"/>
          </w:tcPr>
          <w:p w14:paraId="13D1CB5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6CCFF5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6351" w:type="dxa"/>
            <w:noWrap w:val="0"/>
            <w:vAlign w:val="center"/>
          </w:tcPr>
          <w:p w14:paraId="630B530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1.选用父代穗、母代穗、子一代穗、子二代穗及子二代测交穗5块玉米穗.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2.标本盒上盖采用透明浮法玻璃制作，下盖由环保厚卡纸加工制作而成，标本盒尺寸不小于217*171*32mm，上下盖可以打开</w:t>
            </w:r>
          </w:p>
        </w:tc>
      </w:tr>
      <w:tr w14:paraId="4258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D32AE61">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65</w:t>
            </w:r>
          </w:p>
        </w:tc>
        <w:tc>
          <w:tcPr>
            <w:tcW w:w="1215" w:type="dxa"/>
            <w:noWrap w:val="0"/>
            <w:vAlign w:val="center"/>
          </w:tcPr>
          <w:p w14:paraId="52FEE2A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验证基因连锁与互换规律玉米标本</w:t>
            </w:r>
          </w:p>
        </w:tc>
        <w:tc>
          <w:tcPr>
            <w:tcW w:w="804" w:type="dxa"/>
            <w:noWrap w:val="0"/>
            <w:vAlign w:val="center"/>
          </w:tcPr>
          <w:p w14:paraId="5B7D618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42D73E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6351" w:type="dxa"/>
            <w:noWrap w:val="0"/>
            <w:vAlign w:val="center"/>
          </w:tcPr>
          <w:p w14:paraId="4B21976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1.选用父代穗、母代穗、子一代穗、子二代穗及子二代测交穗5块玉米穗.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2.标本盒上盖采用透明浮法玻璃制作，下盖由环保厚卡纸加工制作而成，标本盒尺寸不小于217*171*32mm，上下盖可以打开</w:t>
            </w:r>
          </w:p>
        </w:tc>
      </w:tr>
      <w:tr w14:paraId="471A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1D59E30">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66</w:t>
            </w:r>
          </w:p>
        </w:tc>
        <w:tc>
          <w:tcPr>
            <w:tcW w:w="1215" w:type="dxa"/>
            <w:noWrap w:val="0"/>
            <w:vAlign w:val="center"/>
          </w:tcPr>
          <w:p w14:paraId="3ECA437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蚕豆叶下表皮装片</w:t>
            </w:r>
          </w:p>
        </w:tc>
        <w:tc>
          <w:tcPr>
            <w:tcW w:w="804" w:type="dxa"/>
            <w:noWrap w:val="0"/>
            <w:vAlign w:val="center"/>
          </w:tcPr>
          <w:p w14:paraId="74BFE46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片</w:t>
            </w:r>
          </w:p>
        </w:tc>
        <w:tc>
          <w:tcPr>
            <w:tcW w:w="765" w:type="dxa"/>
            <w:gridSpan w:val="2"/>
            <w:noWrap w:val="0"/>
            <w:vAlign w:val="center"/>
          </w:tcPr>
          <w:p w14:paraId="64FA482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61016EC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1.标本能在学生显微镜下观察清晰。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2.玻片尺寸为76*25mm，厚度不低于0.8mm，塑料盒定位包装</w:t>
            </w:r>
          </w:p>
        </w:tc>
      </w:tr>
      <w:tr w14:paraId="3CE6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3D244C7">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67</w:t>
            </w:r>
          </w:p>
        </w:tc>
        <w:tc>
          <w:tcPr>
            <w:tcW w:w="1215" w:type="dxa"/>
            <w:noWrap w:val="0"/>
            <w:vAlign w:val="center"/>
          </w:tcPr>
          <w:p w14:paraId="3889ECF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植物细胞有丝分裂</w:t>
            </w:r>
          </w:p>
        </w:tc>
        <w:tc>
          <w:tcPr>
            <w:tcW w:w="804" w:type="dxa"/>
            <w:noWrap w:val="0"/>
            <w:vAlign w:val="center"/>
          </w:tcPr>
          <w:p w14:paraId="38E1E6A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片</w:t>
            </w:r>
          </w:p>
        </w:tc>
        <w:tc>
          <w:tcPr>
            <w:tcW w:w="765" w:type="dxa"/>
            <w:gridSpan w:val="2"/>
            <w:noWrap w:val="0"/>
            <w:vAlign w:val="center"/>
          </w:tcPr>
          <w:p w14:paraId="03053E8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156DE5E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1.标本能在学生显微镜下观察清晰。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2.玻片尺寸为76*25mm，厚度不低于0.8mm，塑料盒定位包装</w:t>
            </w:r>
          </w:p>
        </w:tc>
      </w:tr>
      <w:tr w14:paraId="341D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37D611B">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68</w:t>
            </w:r>
          </w:p>
        </w:tc>
        <w:tc>
          <w:tcPr>
            <w:tcW w:w="1215" w:type="dxa"/>
            <w:noWrap w:val="0"/>
            <w:vAlign w:val="center"/>
          </w:tcPr>
          <w:p w14:paraId="50C8AED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胞间连丝切片</w:t>
            </w:r>
          </w:p>
        </w:tc>
        <w:tc>
          <w:tcPr>
            <w:tcW w:w="804" w:type="dxa"/>
            <w:noWrap w:val="0"/>
            <w:vAlign w:val="center"/>
          </w:tcPr>
          <w:p w14:paraId="4A46FC4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片</w:t>
            </w:r>
          </w:p>
        </w:tc>
        <w:tc>
          <w:tcPr>
            <w:tcW w:w="765" w:type="dxa"/>
            <w:gridSpan w:val="2"/>
            <w:noWrap w:val="0"/>
            <w:vAlign w:val="center"/>
          </w:tcPr>
          <w:p w14:paraId="08481FD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1275469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1.标本能在学生显微镜下观察清晰。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2.玻片尺寸为76*25mm，厚度不低于0.8mm，塑料盒定位包装</w:t>
            </w:r>
          </w:p>
        </w:tc>
      </w:tr>
      <w:tr w14:paraId="578A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BD756FD">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69</w:t>
            </w:r>
          </w:p>
        </w:tc>
        <w:tc>
          <w:tcPr>
            <w:tcW w:w="1215" w:type="dxa"/>
            <w:noWrap w:val="0"/>
            <w:vAlign w:val="center"/>
          </w:tcPr>
          <w:p w14:paraId="0B3B6D6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黑藻叶装片</w:t>
            </w:r>
          </w:p>
        </w:tc>
        <w:tc>
          <w:tcPr>
            <w:tcW w:w="804" w:type="dxa"/>
            <w:noWrap w:val="0"/>
            <w:vAlign w:val="center"/>
          </w:tcPr>
          <w:p w14:paraId="6E9A411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片</w:t>
            </w:r>
          </w:p>
        </w:tc>
        <w:tc>
          <w:tcPr>
            <w:tcW w:w="765" w:type="dxa"/>
            <w:gridSpan w:val="2"/>
            <w:noWrap w:val="0"/>
            <w:vAlign w:val="center"/>
          </w:tcPr>
          <w:p w14:paraId="71388CA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20D0840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1.标本能在学生显微镜下观察清晰。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2.玻片尺寸为76*25mm，厚度不低于0.8mm，塑料盒定位包装</w:t>
            </w:r>
          </w:p>
        </w:tc>
      </w:tr>
      <w:tr w14:paraId="2797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E6A1165">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70</w:t>
            </w:r>
          </w:p>
        </w:tc>
        <w:tc>
          <w:tcPr>
            <w:tcW w:w="1215" w:type="dxa"/>
            <w:noWrap w:val="0"/>
            <w:vAlign w:val="center"/>
          </w:tcPr>
          <w:p w14:paraId="567DC9B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酵母菌装片</w:t>
            </w:r>
          </w:p>
        </w:tc>
        <w:tc>
          <w:tcPr>
            <w:tcW w:w="804" w:type="dxa"/>
            <w:noWrap w:val="0"/>
            <w:vAlign w:val="center"/>
          </w:tcPr>
          <w:p w14:paraId="781F662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片</w:t>
            </w:r>
          </w:p>
        </w:tc>
        <w:tc>
          <w:tcPr>
            <w:tcW w:w="765" w:type="dxa"/>
            <w:gridSpan w:val="2"/>
            <w:noWrap w:val="0"/>
            <w:vAlign w:val="center"/>
          </w:tcPr>
          <w:p w14:paraId="6C1EE1B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575744D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1.标本能在学生显微镜下观察清晰。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2.玻片尺寸为76*25mm，厚度不低于0.8mm，塑料盒定位包装</w:t>
            </w:r>
          </w:p>
        </w:tc>
      </w:tr>
      <w:tr w14:paraId="7291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B1042CA">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71</w:t>
            </w:r>
          </w:p>
        </w:tc>
        <w:tc>
          <w:tcPr>
            <w:tcW w:w="1215" w:type="dxa"/>
            <w:noWrap w:val="0"/>
            <w:vAlign w:val="center"/>
          </w:tcPr>
          <w:p w14:paraId="40C63CD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水绵装片</w:t>
            </w:r>
          </w:p>
        </w:tc>
        <w:tc>
          <w:tcPr>
            <w:tcW w:w="804" w:type="dxa"/>
            <w:noWrap w:val="0"/>
            <w:vAlign w:val="center"/>
          </w:tcPr>
          <w:p w14:paraId="30FEFB1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片</w:t>
            </w:r>
          </w:p>
        </w:tc>
        <w:tc>
          <w:tcPr>
            <w:tcW w:w="765" w:type="dxa"/>
            <w:gridSpan w:val="2"/>
            <w:noWrap w:val="0"/>
            <w:vAlign w:val="center"/>
          </w:tcPr>
          <w:p w14:paraId="534440C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w:t>
            </w:r>
          </w:p>
        </w:tc>
        <w:tc>
          <w:tcPr>
            <w:tcW w:w="6351" w:type="dxa"/>
            <w:noWrap w:val="0"/>
            <w:vAlign w:val="center"/>
          </w:tcPr>
          <w:p w14:paraId="211365C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1.标本能在学生显微镜下观察清晰。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2.玻片尺寸为76*25mm，厚度不低于0.8mm，塑料盒定位包装</w:t>
            </w:r>
          </w:p>
        </w:tc>
      </w:tr>
      <w:tr w14:paraId="4AB5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F89C32C">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72</w:t>
            </w:r>
          </w:p>
        </w:tc>
        <w:tc>
          <w:tcPr>
            <w:tcW w:w="1215" w:type="dxa"/>
            <w:noWrap w:val="0"/>
            <w:vAlign w:val="center"/>
          </w:tcPr>
          <w:p w14:paraId="4DEA949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大肠杆菌涂片</w:t>
            </w:r>
          </w:p>
        </w:tc>
        <w:tc>
          <w:tcPr>
            <w:tcW w:w="804" w:type="dxa"/>
            <w:noWrap w:val="0"/>
            <w:vAlign w:val="center"/>
          </w:tcPr>
          <w:p w14:paraId="4C29BAC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片</w:t>
            </w:r>
          </w:p>
        </w:tc>
        <w:tc>
          <w:tcPr>
            <w:tcW w:w="765" w:type="dxa"/>
            <w:gridSpan w:val="2"/>
            <w:noWrap w:val="0"/>
            <w:vAlign w:val="center"/>
          </w:tcPr>
          <w:p w14:paraId="5F980D7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04B5C5D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1.标本能在学生显微镜下观察清晰。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2.玻片尺寸为76*25mm，厚度不低于0.8mm，塑料盒定位包装</w:t>
            </w:r>
          </w:p>
        </w:tc>
      </w:tr>
      <w:tr w14:paraId="1625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0A6E7C7">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73</w:t>
            </w:r>
          </w:p>
        </w:tc>
        <w:tc>
          <w:tcPr>
            <w:tcW w:w="1215" w:type="dxa"/>
            <w:noWrap w:val="0"/>
            <w:vAlign w:val="center"/>
          </w:tcPr>
          <w:p w14:paraId="76AE7A5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动物细胞有丝分裂(马蛔虫受精卵切片)</w:t>
            </w:r>
          </w:p>
        </w:tc>
        <w:tc>
          <w:tcPr>
            <w:tcW w:w="804" w:type="dxa"/>
            <w:noWrap w:val="0"/>
            <w:vAlign w:val="center"/>
          </w:tcPr>
          <w:p w14:paraId="45B5B3A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片</w:t>
            </w:r>
          </w:p>
        </w:tc>
        <w:tc>
          <w:tcPr>
            <w:tcW w:w="765" w:type="dxa"/>
            <w:gridSpan w:val="2"/>
            <w:noWrap w:val="0"/>
            <w:vAlign w:val="center"/>
          </w:tcPr>
          <w:p w14:paraId="3D318F2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w:t>
            </w:r>
          </w:p>
        </w:tc>
        <w:tc>
          <w:tcPr>
            <w:tcW w:w="6351" w:type="dxa"/>
            <w:noWrap w:val="0"/>
            <w:vAlign w:val="center"/>
          </w:tcPr>
          <w:p w14:paraId="64AD30E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1.标本能在学生显微镜下观察清晰。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2.玻片尺寸为76*25mm，厚度不低于0.8mm，塑料盒定位包装</w:t>
            </w:r>
          </w:p>
        </w:tc>
      </w:tr>
      <w:tr w14:paraId="78FA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F851DF7">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74</w:t>
            </w:r>
          </w:p>
        </w:tc>
        <w:tc>
          <w:tcPr>
            <w:tcW w:w="1215" w:type="dxa"/>
            <w:noWrap w:val="0"/>
            <w:vAlign w:val="center"/>
          </w:tcPr>
          <w:p w14:paraId="7ECC39B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草履虫分裂生殖装片</w:t>
            </w:r>
          </w:p>
        </w:tc>
        <w:tc>
          <w:tcPr>
            <w:tcW w:w="804" w:type="dxa"/>
            <w:noWrap w:val="0"/>
            <w:vAlign w:val="center"/>
          </w:tcPr>
          <w:p w14:paraId="34599B1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片</w:t>
            </w:r>
          </w:p>
        </w:tc>
        <w:tc>
          <w:tcPr>
            <w:tcW w:w="765" w:type="dxa"/>
            <w:gridSpan w:val="2"/>
            <w:noWrap w:val="0"/>
            <w:vAlign w:val="center"/>
          </w:tcPr>
          <w:p w14:paraId="22A46D8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306279A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1.标本能在学生显微镜下观察清晰。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2.玻片尺寸为76*25mm，厚度不低于0.8mm，塑料盒定位包装</w:t>
            </w:r>
          </w:p>
        </w:tc>
      </w:tr>
      <w:tr w14:paraId="0BE2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9238745">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75</w:t>
            </w:r>
          </w:p>
        </w:tc>
        <w:tc>
          <w:tcPr>
            <w:tcW w:w="1215" w:type="dxa"/>
            <w:noWrap w:val="0"/>
            <w:vAlign w:val="center"/>
          </w:tcPr>
          <w:p w14:paraId="1905252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蝗虫精巢减数分裂切片</w:t>
            </w:r>
          </w:p>
        </w:tc>
        <w:tc>
          <w:tcPr>
            <w:tcW w:w="804" w:type="dxa"/>
            <w:noWrap w:val="0"/>
            <w:vAlign w:val="center"/>
          </w:tcPr>
          <w:p w14:paraId="1B8D7BF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片</w:t>
            </w:r>
          </w:p>
        </w:tc>
        <w:tc>
          <w:tcPr>
            <w:tcW w:w="765" w:type="dxa"/>
            <w:gridSpan w:val="2"/>
            <w:noWrap w:val="0"/>
            <w:vAlign w:val="center"/>
          </w:tcPr>
          <w:p w14:paraId="55CFE43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40D9859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1.标本能在学生显微镜下观察清晰。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2.玻片尺寸为76*25mm，厚度不低于0.8mm，塑料盒定位包装</w:t>
            </w:r>
          </w:p>
        </w:tc>
      </w:tr>
      <w:tr w14:paraId="68AB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285C370">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76</w:t>
            </w:r>
          </w:p>
        </w:tc>
        <w:tc>
          <w:tcPr>
            <w:tcW w:w="1215" w:type="dxa"/>
            <w:noWrap w:val="0"/>
            <w:vAlign w:val="center"/>
          </w:tcPr>
          <w:p w14:paraId="3F387C0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蛙血涂片</w:t>
            </w:r>
          </w:p>
        </w:tc>
        <w:tc>
          <w:tcPr>
            <w:tcW w:w="804" w:type="dxa"/>
            <w:noWrap w:val="0"/>
            <w:vAlign w:val="center"/>
          </w:tcPr>
          <w:p w14:paraId="5BE5A01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片</w:t>
            </w:r>
          </w:p>
        </w:tc>
        <w:tc>
          <w:tcPr>
            <w:tcW w:w="765" w:type="dxa"/>
            <w:gridSpan w:val="2"/>
            <w:noWrap w:val="0"/>
            <w:vAlign w:val="center"/>
          </w:tcPr>
          <w:p w14:paraId="4AA1B67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09C281B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1.标本能在学生显微镜下观察清晰。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2.玻片尺寸为76*25mm，厚度不低于0.8mm，塑料盒定位包装</w:t>
            </w:r>
          </w:p>
        </w:tc>
      </w:tr>
      <w:tr w14:paraId="1045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F9FEE9F">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77</w:t>
            </w:r>
          </w:p>
        </w:tc>
        <w:tc>
          <w:tcPr>
            <w:tcW w:w="1215" w:type="dxa"/>
            <w:noWrap w:val="0"/>
            <w:vAlign w:val="center"/>
          </w:tcPr>
          <w:p w14:paraId="1243115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表皮细胞装片</w:t>
            </w:r>
          </w:p>
        </w:tc>
        <w:tc>
          <w:tcPr>
            <w:tcW w:w="804" w:type="dxa"/>
            <w:noWrap w:val="0"/>
            <w:vAlign w:val="center"/>
          </w:tcPr>
          <w:p w14:paraId="6BDA6DE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片</w:t>
            </w:r>
          </w:p>
        </w:tc>
        <w:tc>
          <w:tcPr>
            <w:tcW w:w="765" w:type="dxa"/>
            <w:gridSpan w:val="2"/>
            <w:noWrap w:val="0"/>
            <w:vAlign w:val="center"/>
          </w:tcPr>
          <w:p w14:paraId="3E3342E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7078898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1.标本能在学生显微镜下观察清晰。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2.玻片尺寸为76*25mm，厚度不低于0.8mm，塑料盒定位包装</w:t>
            </w:r>
          </w:p>
        </w:tc>
      </w:tr>
      <w:tr w14:paraId="6662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2585255">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78</w:t>
            </w:r>
          </w:p>
        </w:tc>
        <w:tc>
          <w:tcPr>
            <w:tcW w:w="1215" w:type="dxa"/>
            <w:noWrap w:val="0"/>
            <w:vAlign w:val="center"/>
          </w:tcPr>
          <w:p w14:paraId="3DE4596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骨骼肌纵横切</w:t>
            </w:r>
          </w:p>
        </w:tc>
        <w:tc>
          <w:tcPr>
            <w:tcW w:w="804" w:type="dxa"/>
            <w:noWrap w:val="0"/>
            <w:vAlign w:val="center"/>
          </w:tcPr>
          <w:p w14:paraId="1CED62E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片</w:t>
            </w:r>
          </w:p>
        </w:tc>
        <w:tc>
          <w:tcPr>
            <w:tcW w:w="765" w:type="dxa"/>
            <w:gridSpan w:val="2"/>
            <w:noWrap w:val="0"/>
            <w:vAlign w:val="center"/>
          </w:tcPr>
          <w:p w14:paraId="0AB931B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18B7EA2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1.标本能在学生显微镜下观察清晰。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2.玻片尺寸为76*25mm，厚度不低于0.8mm，塑料盒定位包装</w:t>
            </w:r>
          </w:p>
        </w:tc>
      </w:tr>
      <w:tr w14:paraId="5073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A9ADFA1">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79</w:t>
            </w:r>
          </w:p>
        </w:tc>
        <w:tc>
          <w:tcPr>
            <w:tcW w:w="1215" w:type="dxa"/>
            <w:noWrap w:val="0"/>
            <w:vAlign w:val="center"/>
          </w:tcPr>
          <w:p w14:paraId="6E0B6DA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平滑肌分离装片</w:t>
            </w:r>
          </w:p>
        </w:tc>
        <w:tc>
          <w:tcPr>
            <w:tcW w:w="804" w:type="dxa"/>
            <w:noWrap w:val="0"/>
            <w:vAlign w:val="center"/>
          </w:tcPr>
          <w:p w14:paraId="49E1138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片</w:t>
            </w:r>
          </w:p>
        </w:tc>
        <w:tc>
          <w:tcPr>
            <w:tcW w:w="765" w:type="dxa"/>
            <w:gridSpan w:val="2"/>
            <w:noWrap w:val="0"/>
            <w:vAlign w:val="center"/>
          </w:tcPr>
          <w:p w14:paraId="721BDAC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1C596BF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1.标本能在学生显微镜下观察清晰。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2.玻片尺寸为76*25mm，厚度不低于0.8mm，塑料盒定位包装</w:t>
            </w:r>
          </w:p>
        </w:tc>
      </w:tr>
      <w:tr w14:paraId="1459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1D1BAC9">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80</w:t>
            </w:r>
          </w:p>
        </w:tc>
        <w:tc>
          <w:tcPr>
            <w:tcW w:w="1215" w:type="dxa"/>
            <w:noWrap w:val="0"/>
            <w:vAlign w:val="center"/>
          </w:tcPr>
          <w:p w14:paraId="300CBDA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心肌切片</w:t>
            </w:r>
          </w:p>
        </w:tc>
        <w:tc>
          <w:tcPr>
            <w:tcW w:w="804" w:type="dxa"/>
            <w:noWrap w:val="0"/>
            <w:vAlign w:val="center"/>
          </w:tcPr>
          <w:p w14:paraId="6183DDA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片</w:t>
            </w:r>
          </w:p>
        </w:tc>
        <w:tc>
          <w:tcPr>
            <w:tcW w:w="765" w:type="dxa"/>
            <w:gridSpan w:val="2"/>
            <w:noWrap w:val="0"/>
            <w:vAlign w:val="center"/>
          </w:tcPr>
          <w:p w14:paraId="4E86F6F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4E368A8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1.标本能在学生显微镜下观察清晰。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2.玻片尺寸为76*25mm，厚度不低于0.8mm，塑料盒定位包装</w:t>
            </w:r>
          </w:p>
        </w:tc>
      </w:tr>
      <w:tr w14:paraId="1CAC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CD98F63">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81</w:t>
            </w:r>
          </w:p>
        </w:tc>
        <w:tc>
          <w:tcPr>
            <w:tcW w:w="1215" w:type="dxa"/>
            <w:noWrap w:val="0"/>
            <w:vAlign w:val="center"/>
          </w:tcPr>
          <w:p w14:paraId="2F34776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运动神经元装片</w:t>
            </w:r>
          </w:p>
        </w:tc>
        <w:tc>
          <w:tcPr>
            <w:tcW w:w="804" w:type="dxa"/>
            <w:noWrap w:val="0"/>
            <w:vAlign w:val="center"/>
          </w:tcPr>
          <w:p w14:paraId="779001C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片</w:t>
            </w:r>
          </w:p>
        </w:tc>
        <w:tc>
          <w:tcPr>
            <w:tcW w:w="765" w:type="dxa"/>
            <w:gridSpan w:val="2"/>
            <w:noWrap w:val="0"/>
            <w:vAlign w:val="center"/>
          </w:tcPr>
          <w:p w14:paraId="04B8B33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3C45D84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1.标本能在学生显微镜下观察清晰。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2.玻片尺寸为76*25mm，厚度不低于0.8mm，塑料盒定位包装</w:t>
            </w:r>
          </w:p>
        </w:tc>
      </w:tr>
      <w:tr w14:paraId="61A8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80DFF9D">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82</w:t>
            </w:r>
          </w:p>
        </w:tc>
        <w:tc>
          <w:tcPr>
            <w:tcW w:w="1215" w:type="dxa"/>
            <w:noWrap w:val="0"/>
            <w:vAlign w:val="center"/>
          </w:tcPr>
          <w:p w14:paraId="659AEB8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胰腺切片(示胰岛)</w:t>
            </w:r>
          </w:p>
        </w:tc>
        <w:tc>
          <w:tcPr>
            <w:tcW w:w="804" w:type="dxa"/>
            <w:noWrap w:val="0"/>
            <w:vAlign w:val="center"/>
          </w:tcPr>
          <w:p w14:paraId="6DBC7A4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片</w:t>
            </w:r>
          </w:p>
        </w:tc>
        <w:tc>
          <w:tcPr>
            <w:tcW w:w="765" w:type="dxa"/>
            <w:gridSpan w:val="2"/>
            <w:noWrap w:val="0"/>
            <w:vAlign w:val="center"/>
          </w:tcPr>
          <w:p w14:paraId="5BD6142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350EBF1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1.标本能在学生显微镜下观察清晰。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2.玻片尺寸为76*25mm，厚度不低于0.8mm，塑料盒定位包装</w:t>
            </w:r>
          </w:p>
        </w:tc>
      </w:tr>
      <w:tr w14:paraId="4A00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59DD0D0">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83</w:t>
            </w:r>
          </w:p>
        </w:tc>
        <w:tc>
          <w:tcPr>
            <w:tcW w:w="1215" w:type="dxa"/>
            <w:noWrap w:val="0"/>
            <w:vAlign w:val="center"/>
          </w:tcPr>
          <w:p w14:paraId="0B993EB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正常人染色体装片</w:t>
            </w:r>
          </w:p>
        </w:tc>
        <w:tc>
          <w:tcPr>
            <w:tcW w:w="804" w:type="dxa"/>
            <w:noWrap w:val="0"/>
            <w:vAlign w:val="center"/>
          </w:tcPr>
          <w:p w14:paraId="75FF3A7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片</w:t>
            </w:r>
          </w:p>
        </w:tc>
        <w:tc>
          <w:tcPr>
            <w:tcW w:w="765" w:type="dxa"/>
            <w:gridSpan w:val="2"/>
            <w:noWrap w:val="0"/>
            <w:vAlign w:val="center"/>
          </w:tcPr>
          <w:p w14:paraId="7F8690C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18F8596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1.标本能在学生显微镜下观察清晰。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2.玻片尺寸为76*25mm，厚度不低于0.8mm，塑料盒定位包装</w:t>
            </w:r>
          </w:p>
        </w:tc>
      </w:tr>
      <w:tr w14:paraId="0009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1CABBB8">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84</w:t>
            </w:r>
          </w:p>
        </w:tc>
        <w:tc>
          <w:tcPr>
            <w:tcW w:w="1215" w:type="dxa"/>
            <w:noWrap w:val="0"/>
            <w:vAlign w:val="center"/>
          </w:tcPr>
          <w:p w14:paraId="19A55EA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DNA和RAN在细胞中的分布</w:t>
            </w:r>
          </w:p>
        </w:tc>
        <w:tc>
          <w:tcPr>
            <w:tcW w:w="804" w:type="dxa"/>
            <w:noWrap w:val="0"/>
            <w:vAlign w:val="center"/>
          </w:tcPr>
          <w:p w14:paraId="3CF34A8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片</w:t>
            </w:r>
          </w:p>
        </w:tc>
        <w:tc>
          <w:tcPr>
            <w:tcW w:w="765" w:type="dxa"/>
            <w:gridSpan w:val="2"/>
            <w:noWrap w:val="0"/>
            <w:vAlign w:val="center"/>
          </w:tcPr>
          <w:p w14:paraId="3B62122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3DC6525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1.标本能在学生显微镜下观察清晰。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2.玻片尺寸为76*25mm，厚度不低于0.8mm，塑料盒定位包装</w:t>
            </w:r>
          </w:p>
        </w:tc>
      </w:tr>
      <w:tr w14:paraId="5679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842507D">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85</w:t>
            </w:r>
          </w:p>
        </w:tc>
        <w:tc>
          <w:tcPr>
            <w:tcW w:w="1215" w:type="dxa"/>
            <w:noWrap w:val="0"/>
            <w:vAlign w:val="center"/>
          </w:tcPr>
          <w:p w14:paraId="4A87BEE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线粒体切片</w:t>
            </w:r>
          </w:p>
        </w:tc>
        <w:tc>
          <w:tcPr>
            <w:tcW w:w="804" w:type="dxa"/>
            <w:noWrap w:val="0"/>
            <w:vAlign w:val="center"/>
          </w:tcPr>
          <w:p w14:paraId="3253D0E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片</w:t>
            </w:r>
          </w:p>
        </w:tc>
        <w:tc>
          <w:tcPr>
            <w:tcW w:w="765" w:type="dxa"/>
            <w:gridSpan w:val="2"/>
            <w:noWrap w:val="0"/>
            <w:vAlign w:val="center"/>
          </w:tcPr>
          <w:p w14:paraId="40BF116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3C148EF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1.标本能在学生显微镜下观察清晰。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2.玻片尺寸为76*25mm，厚度不低于0.8mm，塑料盒定位包装</w:t>
            </w:r>
          </w:p>
        </w:tc>
      </w:tr>
      <w:tr w14:paraId="276E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2D0F10A">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86</w:t>
            </w:r>
          </w:p>
        </w:tc>
        <w:tc>
          <w:tcPr>
            <w:tcW w:w="1215" w:type="dxa"/>
            <w:noWrap w:val="0"/>
            <w:vAlign w:val="center"/>
          </w:tcPr>
          <w:p w14:paraId="18A2183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中学生物显微图谱</w:t>
            </w:r>
          </w:p>
        </w:tc>
        <w:tc>
          <w:tcPr>
            <w:tcW w:w="804" w:type="dxa"/>
            <w:noWrap w:val="0"/>
            <w:vAlign w:val="center"/>
          </w:tcPr>
          <w:p w14:paraId="7605499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本</w:t>
            </w:r>
          </w:p>
        </w:tc>
        <w:tc>
          <w:tcPr>
            <w:tcW w:w="765" w:type="dxa"/>
            <w:gridSpan w:val="2"/>
            <w:noWrap w:val="0"/>
            <w:vAlign w:val="center"/>
          </w:tcPr>
          <w:p w14:paraId="319770F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351" w:type="dxa"/>
            <w:noWrap w:val="0"/>
            <w:vAlign w:val="center"/>
          </w:tcPr>
          <w:p w14:paraId="1CE8348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1.包含植物学部分、微生物学部分、动物学部分、生理学部分、高中生物学部分组成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2.为铜版纸彩色印刷，共51页，书本尺寸为18*285mm</w:t>
            </w:r>
          </w:p>
        </w:tc>
      </w:tr>
      <w:tr w14:paraId="5227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F50188F">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87</w:t>
            </w:r>
          </w:p>
        </w:tc>
        <w:tc>
          <w:tcPr>
            <w:tcW w:w="1215" w:type="dxa"/>
            <w:noWrap w:val="0"/>
            <w:vAlign w:val="center"/>
          </w:tcPr>
          <w:p w14:paraId="02D1F3D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分子与细胞教学挂图</w:t>
            </w:r>
          </w:p>
        </w:tc>
        <w:tc>
          <w:tcPr>
            <w:tcW w:w="804" w:type="dxa"/>
            <w:noWrap w:val="0"/>
            <w:vAlign w:val="center"/>
          </w:tcPr>
          <w:p w14:paraId="5E687A4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55FD22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B23F0D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1.采用105g以上铜版纸四色彩色印刷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2.图像清晰，色泽自然鲜明，位置准确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3.共20幅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4.单张尺寸为746*526mm</w:t>
            </w:r>
          </w:p>
        </w:tc>
      </w:tr>
      <w:tr w14:paraId="120A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5A1FF7F">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88</w:t>
            </w:r>
          </w:p>
        </w:tc>
        <w:tc>
          <w:tcPr>
            <w:tcW w:w="1215" w:type="dxa"/>
            <w:noWrap w:val="0"/>
            <w:vAlign w:val="center"/>
          </w:tcPr>
          <w:p w14:paraId="4F121E3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遗传与进化教学挂图</w:t>
            </w:r>
          </w:p>
        </w:tc>
        <w:tc>
          <w:tcPr>
            <w:tcW w:w="804" w:type="dxa"/>
            <w:noWrap w:val="0"/>
            <w:vAlign w:val="center"/>
          </w:tcPr>
          <w:p w14:paraId="27810C3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309F7B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60BC54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1.采用105g以上铜版纸四色彩色印刷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2.图像清晰，色泽自然鲜明，位置准确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3.共22幅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4.单张尺寸为746*526mm</w:t>
            </w:r>
          </w:p>
        </w:tc>
      </w:tr>
      <w:tr w14:paraId="4B43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A4858EF">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89</w:t>
            </w:r>
          </w:p>
        </w:tc>
        <w:tc>
          <w:tcPr>
            <w:tcW w:w="1215" w:type="dxa"/>
            <w:noWrap w:val="0"/>
            <w:vAlign w:val="center"/>
          </w:tcPr>
          <w:p w14:paraId="2F4C1E0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稳态与环境教学挂图</w:t>
            </w:r>
          </w:p>
        </w:tc>
        <w:tc>
          <w:tcPr>
            <w:tcW w:w="804" w:type="dxa"/>
            <w:noWrap w:val="0"/>
            <w:vAlign w:val="center"/>
          </w:tcPr>
          <w:p w14:paraId="48EB732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B037C7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5938C3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1.采用105g以上铜版纸四色彩色印刷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2.图像清晰，色泽自然鲜明，位置准确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3.共21幅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4.单张尺寸为746*526mm</w:t>
            </w:r>
          </w:p>
        </w:tc>
      </w:tr>
      <w:tr w14:paraId="3F10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4F57564">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90</w:t>
            </w:r>
          </w:p>
        </w:tc>
        <w:tc>
          <w:tcPr>
            <w:tcW w:w="1215" w:type="dxa"/>
            <w:noWrap w:val="0"/>
            <w:vAlign w:val="center"/>
          </w:tcPr>
          <w:p w14:paraId="7878794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生物技术实践教学挂图</w:t>
            </w:r>
          </w:p>
        </w:tc>
        <w:tc>
          <w:tcPr>
            <w:tcW w:w="804" w:type="dxa"/>
            <w:noWrap w:val="0"/>
            <w:vAlign w:val="center"/>
          </w:tcPr>
          <w:p w14:paraId="32A1C9B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1BA877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6FE920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1.采用105g以上铜版纸四色彩色印刷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2.图像清晰，色泽自然鲜明，位置准确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3.共5幅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4.单张尺寸为746*526mm</w:t>
            </w:r>
          </w:p>
        </w:tc>
      </w:tr>
      <w:tr w14:paraId="7E60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1C62E8F">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91</w:t>
            </w:r>
          </w:p>
        </w:tc>
        <w:tc>
          <w:tcPr>
            <w:tcW w:w="1215" w:type="dxa"/>
            <w:noWrap w:val="0"/>
            <w:vAlign w:val="center"/>
          </w:tcPr>
          <w:p w14:paraId="2C3A4C0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生物科学与社会教学挂图</w:t>
            </w:r>
          </w:p>
        </w:tc>
        <w:tc>
          <w:tcPr>
            <w:tcW w:w="804" w:type="dxa"/>
            <w:noWrap w:val="0"/>
            <w:vAlign w:val="center"/>
          </w:tcPr>
          <w:p w14:paraId="49BC5CF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A6E03F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51BB5B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1.采用105g以上铜版纸四色彩色印刷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2.图像清晰，色泽自然鲜明，位置准确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3.共5幅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4.单张尺寸为746*526mm</w:t>
            </w:r>
          </w:p>
        </w:tc>
      </w:tr>
      <w:tr w14:paraId="752B1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7E9068E">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92</w:t>
            </w:r>
          </w:p>
        </w:tc>
        <w:tc>
          <w:tcPr>
            <w:tcW w:w="1215" w:type="dxa"/>
            <w:noWrap w:val="0"/>
            <w:vAlign w:val="center"/>
          </w:tcPr>
          <w:p w14:paraId="1D725B7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现代生物科技专题教学挂图</w:t>
            </w:r>
          </w:p>
        </w:tc>
        <w:tc>
          <w:tcPr>
            <w:tcW w:w="804" w:type="dxa"/>
            <w:noWrap w:val="0"/>
            <w:vAlign w:val="center"/>
          </w:tcPr>
          <w:p w14:paraId="02D34A1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5718EB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02E013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1.采用105g以上铜版纸四色彩色印刷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2.图像清晰，色泽自然鲜明，位置准确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3.共5幅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4.单张尺寸为746*526mm</w:t>
            </w:r>
          </w:p>
        </w:tc>
      </w:tr>
      <w:tr w14:paraId="2D07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1418541">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93</w:t>
            </w:r>
          </w:p>
        </w:tc>
        <w:tc>
          <w:tcPr>
            <w:tcW w:w="1215" w:type="dxa"/>
            <w:noWrap w:val="0"/>
            <w:vAlign w:val="center"/>
          </w:tcPr>
          <w:p w14:paraId="5F825D6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分子与细胞</w:t>
            </w:r>
          </w:p>
        </w:tc>
        <w:tc>
          <w:tcPr>
            <w:tcW w:w="804" w:type="dxa"/>
            <w:noWrap w:val="0"/>
            <w:vAlign w:val="center"/>
          </w:tcPr>
          <w:p w14:paraId="1480C65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C83DD4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EFC758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1.为音像教学资料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2.DVD单碟</w:t>
            </w:r>
          </w:p>
        </w:tc>
      </w:tr>
      <w:tr w14:paraId="3359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FC22292">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94</w:t>
            </w:r>
          </w:p>
        </w:tc>
        <w:tc>
          <w:tcPr>
            <w:tcW w:w="1215" w:type="dxa"/>
            <w:noWrap w:val="0"/>
            <w:vAlign w:val="center"/>
          </w:tcPr>
          <w:p w14:paraId="4A690F1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遗传与进化</w:t>
            </w:r>
          </w:p>
        </w:tc>
        <w:tc>
          <w:tcPr>
            <w:tcW w:w="804" w:type="dxa"/>
            <w:noWrap w:val="0"/>
            <w:vAlign w:val="center"/>
          </w:tcPr>
          <w:p w14:paraId="112C90B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7A7FA0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F34F0F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1.为音像教学资料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2.DVD单碟</w:t>
            </w:r>
          </w:p>
        </w:tc>
      </w:tr>
      <w:tr w14:paraId="0AF0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FE2E30C">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95</w:t>
            </w:r>
          </w:p>
        </w:tc>
        <w:tc>
          <w:tcPr>
            <w:tcW w:w="1215" w:type="dxa"/>
            <w:noWrap w:val="0"/>
            <w:vAlign w:val="center"/>
          </w:tcPr>
          <w:p w14:paraId="4791812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稳态与环境</w:t>
            </w:r>
          </w:p>
        </w:tc>
        <w:tc>
          <w:tcPr>
            <w:tcW w:w="804" w:type="dxa"/>
            <w:noWrap w:val="0"/>
            <w:vAlign w:val="center"/>
          </w:tcPr>
          <w:p w14:paraId="73118F0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AE36DA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92D9C1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1.为音像教学资料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2.DVD单碟</w:t>
            </w:r>
          </w:p>
        </w:tc>
      </w:tr>
      <w:tr w14:paraId="5376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2BCD495">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96</w:t>
            </w:r>
          </w:p>
        </w:tc>
        <w:tc>
          <w:tcPr>
            <w:tcW w:w="1215" w:type="dxa"/>
            <w:noWrap w:val="0"/>
            <w:vAlign w:val="center"/>
          </w:tcPr>
          <w:p w14:paraId="67341C1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生物技术实践</w:t>
            </w:r>
          </w:p>
        </w:tc>
        <w:tc>
          <w:tcPr>
            <w:tcW w:w="804" w:type="dxa"/>
            <w:noWrap w:val="0"/>
            <w:vAlign w:val="center"/>
          </w:tcPr>
          <w:p w14:paraId="224818D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35818E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757415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1.为音像教学资料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2.DVD单碟</w:t>
            </w:r>
          </w:p>
        </w:tc>
      </w:tr>
      <w:tr w14:paraId="4D2C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955D730">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97</w:t>
            </w:r>
          </w:p>
        </w:tc>
        <w:tc>
          <w:tcPr>
            <w:tcW w:w="1215" w:type="dxa"/>
            <w:noWrap w:val="0"/>
            <w:vAlign w:val="center"/>
          </w:tcPr>
          <w:p w14:paraId="2A4688A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生物科学与社会</w:t>
            </w:r>
          </w:p>
        </w:tc>
        <w:tc>
          <w:tcPr>
            <w:tcW w:w="804" w:type="dxa"/>
            <w:noWrap w:val="0"/>
            <w:vAlign w:val="center"/>
          </w:tcPr>
          <w:p w14:paraId="27F2D5E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98C9C5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87B827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1.为音像教学资料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2.DVD单碟</w:t>
            </w:r>
          </w:p>
        </w:tc>
      </w:tr>
      <w:tr w14:paraId="3F36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CD8884F">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98</w:t>
            </w:r>
          </w:p>
        </w:tc>
        <w:tc>
          <w:tcPr>
            <w:tcW w:w="1215" w:type="dxa"/>
            <w:noWrap w:val="0"/>
            <w:vAlign w:val="center"/>
          </w:tcPr>
          <w:p w14:paraId="1EB9D2E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现代生物科技专题</w:t>
            </w:r>
          </w:p>
        </w:tc>
        <w:tc>
          <w:tcPr>
            <w:tcW w:w="804" w:type="dxa"/>
            <w:noWrap w:val="0"/>
            <w:vAlign w:val="center"/>
          </w:tcPr>
          <w:p w14:paraId="5BAEC71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26E5BE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DA9D81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1.为音像教学资料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2.DVD单碟</w:t>
            </w:r>
          </w:p>
        </w:tc>
      </w:tr>
      <w:tr w14:paraId="3803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F717F4F">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99</w:t>
            </w:r>
          </w:p>
        </w:tc>
        <w:tc>
          <w:tcPr>
            <w:tcW w:w="1215" w:type="dxa"/>
            <w:noWrap w:val="0"/>
            <w:vAlign w:val="center"/>
          </w:tcPr>
          <w:p w14:paraId="0A91485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量筒</w:t>
            </w:r>
          </w:p>
        </w:tc>
        <w:tc>
          <w:tcPr>
            <w:tcW w:w="804" w:type="dxa"/>
            <w:noWrap w:val="0"/>
            <w:vAlign w:val="center"/>
          </w:tcPr>
          <w:p w14:paraId="6DC1806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95866F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6BFA630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1.玻璃量筒和塑料底座组成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2.最大容量500ml,精度值5ml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3.整体高度342mm,量筒直径53mm,壁厚不低于1.2mm</w:t>
            </w:r>
          </w:p>
        </w:tc>
      </w:tr>
      <w:tr w14:paraId="620C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D9EB434">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100</w:t>
            </w:r>
          </w:p>
        </w:tc>
        <w:tc>
          <w:tcPr>
            <w:tcW w:w="1215" w:type="dxa"/>
            <w:noWrap w:val="0"/>
            <w:vAlign w:val="center"/>
          </w:tcPr>
          <w:p w14:paraId="3AE9708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量筒</w:t>
            </w:r>
          </w:p>
        </w:tc>
        <w:tc>
          <w:tcPr>
            <w:tcW w:w="804" w:type="dxa"/>
            <w:noWrap w:val="0"/>
            <w:vAlign w:val="center"/>
          </w:tcPr>
          <w:p w14:paraId="77E9EAC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6053E4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2B29F0C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1.玻璃量筒和塑料底座组成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2.最大容量1000ml,精度值10ml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3.整体高度412mm,量筒直径70mm,壁厚不低于1.8mm</w:t>
            </w:r>
          </w:p>
        </w:tc>
      </w:tr>
      <w:tr w14:paraId="750F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AA71592">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101</w:t>
            </w:r>
          </w:p>
        </w:tc>
        <w:tc>
          <w:tcPr>
            <w:tcW w:w="1215" w:type="dxa"/>
            <w:noWrap w:val="0"/>
            <w:vAlign w:val="center"/>
          </w:tcPr>
          <w:p w14:paraId="02E16E3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容量瓶</w:t>
            </w:r>
          </w:p>
        </w:tc>
        <w:tc>
          <w:tcPr>
            <w:tcW w:w="804" w:type="dxa"/>
            <w:noWrap w:val="0"/>
            <w:vAlign w:val="center"/>
          </w:tcPr>
          <w:p w14:paraId="66F3BFE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E0A0D4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2900BDF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1.为玻璃制容量瓶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2.容量：25ml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3.瓶口和瓶塞做磨砂处理，标线清晰，瓶身高度110mm,壁厚不低于1mm</w:t>
            </w:r>
          </w:p>
        </w:tc>
      </w:tr>
      <w:tr w14:paraId="1BC8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49ECFC6">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102</w:t>
            </w:r>
          </w:p>
        </w:tc>
        <w:tc>
          <w:tcPr>
            <w:tcW w:w="1215" w:type="dxa"/>
            <w:noWrap w:val="0"/>
            <w:vAlign w:val="center"/>
          </w:tcPr>
          <w:p w14:paraId="054A274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容量瓶</w:t>
            </w:r>
          </w:p>
        </w:tc>
        <w:tc>
          <w:tcPr>
            <w:tcW w:w="804" w:type="dxa"/>
            <w:noWrap w:val="0"/>
            <w:vAlign w:val="center"/>
          </w:tcPr>
          <w:p w14:paraId="014DC81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719C9B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58A27E3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1.为玻璃制容量瓶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2.容量：100ml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3.瓶口和瓶塞做磨砂处理，标线清晰，瓶身高度170mm,壁厚不低于1mm</w:t>
            </w:r>
          </w:p>
        </w:tc>
      </w:tr>
      <w:tr w14:paraId="214C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F1A1DE3">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103</w:t>
            </w:r>
          </w:p>
        </w:tc>
        <w:tc>
          <w:tcPr>
            <w:tcW w:w="1215" w:type="dxa"/>
            <w:noWrap w:val="0"/>
            <w:vAlign w:val="center"/>
          </w:tcPr>
          <w:p w14:paraId="1F30C3C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容量瓶</w:t>
            </w:r>
          </w:p>
        </w:tc>
        <w:tc>
          <w:tcPr>
            <w:tcW w:w="804" w:type="dxa"/>
            <w:noWrap w:val="0"/>
            <w:vAlign w:val="center"/>
          </w:tcPr>
          <w:p w14:paraId="4A3765B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D0C3F9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51BEE00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1.为玻璃制容量瓶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2.容量：250ml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3.瓶口和瓶塞做磨砂处理，标线清晰，瓶身高度220mm,壁厚不低于1mm</w:t>
            </w:r>
          </w:p>
        </w:tc>
      </w:tr>
      <w:tr w14:paraId="1957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E8223DA">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104</w:t>
            </w:r>
          </w:p>
        </w:tc>
        <w:tc>
          <w:tcPr>
            <w:tcW w:w="1215" w:type="dxa"/>
            <w:noWrap w:val="0"/>
            <w:vAlign w:val="center"/>
          </w:tcPr>
          <w:p w14:paraId="3011C1C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容量瓶</w:t>
            </w:r>
          </w:p>
        </w:tc>
        <w:tc>
          <w:tcPr>
            <w:tcW w:w="804" w:type="dxa"/>
            <w:noWrap w:val="0"/>
            <w:vAlign w:val="center"/>
          </w:tcPr>
          <w:p w14:paraId="6295C2D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BF7A25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0A1959D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1.为玻璃制容量瓶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2.容量：500ml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3.瓶口和瓶塞做磨砂处理，标线清晰，瓶身高度270mm,壁厚不低于1mm</w:t>
            </w:r>
          </w:p>
        </w:tc>
      </w:tr>
      <w:tr w14:paraId="2984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9A543E5">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105</w:t>
            </w:r>
          </w:p>
        </w:tc>
        <w:tc>
          <w:tcPr>
            <w:tcW w:w="1215" w:type="dxa"/>
            <w:noWrap w:val="0"/>
            <w:vAlign w:val="center"/>
          </w:tcPr>
          <w:p w14:paraId="05E9816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容量瓶</w:t>
            </w:r>
          </w:p>
        </w:tc>
        <w:tc>
          <w:tcPr>
            <w:tcW w:w="804" w:type="dxa"/>
            <w:noWrap w:val="0"/>
            <w:vAlign w:val="center"/>
          </w:tcPr>
          <w:p w14:paraId="52C8A3E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2141E1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0AEE6D0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1.为玻璃制容量瓶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2.容量：1000ml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3.瓶口和瓶塞做磨砂处理，标线清晰，瓶身高度330mm,壁厚不低于1mm</w:t>
            </w:r>
          </w:p>
        </w:tc>
      </w:tr>
      <w:tr w14:paraId="166B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5BD7077">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106</w:t>
            </w:r>
          </w:p>
        </w:tc>
        <w:tc>
          <w:tcPr>
            <w:tcW w:w="1215" w:type="dxa"/>
            <w:noWrap w:val="0"/>
            <w:vAlign w:val="center"/>
          </w:tcPr>
          <w:p w14:paraId="313DECF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移液管</w:t>
            </w:r>
          </w:p>
        </w:tc>
        <w:tc>
          <w:tcPr>
            <w:tcW w:w="804" w:type="dxa"/>
            <w:noWrap w:val="0"/>
            <w:vAlign w:val="center"/>
          </w:tcPr>
          <w:p w14:paraId="1897E26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606CA8D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3E90E61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1.是玻璃制大肚移液管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2.规格：1ml,整体长度不低于280mm，玻璃管直径3-4mm,大肚管直径5-6mm</w:t>
            </w:r>
          </w:p>
        </w:tc>
      </w:tr>
      <w:tr w14:paraId="0ED1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F66366D">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107</w:t>
            </w:r>
          </w:p>
        </w:tc>
        <w:tc>
          <w:tcPr>
            <w:tcW w:w="1215" w:type="dxa"/>
            <w:noWrap w:val="0"/>
            <w:vAlign w:val="center"/>
          </w:tcPr>
          <w:p w14:paraId="2575BEC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移液管</w:t>
            </w:r>
          </w:p>
        </w:tc>
        <w:tc>
          <w:tcPr>
            <w:tcW w:w="804" w:type="dxa"/>
            <w:noWrap w:val="0"/>
            <w:vAlign w:val="center"/>
          </w:tcPr>
          <w:p w14:paraId="5480F0F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1505FAD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18F2102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1.是玻璃制大肚移液管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2.规格：2ml,整体长度不低于300mm，玻璃管直径4-5mm,大肚管直径7-8mm</w:t>
            </w:r>
          </w:p>
        </w:tc>
      </w:tr>
      <w:tr w14:paraId="3EE9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4815B5F">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108</w:t>
            </w:r>
          </w:p>
        </w:tc>
        <w:tc>
          <w:tcPr>
            <w:tcW w:w="1215" w:type="dxa"/>
            <w:noWrap w:val="0"/>
            <w:vAlign w:val="center"/>
          </w:tcPr>
          <w:p w14:paraId="6417996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移液管</w:t>
            </w:r>
          </w:p>
        </w:tc>
        <w:tc>
          <w:tcPr>
            <w:tcW w:w="804" w:type="dxa"/>
            <w:noWrap w:val="0"/>
            <w:vAlign w:val="center"/>
          </w:tcPr>
          <w:p w14:paraId="1EDDFAA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27F47C3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73D40A6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1.是玻璃制大肚移液管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2.规格：5ml,整体长度不低于380mm，玻璃管直径5-6mm,大肚管直径12mm</w:t>
            </w:r>
          </w:p>
        </w:tc>
      </w:tr>
      <w:tr w14:paraId="5901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75B8461">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109</w:t>
            </w:r>
          </w:p>
        </w:tc>
        <w:tc>
          <w:tcPr>
            <w:tcW w:w="1215" w:type="dxa"/>
            <w:noWrap w:val="0"/>
            <w:vAlign w:val="center"/>
          </w:tcPr>
          <w:p w14:paraId="04DA04F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移液管</w:t>
            </w:r>
          </w:p>
        </w:tc>
        <w:tc>
          <w:tcPr>
            <w:tcW w:w="804" w:type="dxa"/>
            <w:noWrap w:val="0"/>
            <w:vAlign w:val="center"/>
          </w:tcPr>
          <w:p w14:paraId="027660B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46372BE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446EAC1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1.是玻璃制大肚移液管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2.规格：10ml,整体长度不低于440mm，玻璃管直径6-7mm,大肚管直径15mm</w:t>
            </w:r>
          </w:p>
        </w:tc>
      </w:tr>
      <w:tr w14:paraId="3D95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EF914AE">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10</w:t>
            </w:r>
          </w:p>
        </w:tc>
        <w:tc>
          <w:tcPr>
            <w:tcW w:w="1215" w:type="dxa"/>
            <w:noWrap w:val="0"/>
            <w:vAlign w:val="center"/>
          </w:tcPr>
          <w:p w14:paraId="31BEE9A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试管</w:t>
            </w:r>
          </w:p>
        </w:tc>
        <w:tc>
          <w:tcPr>
            <w:tcW w:w="804" w:type="dxa"/>
            <w:noWrap w:val="0"/>
            <w:vAlign w:val="center"/>
          </w:tcPr>
          <w:p w14:paraId="6030514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1346F8A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300</w:t>
            </w:r>
          </w:p>
        </w:tc>
        <w:tc>
          <w:tcPr>
            <w:tcW w:w="6351" w:type="dxa"/>
            <w:noWrap w:val="0"/>
            <w:vAlign w:val="center"/>
          </w:tcPr>
          <w:p w14:paraId="74747C1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2.规格：φ15mm×150mm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3.壁厚不低于1mm</w:t>
            </w:r>
          </w:p>
        </w:tc>
      </w:tr>
      <w:tr w14:paraId="71F4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9287EFF">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11</w:t>
            </w:r>
          </w:p>
        </w:tc>
        <w:tc>
          <w:tcPr>
            <w:tcW w:w="1215" w:type="dxa"/>
            <w:noWrap w:val="0"/>
            <w:vAlign w:val="center"/>
          </w:tcPr>
          <w:p w14:paraId="4966D57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烧杯</w:t>
            </w:r>
          </w:p>
        </w:tc>
        <w:tc>
          <w:tcPr>
            <w:tcW w:w="804" w:type="dxa"/>
            <w:noWrap w:val="0"/>
            <w:vAlign w:val="center"/>
          </w:tcPr>
          <w:p w14:paraId="7A767CD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6028DD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0261ECF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2.最大容量50ml,最小刻度10ml,精度值10ml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3.整体尺寸为φ45*63mm,壁厚不低于1.5mm</w:t>
            </w:r>
          </w:p>
        </w:tc>
      </w:tr>
      <w:tr w14:paraId="24DE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CAC7E78">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12</w:t>
            </w:r>
          </w:p>
        </w:tc>
        <w:tc>
          <w:tcPr>
            <w:tcW w:w="1215" w:type="dxa"/>
            <w:noWrap w:val="0"/>
            <w:vAlign w:val="center"/>
          </w:tcPr>
          <w:p w14:paraId="5C56596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烧杯</w:t>
            </w:r>
          </w:p>
        </w:tc>
        <w:tc>
          <w:tcPr>
            <w:tcW w:w="804" w:type="dxa"/>
            <w:noWrap w:val="0"/>
            <w:vAlign w:val="center"/>
          </w:tcPr>
          <w:p w14:paraId="45B181F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0B8940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w:t>
            </w:r>
          </w:p>
        </w:tc>
        <w:tc>
          <w:tcPr>
            <w:tcW w:w="6351" w:type="dxa"/>
            <w:noWrap w:val="0"/>
            <w:vAlign w:val="center"/>
          </w:tcPr>
          <w:p w14:paraId="0109BA8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2.最大容量100ml,最小刻度20ml,精度值10ml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3.整体尺寸为φ53*72mm,壁厚不低于1.5mm</w:t>
            </w:r>
          </w:p>
        </w:tc>
      </w:tr>
      <w:tr w14:paraId="25EF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DEDCC90">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13</w:t>
            </w:r>
          </w:p>
        </w:tc>
        <w:tc>
          <w:tcPr>
            <w:tcW w:w="1215" w:type="dxa"/>
            <w:noWrap w:val="0"/>
            <w:vAlign w:val="center"/>
          </w:tcPr>
          <w:p w14:paraId="251540B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烧杯</w:t>
            </w:r>
          </w:p>
        </w:tc>
        <w:tc>
          <w:tcPr>
            <w:tcW w:w="804" w:type="dxa"/>
            <w:noWrap w:val="0"/>
            <w:vAlign w:val="center"/>
          </w:tcPr>
          <w:p w14:paraId="73287A4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7CDDA9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13D1B35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2.最大容量250ml,最小刻度50ml,精度值25ml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3.整体尺寸为φ70*92mm,壁厚不低于1.8mm</w:t>
            </w:r>
          </w:p>
        </w:tc>
      </w:tr>
      <w:tr w14:paraId="4267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51F26C5">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14</w:t>
            </w:r>
          </w:p>
        </w:tc>
        <w:tc>
          <w:tcPr>
            <w:tcW w:w="1215" w:type="dxa"/>
            <w:noWrap w:val="0"/>
            <w:vAlign w:val="center"/>
          </w:tcPr>
          <w:p w14:paraId="6BF3C5C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锥形瓶</w:t>
            </w:r>
          </w:p>
        </w:tc>
        <w:tc>
          <w:tcPr>
            <w:tcW w:w="804" w:type="dxa"/>
            <w:noWrap w:val="0"/>
            <w:vAlign w:val="center"/>
          </w:tcPr>
          <w:p w14:paraId="0C1F266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C76291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120</w:t>
            </w:r>
          </w:p>
        </w:tc>
        <w:tc>
          <w:tcPr>
            <w:tcW w:w="6351" w:type="dxa"/>
            <w:noWrap w:val="0"/>
            <w:vAlign w:val="center"/>
          </w:tcPr>
          <w:p w14:paraId="1A449E9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2.规格：50ml,最小刻度20ml,精度值10ml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3.底部直径51mm,口部直径25mm,高75mm,壁厚不低于1mm</w:t>
            </w:r>
          </w:p>
        </w:tc>
      </w:tr>
      <w:tr w14:paraId="6A11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5F40AFE">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15</w:t>
            </w:r>
          </w:p>
        </w:tc>
        <w:tc>
          <w:tcPr>
            <w:tcW w:w="1215" w:type="dxa"/>
            <w:noWrap w:val="0"/>
            <w:vAlign w:val="center"/>
          </w:tcPr>
          <w:p w14:paraId="60B096E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锥形瓶</w:t>
            </w:r>
          </w:p>
        </w:tc>
        <w:tc>
          <w:tcPr>
            <w:tcW w:w="804" w:type="dxa"/>
            <w:noWrap w:val="0"/>
            <w:vAlign w:val="center"/>
          </w:tcPr>
          <w:p w14:paraId="7E2C9C2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8BC7FE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120</w:t>
            </w:r>
          </w:p>
        </w:tc>
        <w:tc>
          <w:tcPr>
            <w:tcW w:w="6351" w:type="dxa"/>
            <w:noWrap w:val="0"/>
            <w:vAlign w:val="center"/>
          </w:tcPr>
          <w:p w14:paraId="00F4198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2.规格：100ml,最小刻度40ml,精度值20ml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3.底部直径61mm,口部直径25mm,高102mm,壁厚不低于1.2mm</w:t>
            </w:r>
          </w:p>
        </w:tc>
      </w:tr>
      <w:tr w14:paraId="3F6B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04F9768">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16</w:t>
            </w:r>
          </w:p>
        </w:tc>
        <w:tc>
          <w:tcPr>
            <w:tcW w:w="1215" w:type="dxa"/>
            <w:noWrap w:val="0"/>
            <w:vAlign w:val="center"/>
          </w:tcPr>
          <w:p w14:paraId="67905E2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锥形瓶</w:t>
            </w:r>
          </w:p>
        </w:tc>
        <w:tc>
          <w:tcPr>
            <w:tcW w:w="804" w:type="dxa"/>
            <w:noWrap w:val="0"/>
            <w:vAlign w:val="center"/>
          </w:tcPr>
          <w:p w14:paraId="52A3C01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E4DC8F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w:t>
            </w:r>
          </w:p>
        </w:tc>
        <w:tc>
          <w:tcPr>
            <w:tcW w:w="6351" w:type="dxa"/>
            <w:noWrap w:val="0"/>
            <w:vAlign w:val="center"/>
          </w:tcPr>
          <w:p w14:paraId="06F5857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2.规格：250ml,最小刻度100ml,精度值50ml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3.底部直径85mm,口部直径40mm,高140mm,壁厚不低于1.5mm</w:t>
            </w:r>
          </w:p>
        </w:tc>
      </w:tr>
      <w:tr w14:paraId="4DAE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B3FFA50">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17</w:t>
            </w:r>
          </w:p>
        </w:tc>
        <w:tc>
          <w:tcPr>
            <w:tcW w:w="1215" w:type="dxa"/>
            <w:noWrap w:val="0"/>
            <w:vAlign w:val="center"/>
          </w:tcPr>
          <w:p w14:paraId="59D9C69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锥形瓶</w:t>
            </w:r>
          </w:p>
        </w:tc>
        <w:tc>
          <w:tcPr>
            <w:tcW w:w="804" w:type="dxa"/>
            <w:noWrap w:val="0"/>
            <w:vAlign w:val="center"/>
          </w:tcPr>
          <w:p w14:paraId="47F21B1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121235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w:t>
            </w:r>
          </w:p>
        </w:tc>
        <w:tc>
          <w:tcPr>
            <w:tcW w:w="6351" w:type="dxa"/>
            <w:noWrap w:val="0"/>
            <w:vAlign w:val="center"/>
          </w:tcPr>
          <w:p w14:paraId="4AE55D0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2.规格：500ml,最小刻度200ml,精度值100ml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3.底部直径104mm,口部直径42mm,高178mm,壁厚不低于2mm</w:t>
            </w:r>
          </w:p>
        </w:tc>
      </w:tr>
      <w:tr w14:paraId="332B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15D0154">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18</w:t>
            </w:r>
          </w:p>
        </w:tc>
        <w:tc>
          <w:tcPr>
            <w:tcW w:w="1215" w:type="dxa"/>
            <w:noWrap w:val="0"/>
            <w:vAlign w:val="center"/>
          </w:tcPr>
          <w:p w14:paraId="7D5ADCD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蒸馏烧瓶</w:t>
            </w:r>
          </w:p>
        </w:tc>
        <w:tc>
          <w:tcPr>
            <w:tcW w:w="804" w:type="dxa"/>
            <w:noWrap w:val="0"/>
            <w:vAlign w:val="center"/>
          </w:tcPr>
          <w:p w14:paraId="4EE47E1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12F4BD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61DFB6C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1.为高硼硅玻璃制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2.容量为250ml,支管直径7-8mm，长度不低于70mm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3.厚度不低于1.8mm</w:t>
            </w:r>
          </w:p>
        </w:tc>
      </w:tr>
      <w:tr w14:paraId="427D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3029A16">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19</w:t>
            </w:r>
          </w:p>
        </w:tc>
        <w:tc>
          <w:tcPr>
            <w:tcW w:w="1215" w:type="dxa"/>
            <w:noWrap w:val="0"/>
            <w:vAlign w:val="center"/>
          </w:tcPr>
          <w:p w14:paraId="0584DA0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酒精灯</w:t>
            </w:r>
          </w:p>
        </w:tc>
        <w:tc>
          <w:tcPr>
            <w:tcW w:w="804" w:type="dxa"/>
            <w:noWrap w:val="0"/>
            <w:vAlign w:val="center"/>
          </w:tcPr>
          <w:p w14:paraId="185FB01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8183ED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7AB74C9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1.由酒精灯容器、瓷灯芯、棉灯芯和灯罩组成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2.酒精灯主体为高硼硅玻璃制造，容积为150ml,最大直径80mm,高度为95mm,口部壁厚不小于4mm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3.棉灯芯长度为150mm</w:t>
            </w:r>
          </w:p>
        </w:tc>
      </w:tr>
      <w:tr w14:paraId="003A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66C4F4C">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120</w:t>
            </w:r>
          </w:p>
        </w:tc>
        <w:tc>
          <w:tcPr>
            <w:tcW w:w="1215" w:type="dxa"/>
            <w:noWrap w:val="0"/>
            <w:vAlign w:val="center"/>
          </w:tcPr>
          <w:p w14:paraId="5427540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干燥器</w:t>
            </w:r>
          </w:p>
        </w:tc>
        <w:tc>
          <w:tcPr>
            <w:tcW w:w="804" w:type="dxa"/>
            <w:noWrap w:val="0"/>
            <w:vAlign w:val="center"/>
          </w:tcPr>
          <w:p w14:paraId="24FDD4C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69B33D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6ED470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2.由容器、瓷片和盖子组成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3.容器内径160mm,边缘款24mm,厚度不低于6mm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4.盖子和容器边缘做磨砂处理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5.瓷片为圆形，直接13mm,上面有4个直径27mm的圆孔</w:t>
            </w:r>
          </w:p>
        </w:tc>
      </w:tr>
      <w:tr w14:paraId="57D4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680830E">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121</w:t>
            </w:r>
          </w:p>
        </w:tc>
        <w:tc>
          <w:tcPr>
            <w:tcW w:w="1215" w:type="dxa"/>
            <w:noWrap w:val="0"/>
            <w:vAlign w:val="center"/>
          </w:tcPr>
          <w:p w14:paraId="0B3E6D9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蒸馏水瓶</w:t>
            </w:r>
          </w:p>
        </w:tc>
        <w:tc>
          <w:tcPr>
            <w:tcW w:w="804" w:type="dxa"/>
            <w:noWrap w:val="0"/>
            <w:vAlign w:val="center"/>
          </w:tcPr>
          <w:p w14:paraId="50E313A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719E0D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16D795A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2.容量：3000mL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3.底部直径：160mm,不含瓶塞高265mm,开口直径45mm，壁厚不低于2mm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4.瓶口上部内侧和瓶盖下部外侧做磨砂处理</w:t>
            </w:r>
          </w:p>
        </w:tc>
      </w:tr>
      <w:tr w14:paraId="2E3D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2DABD00">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22</w:t>
            </w:r>
          </w:p>
        </w:tc>
        <w:tc>
          <w:tcPr>
            <w:tcW w:w="1215" w:type="dxa"/>
            <w:noWrap w:val="0"/>
            <w:vAlign w:val="center"/>
          </w:tcPr>
          <w:p w14:paraId="1FA7B2F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冷凝器</w:t>
            </w:r>
          </w:p>
        </w:tc>
        <w:tc>
          <w:tcPr>
            <w:tcW w:w="804" w:type="dxa"/>
            <w:noWrap w:val="0"/>
            <w:vAlign w:val="center"/>
          </w:tcPr>
          <w:p w14:paraId="1A8ABD2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8D4241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5491BFF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1.为玻璃制牛角管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2.规格：直固，长300mm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3.外管直径30mm</w:t>
            </w:r>
          </w:p>
        </w:tc>
      </w:tr>
      <w:tr w14:paraId="2EC6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DD6DA6C">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23</w:t>
            </w:r>
          </w:p>
        </w:tc>
        <w:tc>
          <w:tcPr>
            <w:tcW w:w="1215" w:type="dxa"/>
            <w:noWrap w:val="0"/>
            <w:vAlign w:val="center"/>
          </w:tcPr>
          <w:p w14:paraId="7F2F3E3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漏斗</w:t>
            </w:r>
          </w:p>
        </w:tc>
        <w:tc>
          <w:tcPr>
            <w:tcW w:w="804" w:type="dxa"/>
            <w:noWrap w:val="0"/>
            <w:vAlign w:val="center"/>
          </w:tcPr>
          <w:p w14:paraId="69B6EF4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865A2E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5174B5B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2.最大口径为60mm,整的长度为110mm,壁厚不低于1.5mm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3.漏斗底部玻璃管直径7mm,长度55mm</w:t>
            </w:r>
          </w:p>
        </w:tc>
      </w:tr>
      <w:tr w14:paraId="3707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5F1AF83">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24</w:t>
            </w:r>
          </w:p>
        </w:tc>
        <w:tc>
          <w:tcPr>
            <w:tcW w:w="1215" w:type="dxa"/>
            <w:noWrap w:val="0"/>
            <w:vAlign w:val="center"/>
          </w:tcPr>
          <w:p w14:paraId="6ECB580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漏斗</w:t>
            </w:r>
          </w:p>
        </w:tc>
        <w:tc>
          <w:tcPr>
            <w:tcW w:w="804" w:type="dxa"/>
            <w:noWrap w:val="0"/>
            <w:vAlign w:val="center"/>
          </w:tcPr>
          <w:p w14:paraId="1039B4F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CF0F73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055457D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2.最大口径为90mm,整的长度为155mm,壁厚不低于1.5mm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3.漏斗底部玻璃管直径10mm,长度85mm</w:t>
            </w:r>
          </w:p>
        </w:tc>
      </w:tr>
      <w:tr w14:paraId="298A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64B8D6B">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25</w:t>
            </w:r>
          </w:p>
        </w:tc>
        <w:tc>
          <w:tcPr>
            <w:tcW w:w="1215" w:type="dxa"/>
            <w:noWrap w:val="0"/>
            <w:vAlign w:val="center"/>
          </w:tcPr>
          <w:p w14:paraId="12C8ABA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滴管</w:t>
            </w:r>
          </w:p>
        </w:tc>
        <w:tc>
          <w:tcPr>
            <w:tcW w:w="804" w:type="dxa"/>
            <w:noWrap w:val="0"/>
            <w:vAlign w:val="center"/>
          </w:tcPr>
          <w:p w14:paraId="2852C0F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27AA427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300</w:t>
            </w:r>
          </w:p>
        </w:tc>
        <w:tc>
          <w:tcPr>
            <w:tcW w:w="6351" w:type="dxa"/>
            <w:noWrap w:val="0"/>
            <w:vAlign w:val="center"/>
          </w:tcPr>
          <w:p w14:paraId="78C2998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1.由滴管和红胶头组成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2.滴管为玻璃制品，长度120mm,直径为7mm～8mm，一端卷边，一端拉尖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3.红胶头为橡胶制品，安上后不易脱落</w:t>
            </w:r>
          </w:p>
        </w:tc>
      </w:tr>
      <w:tr w14:paraId="3648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4F0043C">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26</w:t>
            </w:r>
          </w:p>
        </w:tc>
        <w:tc>
          <w:tcPr>
            <w:tcW w:w="1215" w:type="dxa"/>
            <w:noWrap w:val="0"/>
            <w:vAlign w:val="center"/>
          </w:tcPr>
          <w:p w14:paraId="483B0DB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比色管</w:t>
            </w:r>
          </w:p>
        </w:tc>
        <w:tc>
          <w:tcPr>
            <w:tcW w:w="804" w:type="dxa"/>
            <w:noWrap w:val="0"/>
            <w:vAlign w:val="center"/>
          </w:tcPr>
          <w:p w14:paraId="16214C7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13432A7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662C62B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1.由比色管和玻璃塞组成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2.比色管最大刻度为25ml，精度值0.5ml，玻璃管直径为20mm，盖帽呈六边形</w:t>
            </w:r>
          </w:p>
        </w:tc>
      </w:tr>
      <w:tr w14:paraId="4CF8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5882E35">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27</w:t>
            </w:r>
          </w:p>
        </w:tc>
        <w:tc>
          <w:tcPr>
            <w:tcW w:w="1215" w:type="dxa"/>
            <w:noWrap w:val="0"/>
            <w:vAlign w:val="center"/>
          </w:tcPr>
          <w:p w14:paraId="6409B2E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广口瓶</w:t>
            </w:r>
          </w:p>
        </w:tc>
        <w:tc>
          <w:tcPr>
            <w:tcW w:w="804" w:type="dxa"/>
            <w:noWrap w:val="0"/>
            <w:vAlign w:val="center"/>
          </w:tcPr>
          <w:p w14:paraId="75A05BD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E45C54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6351" w:type="dxa"/>
            <w:noWrap w:val="0"/>
            <w:vAlign w:val="center"/>
          </w:tcPr>
          <w:p w14:paraId="283AE50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2.容量：250mL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3.底部直径：66mm,不含瓶塞高123mm,开口直径38mm，壁厚不低于2mm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4.瓶口上部内侧和瓶盖下部外侧做磨砂处理</w:t>
            </w:r>
          </w:p>
        </w:tc>
      </w:tr>
      <w:tr w14:paraId="32B5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D250930">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28</w:t>
            </w:r>
          </w:p>
        </w:tc>
        <w:tc>
          <w:tcPr>
            <w:tcW w:w="1215" w:type="dxa"/>
            <w:noWrap w:val="0"/>
            <w:vAlign w:val="center"/>
          </w:tcPr>
          <w:p w14:paraId="7715DE6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细口瓶</w:t>
            </w:r>
          </w:p>
        </w:tc>
        <w:tc>
          <w:tcPr>
            <w:tcW w:w="804" w:type="dxa"/>
            <w:noWrap w:val="0"/>
            <w:vAlign w:val="center"/>
          </w:tcPr>
          <w:p w14:paraId="22843B5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72B28F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2F61BF6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2.容量：250mL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3.底部直径：64mm,不含瓶塞高125mm,开口直径23mm，壁厚不低于2mm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4.瓶口上部内侧和瓶盖下部外侧做磨砂处理</w:t>
            </w:r>
          </w:p>
        </w:tc>
      </w:tr>
      <w:tr w14:paraId="6657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303ABE2">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29</w:t>
            </w:r>
          </w:p>
        </w:tc>
        <w:tc>
          <w:tcPr>
            <w:tcW w:w="1215" w:type="dxa"/>
            <w:noWrap w:val="0"/>
            <w:vAlign w:val="center"/>
          </w:tcPr>
          <w:p w14:paraId="022036A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细口瓶</w:t>
            </w:r>
          </w:p>
        </w:tc>
        <w:tc>
          <w:tcPr>
            <w:tcW w:w="804" w:type="dxa"/>
            <w:noWrap w:val="0"/>
            <w:vAlign w:val="center"/>
          </w:tcPr>
          <w:p w14:paraId="2E12798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130E8E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28C4AFB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2.容量：500mL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3.底部直径：80mm,不含瓶塞高160mm,开口直径26mm，壁厚不低于2mm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4.瓶口上部内侧和瓶盖下部外侧做磨砂处理</w:t>
            </w:r>
          </w:p>
        </w:tc>
      </w:tr>
      <w:tr w14:paraId="731F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1DE1164">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30</w:t>
            </w:r>
          </w:p>
        </w:tc>
        <w:tc>
          <w:tcPr>
            <w:tcW w:w="1215" w:type="dxa"/>
            <w:noWrap w:val="0"/>
            <w:vAlign w:val="center"/>
          </w:tcPr>
          <w:p w14:paraId="0B7221D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细口瓶</w:t>
            </w:r>
          </w:p>
        </w:tc>
        <w:tc>
          <w:tcPr>
            <w:tcW w:w="804" w:type="dxa"/>
            <w:noWrap w:val="0"/>
            <w:vAlign w:val="center"/>
          </w:tcPr>
          <w:p w14:paraId="3F86BA4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32B136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44A1D4D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2.容量：1000mL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3.底部直径：105mm,不含瓶塞高195mm,开口直径32mm，壁厚不低于2mm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4.瓶口上部内侧和瓶盖下部外侧做磨砂处理</w:t>
            </w:r>
          </w:p>
        </w:tc>
      </w:tr>
      <w:tr w14:paraId="3BD5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F6F10D8">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31</w:t>
            </w:r>
          </w:p>
        </w:tc>
        <w:tc>
          <w:tcPr>
            <w:tcW w:w="1215" w:type="dxa"/>
            <w:noWrap w:val="0"/>
            <w:vAlign w:val="center"/>
          </w:tcPr>
          <w:p w14:paraId="4C22974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滴瓶</w:t>
            </w:r>
          </w:p>
        </w:tc>
        <w:tc>
          <w:tcPr>
            <w:tcW w:w="804" w:type="dxa"/>
            <w:noWrap w:val="0"/>
            <w:vAlign w:val="center"/>
          </w:tcPr>
          <w:p w14:paraId="05BBC78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CA6D0F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300</w:t>
            </w:r>
          </w:p>
        </w:tc>
        <w:tc>
          <w:tcPr>
            <w:tcW w:w="6351" w:type="dxa"/>
            <w:noWrap w:val="0"/>
            <w:vAlign w:val="center"/>
          </w:tcPr>
          <w:p w14:paraId="51D2F4A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1.全部由高硼硅玻璃制造，无明显气泡,由细口瓶、滴头和胶头组成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2.规格：30mL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4.滴头做翻口处理，瓶口上部内侧和滴头外侧做磨砂处理</w:t>
            </w:r>
          </w:p>
        </w:tc>
      </w:tr>
      <w:tr w14:paraId="7511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720E6BD">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32</w:t>
            </w:r>
          </w:p>
        </w:tc>
        <w:tc>
          <w:tcPr>
            <w:tcW w:w="1215" w:type="dxa"/>
            <w:noWrap w:val="0"/>
            <w:vAlign w:val="center"/>
          </w:tcPr>
          <w:p w14:paraId="19FA6A1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滴瓶</w:t>
            </w:r>
          </w:p>
        </w:tc>
        <w:tc>
          <w:tcPr>
            <w:tcW w:w="804" w:type="dxa"/>
            <w:noWrap w:val="0"/>
            <w:vAlign w:val="center"/>
          </w:tcPr>
          <w:p w14:paraId="7C5A50E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FA05BE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300</w:t>
            </w:r>
          </w:p>
        </w:tc>
        <w:tc>
          <w:tcPr>
            <w:tcW w:w="6351" w:type="dxa"/>
            <w:noWrap w:val="0"/>
            <w:vAlign w:val="center"/>
          </w:tcPr>
          <w:p w14:paraId="0D035D8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1.全部由高硼硅玻璃制造，无明显气泡,由细口瓶、滴头和胶头组成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2.规格：60mL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4.滴头做翻口处理，瓶口上部内侧和滴头外侧做磨砂处理</w:t>
            </w:r>
          </w:p>
        </w:tc>
      </w:tr>
      <w:tr w14:paraId="30AE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17D9B4B">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33</w:t>
            </w:r>
          </w:p>
        </w:tc>
        <w:tc>
          <w:tcPr>
            <w:tcW w:w="1215" w:type="dxa"/>
            <w:noWrap w:val="0"/>
            <w:vAlign w:val="center"/>
          </w:tcPr>
          <w:p w14:paraId="754F85F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滴瓶</w:t>
            </w:r>
          </w:p>
        </w:tc>
        <w:tc>
          <w:tcPr>
            <w:tcW w:w="804" w:type="dxa"/>
            <w:noWrap w:val="0"/>
            <w:vAlign w:val="center"/>
          </w:tcPr>
          <w:p w14:paraId="01E07CB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87AFB9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200</w:t>
            </w:r>
          </w:p>
        </w:tc>
        <w:tc>
          <w:tcPr>
            <w:tcW w:w="6351" w:type="dxa"/>
            <w:noWrap w:val="0"/>
            <w:vAlign w:val="center"/>
          </w:tcPr>
          <w:p w14:paraId="26987A3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1.全部由高硼硅玻璃制造，无明显气泡,由细口瓶、滴头和胶头组成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2.规格：棕色30mL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4.滴头做翻口处理，瓶口上部内侧和滴头外侧做磨砂处理</w:t>
            </w:r>
          </w:p>
        </w:tc>
      </w:tr>
      <w:tr w14:paraId="6F25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EB8ABA6">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34</w:t>
            </w:r>
          </w:p>
        </w:tc>
        <w:tc>
          <w:tcPr>
            <w:tcW w:w="1215" w:type="dxa"/>
            <w:noWrap w:val="0"/>
            <w:vAlign w:val="center"/>
          </w:tcPr>
          <w:p w14:paraId="3507538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滴瓶</w:t>
            </w:r>
          </w:p>
        </w:tc>
        <w:tc>
          <w:tcPr>
            <w:tcW w:w="804" w:type="dxa"/>
            <w:noWrap w:val="0"/>
            <w:vAlign w:val="center"/>
          </w:tcPr>
          <w:p w14:paraId="4FA4AAD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DA76B5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200</w:t>
            </w:r>
          </w:p>
        </w:tc>
        <w:tc>
          <w:tcPr>
            <w:tcW w:w="6351" w:type="dxa"/>
            <w:noWrap w:val="0"/>
            <w:vAlign w:val="center"/>
          </w:tcPr>
          <w:p w14:paraId="1418BEE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1.全部由高硼硅玻璃制造，无明显气泡,由细口瓶、滴头和胶头组成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2.规格：棕色60mL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4.滴头做翻口处理，瓶口上部内侧和滴头外侧做磨砂处理</w:t>
            </w:r>
          </w:p>
        </w:tc>
      </w:tr>
      <w:tr w14:paraId="408B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445F578">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35</w:t>
            </w:r>
          </w:p>
        </w:tc>
        <w:tc>
          <w:tcPr>
            <w:tcW w:w="1215" w:type="dxa"/>
            <w:noWrap w:val="0"/>
            <w:vAlign w:val="center"/>
          </w:tcPr>
          <w:p w14:paraId="6FBA037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试管夹</w:t>
            </w:r>
          </w:p>
        </w:tc>
        <w:tc>
          <w:tcPr>
            <w:tcW w:w="804" w:type="dxa"/>
            <w:noWrap w:val="0"/>
            <w:vAlign w:val="center"/>
          </w:tcPr>
          <w:p w14:paraId="43D578C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w:t>
            </w:r>
          </w:p>
        </w:tc>
        <w:tc>
          <w:tcPr>
            <w:tcW w:w="765" w:type="dxa"/>
            <w:gridSpan w:val="2"/>
            <w:noWrap w:val="0"/>
            <w:vAlign w:val="center"/>
          </w:tcPr>
          <w:p w14:paraId="636B4EC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4ED0095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1.为竹制试管夹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2.可夹持试管直径10mm～25mm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3.总长度为178mm</w:t>
            </w:r>
          </w:p>
        </w:tc>
      </w:tr>
      <w:tr w14:paraId="1C24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2B40AF6">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36</w:t>
            </w:r>
          </w:p>
        </w:tc>
        <w:tc>
          <w:tcPr>
            <w:tcW w:w="1215" w:type="dxa"/>
            <w:noWrap w:val="0"/>
            <w:vAlign w:val="center"/>
          </w:tcPr>
          <w:p w14:paraId="5A15290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石棉网</w:t>
            </w:r>
          </w:p>
        </w:tc>
        <w:tc>
          <w:tcPr>
            <w:tcW w:w="804" w:type="dxa"/>
            <w:noWrap w:val="0"/>
            <w:vAlign w:val="center"/>
          </w:tcPr>
          <w:p w14:paraId="3B9225A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81F837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1079B8A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1.由钢丝网和石棉组成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2.钢丝网尺寸为125*125mm，石棉直径不小于80mm</w:t>
            </w:r>
          </w:p>
        </w:tc>
      </w:tr>
      <w:tr w14:paraId="7A84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8284FE1">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37</w:t>
            </w:r>
          </w:p>
        </w:tc>
        <w:tc>
          <w:tcPr>
            <w:tcW w:w="1215" w:type="dxa"/>
            <w:noWrap w:val="0"/>
            <w:vAlign w:val="center"/>
          </w:tcPr>
          <w:p w14:paraId="60B1BC6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药匙</w:t>
            </w:r>
          </w:p>
        </w:tc>
        <w:tc>
          <w:tcPr>
            <w:tcW w:w="804" w:type="dxa"/>
            <w:noWrap w:val="0"/>
            <w:vAlign w:val="center"/>
          </w:tcPr>
          <w:p w14:paraId="7E6BC39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w:t>
            </w:r>
          </w:p>
        </w:tc>
        <w:tc>
          <w:tcPr>
            <w:tcW w:w="765" w:type="dxa"/>
            <w:gridSpan w:val="2"/>
            <w:noWrap w:val="0"/>
            <w:vAlign w:val="center"/>
          </w:tcPr>
          <w:p w14:paraId="0372BB9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w:t>
            </w:r>
          </w:p>
        </w:tc>
        <w:tc>
          <w:tcPr>
            <w:tcW w:w="6351" w:type="dxa"/>
            <w:noWrap w:val="0"/>
            <w:vAlign w:val="center"/>
          </w:tcPr>
          <w:p w14:paraId="610BB45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1.为塑料制双头药匙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2.总长度为145mm</w:t>
            </w:r>
          </w:p>
        </w:tc>
      </w:tr>
      <w:tr w14:paraId="7D08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0D3F95F">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38</w:t>
            </w:r>
          </w:p>
        </w:tc>
        <w:tc>
          <w:tcPr>
            <w:tcW w:w="1215" w:type="dxa"/>
            <w:noWrap w:val="0"/>
            <w:vAlign w:val="center"/>
          </w:tcPr>
          <w:p w14:paraId="2E46C61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玻璃棒</w:t>
            </w:r>
          </w:p>
        </w:tc>
        <w:tc>
          <w:tcPr>
            <w:tcW w:w="804" w:type="dxa"/>
            <w:noWrap w:val="0"/>
            <w:vAlign w:val="center"/>
          </w:tcPr>
          <w:p w14:paraId="66365A6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千克</w:t>
            </w:r>
          </w:p>
        </w:tc>
        <w:tc>
          <w:tcPr>
            <w:tcW w:w="765" w:type="dxa"/>
            <w:gridSpan w:val="2"/>
            <w:noWrap w:val="0"/>
            <w:vAlign w:val="center"/>
          </w:tcPr>
          <w:p w14:paraId="0DAE60F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351" w:type="dxa"/>
            <w:noWrap w:val="0"/>
            <w:vAlign w:val="center"/>
          </w:tcPr>
          <w:p w14:paraId="2DE219B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1.璃棒直径φ5～φ6mm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2.长度不低于300mm</w:t>
            </w:r>
          </w:p>
        </w:tc>
      </w:tr>
      <w:tr w14:paraId="5FCA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D644343">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39</w:t>
            </w:r>
          </w:p>
        </w:tc>
        <w:tc>
          <w:tcPr>
            <w:tcW w:w="1215" w:type="dxa"/>
            <w:noWrap w:val="0"/>
            <w:vAlign w:val="center"/>
          </w:tcPr>
          <w:p w14:paraId="1092FBB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洗耳球</w:t>
            </w:r>
          </w:p>
        </w:tc>
        <w:tc>
          <w:tcPr>
            <w:tcW w:w="804" w:type="dxa"/>
            <w:noWrap w:val="0"/>
            <w:vAlign w:val="center"/>
          </w:tcPr>
          <w:p w14:paraId="5174211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0F6B42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2644134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1.为橡胶制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2.容量60ml,球直径不低于50mm</w:t>
            </w:r>
          </w:p>
        </w:tc>
      </w:tr>
      <w:tr w14:paraId="3548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13F042D">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40</w:t>
            </w:r>
          </w:p>
        </w:tc>
        <w:tc>
          <w:tcPr>
            <w:tcW w:w="1215" w:type="dxa"/>
            <w:noWrap w:val="0"/>
            <w:vAlign w:val="center"/>
          </w:tcPr>
          <w:p w14:paraId="7577533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培养皿</w:t>
            </w:r>
          </w:p>
        </w:tc>
        <w:tc>
          <w:tcPr>
            <w:tcW w:w="804" w:type="dxa"/>
            <w:noWrap w:val="0"/>
            <w:vAlign w:val="center"/>
          </w:tcPr>
          <w:p w14:paraId="756877F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DF55F1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300</w:t>
            </w:r>
          </w:p>
        </w:tc>
        <w:tc>
          <w:tcPr>
            <w:tcW w:w="6351" w:type="dxa"/>
            <w:noWrap w:val="0"/>
            <w:vAlign w:val="center"/>
          </w:tcPr>
          <w:p w14:paraId="31D042D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1.由高硼硅玻璃制，由上下盖组成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2.上盖直径60mm，壁厚不低于1.5mm</w:t>
            </w:r>
          </w:p>
        </w:tc>
      </w:tr>
      <w:tr w14:paraId="13F7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89F08F7">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41</w:t>
            </w:r>
          </w:p>
        </w:tc>
        <w:tc>
          <w:tcPr>
            <w:tcW w:w="1215" w:type="dxa"/>
            <w:noWrap w:val="0"/>
            <w:vAlign w:val="center"/>
          </w:tcPr>
          <w:p w14:paraId="615C568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培养皿</w:t>
            </w:r>
          </w:p>
        </w:tc>
        <w:tc>
          <w:tcPr>
            <w:tcW w:w="804" w:type="dxa"/>
            <w:noWrap w:val="0"/>
            <w:vAlign w:val="center"/>
          </w:tcPr>
          <w:p w14:paraId="0B30218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60B75E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w:t>
            </w:r>
          </w:p>
        </w:tc>
        <w:tc>
          <w:tcPr>
            <w:tcW w:w="6351" w:type="dxa"/>
            <w:noWrap w:val="0"/>
            <w:vAlign w:val="center"/>
          </w:tcPr>
          <w:p w14:paraId="06B3C75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1.由高硼硅玻璃制，由上下盖组成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2.上盖直径120mm，壁厚不低于1.5mm</w:t>
            </w:r>
          </w:p>
        </w:tc>
      </w:tr>
      <w:tr w14:paraId="67C6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6057360">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42</w:t>
            </w:r>
          </w:p>
        </w:tc>
        <w:tc>
          <w:tcPr>
            <w:tcW w:w="1215" w:type="dxa"/>
            <w:noWrap w:val="0"/>
            <w:vAlign w:val="center"/>
          </w:tcPr>
          <w:p w14:paraId="0899744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研钵</w:t>
            </w:r>
          </w:p>
        </w:tc>
        <w:tc>
          <w:tcPr>
            <w:tcW w:w="804" w:type="dxa"/>
            <w:noWrap w:val="0"/>
            <w:vAlign w:val="center"/>
          </w:tcPr>
          <w:p w14:paraId="742C53C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1E8448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6E05A37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1.由研钵和杵组成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2.为瓷制，上口直径不低于60mm，厚度不低于5mm</w:t>
            </w:r>
          </w:p>
        </w:tc>
      </w:tr>
      <w:tr w14:paraId="78E4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028D12B">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43</w:t>
            </w:r>
          </w:p>
        </w:tc>
        <w:tc>
          <w:tcPr>
            <w:tcW w:w="1215" w:type="dxa"/>
            <w:noWrap w:val="0"/>
            <w:vAlign w:val="center"/>
          </w:tcPr>
          <w:p w14:paraId="5232EB6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碘</w:t>
            </w:r>
          </w:p>
        </w:tc>
        <w:tc>
          <w:tcPr>
            <w:tcW w:w="804" w:type="dxa"/>
            <w:noWrap w:val="0"/>
            <w:vAlign w:val="center"/>
          </w:tcPr>
          <w:p w14:paraId="76929A7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0D6A8EE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250</w:t>
            </w:r>
          </w:p>
        </w:tc>
        <w:tc>
          <w:tcPr>
            <w:tcW w:w="6351" w:type="dxa"/>
            <w:noWrap w:val="0"/>
            <w:vAlign w:val="center"/>
          </w:tcPr>
          <w:p w14:paraId="39847E4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2.每瓶250g</w:t>
            </w:r>
          </w:p>
        </w:tc>
      </w:tr>
      <w:tr w14:paraId="7317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A0A97E7">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44</w:t>
            </w:r>
          </w:p>
        </w:tc>
        <w:tc>
          <w:tcPr>
            <w:tcW w:w="1215" w:type="dxa"/>
            <w:noWrap w:val="0"/>
            <w:vAlign w:val="center"/>
          </w:tcPr>
          <w:p w14:paraId="5BB6D47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氯化钠</w:t>
            </w:r>
          </w:p>
        </w:tc>
        <w:tc>
          <w:tcPr>
            <w:tcW w:w="804" w:type="dxa"/>
            <w:noWrap w:val="0"/>
            <w:vAlign w:val="center"/>
          </w:tcPr>
          <w:p w14:paraId="3E93F3B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6862F63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01EAF88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2.每包500g</w:t>
            </w:r>
          </w:p>
        </w:tc>
      </w:tr>
      <w:tr w14:paraId="2A00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F41BDE9">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45</w:t>
            </w:r>
          </w:p>
        </w:tc>
        <w:tc>
          <w:tcPr>
            <w:tcW w:w="1215" w:type="dxa"/>
            <w:noWrap w:val="0"/>
            <w:vAlign w:val="center"/>
          </w:tcPr>
          <w:p w14:paraId="32BAA85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氯化钙</w:t>
            </w:r>
          </w:p>
        </w:tc>
        <w:tc>
          <w:tcPr>
            <w:tcW w:w="804" w:type="dxa"/>
            <w:noWrap w:val="0"/>
            <w:vAlign w:val="center"/>
          </w:tcPr>
          <w:p w14:paraId="0B33DDB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73DE2A4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1D6A259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2.每包500g</w:t>
            </w:r>
          </w:p>
        </w:tc>
      </w:tr>
      <w:tr w14:paraId="7FAB0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CE3BBD4">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46</w:t>
            </w:r>
          </w:p>
        </w:tc>
        <w:tc>
          <w:tcPr>
            <w:tcW w:w="1215" w:type="dxa"/>
            <w:noWrap w:val="0"/>
            <w:vAlign w:val="center"/>
          </w:tcPr>
          <w:p w14:paraId="13C5F04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三氯化铁</w:t>
            </w:r>
          </w:p>
        </w:tc>
        <w:tc>
          <w:tcPr>
            <w:tcW w:w="804" w:type="dxa"/>
            <w:noWrap w:val="0"/>
            <w:vAlign w:val="center"/>
          </w:tcPr>
          <w:p w14:paraId="6D2694A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69580F0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3722F3F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2.每包500g</w:t>
            </w:r>
          </w:p>
        </w:tc>
      </w:tr>
      <w:tr w14:paraId="2784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037F5BD">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47</w:t>
            </w:r>
          </w:p>
        </w:tc>
        <w:tc>
          <w:tcPr>
            <w:tcW w:w="1215" w:type="dxa"/>
            <w:noWrap w:val="0"/>
            <w:vAlign w:val="center"/>
          </w:tcPr>
          <w:p w14:paraId="5118CEC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碘化钾</w:t>
            </w:r>
          </w:p>
        </w:tc>
        <w:tc>
          <w:tcPr>
            <w:tcW w:w="804" w:type="dxa"/>
            <w:noWrap w:val="0"/>
            <w:vAlign w:val="center"/>
          </w:tcPr>
          <w:p w14:paraId="60660F5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45D5A250">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500</w:t>
            </w:r>
          </w:p>
        </w:tc>
        <w:tc>
          <w:tcPr>
            <w:tcW w:w="6351" w:type="dxa"/>
            <w:noWrap w:val="0"/>
            <w:vAlign w:val="center"/>
          </w:tcPr>
          <w:p w14:paraId="5A9112D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2.每包500g</w:t>
            </w:r>
          </w:p>
        </w:tc>
      </w:tr>
      <w:tr w14:paraId="375F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677F25B">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48</w:t>
            </w:r>
          </w:p>
        </w:tc>
        <w:tc>
          <w:tcPr>
            <w:tcW w:w="1215" w:type="dxa"/>
            <w:noWrap w:val="0"/>
            <w:vAlign w:val="center"/>
          </w:tcPr>
          <w:p w14:paraId="5356AFF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硫酸钠</w:t>
            </w:r>
          </w:p>
        </w:tc>
        <w:tc>
          <w:tcPr>
            <w:tcW w:w="804" w:type="dxa"/>
            <w:noWrap w:val="0"/>
            <w:vAlign w:val="center"/>
          </w:tcPr>
          <w:p w14:paraId="7868A3B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11B66E2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6EC32B3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2FFB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A5B6EE9">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49</w:t>
            </w:r>
          </w:p>
        </w:tc>
        <w:tc>
          <w:tcPr>
            <w:tcW w:w="1215" w:type="dxa"/>
            <w:noWrap w:val="0"/>
            <w:vAlign w:val="center"/>
          </w:tcPr>
          <w:p w14:paraId="1B044C8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硫酸铜(蓝矾、胆矾)</w:t>
            </w:r>
          </w:p>
        </w:tc>
        <w:tc>
          <w:tcPr>
            <w:tcW w:w="804" w:type="dxa"/>
            <w:noWrap w:val="0"/>
            <w:vAlign w:val="center"/>
          </w:tcPr>
          <w:p w14:paraId="2CEFA32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74C2C39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3F36B60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1912C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66C8E97">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50</w:t>
            </w:r>
          </w:p>
        </w:tc>
        <w:tc>
          <w:tcPr>
            <w:tcW w:w="1215" w:type="dxa"/>
            <w:noWrap w:val="0"/>
            <w:vAlign w:val="center"/>
          </w:tcPr>
          <w:p w14:paraId="5FEE6FD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碳酸钠</w:t>
            </w:r>
          </w:p>
        </w:tc>
        <w:tc>
          <w:tcPr>
            <w:tcW w:w="804" w:type="dxa"/>
            <w:noWrap w:val="0"/>
            <w:vAlign w:val="center"/>
          </w:tcPr>
          <w:p w14:paraId="6886926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6EA2B93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1E6338B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0528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EEC99DB">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51</w:t>
            </w:r>
          </w:p>
        </w:tc>
        <w:tc>
          <w:tcPr>
            <w:tcW w:w="1215" w:type="dxa"/>
            <w:noWrap w:val="0"/>
            <w:vAlign w:val="center"/>
          </w:tcPr>
          <w:p w14:paraId="73C3388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氢氧化钙</w:t>
            </w:r>
          </w:p>
        </w:tc>
        <w:tc>
          <w:tcPr>
            <w:tcW w:w="804" w:type="dxa"/>
            <w:noWrap w:val="0"/>
            <w:vAlign w:val="center"/>
          </w:tcPr>
          <w:p w14:paraId="45B6AC8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492B0C1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3522ECA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69DE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5FDABF8">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52</w:t>
            </w:r>
          </w:p>
        </w:tc>
        <w:tc>
          <w:tcPr>
            <w:tcW w:w="1215" w:type="dxa"/>
            <w:noWrap w:val="0"/>
            <w:vAlign w:val="center"/>
          </w:tcPr>
          <w:p w14:paraId="541780F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氢氧化铝</w:t>
            </w:r>
          </w:p>
        </w:tc>
        <w:tc>
          <w:tcPr>
            <w:tcW w:w="804" w:type="dxa"/>
            <w:noWrap w:val="0"/>
            <w:vAlign w:val="center"/>
          </w:tcPr>
          <w:p w14:paraId="516B67A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6691FEA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2B53B4E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0A98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4230DAF">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53</w:t>
            </w:r>
          </w:p>
        </w:tc>
        <w:tc>
          <w:tcPr>
            <w:tcW w:w="1215" w:type="dxa"/>
            <w:noWrap w:val="0"/>
            <w:vAlign w:val="center"/>
          </w:tcPr>
          <w:p w14:paraId="6B76649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氯化镉</w:t>
            </w:r>
          </w:p>
        </w:tc>
        <w:tc>
          <w:tcPr>
            <w:tcW w:w="804" w:type="dxa"/>
            <w:noWrap w:val="0"/>
            <w:vAlign w:val="center"/>
          </w:tcPr>
          <w:p w14:paraId="0E526B0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0201217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6351" w:type="dxa"/>
            <w:noWrap w:val="0"/>
            <w:vAlign w:val="center"/>
          </w:tcPr>
          <w:p w14:paraId="175DDA8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2.每瓶100g</w:t>
            </w:r>
          </w:p>
        </w:tc>
      </w:tr>
      <w:tr w14:paraId="4909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737F819">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54</w:t>
            </w:r>
          </w:p>
        </w:tc>
        <w:tc>
          <w:tcPr>
            <w:tcW w:w="1215" w:type="dxa"/>
            <w:noWrap w:val="0"/>
            <w:vAlign w:val="center"/>
          </w:tcPr>
          <w:p w14:paraId="3A0F6B5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无水乙酸钠</w:t>
            </w:r>
          </w:p>
        </w:tc>
        <w:tc>
          <w:tcPr>
            <w:tcW w:w="804" w:type="dxa"/>
            <w:noWrap w:val="0"/>
            <w:vAlign w:val="center"/>
          </w:tcPr>
          <w:p w14:paraId="6074755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7FD6A05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6430BF3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379C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903F6D1">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55</w:t>
            </w:r>
          </w:p>
        </w:tc>
        <w:tc>
          <w:tcPr>
            <w:tcW w:w="1215" w:type="dxa"/>
            <w:noWrap w:val="0"/>
            <w:vAlign w:val="center"/>
          </w:tcPr>
          <w:p w14:paraId="6A58C38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柠檬酸钠</w:t>
            </w:r>
          </w:p>
        </w:tc>
        <w:tc>
          <w:tcPr>
            <w:tcW w:w="804" w:type="dxa"/>
            <w:noWrap w:val="0"/>
            <w:vAlign w:val="center"/>
          </w:tcPr>
          <w:p w14:paraId="35A5E4A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7BB661C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01C44B1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6E79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7F2B40A">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156</w:t>
            </w:r>
          </w:p>
        </w:tc>
        <w:tc>
          <w:tcPr>
            <w:tcW w:w="1215" w:type="dxa"/>
            <w:noWrap w:val="0"/>
            <w:vAlign w:val="center"/>
          </w:tcPr>
          <w:p w14:paraId="37EB538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琼脂</w:t>
            </w:r>
          </w:p>
        </w:tc>
        <w:tc>
          <w:tcPr>
            <w:tcW w:w="804" w:type="dxa"/>
            <w:noWrap w:val="0"/>
            <w:vAlign w:val="center"/>
          </w:tcPr>
          <w:p w14:paraId="6B424A0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40EC977D">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300</w:t>
            </w:r>
          </w:p>
        </w:tc>
        <w:tc>
          <w:tcPr>
            <w:tcW w:w="6351" w:type="dxa"/>
            <w:noWrap w:val="0"/>
            <w:vAlign w:val="center"/>
          </w:tcPr>
          <w:p w14:paraId="64BDDD0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2.每瓶100g</w:t>
            </w:r>
          </w:p>
        </w:tc>
      </w:tr>
      <w:tr w14:paraId="182D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ED52254">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157</w:t>
            </w:r>
          </w:p>
        </w:tc>
        <w:tc>
          <w:tcPr>
            <w:tcW w:w="1215" w:type="dxa"/>
            <w:noWrap w:val="0"/>
            <w:vAlign w:val="center"/>
          </w:tcPr>
          <w:p w14:paraId="2EE2E55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葡萄糖</w:t>
            </w:r>
          </w:p>
        </w:tc>
        <w:tc>
          <w:tcPr>
            <w:tcW w:w="804" w:type="dxa"/>
            <w:noWrap w:val="0"/>
            <w:vAlign w:val="center"/>
          </w:tcPr>
          <w:p w14:paraId="1F4D5B0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6721926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3A59219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7608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CD14694">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158</w:t>
            </w:r>
          </w:p>
        </w:tc>
        <w:tc>
          <w:tcPr>
            <w:tcW w:w="1215" w:type="dxa"/>
            <w:noWrap w:val="0"/>
            <w:vAlign w:val="center"/>
          </w:tcPr>
          <w:p w14:paraId="7BC5B8A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蔗糖</w:t>
            </w:r>
          </w:p>
        </w:tc>
        <w:tc>
          <w:tcPr>
            <w:tcW w:w="804" w:type="dxa"/>
            <w:noWrap w:val="0"/>
            <w:vAlign w:val="center"/>
          </w:tcPr>
          <w:p w14:paraId="6211816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7A7FF5F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1000</w:t>
            </w:r>
          </w:p>
        </w:tc>
        <w:tc>
          <w:tcPr>
            <w:tcW w:w="6351" w:type="dxa"/>
            <w:noWrap w:val="0"/>
            <w:vAlign w:val="center"/>
          </w:tcPr>
          <w:p w14:paraId="510717F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224D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06D4E46">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159</w:t>
            </w:r>
          </w:p>
        </w:tc>
        <w:tc>
          <w:tcPr>
            <w:tcW w:w="1215" w:type="dxa"/>
            <w:noWrap w:val="0"/>
            <w:vAlign w:val="center"/>
          </w:tcPr>
          <w:p w14:paraId="480BE34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可溶性淀粉</w:t>
            </w:r>
          </w:p>
        </w:tc>
        <w:tc>
          <w:tcPr>
            <w:tcW w:w="804" w:type="dxa"/>
            <w:noWrap w:val="0"/>
            <w:vAlign w:val="center"/>
          </w:tcPr>
          <w:p w14:paraId="51A0D4C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3EAF241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2A482E3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1D29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F0123F7">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161</w:t>
            </w:r>
          </w:p>
        </w:tc>
        <w:tc>
          <w:tcPr>
            <w:tcW w:w="1215" w:type="dxa"/>
            <w:noWrap w:val="0"/>
            <w:vAlign w:val="center"/>
          </w:tcPr>
          <w:p w14:paraId="4E71E91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对氨基苯磺酸</w:t>
            </w:r>
          </w:p>
        </w:tc>
        <w:tc>
          <w:tcPr>
            <w:tcW w:w="804" w:type="dxa"/>
            <w:noWrap w:val="0"/>
            <w:vAlign w:val="center"/>
          </w:tcPr>
          <w:p w14:paraId="60013CB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31799462">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100</w:t>
            </w:r>
          </w:p>
        </w:tc>
        <w:tc>
          <w:tcPr>
            <w:tcW w:w="6351" w:type="dxa"/>
            <w:noWrap w:val="0"/>
            <w:vAlign w:val="center"/>
          </w:tcPr>
          <w:p w14:paraId="246B2F4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2.每瓶100g</w:t>
            </w:r>
          </w:p>
        </w:tc>
      </w:tr>
      <w:tr w14:paraId="2965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52DD297">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62</w:t>
            </w:r>
          </w:p>
        </w:tc>
        <w:tc>
          <w:tcPr>
            <w:tcW w:w="1215" w:type="dxa"/>
            <w:noWrap w:val="0"/>
            <w:vAlign w:val="center"/>
          </w:tcPr>
          <w:p w14:paraId="74C2104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N-1-萘基乙二胺盐酸盐</w:t>
            </w:r>
          </w:p>
        </w:tc>
        <w:tc>
          <w:tcPr>
            <w:tcW w:w="804" w:type="dxa"/>
            <w:noWrap w:val="0"/>
            <w:vAlign w:val="center"/>
          </w:tcPr>
          <w:p w14:paraId="14C9636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04B3025F">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30</w:t>
            </w:r>
          </w:p>
        </w:tc>
        <w:tc>
          <w:tcPr>
            <w:tcW w:w="6351" w:type="dxa"/>
            <w:noWrap w:val="0"/>
            <w:vAlign w:val="center"/>
          </w:tcPr>
          <w:p w14:paraId="6A8024D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2.每瓶10g</w:t>
            </w:r>
          </w:p>
        </w:tc>
      </w:tr>
      <w:tr w14:paraId="7575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27AD552">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63</w:t>
            </w:r>
          </w:p>
        </w:tc>
        <w:tc>
          <w:tcPr>
            <w:tcW w:w="1215" w:type="dxa"/>
            <w:noWrap w:val="0"/>
            <w:vAlign w:val="center"/>
          </w:tcPr>
          <w:p w14:paraId="6E877EE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海藻酸钠</w:t>
            </w:r>
          </w:p>
        </w:tc>
        <w:tc>
          <w:tcPr>
            <w:tcW w:w="804" w:type="dxa"/>
            <w:noWrap w:val="0"/>
            <w:vAlign w:val="center"/>
          </w:tcPr>
          <w:p w14:paraId="0FAF10F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1D45E5E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741D4EA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7832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F5EF548">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64</w:t>
            </w:r>
          </w:p>
        </w:tc>
        <w:tc>
          <w:tcPr>
            <w:tcW w:w="1215" w:type="dxa"/>
            <w:noWrap w:val="0"/>
            <w:vAlign w:val="center"/>
          </w:tcPr>
          <w:p w14:paraId="29EAFB2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二苯胺</w:t>
            </w:r>
          </w:p>
        </w:tc>
        <w:tc>
          <w:tcPr>
            <w:tcW w:w="804" w:type="dxa"/>
            <w:noWrap w:val="0"/>
            <w:vAlign w:val="center"/>
          </w:tcPr>
          <w:p w14:paraId="083A8AD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051B14A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6351" w:type="dxa"/>
            <w:noWrap w:val="0"/>
            <w:vAlign w:val="center"/>
          </w:tcPr>
          <w:p w14:paraId="356C4F3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2.每瓶100g</w:t>
            </w:r>
          </w:p>
        </w:tc>
      </w:tr>
      <w:tr w14:paraId="0DDA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D5FAB4B">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65</w:t>
            </w:r>
          </w:p>
        </w:tc>
        <w:tc>
          <w:tcPr>
            <w:tcW w:w="1215" w:type="dxa"/>
            <w:noWrap w:val="0"/>
            <w:vAlign w:val="center"/>
          </w:tcPr>
          <w:p w14:paraId="0679FDC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果胶酶</w:t>
            </w:r>
          </w:p>
        </w:tc>
        <w:tc>
          <w:tcPr>
            <w:tcW w:w="804" w:type="dxa"/>
            <w:noWrap w:val="0"/>
            <w:vAlign w:val="center"/>
          </w:tcPr>
          <w:p w14:paraId="68DBAE9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1921114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6351" w:type="dxa"/>
            <w:noWrap w:val="0"/>
            <w:vAlign w:val="center"/>
          </w:tcPr>
          <w:p w14:paraId="61014A8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2.每瓶25g</w:t>
            </w:r>
          </w:p>
        </w:tc>
      </w:tr>
      <w:tr w14:paraId="5DCE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D2F987B">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166</w:t>
            </w:r>
          </w:p>
        </w:tc>
        <w:tc>
          <w:tcPr>
            <w:tcW w:w="1215" w:type="dxa"/>
            <w:noWrap w:val="0"/>
            <w:vAlign w:val="center"/>
          </w:tcPr>
          <w:p w14:paraId="5897E65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α-淀粉酶</w:t>
            </w:r>
          </w:p>
        </w:tc>
        <w:tc>
          <w:tcPr>
            <w:tcW w:w="804" w:type="dxa"/>
            <w:noWrap w:val="0"/>
            <w:vAlign w:val="center"/>
          </w:tcPr>
          <w:p w14:paraId="769138B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355D2C4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250</w:t>
            </w:r>
          </w:p>
        </w:tc>
        <w:tc>
          <w:tcPr>
            <w:tcW w:w="6351" w:type="dxa"/>
            <w:noWrap w:val="0"/>
            <w:vAlign w:val="center"/>
          </w:tcPr>
          <w:p w14:paraId="645DA52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4D0C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E364285">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167</w:t>
            </w:r>
          </w:p>
        </w:tc>
        <w:tc>
          <w:tcPr>
            <w:tcW w:w="1215" w:type="dxa"/>
            <w:noWrap w:val="0"/>
            <w:vAlign w:val="center"/>
          </w:tcPr>
          <w:p w14:paraId="73182C3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品红</w:t>
            </w:r>
          </w:p>
        </w:tc>
        <w:tc>
          <w:tcPr>
            <w:tcW w:w="804" w:type="dxa"/>
            <w:noWrap w:val="0"/>
            <w:vAlign w:val="center"/>
          </w:tcPr>
          <w:p w14:paraId="765BEC6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5AE240A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6351" w:type="dxa"/>
            <w:noWrap w:val="0"/>
            <w:vAlign w:val="center"/>
          </w:tcPr>
          <w:p w14:paraId="25EF555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2.每瓶25g</w:t>
            </w:r>
          </w:p>
        </w:tc>
      </w:tr>
      <w:tr w14:paraId="17E8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807833F">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168</w:t>
            </w:r>
          </w:p>
        </w:tc>
        <w:tc>
          <w:tcPr>
            <w:tcW w:w="1215" w:type="dxa"/>
            <w:noWrap w:val="0"/>
            <w:vAlign w:val="center"/>
          </w:tcPr>
          <w:p w14:paraId="52B22E4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pH广范围试纸</w:t>
            </w:r>
          </w:p>
        </w:tc>
        <w:tc>
          <w:tcPr>
            <w:tcW w:w="804" w:type="dxa"/>
            <w:noWrap w:val="0"/>
            <w:vAlign w:val="center"/>
          </w:tcPr>
          <w:p w14:paraId="77877AC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本</w:t>
            </w:r>
          </w:p>
        </w:tc>
        <w:tc>
          <w:tcPr>
            <w:tcW w:w="765" w:type="dxa"/>
            <w:gridSpan w:val="2"/>
            <w:noWrap w:val="0"/>
            <w:vAlign w:val="center"/>
          </w:tcPr>
          <w:p w14:paraId="0168927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6351" w:type="dxa"/>
            <w:noWrap w:val="0"/>
            <w:vAlign w:val="center"/>
          </w:tcPr>
          <w:p w14:paraId="4CE0EED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1.由试纸和对比色卡组成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2.测量范围1～14，每本100张，每张尺寸为56*10mm</w:t>
            </w:r>
          </w:p>
        </w:tc>
      </w:tr>
      <w:tr w14:paraId="00AE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5C1B5AE">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169</w:t>
            </w:r>
          </w:p>
        </w:tc>
        <w:tc>
          <w:tcPr>
            <w:tcW w:w="1215" w:type="dxa"/>
            <w:noWrap w:val="0"/>
            <w:vAlign w:val="center"/>
          </w:tcPr>
          <w:p w14:paraId="5B05DAB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甲基绿</w:t>
            </w:r>
          </w:p>
        </w:tc>
        <w:tc>
          <w:tcPr>
            <w:tcW w:w="804" w:type="dxa"/>
            <w:noWrap w:val="0"/>
            <w:vAlign w:val="center"/>
          </w:tcPr>
          <w:p w14:paraId="7B64E7F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0777A2DE">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30</w:t>
            </w:r>
          </w:p>
        </w:tc>
        <w:tc>
          <w:tcPr>
            <w:tcW w:w="6351" w:type="dxa"/>
            <w:noWrap w:val="0"/>
            <w:vAlign w:val="center"/>
          </w:tcPr>
          <w:p w14:paraId="3421408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2.每瓶10g</w:t>
            </w:r>
          </w:p>
        </w:tc>
      </w:tr>
      <w:tr w14:paraId="709A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E768FA9">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70</w:t>
            </w:r>
          </w:p>
        </w:tc>
        <w:tc>
          <w:tcPr>
            <w:tcW w:w="1215" w:type="dxa"/>
            <w:noWrap w:val="0"/>
            <w:vAlign w:val="center"/>
          </w:tcPr>
          <w:p w14:paraId="0F2163A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亚甲基蓝</w:t>
            </w:r>
          </w:p>
        </w:tc>
        <w:tc>
          <w:tcPr>
            <w:tcW w:w="804" w:type="dxa"/>
            <w:noWrap w:val="0"/>
            <w:vAlign w:val="center"/>
          </w:tcPr>
          <w:p w14:paraId="2819222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757C3EA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6351" w:type="dxa"/>
            <w:noWrap w:val="0"/>
            <w:vAlign w:val="center"/>
          </w:tcPr>
          <w:p w14:paraId="234BAE8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2.每瓶25g</w:t>
            </w:r>
          </w:p>
        </w:tc>
      </w:tr>
      <w:tr w14:paraId="6D46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E008379">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71</w:t>
            </w:r>
          </w:p>
        </w:tc>
        <w:tc>
          <w:tcPr>
            <w:tcW w:w="1215" w:type="dxa"/>
            <w:noWrap w:val="0"/>
            <w:vAlign w:val="center"/>
          </w:tcPr>
          <w:p w14:paraId="1920628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定性滤纸</w:t>
            </w:r>
          </w:p>
        </w:tc>
        <w:tc>
          <w:tcPr>
            <w:tcW w:w="804" w:type="dxa"/>
            <w:noWrap w:val="0"/>
            <w:vAlign w:val="center"/>
          </w:tcPr>
          <w:p w14:paraId="186B999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765" w:type="dxa"/>
            <w:gridSpan w:val="2"/>
            <w:noWrap w:val="0"/>
            <w:vAlign w:val="center"/>
          </w:tcPr>
          <w:p w14:paraId="1DC9992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3D17112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1.为实验用中速定性滤纸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2.每盒100张，每片直径11cm</w:t>
            </w:r>
          </w:p>
        </w:tc>
      </w:tr>
      <w:tr w14:paraId="69C8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88000A9">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72</w:t>
            </w:r>
          </w:p>
        </w:tc>
        <w:tc>
          <w:tcPr>
            <w:tcW w:w="1215" w:type="dxa"/>
            <w:noWrap w:val="0"/>
            <w:vAlign w:val="center"/>
          </w:tcPr>
          <w:p w14:paraId="1B55788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胭脂红(洋红)</w:t>
            </w:r>
          </w:p>
        </w:tc>
        <w:tc>
          <w:tcPr>
            <w:tcW w:w="804" w:type="dxa"/>
            <w:noWrap w:val="0"/>
            <w:vAlign w:val="center"/>
          </w:tcPr>
          <w:p w14:paraId="77D552A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54627FE8">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25</w:t>
            </w:r>
          </w:p>
        </w:tc>
        <w:tc>
          <w:tcPr>
            <w:tcW w:w="6351" w:type="dxa"/>
            <w:noWrap w:val="0"/>
            <w:vAlign w:val="center"/>
          </w:tcPr>
          <w:p w14:paraId="1700773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2.每瓶25g</w:t>
            </w:r>
          </w:p>
        </w:tc>
      </w:tr>
      <w:tr w14:paraId="483F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240964B">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73</w:t>
            </w:r>
          </w:p>
        </w:tc>
        <w:tc>
          <w:tcPr>
            <w:tcW w:w="1215" w:type="dxa"/>
            <w:noWrap w:val="0"/>
            <w:vAlign w:val="center"/>
          </w:tcPr>
          <w:p w14:paraId="572644F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龙胆紫</w:t>
            </w:r>
          </w:p>
        </w:tc>
        <w:tc>
          <w:tcPr>
            <w:tcW w:w="804" w:type="dxa"/>
            <w:noWrap w:val="0"/>
            <w:vAlign w:val="center"/>
          </w:tcPr>
          <w:p w14:paraId="6828FBE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18D5A75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6351" w:type="dxa"/>
            <w:noWrap w:val="0"/>
            <w:vAlign w:val="center"/>
          </w:tcPr>
          <w:p w14:paraId="09DE5C3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2.每瓶25g</w:t>
            </w:r>
          </w:p>
        </w:tc>
      </w:tr>
      <w:tr w14:paraId="32E6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866612E">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74</w:t>
            </w:r>
          </w:p>
        </w:tc>
        <w:tc>
          <w:tcPr>
            <w:tcW w:w="1215" w:type="dxa"/>
            <w:noWrap w:val="0"/>
            <w:vAlign w:val="center"/>
          </w:tcPr>
          <w:p w14:paraId="4F15439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曙红B(伊红B)</w:t>
            </w:r>
          </w:p>
        </w:tc>
        <w:tc>
          <w:tcPr>
            <w:tcW w:w="804" w:type="dxa"/>
            <w:noWrap w:val="0"/>
            <w:vAlign w:val="center"/>
          </w:tcPr>
          <w:p w14:paraId="207B815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2148DDFA">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30</w:t>
            </w:r>
          </w:p>
        </w:tc>
        <w:tc>
          <w:tcPr>
            <w:tcW w:w="6351" w:type="dxa"/>
            <w:noWrap w:val="0"/>
            <w:vAlign w:val="center"/>
          </w:tcPr>
          <w:p w14:paraId="02F6257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2.每瓶10g</w:t>
            </w:r>
          </w:p>
        </w:tc>
      </w:tr>
      <w:tr w14:paraId="54B1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E43FF5F">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75</w:t>
            </w:r>
          </w:p>
        </w:tc>
        <w:tc>
          <w:tcPr>
            <w:tcW w:w="1215" w:type="dxa"/>
            <w:noWrap w:val="0"/>
            <w:vAlign w:val="center"/>
          </w:tcPr>
          <w:p w14:paraId="67B6371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美蓝</w:t>
            </w:r>
          </w:p>
        </w:tc>
        <w:tc>
          <w:tcPr>
            <w:tcW w:w="804" w:type="dxa"/>
            <w:noWrap w:val="0"/>
            <w:vAlign w:val="center"/>
          </w:tcPr>
          <w:p w14:paraId="2644C34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6D67727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6351" w:type="dxa"/>
            <w:noWrap w:val="0"/>
            <w:vAlign w:val="center"/>
          </w:tcPr>
          <w:p w14:paraId="432D3B2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2.每瓶25g</w:t>
            </w:r>
          </w:p>
        </w:tc>
      </w:tr>
      <w:tr w14:paraId="49C9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D29B26E">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76</w:t>
            </w:r>
          </w:p>
        </w:tc>
        <w:tc>
          <w:tcPr>
            <w:tcW w:w="1215" w:type="dxa"/>
            <w:noWrap w:val="0"/>
            <w:vAlign w:val="center"/>
          </w:tcPr>
          <w:p w14:paraId="2AB57E9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酚红</w:t>
            </w:r>
          </w:p>
        </w:tc>
        <w:tc>
          <w:tcPr>
            <w:tcW w:w="804" w:type="dxa"/>
            <w:noWrap w:val="0"/>
            <w:vAlign w:val="center"/>
          </w:tcPr>
          <w:p w14:paraId="478E046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65DB46A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6351" w:type="dxa"/>
            <w:noWrap w:val="0"/>
            <w:vAlign w:val="center"/>
          </w:tcPr>
          <w:p w14:paraId="7299E02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2.每瓶25g</w:t>
            </w:r>
          </w:p>
        </w:tc>
      </w:tr>
      <w:tr w14:paraId="5715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FCBD555">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77</w:t>
            </w:r>
          </w:p>
        </w:tc>
        <w:tc>
          <w:tcPr>
            <w:tcW w:w="1215" w:type="dxa"/>
            <w:noWrap w:val="0"/>
            <w:vAlign w:val="center"/>
          </w:tcPr>
          <w:p w14:paraId="3EC3BEE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吡罗红</w:t>
            </w:r>
          </w:p>
        </w:tc>
        <w:tc>
          <w:tcPr>
            <w:tcW w:w="804" w:type="dxa"/>
            <w:noWrap w:val="0"/>
            <w:vAlign w:val="center"/>
          </w:tcPr>
          <w:p w14:paraId="681599B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2995527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5DE032B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2.每瓶5g</w:t>
            </w:r>
          </w:p>
        </w:tc>
      </w:tr>
      <w:tr w14:paraId="5DE6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80F2589">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78</w:t>
            </w:r>
          </w:p>
        </w:tc>
        <w:tc>
          <w:tcPr>
            <w:tcW w:w="1215" w:type="dxa"/>
            <w:noWrap w:val="0"/>
            <w:vAlign w:val="center"/>
          </w:tcPr>
          <w:p w14:paraId="13895B3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苏丹Ⅲ</w:t>
            </w:r>
          </w:p>
        </w:tc>
        <w:tc>
          <w:tcPr>
            <w:tcW w:w="804" w:type="dxa"/>
            <w:noWrap w:val="0"/>
            <w:vAlign w:val="center"/>
          </w:tcPr>
          <w:p w14:paraId="5AB5BBC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1D35B90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6351" w:type="dxa"/>
            <w:noWrap w:val="0"/>
            <w:vAlign w:val="center"/>
          </w:tcPr>
          <w:p w14:paraId="747AC21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2.每瓶25g</w:t>
            </w:r>
          </w:p>
        </w:tc>
      </w:tr>
      <w:tr w14:paraId="7B57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00635A6">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79</w:t>
            </w:r>
          </w:p>
        </w:tc>
        <w:tc>
          <w:tcPr>
            <w:tcW w:w="1215" w:type="dxa"/>
            <w:noWrap w:val="0"/>
            <w:vAlign w:val="center"/>
          </w:tcPr>
          <w:p w14:paraId="6340BC6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健那绿</w:t>
            </w:r>
          </w:p>
        </w:tc>
        <w:tc>
          <w:tcPr>
            <w:tcW w:w="804" w:type="dxa"/>
            <w:noWrap w:val="0"/>
            <w:vAlign w:val="center"/>
          </w:tcPr>
          <w:p w14:paraId="01699B3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6849772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66EE478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2.每瓶5g</w:t>
            </w:r>
          </w:p>
        </w:tc>
      </w:tr>
      <w:tr w14:paraId="7CB8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C4C608D">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80</w:t>
            </w:r>
          </w:p>
        </w:tc>
        <w:tc>
          <w:tcPr>
            <w:tcW w:w="1215" w:type="dxa"/>
            <w:noWrap w:val="0"/>
            <w:vAlign w:val="center"/>
          </w:tcPr>
          <w:p w14:paraId="417051B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结晶紫</w:t>
            </w:r>
          </w:p>
        </w:tc>
        <w:tc>
          <w:tcPr>
            <w:tcW w:w="804" w:type="dxa"/>
            <w:noWrap w:val="0"/>
            <w:vAlign w:val="center"/>
          </w:tcPr>
          <w:p w14:paraId="184DD48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5609082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6351" w:type="dxa"/>
            <w:noWrap w:val="0"/>
            <w:vAlign w:val="center"/>
          </w:tcPr>
          <w:p w14:paraId="39E9FAE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2.每瓶25g</w:t>
            </w:r>
          </w:p>
        </w:tc>
      </w:tr>
      <w:tr w14:paraId="7EEF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9683CAD">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81</w:t>
            </w:r>
          </w:p>
        </w:tc>
        <w:tc>
          <w:tcPr>
            <w:tcW w:w="1215" w:type="dxa"/>
            <w:noWrap w:val="0"/>
            <w:vAlign w:val="center"/>
          </w:tcPr>
          <w:p w14:paraId="07D84D3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刚果红</w:t>
            </w:r>
          </w:p>
        </w:tc>
        <w:tc>
          <w:tcPr>
            <w:tcW w:w="804" w:type="dxa"/>
            <w:noWrap w:val="0"/>
            <w:vAlign w:val="center"/>
          </w:tcPr>
          <w:p w14:paraId="0045B6B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2211130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6351" w:type="dxa"/>
            <w:noWrap w:val="0"/>
            <w:vAlign w:val="center"/>
          </w:tcPr>
          <w:p w14:paraId="2865B9E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2.每瓶25g</w:t>
            </w:r>
          </w:p>
        </w:tc>
      </w:tr>
      <w:tr w14:paraId="0695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BD55868">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82</w:t>
            </w:r>
          </w:p>
        </w:tc>
        <w:tc>
          <w:tcPr>
            <w:tcW w:w="1215" w:type="dxa"/>
            <w:noWrap w:val="0"/>
            <w:vAlign w:val="center"/>
          </w:tcPr>
          <w:p w14:paraId="2EAAF09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考马斯亮蓝</w:t>
            </w:r>
          </w:p>
        </w:tc>
        <w:tc>
          <w:tcPr>
            <w:tcW w:w="804" w:type="dxa"/>
            <w:noWrap w:val="0"/>
            <w:vAlign w:val="center"/>
          </w:tcPr>
          <w:p w14:paraId="7E53EA7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07A91A2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541E77E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2.每瓶10g</w:t>
            </w:r>
          </w:p>
        </w:tc>
      </w:tr>
      <w:tr w14:paraId="4284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84FB289">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83</w:t>
            </w:r>
          </w:p>
        </w:tc>
        <w:tc>
          <w:tcPr>
            <w:tcW w:w="1215" w:type="dxa"/>
            <w:noWrap w:val="0"/>
            <w:vAlign w:val="center"/>
          </w:tcPr>
          <w:p w14:paraId="3678132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溴麝香草酚蓝</w:t>
            </w:r>
          </w:p>
        </w:tc>
        <w:tc>
          <w:tcPr>
            <w:tcW w:w="804" w:type="dxa"/>
            <w:noWrap w:val="0"/>
            <w:vAlign w:val="center"/>
          </w:tcPr>
          <w:p w14:paraId="0270B68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3FC4804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6351" w:type="dxa"/>
            <w:noWrap w:val="0"/>
            <w:vAlign w:val="center"/>
          </w:tcPr>
          <w:p w14:paraId="27C723A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2.每瓶25g</w:t>
            </w:r>
          </w:p>
        </w:tc>
      </w:tr>
      <w:tr w14:paraId="00A8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CF9B2A9">
            <w:pPr>
              <w:keepNext w:val="0"/>
              <w:keepLines w:val="0"/>
              <w:pageBreakBefore w:val="0"/>
              <w:widowControl/>
              <w:numPr>
                <w:ilvl w:val="0"/>
                <w:numId w:val="5"/>
              </w:numPr>
              <w:suppressLineNumbers w:val="0"/>
              <w:kinsoku/>
              <w:wordWrap/>
              <w:overflowPunct/>
              <w:topLinePunct w:val="0"/>
              <w:bidi w:val="0"/>
              <w:spacing w:line="440" w:lineRule="exact"/>
              <w:ind w:left="425" w:leftChars="0" w:hanging="425"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184</w:t>
            </w:r>
          </w:p>
        </w:tc>
        <w:tc>
          <w:tcPr>
            <w:tcW w:w="1215" w:type="dxa"/>
            <w:noWrap w:val="0"/>
            <w:vAlign w:val="center"/>
          </w:tcPr>
          <w:p w14:paraId="0EAD2FB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乙醛</w:t>
            </w:r>
          </w:p>
        </w:tc>
        <w:tc>
          <w:tcPr>
            <w:tcW w:w="804" w:type="dxa"/>
            <w:noWrap w:val="0"/>
            <w:vAlign w:val="center"/>
          </w:tcPr>
          <w:p w14:paraId="0AAD1D5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毫升</w:t>
            </w:r>
          </w:p>
        </w:tc>
        <w:tc>
          <w:tcPr>
            <w:tcW w:w="765" w:type="dxa"/>
            <w:gridSpan w:val="2"/>
            <w:noWrap w:val="0"/>
            <w:vAlign w:val="center"/>
          </w:tcPr>
          <w:p w14:paraId="22D790B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1F88ED9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2.每瓶500ml</w:t>
            </w:r>
          </w:p>
        </w:tc>
      </w:tr>
      <w:tr w14:paraId="333A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BEB51FB">
            <w:pPr>
              <w:keepNext w:val="0"/>
              <w:keepLines w:val="0"/>
              <w:pageBreakBefore w:val="0"/>
              <w:widowControl/>
              <w:numPr>
                <w:ilvl w:val="0"/>
                <w:numId w:val="5"/>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198</w:t>
            </w:r>
          </w:p>
        </w:tc>
        <w:tc>
          <w:tcPr>
            <w:tcW w:w="1215" w:type="dxa"/>
            <w:noWrap w:val="0"/>
            <w:vAlign w:val="center"/>
          </w:tcPr>
          <w:p w14:paraId="7CCEFDD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乙酸乙酯</w:t>
            </w:r>
          </w:p>
        </w:tc>
        <w:tc>
          <w:tcPr>
            <w:tcW w:w="804" w:type="dxa"/>
            <w:noWrap w:val="0"/>
            <w:vAlign w:val="center"/>
          </w:tcPr>
          <w:p w14:paraId="3E444C8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毫升</w:t>
            </w:r>
          </w:p>
        </w:tc>
        <w:tc>
          <w:tcPr>
            <w:tcW w:w="765" w:type="dxa"/>
            <w:gridSpan w:val="2"/>
            <w:noWrap w:val="0"/>
            <w:vAlign w:val="center"/>
          </w:tcPr>
          <w:p w14:paraId="183F3B9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626E90C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1.为实验用试剂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2.每瓶500ml</w:t>
            </w:r>
          </w:p>
        </w:tc>
      </w:tr>
      <w:tr w14:paraId="4683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588E212">
            <w:pPr>
              <w:keepNext w:val="0"/>
              <w:keepLines w:val="0"/>
              <w:pageBreakBefore w:val="0"/>
              <w:widowControl/>
              <w:numPr>
                <w:ilvl w:val="0"/>
                <w:numId w:val="5"/>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201</w:t>
            </w:r>
          </w:p>
        </w:tc>
        <w:tc>
          <w:tcPr>
            <w:tcW w:w="1215" w:type="dxa"/>
            <w:noWrap w:val="0"/>
            <w:vAlign w:val="center"/>
          </w:tcPr>
          <w:p w14:paraId="76964AA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载玻片</w:t>
            </w:r>
          </w:p>
        </w:tc>
        <w:tc>
          <w:tcPr>
            <w:tcW w:w="804" w:type="dxa"/>
            <w:noWrap w:val="0"/>
            <w:vAlign w:val="center"/>
          </w:tcPr>
          <w:p w14:paraId="4913F42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盒</w:t>
            </w:r>
          </w:p>
        </w:tc>
        <w:tc>
          <w:tcPr>
            <w:tcW w:w="765" w:type="dxa"/>
            <w:gridSpan w:val="2"/>
            <w:noWrap w:val="0"/>
            <w:vAlign w:val="center"/>
          </w:tcPr>
          <w:p w14:paraId="29559CE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6351" w:type="dxa"/>
            <w:noWrap w:val="0"/>
            <w:vAlign w:val="center"/>
          </w:tcPr>
          <w:p w14:paraId="767F774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1.为玻璃制品，每盒50片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2.每片尺寸为：76*25mm，壁厚不低于0.8mm</w:t>
            </w:r>
          </w:p>
        </w:tc>
      </w:tr>
      <w:tr w14:paraId="3F918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1598BB0">
            <w:pPr>
              <w:keepNext w:val="0"/>
              <w:keepLines w:val="0"/>
              <w:pageBreakBefore w:val="0"/>
              <w:widowControl/>
              <w:numPr>
                <w:ilvl w:val="0"/>
                <w:numId w:val="5"/>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w:t>
            </w:r>
          </w:p>
        </w:tc>
        <w:tc>
          <w:tcPr>
            <w:tcW w:w="1215" w:type="dxa"/>
            <w:noWrap w:val="0"/>
            <w:vAlign w:val="center"/>
          </w:tcPr>
          <w:p w14:paraId="0CDFB3D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盖玻片</w:t>
            </w:r>
          </w:p>
        </w:tc>
        <w:tc>
          <w:tcPr>
            <w:tcW w:w="804" w:type="dxa"/>
            <w:noWrap w:val="0"/>
            <w:vAlign w:val="center"/>
          </w:tcPr>
          <w:p w14:paraId="4FAD4F0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w:t>
            </w:r>
          </w:p>
        </w:tc>
        <w:tc>
          <w:tcPr>
            <w:tcW w:w="765" w:type="dxa"/>
            <w:gridSpan w:val="2"/>
            <w:noWrap w:val="0"/>
            <w:vAlign w:val="center"/>
          </w:tcPr>
          <w:p w14:paraId="773D060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6351" w:type="dxa"/>
            <w:noWrap w:val="0"/>
            <w:vAlign w:val="center"/>
          </w:tcPr>
          <w:p w14:paraId="0ACDDEF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1.为玻璃制品，每盒不少于30片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2.每片尺寸为：18*18mm，壁厚0.15mm</w:t>
            </w:r>
          </w:p>
        </w:tc>
      </w:tr>
      <w:tr w14:paraId="6B91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2452DEE">
            <w:pPr>
              <w:keepNext w:val="0"/>
              <w:keepLines w:val="0"/>
              <w:pageBreakBefore w:val="0"/>
              <w:widowControl/>
              <w:numPr>
                <w:ilvl w:val="0"/>
                <w:numId w:val="5"/>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203</w:t>
            </w:r>
          </w:p>
        </w:tc>
        <w:tc>
          <w:tcPr>
            <w:tcW w:w="1215" w:type="dxa"/>
            <w:noWrap w:val="0"/>
            <w:vAlign w:val="center"/>
          </w:tcPr>
          <w:p w14:paraId="222C225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组织培养基(MS)试剂</w:t>
            </w:r>
          </w:p>
        </w:tc>
        <w:tc>
          <w:tcPr>
            <w:tcW w:w="804" w:type="dxa"/>
            <w:noWrap w:val="0"/>
            <w:vAlign w:val="center"/>
          </w:tcPr>
          <w:p w14:paraId="083483E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CEBB0A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DFEA47A">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bCs/>
                <w:color w:val="auto"/>
                <w:sz w:val="21"/>
                <w:szCs w:val="21"/>
                <w:shd w:val="clear" w:color="auto" w:fill="FFFFFF"/>
              </w:rPr>
              <w:t>试剂</w:t>
            </w:r>
          </w:p>
        </w:tc>
      </w:tr>
      <w:tr w14:paraId="2A5DF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1EB83A5">
            <w:pPr>
              <w:keepNext w:val="0"/>
              <w:keepLines w:val="0"/>
              <w:pageBreakBefore w:val="0"/>
              <w:widowControl/>
              <w:numPr>
                <w:ilvl w:val="0"/>
                <w:numId w:val="5"/>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205</w:t>
            </w:r>
          </w:p>
        </w:tc>
        <w:tc>
          <w:tcPr>
            <w:tcW w:w="1215" w:type="dxa"/>
            <w:noWrap w:val="0"/>
            <w:vAlign w:val="center"/>
          </w:tcPr>
          <w:p w14:paraId="1A5CCFE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氯化钙(CaCl</w:t>
            </w:r>
            <w:r>
              <w:rPr>
                <w:rFonts w:hint="eastAsia" w:ascii="宋体" w:hAnsi="宋体" w:eastAsia="宋体" w:cs="宋体"/>
                <w:i w:val="0"/>
                <w:iCs w:val="0"/>
                <w:color w:val="auto"/>
                <w:kern w:val="0"/>
                <w:sz w:val="21"/>
                <w:szCs w:val="21"/>
                <w:u w:val="none"/>
                <w:vertAlign w:val="subscript"/>
                <w:lang w:val="en-US" w:eastAsia="zh-CN" w:bidi="ar"/>
              </w:rPr>
              <w:t>2</w:t>
            </w:r>
            <w:r>
              <w:rPr>
                <w:rFonts w:hint="eastAsia" w:ascii="宋体" w:hAnsi="宋体" w:eastAsia="宋体" w:cs="宋体"/>
                <w:i w:val="0"/>
                <w:iCs w:val="0"/>
                <w:color w:val="auto"/>
                <w:kern w:val="0"/>
                <w:sz w:val="21"/>
                <w:szCs w:val="21"/>
                <w:u w:val="none"/>
                <w:lang w:val="en-US" w:eastAsia="zh-CN" w:bidi="ar"/>
              </w:rPr>
              <w:t>·2H</w:t>
            </w:r>
            <w:r>
              <w:rPr>
                <w:rFonts w:hint="eastAsia" w:ascii="宋体" w:hAnsi="宋体" w:eastAsia="宋体" w:cs="宋体"/>
                <w:i w:val="0"/>
                <w:iCs w:val="0"/>
                <w:color w:val="auto"/>
                <w:kern w:val="0"/>
                <w:sz w:val="21"/>
                <w:szCs w:val="21"/>
                <w:u w:val="none"/>
                <w:vertAlign w:val="subscript"/>
                <w:lang w:val="en-US" w:eastAsia="zh-CN" w:bidi="ar"/>
              </w:rPr>
              <w:t>2</w:t>
            </w:r>
            <w:r>
              <w:rPr>
                <w:rFonts w:hint="eastAsia" w:ascii="宋体" w:hAnsi="宋体" w:eastAsia="宋体" w:cs="宋体"/>
                <w:i w:val="0"/>
                <w:iCs w:val="0"/>
                <w:color w:val="auto"/>
                <w:kern w:val="0"/>
                <w:sz w:val="21"/>
                <w:szCs w:val="21"/>
                <w:u w:val="none"/>
                <w:lang w:val="en-US" w:eastAsia="zh-CN" w:bidi="ar"/>
              </w:rPr>
              <w:t>O)</w:t>
            </w:r>
          </w:p>
        </w:tc>
        <w:tc>
          <w:tcPr>
            <w:tcW w:w="804" w:type="dxa"/>
            <w:noWrap w:val="0"/>
            <w:vAlign w:val="center"/>
          </w:tcPr>
          <w:p w14:paraId="5660B18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11F02A7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0F3916A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1.为组织培养基(MS)试剂氯化钙(CaCl2·2H2O)</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5405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B432263">
            <w:pPr>
              <w:keepNext w:val="0"/>
              <w:keepLines w:val="0"/>
              <w:pageBreakBefore w:val="0"/>
              <w:widowControl/>
              <w:numPr>
                <w:ilvl w:val="0"/>
                <w:numId w:val="5"/>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206</w:t>
            </w:r>
          </w:p>
        </w:tc>
        <w:tc>
          <w:tcPr>
            <w:tcW w:w="1215" w:type="dxa"/>
            <w:noWrap w:val="0"/>
            <w:vAlign w:val="center"/>
          </w:tcPr>
          <w:p w14:paraId="072B22B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硫酸镁(MgSO</w:t>
            </w:r>
            <w:r>
              <w:rPr>
                <w:rFonts w:hint="eastAsia" w:ascii="宋体" w:hAnsi="宋体" w:eastAsia="宋体" w:cs="宋体"/>
                <w:i w:val="0"/>
                <w:iCs w:val="0"/>
                <w:color w:val="auto"/>
                <w:kern w:val="0"/>
                <w:sz w:val="21"/>
                <w:szCs w:val="21"/>
                <w:u w:val="none"/>
                <w:vertAlign w:val="subscript"/>
                <w:lang w:val="en-US" w:eastAsia="zh-CN" w:bidi="ar"/>
              </w:rPr>
              <w:t>4</w:t>
            </w:r>
            <w:r>
              <w:rPr>
                <w:rFonts w:hint="eastAsia" w:ascii="宋体" w:hAnsi="宋体" w:eastAsia="宋体" w:cs="宋体"/>
                <w:i w:val="0"/>
                <w:iCs w:val="0"/>
                <w:color w:val="auto"/>
                <w:kern w:val="0"/>
                <w:sz w:val="21"/>
                <w:szCs w:val="21"/>
                <w:u w:val="none"/>
                <w:lang w:val="en-US" w:eastAsia="zh-CN" w:bidi="ar"/>
              </w:rPr>
              <w:t>·7H</w:t>
            </w:r>
            <w:r>
              <w:rPr>
                <w:rFonts w:hint="eastAsia" w:ascii="宋体" w:hAnsi="宋体" w:eastAsia="宋体" w:cs="宋体"/>
                <w:i w:val="0"/>
                <w:iCs w:val="0"/>
                <w:color w:val="auto"/>
                <w:kern w:val="0"/>
                <w:sz w:val="21"/>
                <w:szCs w:val="21"/>
                <w:u w:val="none"/>
                <w:vertAlign w:val="subscript"/>
                <w:lang w:val="en-US" w:eastAsia="zh-CN" w:bidi="ar"/>
              </w:rPr>
              <w:t>2</w:t>
            </w:r>
            <w:r>
              <w:rPr>
                <w:rFonts w:hint="eastAsia" w:ascii="宋体" w:hAnsi="宋体" w:eastAsia="宋体" w:cs="宋体"/>
                <w:i w:val="0"/>
                <w:iCs w:val="0"/>
                <w:color w:val="auto"/>
                <w:kern w:val="0"/>
                <w:sz w:val="21"/>
                <w:szCs w:val="21"/>
                <w:u w:val="none"/>
                <w:lang w:val="en-US" w:eastAsia="zh-CN" w:bidi="ar"/>
              </w:rPr>
              <w:t>O)</w:t>
            </w:r>
          </w:p>
        </w:tc>
        <w:tc>
          <w:tcPr>
            <w:tcW w:w="804" w:type="dxa"/>
            <w:noWrap w:val="0"/>
            <w:vAlign w:val="center"/>
          </w:tcPr>
          <w:p w14:paraId="5BA67B3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3C6EC7D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7593412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1.为组织培养基(MS)试剂硫酸镁(MgSO4·7H2O)</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566E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CCE72A5">
            <w:pPr>
              <w:keepNext w:val="0"/>
              <w:keepLines w:val="0"/>
              <w:pageBreakBefore w:val="0"/>
              <w:widowControl/>
              <w:numPr>
                <w:ilvl w:val="0"/>
                <w:numId w:val="5"/>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207</w:t>
            </w:r>
          </w:p>
        </w:tc>
        <w:tc>
          <w:tcPr>
            <w:tcW w:w="1215" w:type="dxa"/>
            <w:noWrap w:val="0"/>
            <w:vAlign w:val="center"/>
          </w:tcPr>
          <w:p w14:paraId="011DC02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磷酸二氢钾(KH</w:t>
            </w:r>
            <w:r>
              <w:rPr>
                <w:rFonts w:hint="eastAsia" w:ascii="宋体" w:hAnsi="宋体" w:eastAsia="宋体" w:cs="宋体"/>
                <w:i w:val="0"/>
                <w:iCs w:val="0"/>
                <w:color w:val="auto"/>
                <w:kern w:val="0"/>
                <w:sz w:val="21"/>
                <w:szCs w:val="21"/>
                <w:u w:val="none"/>
                <w:vertAlign w:val="subscript"/>
                <w:lang w:val="en-US" w:eastAsia="zh-CN" w:bidi="ar"/>
              </w:rPr>
              <w:t>2</w:t>
            </w:r>
            <w:r>
              <w:rPr>
                <w:rFonts w:hint="eastAsia" w:ascii="宋体" w:hAnsi="宋体" w:eastAsia="宋体" w:cs="宋体"/>
                <w:i w:val="0"/>
                <w:iCs w:val="0"/>
                <w:color w:val="auto"/>
                <w:kern w:val="0"/>
                <w:sz w:val="21"/>
                <w:szCs w:val="21"/>
                <w:u w:val="none"/>
                <w:lang w:val="en-US" w:eastAsia="zh-CN" w:bidi="ar"/>
              </w:rPr>
              <w:t>PO</w:t>
            </w:r>
            <w:r>
              <w:rPr>
                <w:rFonts w:hint="eastAsia" w:ascii="宋体" w:hAnsi="宋体" w:eastAsia="宋体" w:cs="宋体"/>
                <w:i w:val="0"/>
                <w:iCs w:val="0"/>
                <w:color w:val="auto"/>
                <w:kern w:val="0"/>
                <w:sz w:val="21"/>
                <w:szCs w:val="21"/>
                <w:u w:val="none"/>
                <w:vertAlign w:val="subscript"/>
                <w:lang w:val="en-US" w:eastAsia="zh-CN" w:bidi="ar"/>
              </w:rPr>
              <w:t>4</w:t>
            </w:r>
            <w:r>
              <w:rPr>
                <w:rFonts w:hint="eastAsia" w:ascii="宋体" w:hAnsi="宋体" w:eastAsia="宋体" w:cs="宋体"/>
                <w:i w:val="0"/>
                <w:iCs w:val="0"/>
                <w:color w:val="auto"/>
                <w:kern w:val="0"/>
                <w:sz w:val="21"/>
                <w:szCs w:val="21"/>
                <w:u w:val="none"/>
                <w:lang w:val="en-US" w:eastAsia="zh-CN" w:bidi="ar"/>
              </w:rPr>
              <w:t>)</w:t>
            </w:r>
          </w:p>
        </w:tc>
        <w:tc>
          <w:tcPr>
            <w:tcW w:w="804" w:type="dxa"/>
            <w:noWrap w:val="0"/>
            <w:vAlign w:val="center"/>
          </w:tcPr>
          <w:p w14:paraId="3088F96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415683D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2BF5F3A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1.为组织培养基(MS)试剂磷酸二氢钾(KH2PO4)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770E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25AA354">
            <w:pPr>
              <w:keepNext w:val="0"/>
              <w:keepLines w:val="0"/>
              <w:pageBreakBefore w:val="0"/>
              <w:widowControl/>
              <w:numPr>
                <w:ilvl w:val="0"/>
                <w:numId w:val="5"/>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208</w:t>
            </w:r>
          </w:p>
        </w:tc>
        <w:tc>
          <w:tcPr>
            <w:tcW w:w="1215" w:type="dxa"/>
            <w:noWrap w:val="0"/>
            <w:vAlign w:val="center"/>
          </w:tcPr>
          <w:p w14:paraId="4C03A12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碘化钾(KI)</w:t>
            </w:r>
          </w:p>
        </w:tc>
        <w:tc>
          <w:tcPr>
            <w:tcW w:w="804" w:type="dxa"/>
            <w:noWrap w:val="0"/>
            <w:vAlign w:val="center"/>
          </w:tcPr>
          <w:p w14:paraId="50A7892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7DBF7C7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30B187F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1.为组织培养基(MS)试剂碘化钾(KI)</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6E5B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8FE3D0C">
            <w:pPr>
              <w:keepNext w:val="0"/>
              <w:keepLines w:val="0"/>
              <w:pageBreakBefore w:val="0"/>
              <w:widowControl/>
              <w:numPr>
                <w:ilvl w:val="0"/>
                <w:numId w:val="5"/>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209</w:t>
            </w:r>
          </w:p>
        </w:tc>
        <w:tc>
          <w:tcPr>
            <w:tcW w:w="1215" w:type="dxa"/>
            <w:noWrap w:val="0"/>
            <w:vAlign w:val="center"/>
          </w:tcPr>
          <w:p w14:paraId="0FEC031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硼酸(H</w:t>
            </w:r>
            <w:r>
              <w:rPr>
                <w:rFonts w:hint="eastAsia" w:ascii="宋体" w:hAnsi="宋体" w:eastAsia="宋体" w:cs="宋体"/>
                <w:i w:val="0"/>
                <w:iCs w:val="0"/>
                <w:color w:val="auto"/>
                <w:kern w:val="0"/>
                <w:sz w:val="21"/>
                <w:szCs w:val="21"/>
                <w:u w:val="none"/>
                <w:vertAlign w:val="subscript"/>
                <w:lang w:val="en-US" w:eastAsia="zh-CN" w:bidi="ar"/>
              </w:rPr>
              <w:t>3</w:t>
            </w:r>
            <w:r>
              <w:rPr>
                <w:rFonts w:hint="eastAsia" w:ascii="宋体" w:hAnsi="宋体" w:eastAsia="宋体" w:cs="宋体"/>
                <w:i w:val="0"/>
                <w:iCs w:val="0"/>
                <w:color w:val="auto"/>
                <w:kern w:val="0"/>
                <w:sz w:val="21"/>
                <w:szCs w:val="21"/>
                <w:u w:val="none"/>
                <w:lang w:val="en-US" w:eastAsia="zh-CN" w:bidi="ar"/>
              </w:rPr>
              <w:t>BO</w:t>
            </w:r>
            <w:r>
              <w:rPr>
                <w:rFonts w:hint="eastAsia" w:ascii="宋体" w:hAnsi="宋体" w:eastAsia="宋体" w:cs="宋体"/>
                <w:i w:val="0"/>
                <w:iCs w:val="0"/>
                <w:color w:val="auto"/>
                <w:kern w:val="0"/>
                <w:sz w:val="21"/>
                <w:szCs w:val="21"/>
                <w:u w:val="none"/>
                <w:vertAlign w:val="subscript"/>
                <w:lang w:val="en-US" w:eastAsia="zh-CN" w:bidi="ar"/>
              </w:rPr>
              <w:t>3</w:t>
            </w:r>
            <w:r>
              <w:rPr>
                <w:rFonts w:hint="eastAsia" w:ascii="宋体" w:hAnsi="宋体" w:eastAsia="宋体" w:cs="宋体"/>
                <w:i w:val="0"/>
                <w:iCs w:val="0"/>
                <w:color w:val="auto"/>
                <w:kern w:val="0"/>
                <w:sz w:val="21"/>
                <w:szCs w:val="21"/>
                <w:u w:val="none"/>
                <w:lang w:val="en-US" w:eastAsia="zh-CN" w:bidi="ar"/>
              </w:rPr>
              <w:t>)</w:t>
            </w:r>
          </w:p>
        </w:tc>
        <w:tc>
          <w:tcPr>
            <w:tcW w:w="804" w:type="dxa"/>
            <w:noWrap w:val="0"/>
            <w:vAlign w:val="center"/>
          </w:tcPr>
          <w:p w14:paraId="431DF53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75BE493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2FC84C7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1.为组织培养基(MS)试剂硼酸(H3BO3)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7E07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D5BDD55">
            <w:pPr>
              <w:keepNext w:val="0"/>
              <w:keepLines w:val="0"/>
              <w:pageBreakBefore w:val="0"/>
              <w:widowControl/>
              <w:numPr>
                <w:ilvl w:val="0"/>
                <w:numId w:val="5"/>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210</w:t>
            </w:r>
          </w:p>
        </w:tc>
        <w:tc>
          <w:tcPr>
            <w:tcW w:w="1215" w:type="dxa"/>
            <w:noWrap w:val="0"/>
            <w:vAlign w:val="center"/>
          </w:tcPr>
          <w:p w14:paraId="6591066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硫酸锰(MnSO4·4H2O)</w:t>
            </w:r>
          </w:p>
        </w:tc>
        <w:tc>
          <w:tcPr>
            <w:tcW w:w="804" w:type="dxa"/>
            <w:noWrap w:val="0"/>
            <w:vAlign w:val="center"/>
          </w:tcPr>
          <w:p w14:paraId="31232C4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01C9AB0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3B0ECC9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1.为组织培养基(MS)试剂硫酸锰(MnSO4·4H2O)</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0F50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59C3535">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211</w:t>
            </w:r>
          </w:p>
        </w:tc>
        <w:tc>
          <w:tcPr>
            <w:tcW w:w="1215" w:type="dxa"/>
            <w:noWrap w:val="0"/>
            <w:vAlign w:val="center"/>
          </w:tcPr>
          <w:p w14:paraId="0EE6DBC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硫酸锌(ZnSO4·7H2O)</w:t>
            </w:r>
          </w:p>
        </w:tc>
        <w:tc>
          <w:tcPr>
            <w:tcW w:w="804" w:type="dxa"/>
            <w:noWrap w:val="0"/>
            <w:vAlign w:val="center"/>
          </w:tcPr>
          <w:p w14:paraId="2297302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2DAB329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0816750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1.为组织培养基(MS)试剂硫酸锌(ZnSO4·7H2O)</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7E38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6C1C567">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212</w:t>
            </w:r>
          </w:p>
        </w:tc>
        <w:tc>
          <w:tcPr>
            <w:tcW w:w="1215" w:type="dxa"/>
            <w:noWrap w:val="0"/>
            <w:vAlign w:val="center"/>
          </w:tcPr>
          <w:p w14:paraId="02D0710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钼酸钠(Na2MoO4·2H2O)</w:t>
            </w:r>
          </w:p>
        </w:tc>
        <w:tc>
          <w:tcPr>
            <w:tcW w:w="804" w:type="dxa"/>
            <w:noWrap w:val="0"/>
            <w:vAlign w:val="center"/>
          </w:tcPr>
          <w:p w14:paraId="39BEE64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11E5ACC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1603DE7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1.为组织培养基(MS)试剂钼酸钠(Na2MoO4·2H2O)</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3D1D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4CF5195">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213</w:t>
            </w:r>
          </w:p>
        </w:tc>
        <w:tc>
          <w:tcPr>
            <w:tcW w:w="1215" w:type="dxa"/>
            <w:noWrap w:val="0"/>
            <w:vAlign w:val="center"/>
          </w:tcPr>
          <w:p w14:paraId="5758772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硫酸铜(CuSO4·5H2O)</w:t>
            </w:r>
          </w:p>
        </w:tc>
        <w:tc>
          <w:tcPr>
            <w:tcW w:w="804" w:type="dxa"/>
            <w:noWrap w:val="0"/>
            <w:vAlign w:val="center"/>
          </w:tcPr>
          <w:p w14:paraId="2FCE123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633A645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5BAF0A5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1.为组织培养基(MS)试剂硫酸铜(CuSO4·5H2O)</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5FF0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5021D3E">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214</w:t>
            </w:r>
          </w:p>
        </w:tc>
        <w:tc>
          <w:tcPr>
            <w:tcW w:w="1215" w:type="dxa"/>
            <w:noWrap w:val="0"/>
            <w:vAlign w:val="center"/>
          </w:tcPr>
          <w:p w14:paraId="38D5CC2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氯化钴(CoCl2·6H2O)</w:t>
            </w:r>
          </w:p>
        </w:tc>
        <w:tc>
          <w:tcPr>
            <w:tcW w:w="804" w:type="dxa"/>
            <w:noWrap w:val="0"/>
            <w:vAlign w:val="center"/>
          </w:tcPr>
          <w:p w14:paraId="33CF73E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539897E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2F20CC3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1.为组织培养基(MS)试剂氯化钴(CoCl2·6H2O)</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2.每瓶100g</w:t>
            </w:r>
          </w:p>
        </w:tc>
      </w:tr>
      <w:tr w14:paraId="23FE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5A5EA88">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215</w:t>
            </w:r>
          </w:p>
        </w:tc>
        <w:tc>
          <w:tcPr>
            <w:tcW w:w="1215" w:type="dxa"/>
            <w:noWrap w:val="0"/>
            <w:vAlign w:val="center"/>
          </w:tcPr>
          <w:p w14:paraId="21F0400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乙二胺四乙酸二钠(Na2-EDTA)</w:t>
            </w:r>
          </w:p>
        </w:tc>
        <w:tc>
          <w:tcPr>
            <w:tcW w:w="804" w:type="dxa"/>
            <w:noWrap w:val="0"/>
            <w:vAlign w:val="center"/>
          </w:tcPr>
          <w:p w14:paraId="05C4A6F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1604F65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3D55C32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1.为组织培养基(MS)试剂乙二胺四乙酸二钠(Na2-EDTA)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2.每瓶250g</w:t>
            </w:r>
          </w:p>
        </w:tc>
      </w:tr>
      <w:tr w14:paraId="7E26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B320E0C">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216</w:t>
            </w:r>
          </w:p>
        </w:tc>
        <w:tc>
          <w:tcPr>
            <w:tcW w:w="1215" w:type="dxa"/>
            <w:noWrap w:val="0"/>
            <w:vAlign w:val="center"/>
          </w:tcPr>
          <w:p w14:paraId="5392E5E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硫酸铁(FeSO4·7H2O)</w:t>
            </w:r>
          </w:p>
        </w:tc>
        <w:tc>
          <w:tcPr>
            <w:tcW w:w="804" w:type="dxa"/>
            <w:noWrap w:val="0"/>
            <w:vAlign w:val="center"/>
          </w:tcPr>
          <w:p w14:paraId="753E4C0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5C9B412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6D42592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1.为组织培养基(MS)试剂硫酸铁(FeSO4·7H2O)</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71F7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C823DB2">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217</w:t>
            </w:r>
          </w:p>
        </w:tc>
        <w:tc>
          <w:tcPr>
            <w:tcW w:w="1215" w:type="dxa"/>
            <w:noWrap w:val="0"/>
            <w:vAlign w:val="center"/>
          </w:tcPr>
          <w:p w14:paraId="4E2611E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肌醇</w:t>
            </w:r>
          </w:p>
        </w:tc>
        <w:tc>
          <w:tcPr>
            <w:tcW w:w="804" w:type="dxa"/>
            <w:noWrap w:val="0"/>
            <w:vAlign w:val="center"/>
          </w:tcPr>
          <w:p w14:paraId="62FC697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4700C16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6351" w:type="dxa"/>
            <w:noWrap w:val="0"/>
            <w:vAlign w:val="center"/>
          </w:tcPr>
          <w:p w14:paraId="4063719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1.为组织培养基(MS)试剂肌醇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2.每瓶25g</w:t>
            </w:r>
          </w:p>
        </w:tc>
      </w:tr>
      <w:tr w14:paraId="1536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A6DA4D2">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218</w:t>
            </w:r>
          </w:p>
        </w:tc>
        <w:tc>
          <w:tcPr>
            <w:tcW w:w="1215" w:type="dxa"/>
            <w:noWrap w:val="0"/>
            <w:vAlign w:val="center"/>
          </w:tcPr>
          <w:p w14:paraId="27CF30C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烟酸</w:t>
            </w:r>
          </w:p>
        </w:tc>
        <w:tc>
          <w:tcPr>
            <w:tcW w:w="804" w:type="dxa"/>
            <w:noWrap w:val="0"/>
            <w:vAlign w:val="center"/>
          </w:tcPr>
          <w:p w14:paraId="7C4610F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55F9AE0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6351" w:type="dxa"/>
            <w:noWrap w:val="0"/>
            <w:vAlign w:val="center"/>
          </w:tcPr>
          <w:p w14:paraId="73460C4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1.为组织培养基(MS)试剂烟酸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2.每瓶25g</w:t>
            </w:r>
          </w:p>
        </w:tc>
      </w:tr>
      <w:tr w14:paraId="7158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CD6AAA0">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219</w:t>
            </w:r>
          </w:p>
        </w:tc>
        <w:tc>
          <w:tcPr>
            <w:tcW w:w="1215" w:type="dxa"/>
            <w:noWrap w:val="0"/>
            <w:vAlign w:val="center"/>
          </w:tcPr>
          <w:p w14:paraId="7C6F577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吡哆辛盐酸</w:t>
            </w:r>
          </w:p>
        </w:tc>
        <w:tc>
          <w:tcPr>
            <w:tcW w:w="804" w:type="dxa"/>
            <w:noWrap w:val="0"/>
            <w:vAlign w:val="center"/>
          </w:tcPr>
          <w:p w14:paraId="07EC51A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5B679AA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6351" w:type="dxa"/>
            <w:noWrap w:val="0"/>
            <w:vAlign w:val="center"/>
          </w:tcPr>
          <w:p w14:paraId="563C1D9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1.为组织培养基(MS)试剂吡哆辛盐酸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2.每瓶25g</w:t>
            </w:r>
          </w:p>
        </w:tc>
      </w:tr>
      <w:tr w14:paraId="594D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FFF2990">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220</w:t>
            </w:r>
          </w:p>
        </w:tc>
        <w:tc>
          <w:tcPr>
            <w:tcW w:w="1215" w:type="dxa"/>
            <w:noWrap w:val="0"/>
            <w:vAlign w:val="center"/>
          </w:tcPr>
          <w:p w14:paraId="0F55D48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盐酸硫胺(盐酸硫胺素)</w:t>
            </w:r>
          </w:p>
        </w:tc>
        <w:tc>
          <w:tcPr>
            <w:tcW w:w="804" w:type="dxa"/>
            <w:noWrap w:val="0"/>
            <w:vAlign w:val="center"/>
          </w:tcPr>
          <w:p w14:paraId="6264E9C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1D7CD1C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6351" w:type="dxa"/>
            <w:noWrap w:val="0"/>
            <w:vAlign w:val="center"/>
          </w:tcPr>
          <w:p w14:paraId="423EEAE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1.为组织培养基(MS)试剂盐酸硫胺(盐酸硫胺素)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2.每瓶25g</w:t>
            </w:r>
          </w:p>
        </w:tc>
      </w:tr>
      <w:tr w14:paraId="0737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B60A8EB">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221</w:t>
            </w:r>
          </w:p>
        </w:tc>
        <w:tc>
          <w:tcPr>
            <w:tcW w:w="1215" w:type="dxa"/>
            <w:noWrap w:val="0"/>
            <w:vAlign w:val="center"/>
          </w:tcPr>
          <w:p w14:paraId="4BF5EA2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甘氨酸</w:t>
            </w:r>
          </w:p>
        </w:tc>
        <w:tc>
          <w:tcPr>
            <w:tcW w:w="804" w:type="dxa"/>
            <w:noWrap w:val="0"/>
            <w:vAlign w:val="center"/>
          </w:tcPr>
          <w:p w14:paraId="2BA8F68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339870C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6351" w:type="dxa"/>
            <w:noWrap w:val="0"/>
            <w:vAlign w:val="center"/>
          </w:tcPr>
          <w:p w14:paraId="3D4E797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1.为组织培养基(MS)试剂甘氨酸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2.每瓶100g</w:t>
            </w:r>
          </w:p>
        </w:tc>
      </w:tr>
      <w:tr w14:paraId="6B00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7111B22">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222</w:t>
            </w:r>
          </w:p>
        </w:tc>
        <w:tc>
          <w:tcPr>
            <w:tcW w:w="1215" w:type="dxa"/>
            <w:noWrap w:val="0"/>
            <w:vAlign w:val="center"/>
          </w:tcPr>
          <w:p w14:paraId="5AA6FB7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6-苄基腺嘌呤(6-BA)</w:t>
            </w:r>
          </w:p>
        </w:tc>
        <w:tc>
          <w:tcPr>
            <w:tcW w:w="804" w:type="dxa"/>
            <w:noWrap w:val="0"/>
            <w:vAlign w:val="center"/>
          </w:tcPr>
          <w:p w14:paraId="6FC38CA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56780BE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A859A2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1.为组织培养基(MS)试剂6-苄基腺嘌呤(6-BA)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2.每瓶1g</w:t>
            </w:r>
          </w:p>
        </w:tc>
      </w:tr>
      <w:tr w14:paraId="0329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694DD9D">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223</w:t>
            </w:r>
          </w:p>
        </w:tc>
        <w:tc>
          <w:tcPr>
            <w:tcW w:w="1215" w:type="dxa"/>
            <w:noWrap w:val="0"/>
            <w:vAlign w:val="center"/>
          </w:tcPr>
          <w:p w14:paraId="1E93CF3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萘乙酸(NAA)</w:t>
            </w:r>
          </w:p>
        </w:tc>
        <w:tc>
          <w:tcPr>
            <w:tcW w:w="804" w:type="dxa"/>
            <w:noWrap w:val="0"/>
            <w:vAlign w:val="center"/>
          </w:tcPr>
          <w:p w14:paraId="7479068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7B63790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6351" w:type="dxa"/>
            <w:noWrap w:val="0"/>
            <w:vAlign w:val="center"/>
          </w:tcPr>
          <w:p w14:paraId="2BF1168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1.为组织培养基(MS)试剂萘乙酸(NAA)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2.每瓶25g</w:t>
            </w:r>
          </w:p>
        </w:tc>
      </w:tr>
      <w:tr w14:paraId="483F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1F969DA">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224</w:t>
            </w:r>
          </w:p>
        </w:tc>
        <w:tc>
          <w:tcPr>
            <w:tcW w:w="1215" w:type="dxa"/>
            <w:noWrap w:val="0"/>
            <w:vAlign w:val="center"/>
          </w:tcPr>
          <w:p w14:paraId="693C8C3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赤霉酸(GA3)</w:t>
            </w:r>
          </w:p>
        </w:tc>
        <w:tc>
          <w:tcPr>
            <w:tcW w:w="804" w:type="dxa"/>
            <w:noWrap w:val="0"/>
            <w:vAlign w:val="center"/>
          </w:tcPr>
          <w:p w14:paraId="14CE88E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3FE88CC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4476C1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1.为组织培养基(MS)试剂赤霉酸(GA3)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2.每瓶1g</w:t>
            </w:r>
          </w:p>
        </w:tc>
      </w:tr>
      <w:tr w14:paraId="2560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AF20F7A">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225</w:t>
            </w:r>
          </w:p>
        </w:tc>
        <w:tc>
          <w:tcPr>
            <w:tcW w:w="1215" w:type="dxa"/>
            <w:noWrap w:val="0"/>
            <w:vAlign w:val="center"/>
          </w:tcPr>
          <w:p w14:paraId="3D3D3DD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吲哚丁酸(IBA)</w:t>
            </w:r>
          </w:p>
        </w:tc>
        <w:tc>
          <w:tcPr>
            <w:tcW w:w="804" w:type="dxa"/>
            <w:noWrap w:val="0"/>
            <w:vAlign w:val="center"/>
          </w:tcPr>
          <w:p w14:paraId="0D085AF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0EADD70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3C9563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1.为组织培养基(MS)试剂吲哚丁酸(IBA)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2.每瓶1g</w:t>
            </w:r>
          </w:p>
        </w:tc>
      </w:tr>
      <w:tr w14:paraId="7AEF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88B5443">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226</w:t>
            </w:r>
          </w:p>
        </w:tc>
        <w:tc>
          <w:tcPr>
            <w:tcW w:w="1215" w:type="dxa"/>
            <w:noWrap w:val="0"/>
            <w:vAlign w:val="center"/>
          </w:tcPr>
          <w:p w14:paraId="513D49D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吲哚乙酸(IAA)</w:t>
            </w:r>
          </w:p>
        </w:tc>
        <w:tc>
          <w:tcPr>
            <w:tcW w:w="804" w:type="dxa"/>
            <w:noWrap w:val="0"/>
            <w:vAlign w:val="center"/>
          </w:tcPr>
          <w:p w14:paraId="1DD9D3D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4B13BEB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727881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1.为组织培养基(MS)试剂吲哚乙酸(IAA)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2.每瓶1g</w:t>
            </w:r>
          </w:p>
        </w:tc>
      </w:tr>
      <w:tr w14:paraId="6FBE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FDDAD24">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227</w:t>
            </w:r>
          </w:p>
        </w:tc>
        <w:tc>
          <w:tcPr>
            <w:tcW w:w="1215" w:type="dxa"/>
            <w:noWrap w:val="0"/>
            <w:vAlign w:val="center"/>
          </w:tcPr>
          <w:p w14:paraId="2F0A2AD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牛肉膏蛋白胨培养基试剂</w:t>
            </w:r>
          </w:p>
        </w:tc>
        <w:tc>
          <w:tcPr>
            <w:tcW w:w="804" w:type="dxa"/>
            <w:noWrap w:val="0"/>
            <w:vAlign w:val="center"/>
          </w:tcPr>
          <w:p w14:paraId="556C479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9D4445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D8768A4">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000000"/>
                <w:kern w:val="0"/>
                <w:sz w:val="22"/>
                <w:szCs w:val="22"/>
                <w:u w:val="none"/>
                <w:lang w:val="en-US" w:eastAsia="zh-CN" w:bidi="ar"/>
              </w:rPr>
              <w:t>是一种应用十分广泛的天然培养基，其中的牛肉膏为微生物提供碳源、磷酸盐和维生素，蛋白胨主要提供氮源和维生素，而NaCl提供无机盐。</w:t>
            </w:r>
          </w:p>
        </w:tc>
      </w:tr>
      <w:tr w14:paraId="07B4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AC9E177">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228</w:t>
            </w:r>
          </w:p>
        </w:tc>
        <w:tc>
          <w:tcPr>
            <w:tcW w:w="1215" w:type="dxa"/>
            <w:noWrap w:val="0"/>
            <w:vAlign w:val="center"/>
          </w:tcPr>
          <w:p w14:paraId="4342713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牛肉膏</w:t>
            </w:r>
          </w:p>
        </w:tc>
        <w:tc>
          <w:tcPr>
            <w:tcW w:w="804" w:type="dxa"/>
            <w:noWrap w:val="0"/>
            <w:vAlign w:val="center"/>
          </w:tcPr>
          <w:p w14:paraId="7119740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2160AC7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4741A86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1.为牛肉膏蛋白胨培养基试剂牛肉膏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3BAC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9EEA546">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229</w:t>
            </w:r>
          </w:p>
        </w:tc>
        <w:tc>
          <w:tcPr>
            <w:tcW w:w="1215" w:type="dxa"/>
            <w:noWrap w:val="0"/>
            <w:vAlign w:val="center"/>
          </w:tcPr>
          <w:p w14:paraId="22CC0C5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蛋白胨</w:t>
            </w:r>
          </w:p>
        </w:tc>
        <w:tc>
          <w:tcPr>
            <w:tcW w:w="804" w:type="dxa"/>
            <w:noWrap w:val="0"/>
            <w:vAlign w:val="center"/>
          </w:tcPr>
          <w:p w14:paraId="6690964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0D02D02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0D0E63E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1.为牛肉膏蛋白胨培养基试剂蛋白胨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2.每瓶250g</w:t>
            </w:r>
          </w:p>
        </w:tc>
      </w:tr>
      <w:tr w14:paraId="7EB0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71F7A5E">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231</w:t>
            </w:r>
          </w:p>
        </w:tc>
        <w:tc>
          <w:tcPr>
            <w:tcW w:w="1215" w:type="dxa"/>
            <w:noWrap w:val="0"/>
            <w:vAlign w:val="center"/>
          </w:tcPr>
          <w:p w14:paraId="71C7ACC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磷酸二氢钾(KH2PO4)</w:t>
            </w:r>
          </w:p>
        </w:tc>
        <w:tc>
          <w:tcPr>
            <w:tcW w:w="804" w:type="dxa"/>
            <w:noWrap w:val="0"/>
            <w:vAlign w:val="center"/>
          </w:tcPr>
          <w:p w14:paraId="6B59BB1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5CFEBDD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74BCFE4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1.为尿素培养基试剂磷酸二氢钾(KH2PO4)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1ED5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4F8080A">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232</w:t>
            </w:r>
          </w:p>
        </w:tc>
        <w:tc>
          <w:tcPr>
            <w:tcW w:w="1215" w:type="dxa"/>
            <w:noWrap w:val="0"/>
            <w:vAlign w:val="center"/>
          </w:tcPr>
          <w:p w14:paraId="12019C6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磷酸氢二钠(Na2HPO4·7H2O)</w:t>
            </w:r>
          </w:p>
        </w:tc>
        <w:tc>
          <w:tcPr>
            <w:tcW w:w="804" w:type="dxa"/>
            <w:noWrap w:val="0"/>
            <w:vAlign w:val="center"/>
          </w:tcPr>
          <w:p w14:paraId="4E7BC8B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017750E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6067F1D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1.为尿素培养基试剂磷酸氢二钠(Na2HPO4·7H2O)</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3DDD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CE933D7">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233</w:t>
            </w:r>
          </w:p>
        </w:tc>
        <w:tc>
          <w:tcPr>
            <w:tcW w:w="1215" w:type="dxa"/>
            <w:noWrap w:val="0"/>
            <w:vAlign w:val="center"/>
          </w:tcPr>
          <w:p w14:paraId="051D143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硫酸镁(MgSO4·7H2O)</w:t>
            </w:r>
          </w:p>
        </w:tc>
        <w:tc>
          <w:tcPr>
            <w:tcW w:w="804" w:type="dxa"/>
            <w:noWrap w:val="0"/>
            <w:vAlign w:val="center"/>
          </w:tcPr>
          <w:p w14:paraId="7B00C1F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05584CB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7B4983A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1.为尿素培养基试剂硫酸镁(MgSO4·7H2O)</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1E18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C1D2196">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234</w:t>
            </w:r>
          </w:p>
        </w:tc>
        <w:tc>
          <w:tcPr>
            <w:tcW w:w="1215" w:type="dxa"/>
            <w:noWrap w:val="0"/>
            <w:vAlign w:val="center"/>
          </w:tcPr>
          <w:p w14:paraId="578A95D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脲</w:t>
            </w:r>
          </w:p>
        </w:tc>
        <w:tc>
          <w:tcPr>
            <w:tcW w:w="804" w:type="dxa"/>
            <w:noWrap w:val="0"/>
            <w:vAlign w:val="center"/>
          </w:tcPr>
          <w:p w14:paraId="0E9C50B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751D0A7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6AD21B0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1.为尿素培养基试剂脲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4F77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50" w:type="dxa"/>
            <w:noWrap w:val="0"/>
            <w:vAlign w:val="center"/>
          </w:tcPr>
          <w:p w14:paraId="25113A3B">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236</w:t>
            </w:r>
          </w:p>
        </w:tc>
        <w:tc>
          <w:tcPr>
            <w:tcW w:w="1215" w:type="dxa"/>
            <w:noWrap w:val="0"/>
            <w:vAlign w:val="center"/>
          </w:tcPr>
          <w:p w14:paraId="3CEE68F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纤维素粉</w:t>
            </w:r>
          </w:p>
        </w:tc>
        <w:tc>
          <w:tcPr>
            <w:tcW w:w="804" w:type="dxa"/>
            <w:noWrap w:val="0"/>
            <w:vAlign w:val="center"/>
          </w:tcPr>
          <w:p w14:paraId="0DADE0B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4C4CB93C">
            <w:pPr>
              <w:keepNext w:val="0"/>
              <w:keepLines w:val="0"/>
              <w:pageBreakBefore w:val="0"/>
              <w:widowControl/>
              <w:suppressLineNumbers w:val="0"/>
              <w:kinsoku/>
              <w:wordWrap/>
              <w:overflowPunct/>
              <w:topLinePunct w:val="0"/>
              <w:bidi w:val="0"/>
              <w:spacing w:line="440" w:lineRule="exact"/>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25</w:t>
            </w:r>
          </w:p>
        </w:tc>
        <w:tc>
          <w:tcPr>
            <w:tcW w:w="6351" w:type="dxa"/>
            <w:noWrap w:val="0"/>
            <w:vAlign w:val="center"/>
          </w:tcPr>
          <w:p w14:paraId="481CD70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1.为纤维素分解菌培养及鉴别培养基试剂纤维素粉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2.每瓶25g</w:t>
            </w:r>
          </w:p>
        </w:tc>
      </w:tr>
      <w:tr w14:paraId="2BD2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44E9FE7">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237</w:t>
            </w:r>
          </w:p>
        </w:tc>
        <w:tc>
          <w:tcPr>
            <w:tcW w:w="1215" w:type="dxa"/>
            <w:noWrap w:val="0"/>
            <w:vAlign w:val="center"/>
          </w:tcPr>
          <w:p w14:paraId="523823D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磷酸氢二钠(Na2HPO4·7H2O)</w:t>
            </w:r>
          </w:p>
        </w:tc>
        <w:tc>
          <w:tcPr>
            <w:tcW w:w="804" w:type="dxa"/>
            <w:noWrap w:val="0"/>
            <w:vAlign w:val="center"/>
          </w:tcPr>
          <w:p w14:paraId="76EC657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4C8926D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1D9874F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1.为纤维素分解菌培养及鉴别培养基试剂磷酸氢二钠(Na2HPO4·7H2O)</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134E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BAAF2CF">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238</w:t>
            </w:r>
          </w:p>
        </w:tc>
        <w:tc>
          <w:tcPr>
            <w:tcW w:w="1215" w:type="dxa"/>
            <w:noWrap w:val="0"/>
            <w:vAlign w:val="center"/>
          </w:tcPr>
          <w:p w14:paraId="611EC98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磷酸二氢钾(KH2PO4)</w:t>
            </w:r>
          </w:p>
        </w:tc>
        <w:tc>
          <w:tcPr>
            <w:tcW w:w="804" w:type="dxa"/>
            <w:noWrap w:val="0"/>
            <w:vAlign w:val="center"/>
          </w:tcPr>
          <w:p w14:paraId="37BA821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6349B43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6F02C52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1.为纤维素分解菌培养及鉴别培养基试剂磷酸二氢钾(KH2PO4)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1B4D7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5817158">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239</w:t>
            </w:r>
          </w:p>
        </w:tc>
        <w:tc>
          <w:tcPr>
            <w:tcW w:w="1215" w:type="dxa"/>
            <w:noWrap w:val="0"/>
            <w:vAlign w:val="center"/>
          </w:tcPr>
          <w:p w14:paraId="15E73E0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硫酸镁(MgSO4·7H2O)</w:t>
            </w:r>
          </w:p>
        </w:tc>
        <w:tc>
          <w:tcPr>
            <w:tcW w:w="804" w:type="dxa"/>
            <w:noWrap w:val="0"/>
            <w:vAlign w:val="center"/>
          </w:tcPr>
          <w:p w14:paraId="5C31A3C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33E9AAA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46861CA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1.为纤维素分解菌培养及鉴别培养基试剂硫酸镁(MgSO4·7H2O)</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0F1B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4D386A3">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240</w:t>
            </w:r>
          </w:p>
        </w:tc>
        <w:tc>
          <w:tcPr>
            <w:tcW w:w="1215" w:type="dxa"/>
            <w:noWrap w:val="0"/>
            <w:vAlign w:val="center"/>
          </w:tcPr>
          <w:p w14:paraId="697F9CA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氯化钾</w:t>
            </w:r>
          </w:p>
        </w:tc>
        <w:tc>
          <w:tcPr>
            <w:tcW w:w="804" w:type="dxa"/>
            <w:noWrap w:val="0"/>
            <w:vAlign w:val="center"/>
          </w:tcPr>
          <w:p w14:paraId="0649AD5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348E024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44227E1E">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1.为纤维素分解菌培养及鉴别培养基试剂氯化钾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16AA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15847E7">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241</w:t>
            </w:r>
          </w:p>
        </w:tc>
        <w:tc>
          <w:tcPr>
            <w:tcW w:w="1215" w:type="dxa"/>
            <w:noWrap w:val="0"/>
            <w:vAlign w:val="center"/>
          </w:tcPr>
          <w:p w14:paraId="19B3B81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酵母浸膏</w:t>
            </w:r>
          </w:p>
        </w:tc>
        <w:tc>
          <w:tcPr>
            <w:tcW w:w="804" w:type="dxa"/>
            <w:noWrap w:val="0"/>
            <w:vAlign w:val="center"/>
          </w:tcPr>
          <w:p w14:paraId="709E17F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0190C92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6195C0B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1.为纤维素分解菌培养及鉴别培养基试剂酵母浸膏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4861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FDFB299">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242</w:t>
            </w:r>
          </w:p>
        </w:tc>
        <w:tc>
          <w:tcPr>
            <w:tcW w:w="1215" w:type="dxa"/>
            <w:noWrap w:val="0"/>
            <w:vAlign w:val="center"/>
          </w:tcPr>
          <w:p w14:paraId="01FDFB0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水解酪素</w:t>
            </w:r>
          </w:p>
        </w:tc>
        <w:tc>
          <w:tcPr>
            <w:tcW w:w="804" w:type="dxa"/>
            <w:noWrap w:val="0"/>
            <w:vAlign w:val="center"/>
          </w:tcPr>
          <w:p w14:paraId="6BEC52D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15D1A99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250</w:t>
            </w:r>
          </w:p>
        </w:tc>
        <w:tc>
          <w:tcPr>
            <w:tcW w:w="6351" w:type="dxa"/>
            <w:noWrap w:val="0"/>
            <w:vAlign w:val="center"/>
          </w:tcPr>
          <w:p w14:paraId="1B25F0A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1.为纤维素分解菌培养及鉴别培养基试剂水解酪素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2.每瓶250g</w:t>
            </w:r>
          </w:p>
        </w:tc>
      </w:tr>
      <w:tr w14:paraId="4181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C734125">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243</w:t>
            </w:r>
          </w:p>
        </w:tc>
        <w:tc>
          <w:tcPr>
            <w:tcW w:w="1215" w:type="dxa"/>
            <w:noWrap w:val="0"/>
            <w:vAlign w:val="center"/>
          </w:tcPr>
          <w:p w14:paraId="60AA5FC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羧甲基纤维素钠(CMC-Na)</w:t>
            </w:r>
          </w:p>
        </w:tc>
        <w:tc>
          <w:tcPr>
            <w:tcW w:w="804" w:type="dxa"/>
            <w:noWrap w:val="0"/>
            <w:vAlign w:val="center"/>
          </w:tcPr>
          <w:p w14:paraId="27E360F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79779C0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500</w:t>
            </w:r>
          </w:p>
        </w:tc>
        <w:tc>
          <w:tcPr>
            <w:tcW w:w="6351" w:type="dxa"/>
            <w:noWrap w:val="0"/>
            <w:vAlign w:val="center"/>
          </w:tcPr>
          <w:p w14:paraId="0DFA26D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1.为纤维素分解菌培养及鉴别培养基试剂羧甲基纤维素钠(CMC-Na)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5D82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915A40E">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245</w:t>
            </w:r>
          </w:p>
        </w:tc>
        <w:tc>
          <w:tcPr>
            <w:tcW w:w="1215" w:type="dxa"/>
            <w:noWrap w:val="0"/>
            <w:vAlign w:val="center"/>
          </w:tcPr>
          <w:p w14:paraId="4BB8264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交联葡萄糖(SephadexG-75)</w:t>
            </w:r>
          </w:p>
        </w:tc>
        <w:tc>
          <w:tcPr>
            <w:tcW w:w="804" w:type="dxa"/>
            <w:noWrap w:val="0"/>
            <w:vAlign w:val="center"/>
          </w:tcPr>
          <w:p w14:paraId="1D8E561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5863B68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6351" w:type="dxa"/>
            <w:noWrap w:val="0"/>
            <w:vAlign w:val="center"/>
          </w:tcPr>
          <w:p w14:paraId="73B6408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1.为血红蛋白提取及分离试剂交联葡萄糖(Sephadex G-75)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2.每瓶25g</w:t>
            </w:r>
          </w:p>
        </w:tc>
      </w:tr>
      <w:tr w14:paraId="7FB0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6E8E834">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246</w:t>
            </w:r>
          </w:p>
        </w:tc>
        <w:tc>
          <w:tcPr>
            <w:tcW w:w="1215" w:type="dxa"/>
            <w:noWrap w:val="0"/>
            <w:vAlign w:val="center"/>
          </w:tcPr>
          <w:p w14:paraId="6FEF026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丙烯酰胺</w:t>
            </w:r>
          </w:p>
        </w:tc>
        <w:tc>
          <w:tcPr>
            <w:tcW w:w="804" w:type="dxa"/>
            <w:noWrap w:val="0"/>
            <w:vAlign w:val="center"/>
          </w:tcPr>
          <w:p w14:paraId="0DC9821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5108FDA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250</w:t>
            </w:r>
          </w:p>
        </w:tc>
        <w:tc>
          <w:tcPr>
            <w:tcW w:w="6351" w:type="dxa"/>
            <w:noWrap w:val="0"/>
            <w:vAlign w:val="center"/>
          </w:tcPr>
          <w:p w14:paraId="3849923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1.为血红蛋白提取及分离试剂丙烯酰胺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2.每瓶250g</w:t>
            </w:r>
          </w:p>
        </w:tc>
      </w:tr>
      <w:tr w14:paraId="7A42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C3748CB">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247</w:t>
            </w:r>
          </w:p>
        </w:tc>
        <w:tc>
          <w:tcPr>
            <w:tcW w:w="1215" w:type="dxa"/>
            <w:noWrap w:val="0"/>
            <w:vAlign w:val="center"/>
          </w:tcPr>
          <w:p w14:paraId="67F6E59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N，N-甲叉双丙烯酰胺</w:t>
            </w:r>
          </w:p>
        </w:tc>
        <w:tc>
          <w:tcPr>
            <w:tcW w:w="804" w:type="dxa"/>
            <w:noWrap w:val="0"/>
            <w:vAlign w:val="center"/>
          </w:tcPr>
          <w:p w14:paraId="604434E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317A585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6351" w:type="dxa"/>
            <w:noWrap w:val="0"/>
            <w:vAlign w:val="center"/>
          </w:tcPr>
          <w:p w14:paraId="44550CA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1.为血红蛋白提取及分离试剂N，N-甲叉双丙烯酰胺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2.每瓶100g</w:t>
            </w:r>
          </w:p>
        </w:tc>
      </w:tr>
      <w:tr w14:paraId="1B35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D05D1DF">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248</w:t>
            </w:r>
          </w:p>
        </w:tc>
        <w:tc>
          <w:tcPr>
            <w:tcW w:w="1215" w:type="dxa"/>
            <w:noWrap w:val="0"/>
            <w:vAlign w:val="center"/>
          </w:tcPr>
          <w:p w14:paraId="3068250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十二烷基磺酸钠(SDS)</w:t>
            </w:r>
          </w:p>
        </w:tc>
        <w:tc>
          <w:tcPr>
            <w:tcW w:w="804" w:type="dxa"/>
            <w:noWrap w:val="0"/>
            <w:vAlign w:val="center"/>
          </w:tcPr>
          <w:p w14:paraId="51EF79D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780F4CB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250</w:t>
            </w:r>
          </w:p>
        </w:tc>
        <w:tc>
          <w:tcPr>
            <w:tcW w:w="6351" w:type="dxa"/>
            <w:noWrap w:val="0"/>
            <w:vAlign w:val="center"/>
          </w:tcPr>
          <w:p w14:paraId="3ADEB3F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1.为血红蛋白提取及分离试剂十二烷基磺酸钠(SDS)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1D4E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0016175">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249</w:t>
            </w:r>
          </w:p>
        </w:tc>
        <w:tc>
          <w:tcPr>
            <w:tcW w:w="1215" w:type="dxa"/>
            <w:noWrap w:val="0"/>
            <w:vAlign w:val="center"/>
          </w:tcPr>
          <w:p w14:paraId="55AC3D1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过硫酸铵</w:t>
            </w:r>
          </w:p>
        </w:tc>
        <w:tc>
          <w:tcPr>
            <w:tcW w:w="804" w:type="dxa"/>
            <w:noWrap w:val="0"/>
            <w:vAlign w:val="center"/>
          </w:tcPr>
          <w:p w14:paraId="62FD8EA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50D1C8A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r>
              <w:rPr>
                <w:rFonts w:hint="eastAsia" w:ascii="宋体" w:hAnsi="宋体" w:cs="宋体"/>
                <w:i w:val="0"/>
                <w:iCs w:val="0"/>
                <w:color w:val="auto"/>
                <w:kern w:val="0"/>
                <w:sz w:val="21"/>
                <w:szCs w:val="21"/>
                <w:u w:val="none"/>
                <w:lang w:val="en-US" w:eastAsia="zh-CN" w:bidi="ar"/>
              </w:rPr>
              <w:t>0</w:t>
            </w:r>
            <w:r>
              <w:rPr>
                <w:rFonts w:hint="eastAsia" w:ascii="宋体" w:hAnsi="宋体" w:eastAsia="宋体" w:cs="宋体"/>
                <w:i w:val="0"/>
                <w:iCs w:val="0"/>
                <w:color w:val="auto"/>
                <w:kern w:val="0"/>
                <w:sz w:val="21"/>
                <w:szCs w:val="21"/>
                <w:u w:val="none"/>
                <w:lang w:val="en-US" w:eastAsia="zh-CN" w:bidi="ar"/>
              </w:rPr>
              <w:t>0</w:t>
            </w:r>
          </w:p>
        </w:tc>
        <w:tc>
          <w:tcPr>
            <w:tcW w:w="6351" w:type="dxa"/>
            <w:noWrap w:val="0"/>
            <w:vAlign w:val="center"/>
          </w:tcPr>
          <w:p w14:paraId="0C3857B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1.为血红蛋白提取及分离试剂过硫酸铵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2.每瓶500g</w:t>
            </w:r>
          </w:p>
        </w:tc>
      </w:tr>
      <w:tr w14:paraId="3BF3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BC8F8D2">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250</w:t>
            </w:r>
          </w:p>
        </w:tc>
        <w:tc>
          <w:tcPr>
            <w:tcW w:w="1215" w:type="dxa"/>
            <w:noWrap w:val="0"/>
            <w:vAlign w:val="center"/>
          </w:tcPr>
          <w:p w14:paraId="4764F95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三羟甲基氨基甲烷(Tris)</w:t>
            </w:r>
          </w:p>
        </w:tc>
        <w:tc>
          <w:tcPr>
            <w:tcW w:w="804" w:type="dxa"/>
            <w:noWrap w:val="0"/>
            <w:vAlign w:val="center"/>
          </w:tcPr>
          <w:p w14:paraId="671FD54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53E96F8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6351" w:type="dxa"/>
            <w:noWrap w:val="0"/>
            <w:vAlign w:val="center"/>
          </w:tcPr>
          <w:p w14:paraId="7F91E61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1.为血红蛋白提取及分离试剂三羟甲基氨基甲烷(Tris)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2.每瓶100g</w:t>
            </w:r>
          </w:p>
        </w:tc>
      </w:tr>
      <w:tr w14:paraId="237F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4FFC53F">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251</w:t>
            </w:r>
          </w:p>
        </w:tc>
        <w:tc>
          <w:tcPr>
            <w:tcW w:w="1215" w:type="dxa"/>
            <w:noWrap w:val="0"/>
            <w:vAlign w:val="center"/>
          </w:tcPr>
          <w:p w14:paraId="72DF7AF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四甲基乙二胺(TEMED)</w:t>
            </w:r>
          </w:p>
        </w:tc>
        <w:tc>
          <w:tcPr>
            <w:tcW w:w="804" w:type="dxa"/>
            <w:noWrap w:val="0"/>
            <w:vAlign w:val="center"/>
          </w:tcPr>
          <w:p w14:paraId="63FD001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克</w:t>
            </w:r>
          </w:p>
        </w:tc>
        <w:tc>
          <w:tcPr>
            <w:tcW w:w="765" w:type="dxa"/>
            <w:gridSpan w:val="2"/>
            <w:noWrap w:val="0"/>
            <w:vAlign w:val="center"/>
          </w:tcPr>
          <w:p w14:paraId="09270D6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100</w:t>
            </w:r>
          </w:p>
        </w:tc>
        <w:tc>
          <w:tcPr>
            <w:tcW w:w="6351" w:type="dxa"/>
            <w:noWrap w:val="0"/>
            <w:vAlign w:val="center"/>
          </w:tcPr>
          <w:p w14:paraId="72B50CC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1.为血红蛋白提取及分离试剂四甲基乙二胺(TEMED)</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2.每瓶100g</w:t>
            </w:r>
          </w:p>
        </w:tc>
      </w:tr>
      <w:tr w14:paraId="613B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4797F44">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252</w:t>
            </w:r>
          </w:p>
        </w:tc>
        <w:tc>
          <w:tcPr>
            <w:tcW w:w="1215" w:type="dxa"/>
            <w:noWrap w:val="0"/>
            <w:vAlign w:val="center"/>
          </w:tcPr>
          <w:p w14:paraId="21B130B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植物组织培养基试剂盒</w:t>
            </w:r>
          </w:p>
        </w:tc>
        <w:tc>
          <w:tcPr>
            <w:tcW w:w="804" w:type="dxa"/>
            <w:noWrap w:val="0"/>
            <w:vAlign w:val="center"/>
          </w:tcPr>
          <w:p w14:paraId="00E15F7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9D8061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2EC1013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1.为凝胶状植物组织培养基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2.每盒24块，每块尺寸为23*31*12mm</w:t>
            </w:r>
          </w:p>
        </w:tc>
      </w:tr>
      <w:tr w14:paraId="4DD7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EC251DB">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253</w:t>
            </w:r>
          </w:p>
        </w:tc>
        <w:tc>
          <w:tcPr>
            <w:tcW w:w="1215" w:type="dxa"/>
            <w:noWrap w:val="0"/>
            <w:vAlign w:val="center"/>
          </w:tcPr>
          <w:p w14:paraId="0DD2084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牛肉膏蛋白胨培养基</w:t>
            </w:r>
          </w:p>
        </w:tc>
        <w:tc>
          <w:tcPr>
            <w:tcW w:w="804" w:type="dxa"/>
            <w:noWrap w:val="0"/>
            <w:vAlign w:val="center"/>
          </w:tcPr>
          <w:p w14:paraId="0234177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F79177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99B3D5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1.为凝胶状牛肉膏蛋白胨培养基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2.每盒24块，每块尺寸为23*31*12mm</w:t>
            </w:r>
          </w:p>
        </w:tc>
      </w:tr>
      <w:tr w14:paraId="24B1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F8781F0">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254</w:t>
            </w:r>
          </w:p>
        </w:tc>
        <w:tc>
          <w:tcPr>
            <w:tcW w:w="1215" w:type="dxa"/>
            <w:noWrap w:val="0"/>
            <w:vAlign w:val="center"/>
          </w:tcPr>
          <w:p w14:paraId="0807C8E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分离及鉴定土壤中能分解尿素的细菌培养基</w:t>
            </w:r>
          </w:p>
        </w:tc>
        <w:tc>
          <w:tcPr>
            <w:tcW w:w="804" w:type="dxa"/>
            <w:noWrap w:val="0"/>
            <w:vAlign w:val="center"/>
          </w:tcPr>
          <w:p w14:paraId="7AC81A4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8C455F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23877B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1.为凝胶状分离及鉴定土壤中能分解尿素的细菌培养基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2.每盒24块，每块尺寸为23*31*12mm</w:t>
            </w:r>
          </w:p>
        </w:tc>
      </w:tr>
      <w:tr w14:paraId="0AC2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1A59893">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255</w:t>
            </w:r>
          </w:p>
        </w:tc>
        <w:tc>
          <w:tcPr>
            <w:tcW w:w="1215" w:type="dxa"/>
            <w:noWrap w:val="0"/>
            <w:vAlign w:val="center"/>
          </w:tcPr>
          <w:p w14:paraId="5AE4278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纤维素分解菌培养及鉴别培养基</w:t>
            </w:r>
          </w:p>
        </w:tc>
        <w:tc>
          <w:tcPr>
            <w:tcW w:w="804" w:type="dxa"/>
            <w:noWrap w:val="0"/>
            <w:vAlign w:val="center"/>
          </w:tcPr>
          <w:p w14:paraId="61F986B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B6F0E9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D71A25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1.为凝胶状纤维素分解菌培养及鉴别培养基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2.每盒24块，每块尺寸为23*31*12mm</w:t>
            </w:r>
          </w:p>
        </w:tc>
      </w:tr>
      <w:tr w14:paraId="05D9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6642F30">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256</w:t>
            </w:r>
          </w:p>
        </w:tc>
        <w:tc>
          <w:tcPr>
            <w:tcW w:w="1215" w:type="dxa"/>
            <w:noWrap w:val="0"/>
            <w:vAlign w:val="center"/>
          </w:tcPr>
          <w:p w14:paraId="5D8C119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血红蛋白提取及分离试剂盒</w:t>
            </w:r>
          </w:p>
        </w:tc>
        <w:tc>
          <w:tcPr>
            <w:tcW w:w="804" w:type="dxa"/>
            <w:noWrap w:val="0"/>
            <w:vAlign w:val="center"/>
          </w:tcPr>
          <w:p w14:paraId="244D43A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C9E833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13C21EA">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1.为凝胶状血红蛋白提取及分离试剂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2.每盒24块，每块尺寸为23*31*12mm</w:t>
            </w:r>
          </w:p>
        </w:tc>
      </w:tr>
      <w:tr w14:paraId="5C5D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17765A8">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257</w:t>
            </w:r>
          </w:p>
        </w:tc>
        <w:tc>
          <w:tcPr>
            <w:tcW w:w="1215" w:type="dxa"/>
            <w:noWrap w:val="0"/>
            <w:vAlign w:val="center"/>
          </w:tcPr>
          <w:p w14:paraId="2F418B3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PCR扩增实验试剂盒</w:t>
            </w:r>
          </w:p>
        </w:tc>
        <w:tc>
          <w:tcPr>
            <w:tcW w:w="804" w:type="dxa"/>
            <w:noWrap w:val="0"/>
            <w:vAlign w:val="center"/>
          </w:tcPr>
          <w:p w14:paraId="0AE50FB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56B5D1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256EC8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1.为凝胶状PCR扩增实验试剂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2.每盒24块，每块尺寸为23*31*12mm</w:t>
            </w:r>
          </w:p>
        </w:tc>
      </w:tr>
      <w:tr w14:paraId="227F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3AC212B">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258</w:t>
            </w:r>
          </w:p>
        </w:tc>
        <w:tc>
          <w:tcPr>
            <w:tcW w:w="1215" w:type="dxa"/>
            <w:noWrap w:val="0"/>
            <w:vAlign w:val="center"/>
          </w:tcPr>
          <w:p w14:paraId="4C3A434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琼脂糖凝胶电泳实验试剂盒</w:t>
            </w:r>
          </w:p>
        </w:tc>
        <w:tc>
          <w:tcPr>
            <w:tcW w:w="804" w:type="dxa"/>
            <w:noWrap w:val="0"/>
            <w:vAlign w:val="center"/>
          </w:tcPr>
          <w:p w14:paraId="2A8EDA1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3A5D5D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D41E29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1.为凝胶状琼脂糖凝胶电泳实验试剂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2.每盒24块，每块尺寸为23*31*12mm</w:t>
            </w:r>
          </w:p>
        </w:tc>
      </w:tr>
      <w:tr w14:paraId="3930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F8A45D6">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259</w:t>
            </w:r>
          </w:p>
        </w:tc>
        <w:tc>
          <w:tcPr>
            <w:tcW w:w="1215" w:type="dxa"/>
            <w:noWrap w:val="0"/>
            <w:vAlign w:val="center"/>
          </w:tcPr>
          <w:p w14:paraId="19304A3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转基因植物DNA杂交鉴定试剂盒</w:t>
            </w:r>
          </w:p>
        </w:tc>
        <w:tc>
          <w:tcPr>
            <w:tcW w:w="804" w:type="dxa"/>
            <w:noWrap w:val="0"/>
            <w:vAlign w:val="center"/>
          </w:tcPr>
          <w:p w14:paraId="66E3BC1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3CE765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0ED98B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1.为凝胶状转基因植物DNA杂交鉴定试剂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2.每盒24块，每块尺寸为23*31*12mm</w:t>
            </w:r>
          </w:p>
        </w:tc>
      </w:tr>
      <w:tr w14:paraId="322A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602B110">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260</w:t>
            </w:r>
          </w:p>
        </w:tc>
        <w:tc>
          <w:tcPr>
            <w:tcW w:w="1215" w:type="dxa"/>
            <w:noWrap w:val="0"/>
            <w:vAlign w:val="center"/>
          </w:tcPr>
          <w:p w14:paraId="3FC1D72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测电笔</w:t>
            </w:r>
          </w:p>
        </w:tc>
        <w:tc>
          <w:tcPr>
            <w:tcW w:w="804" w:type="dxa"/>
            <w:noWrap w:val="0"/>
            <w:vAlign w:val="center"/>
          </w:tcPr>
          <w:p w14:paraId="483451D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4551714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43C442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1.为工业用测电笔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2.为笔式氖泡测电笔</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3.整体长度为140mm,外部绝缘材料包裹，测量头长度为16mm</w:t>
            </w:r>
          </w:p>
        </w:tc>
      </w:tr>
      <w:tr w14:paraId="0938B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57FFE17">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261</w:t>
            </w:r>
          </w:p>
        </w:tc>
        <w:tc>
          <w:tcPr>
            <w:tcW w:w="1215" w:type="dxa"/>
            <w:noWrap w:val="0"/>
            <w:vAlign w:val="center"/>
          </w:tcPr>
          <w:p w14:paraId="2BFBD06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一字螺丝刀</w:t>
            </w:r>
          </w:p>
        </w:tc>
        <w:tc>
          <w:tcPr>
            <w:tcW w:w="804" w:type="dxa"/>
            <w:noWrap w:val="0"/>
            <w:vAlign w:val="center"/>
          </w:tcPr>
          <w:p w14:paraId="6E7DBC3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7C1D9EC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11AC7E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1.为工业用一字螺丝刀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2.通体长为208mm,橡胶手柄，防滑处理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3.刀杆长度为98mm,刀杆直径5.5mm,刀头带磁性</w:t>
            </w:r>
          </w:p>
        </w:tc>
      </w:tr>
      <w:tr w14:paraId="4631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65BE824">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262</w:t>
            </w:r>
          </w:p>
        </w:tc>
        <w:tc>
          <w:tcPr>
            <w:tcW w:w="1215" w:type="dxa"/>
            <w:noWrap w:val="0"/>
            <w:vAlign w:val="center"/>
          </w:tcPr>
          <w:p w14:paraId="69024DC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十字螺丝刀</w:t>
            </w:r>
          </w:p>
        </w:tc>
        <w:tc>
          <w:tcPr>
            <w:tcW w:w="804" w:type="dxa"/>
            <w:noWrap w:val="0"/>
            <w:vAlign w:val="center"/>
          </w:tcPr>
          <w:p w14:paraId="0F6A702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2050DC8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A91DABF">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1.为工业用一字螺丝刀</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2.通体长为205mm,橡胶手柄，防滑处理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3.刀杆长度为94mm,刀杆直径5.5mm,刀头带磁性</w:t>
            </w:r>
          </w:p>
        </w:tc>
      </w:tr>
      <w:tr w14:paraId="075F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04D90D5">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263</w:t>
            </w:r>
          </w:p>
        </w:tc>
        <w:tc>
          <w:tcPr>
            <w:tcW w:w="1215" w:type="dxa"/>
            <w:noWrap w:val="0"/>
            <w:vAlign w:val="center"/>
          </w:tcPr>
          <w:p w14:paraId="29B4CCD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木工锤</w:t>
            </w:r>
          </w:p>
        </w:tc>
        <w:tc>
          <w:tcPr>
            <w:tcW w:w="804" w:type="dxa"/>
            <w:noWrap w:val="0"/>
            <w:vAlign w:val="center"/>
          </w:tcPr>
          <w:p w14:paraId="135EE6D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w:t>
            </w:r>
          </w:p>
        </w:tc>
        <w:tc>
          <w:tcPr>
            <w:tcW w:w="765" w:type="dxa"/>
            <w:gridSpan w:val="2"/>
            <w:noWrap w:val="0"/>
            <w:vAlign w:val="center"/>
          </w:tcPr>
          <w:p w14:paraId="05F090A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CAFF8F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1.由羊角锤和木质手柄组成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2.羊角锤为铁质，重量为0.25kg，表面电镀处理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3.木质手柄长度不低于250mm,表面清漆处理</w:t>
            </w:r>
          </w:p>
        </w:tc>
      </w:tr>
      <w:tr w14:paraId="6FE6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8E28966">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264</w:t>
            </w:r>
          </w:p>
        </w:tc>
        <w:tc>
          <w:tcPr>
            <w:tcW w:w="1215" w:type="dxa"/>
            <w:noWrap w:val="0"/>
            <w:vAlign w:val="center"/>
          </w:tcPr>
          <w:p w14:paraId="638CFB0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钢手锯</w:t>
            </w:r>
          </w:p>
        </w:tc>
        <w:tc>
          <w:tcPr>
            <w:tcW w:w="804" w:type="dxa"/>
            <w:noWrap w:val="0"/>
            <w:vAlign w:val="center"/>
          </w:tcPr>
          <w:p w14:paraId="6AFAFA6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w:t>
            </w:r>
          </w:p>
        </w:tc>
        <w:tc>
          <w:tcPr>
            <w:tcW w:w="765" w:type="dxa"/>
            <w:gridSpan w:val="2"/>
            <w:noWrap w:val="0"/>
            <w:vAlign w:val="center"/>
          </w:tcPr>
          <w:p w14:paraId="40A5003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F1363D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1.由钢手锯和锯条组成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2.钢手锯可夹持20cm、25cm和30cm三种不同长度的锯条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3.整体表面做防锈处理</w:t>
            </w:r>
          </w:p>
        </w:tc>
      </w:tr>
      <w:tr w14:paraId="4903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97C3861">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265</w:t>
            </w:r>
          </w:p>
        </w:tc>
        <w:tc>
          <w:tcPr>
            <w:tcW w:w="1215" w:type="dxa"/>
            <w:noWrap w:val="0"/>
            <w:vAlign w:val="center"/>
          </w:tcPr>
          <w:p w14:paraId="204B78C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剥线钳</w:t>
            </w:r>
          </w:p>
        </w:tc>
        <w:tc>
          <w:tcPr>
            <w:tcW w:w="804" w:type="dxa"/>
            <w:noWrap w:val="0"/>
            <w:vAlign w:val="center"/>
          </w:tcPr>
          <w:p w14:paraId="1862C4D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w:t>
            </w:r>
          </w:p>
        </w:tc>
        <w:tc>
          <w:tcPr>
            <w:tcW w:w="765" w:type="dxa"/>
            <w:gridSpan w:val="2"/>
            <w:noWrap w:val="0"/>
            <w:vAlign w:val="center"/>
          </w:tcPr>
          <w:p w14:paraId="0E2ED2A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B3D779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1.为工业用剥线钳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2.整体长度为180mm,手握处有橡胶保护套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3.可剥导线的直径为2.6mm、2.0mm、1.6mm、1.3mm、1.0mm、0.8mm、0.6mm，下端有自动弹开弹簧,侧面有锁定栓</w:t>
            </w:r>
          </w:p>
        </w:tc>
      </w:tr>
      <w:tr w14:paraId="68DC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68C0128">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266</w:t>
            </w:r>
          </w:p>
        </w:tc>
        <w:tc>
          <w:tcPr>
            <w:tcW w:w="1215" w:type="dxa"/>
            <w:noWrap w:val="0"/>
            <w:vAlign w:val="center"/>
          </w:tcPr>
          <w:p w14:paraId="7862345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钢丝钳</w:t>
            </w:r>
          </w:p>
        </w:tc>
        <w:tc>
          <w:tcPr>
            <w:tcW w:w="804" w:type="dxa"/>
            <w:noWrap w:val="0"/>
            <w:vAlign w:val="center"/>
          </w:tcPr>
          <w:p w14:paraId="3739538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w:t>
            </w:r>
          </w:p>
        </w:tc>
        <w:tc>
          <w:tcPr>
            <w:tcW w:w="765" w:type="dxa"/>
            <w:gridSpan w:val="2"/>
            <w:noWrap w:val="0"/>
            <w:vAlign w:val="center"/>
          </w:tcPr>
          <w:p w14:paraId="70A3083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3C72284">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1.为工业用钢丝钳</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2.整体长度为200mm，手握处有橡胶保护套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3.最大张开距离为25mm</w:t>
            </w:r>
          </w:p>
        </w:tc>
      </w:tr>
      <w:tr w14:paraId="7642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871762D">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267</w:t>
            </w:r>
          </w:p>
        </w:tc>
        <w:tc>
          <w:tcPr>
            <w:tcW w:w="1215" w:type="dxa"/>
            <w:noWrap w:val="0"/>
            <w:vAlign w:val="center"/>
          </w:tcPr>
          <w:p w14:paraId="79F3C27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活扳手</w:t>
            </w:r>
          </w:p>
        </w:tc>
        <w:tc>
          <w:tcPr>
            <w:tcW w:w="804" w:type="dxa"/>
            <w:noWrap w:val="0"/>
            <w:vAlign w:val="center"/>
          </w:tcPr>
          <w:p w14:paraId="7491EE1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w:t>
            </w:r>
          </w:p>
        </w:tc>
        <w:tc>
          <w:tcPr>
            <w:tcW w:w="765" w:type="dxa"/>
            <w:gridSpan w:val="2"/>
            <w:noWrap w:val="0"/>
            <w:vAlign w:val="center"/>
          </w:tcPr>
          <w:p w14:paraId="37A3FC7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97FFB9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1.为工业用活动扳手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2.整体长度为250mm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3.最大张口距离为30mm</w:t>
            </w:r>
          </w:p>
        </w:tc>
      </w:tr>
      <w:tr w14:paraId="4AE7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AAAE548">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268</w:t>
            </w:r>
          </w:p>
        </w:tc>
        <w:tc>
          <w:tcPr>
            <w:tcW w:w="1215" w:type="dxa"/>
            <w:noWrap w:val="0"/>
            <w:vAlign w:val="center"/>
          </w:tcPr>
          <w:p w14:paraId="2609CE0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工作服</w:t>
            </w:r>
          </w:p>
        </w:tc>
        <w:tc>
          <w:tcPr>
            <w:tcW w:w="804" w:type="dxa"/>
            <w:noWrap w:val="0"/>
            <w:vAlign w:val="center"/>
          </w:tcPr>
          <w:p w14:paraId="1945BF9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35EC5AE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56</w:t>
            </w:r>
          </w:p>
        </w:tc>
        <w:tc>
          <w:tcPr>
            <w:tcW w:w="6351" w:type="dxa"/>
            <w:noWrap w:val="0"/>
            <w:vAlign w:val="center"/>
          </w:tcPr>
          <w:p w14:paraId="69998AD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1.为白色工作服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2.分大中小号</w:t>
            </w:r>
          </w:p>
        </w:tc>
      </w:tr>
      <w:tr w14:paraId="5889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4242A3B">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269</w:t>
            </w:r>
          </w:p>
        </w:tc>
        <w:tc>
          <w:tcPr>
            <w:tcW w:w="1215" w:type="dxa"/>
            <w:noWrap w:val="0"/>
            <w:vAlign w:val="center"/>
          </w:tcPr>
          <w:p w14:paraId="48C8F38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护目镜</w:t>
            </w:r>
          </w:p>
        </w:tc>
        <w:tc>
          <w:tcPr>
            <w:tcW w:w="804" w:type="dxa"/>
            <w:noWrap w:val="0"/>
            <w:vAlign w:val="center"/>
          </w:tcPr>
          <w:p w14:paraId="19D9C96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F613BB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55</w:t>
            </w:r>
          </w:p>
        </w:tc>
        <w:tc>
          <w:tcPr>
            <w:tcW w:w="6351" w:type="dxa"/>
            <w:noWrap w:val="0"/>
            <w:vAlign w:val="center"/>
          </w:tcPr>
          <w:p w14:paraId="584BB7E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1.为防机械冲击眼镜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2.整体为塑料制片，透明度高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3.眼镜宽140mm，后部为12mm宽松紧带</w:t>
            </w:r>
          </w:p>
        </w:tc>
      </w:tr>
      <w:tr w14:paraId="63C0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EB4214E">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270</w:t>
            </w:r>
          </w:p>
        </w:tc>
        <w:tc>
          <w:tcPr>
            <w:tcW w:w="1215" w:type="dxa"/>
            <w:noWrap w:val="0"/>
            <w:vAlign w:val="center"/>
          </w:tcPr>
          <w:p w14:paraId="4AB45C9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乳胶手套</w:t>
            </w:r>
          </w:p>
        </w:tc>
        <w:tc>
          <w:tcPr>
            <w:tcW w:w="804" w:type="dxa"/>
            <w:noWrap w:val="0"/>
            <w:vAlign w:val="center"/>
          </w:tcPr>
          <w:p w14:paraId="4D17DF5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付</w:t>
            </w:r>
          </w:p>
        </w:tc>
        <w:tc>
          <w:tcPr>
            <w:tcW w:w="765" w:type="dxa"/>
            <w:gridSpan w:val="2"/>
            <w:noWrap w:val="0"/>
            <w:vAlign w:val="center"/>
          </w:tcPr>
          <w:p w14:paraId="2302E7A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7E4FA6D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1.为家用型乳胶手套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2.耐酸、耐碱</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3.总长度为255mm</w:t>
            </w:r>
          </w:p>
        </w:tc>
      </w:tr>
      <w:tr w14:paraId="5B38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F6DF197">
            <w:pPr>
              <w:keepNext w:val="0"/>
              <w:keepLines w:val="0"/>
              <w:pageBreakBefore w:val="0"/>
              <w:widowControl/>
              <w:numPr>
                <w:ilvl w:val="0"/>
                <w:numId w:val="6"/>
              </w:numPr>
              <w:suppressLineNumbers w:val="0"/>
              <w:kinsoku/>
              <w:wordWrap/>
              <w:overflowPunct/>
              <w:topLinePunct w:val="0"/>
              <w:bidi w:val="0"/>
              <w:spacing w:line="440" w:lineRule="exact"/>
              <w:ind w:left="425" w:leftChars="0" w:hanging="425"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271</w:t>
            </w:r>
          </w:p>
        </w:tc>
        <w:tc>
          <w:tcPr>
            <w:tcW w:w="1215" w:type="dxa"/>
            <w:noWrap w:val="0"/>
            <w:vAlign w:val="center"/>
          </w:tcPr>
          <w:p w14:paraId="135CC5A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洗眼器</w:t>
            </w:r>
          </w:p>
        </w:tc>
        <w:tc>
          <w:tcPr>
            <w:tcW w:w="804" w:type="dxa"/>
            <w:noWrap w:val="0"/>
            <w:vAlign w:val="center"/>
          </w:tcPr>
          <w:p w14:paraId="5BE994B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A93DC4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1D5338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1.为玻璃制洗眼器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2.容量250ml</w:t>
            </w:r>
          </w:p>
        </w:tc>
      </w:tr>
      <w:tr w14:paraId="57A5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5" w:type="dxa"/>
            <w:gridSpan w:val="6"/>
            <w:noWrap w:val="0"/>
            <w:vAlign w:val="top"/>
          </w:tcPr>
          <w:p w14:paraId="611629E8">
            <w:pPr>
              <w:keepNext w:val="0"/>
              <w:keepLines w:val="0"/>
              <w:pageBreakBefore w:val="0"/>
              <w:widowControl/>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cs="宋体"/>
                <w:b/>
                <w:bCs w:val="0"/>
                <w:color w:val="auto"/>
                <w:sz w:val="21"/>
                <w:szCs w:val="21"/>
                <w:shd w:val="clear" w:color="auto" w:fill="FFFFFF"/>
                <w:lang w:val="en-US" w:eastAsia="zh-CN"/>
              </w:rPr>
              <w:t>（七）</w:t>
            </w:r>
            <w:r>
              <w:rPr>
                <w:rFonts w:hint="eastAsia" w:ascii="宋体" w:hAnsi="宋体" w:eastAsia="宋体" w:cs="宋体"/>
                <w:b/>
                <w:bCs w:val="0"/>
                <w:color w:val="auto"/>
                <w:sz w:val="21"/>
                <w:szCs w:val="21"/>
                <w:shd w:val="clear" w:color="auto" w:fill="FFFFFF"/>
              </w:rPr>
              <w:t>高中数学教学仪器</w:t>
            </w:r>
          </w:p>
        </w:tc>
      </w:tr>
      <w:tr w14:paraId="173F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top"/>
          </w:tcPr>
          <w:p w14:paraId="58F7778D">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Cs/>
                <w:color w:val="auto"/>
                <w:sz w:val="21"/>
                <w:szCs w:val="21"/>
                <w:lang w:bidi="ar"/>
              </w:rPr>
            </w:pPr>
            <w:r>
              <w:rPr>
                <w:rFonts w:hint="eastAsia" w:ascii="宋体" w:hAnsi="宋体" w:eastAsia="宋体" w:cs="宋体"/>
                <w:b/>
                <w:bCs w:val="0"/>
                <w:color w:val="auto"/>
                <w:sz w:val="21"/>
                <w:szCs w:val="21"/>
              </w:rPr>
              <w:t>序号</w:t>
            </w:r>
          </w:p>
        </w:tc>
        <w:tc>
          <w:tcPr>
            <w:tcW w:w="1215" w:type="dxa"/>
            <w:noWrap w:val="0"/>
            <w:vAlign w:val="top"/>
          </w:tcPr>
          <w:p w14:paraId="01D6338F">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val="0"/>
                <w:color w:val="auto"/>
                <w:sz w:val="21"/>
                <w:szCs w:val="21"/>
              </w:rPr>
              <w:t>货物名称</w:t>
            </w:r>
          </w:p>
        </w:tc>
        <w:tc>
          <w:tcPr>
            <w:tcW w:w="804" w:type="dxa"/>
            <w:noWrap w:val="0"/>
            <w:vAlign w:val="top"/>
          </w:tcPr>
          <w:p w14:paraId="26E45AB0">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Cs/>
                <w:color w:val="auto"/>
                <w:sz w:val="21"/>
                <w:szCs w:val="21"/>
                <w:lang w:bidi="ar"/>
              </w:rPr>
            </w:pPr>
            <w:r>
              <w:rPr>
                <w:rFonts w:hint="eastAsia" w:ascii="宋体" w:hAnsi="宋体" w:eastAsia="宋体" w:cs="宋体"/>
                <w:b/>
                <w:bCs w:val="0"/>
                <w:color w:val="auto"/>
                <w:sz w:val="21"/>
                <w:szCs w:val="21"/>
              </w:rPr>
              <w:t>单位</w:t>
            </w:r>
          </w:p>
        </w:tc>
        <w:tc>
          <w:tcPr>
            <w:tcW w:w="765" w:type="dxa"/>
            <w:gridSpan w:val="2"/>
            <w:noWrap w:val="0"/>
            <w:vAlign w:val="top"/>
          </w:tcPr>
          <w:p w14:paraId="5A7A2A50">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Cs/>
                <w:color w:val="auto"/>
                <w:sz w:val="21"/>
                <w:szCs w:val="21"/>
                <w:lang w:bidi="ar"/>
              </w:rPr>
            </w:pPr>
            <w:r>
              <w:rPr>
                <w:rFonts w:hint="eastAsia" w:ascii="宋体" w:hAnsi="宋体" w:eastAsia="宋体" w:cs="宋体"/>
                <w:b/>
                <w:bCs w:val="0"/>
                <w:color w:val="auto"/>
                <w:sz w:val="21"/>
                <w:szCs w:val="21"/>
              </w:rPr>
              <w:t>数量</w:t>
            </w:r>
          </w:p>
        </w:tc>
        <w:tc>
          <w:tcPr>
            <w:tcW w:w="6351" w:type="dxa"/>
            <w:noWrap w:val="0"/>
            <w:vAlign w:val="top"/>
          </w:tcPr>
          <w:p w14:paraId="29304C07">
            <w:pPr>
              <w:pStyle w:val="46"/>
              <w:keepNext w:val="0"/>
              <w:keepLines w:val="0"/>
              <w:pageBreakBefore w:val="0"/>
              <w:kinsoku/>
              <w:wordWrap/>
              <w:overflowPunct/>
              <w:topLinePunct w:val="0"/>
              <w:bidi w:val="0"/>
              <w:spacing w:line="440" w:lineRule="exact"/>
              <w:ind w:firstLine="310" w:firstLineChars="147"/>
              <w:rPr>
                <w:rFonts w:hint="eastAsia" w:ascii="宋体" w:hAnsi="宋体" w:eastAsia="宋体" w:cs="宋体"/>
                <w:bCs/>
                <w:color w:val="auto"/>
                <w:sz w:val="21"/>
                <w:szCs w:val="21"/>
                <w:shd w:val="clear" w:color="auto" w:fill="FFFFFF"/>
              </w:rPr>
            </w:pPr>
            <w:r>
              <w:rPr>
                <w:rFonts w:hint="eastAsia" w:ascii="宋体" w:hAnsi="宋体" w:eastAsia="宋体" w:cs="宋体"/>
                <w:b/>
                <w:bCs w:val="0"/>
                <w:color w:val="auto"/>
                <w:sz w:val="21"/>
                <w:szCs w:val="21"/>
              </w:rPr>
              <w:t>技术参数、规格及要求</w:t>
            </w:r>
          </w:p>
        </w:tc>
      </w:tr>
      <w:tr w14:paraId="16A4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50" w:type="dxa"/>
            <w:noWrap w:val="0"/>
            <w:vAlign w:val="top"/>
          </w:tcPr>
          <w:p w14:paraId="410A54C8">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w:t>
            </w:r>
          </w:p>
        </w:tc>
        <w:tc>
          <w:tcPr>
            <w:tcW w:w="1215" w:type="dxa"/>
            <w:noWrap w:val="0"/>
            <w:vAlign w:val="center"/>
          </w:tcPr>
          <w:p w14:paraId="59B7236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图形计算器</w:t>
            </w:r>
          </w:p>
        </w:tc>
        <w:tc>
          <w:tcPr>
            <w:tcW w:w="804" w:type="dxa"/>
            <w:noWrap w:val="0"/>
            <w:vAlign w:val="center"/>
          </w:tcPr>
          <w:p w14:paraId="29F0968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kern w:val="2"/>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3DF835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kern w:val="2"/>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56</w:t>
            </w:r>
          </w:p>
        </w:tc>
        <w:tc>
          <w:tcPr>
            <w:tcW w:w="6351" w:type="dxa"/>
            <w:noWrap w:val="0"/>
            <w:vAlign w:val="center"/>
          </w:tcPr>
          <w:p w14:paraId="384C49EC">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color w:val="auto"/>
                <w:sz w:val="21"/>
                <w:szCs w:val="21"/>
              </w:rPr>
              <w:t>具有常规计算、图象/表格、概率/统计、矩阵计算、数列/递归、方程（组）求解、简单程序编制、二次方程作图等方面的功能，并以中文菜单显示</w:t>
            </w:r>
          </w:p>
        </w:tc>
      </w:tr>
      <w:tr w14:paraId="79A4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top"/>
          </w:tcPr>
          <w:p w14:paraId="6407DDAD">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2</w:t>
            </w:r>
          </w:p>
        </w:tc>
        <w:tc>
          <w:tcPr>
            <w:tcW w:w="1215" w:type="dxa"/>
            <w:noWrap w:val="0"/>
            <w:vAlign w:val="center"/>
          </w:tcPr>
          <w:p w14:paraId="6789A5A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三角尺</w:t>
            </w:r>
          </w:p>
        </w:tc>
        <w:tc>
          <w:tcPr>
            <w:tcW w:w="804" w:type="dxa"/>
            <w:noWrap w:val="0"/>
            <w:vAlign w:val="center"/>
          </w:tcPr>
          <w:p w14:paraId="363DC4C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6277B6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val="en-US" w:bidi="ar"/>
              </w:rPr>
            </w:pPr>
            <w:r>
              <w:rPr>
                <w:rFonts w:hint="eastAsia" w:ascii="宋体" w:hAnsi="宋体" w:eastAsia="宋体" w:cs="宋体"/>
                <w:i w:val="0"/>
                <w:iCs w:val="0"/>
                <w:color w:val="auto"/>
                <w:kern w:val="0"/>
                <w:sz w:val="21"/>
                <w:szCs w:val="21"/>
                <w:u w:val="none"/>
                <w:lang w:val="en-US" w:eastAsia="zh-CN" w:bidi="ar"/>
              </w:rPr>
              <w:t>20</w:t>
            </w:r>
          </w:p>
        </w:tc>
        <w:tc>
          <w:tcPr>
            <w:tcW w:w="6351" w:type="dxa"/>
            <w:noWrap w:val="0"/>
            <w:vAlign w:val="center"/>
          </w:tcPr>
          <w:p w14:paraId="0E3298A7">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60°、45°尺各1，60°尺的长直角边与45°尺的斜边长度相等且不小于450mm</w:t>
            </w:r>
          </w:p>
        </w:tc>
      </w:tr>
      <w:tr w14:paraId="43A9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top"/>
          </w:tcPr>
          <w:p w14:paraId="71E72E00">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3</w:t>
            </w:r>
          </w:p>
        </w:tc>
        <w:tc>
          <w:tcPr>
            <w:tcW w:w="1215" w:type="dxa"/>
            <w:noWrap w:val="0"/>
            <w:vAlign w:val="center"/>
          </w:tcPr>
          <w:p w14:paraId="6559BC4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圆规</w:t>
            </w:r>
          </w:p>
        </w:tc>
        <w:tc>
          <w:tcPr>
            <w:tcW w:w="804" w:type="dxa"/>
            <w:noWrap w:val="0"/>
            <w:vAlign w:val="center"/>
          </w:tcPr>
          <w:p w14:paraId="6D073DC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DEA391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val="en-US" w:bidi="ar"/>
              </w:rPr>
            </w:pPr>
            <w:r>
              <w:rPr>
                <w:rFonts w:hint="eastAsia" w:ascii="宋体" w:hAnsi="宋体" w:eastAsia="宋体" w:cs="宋体"/>
                <w:i w:val="0"/>
                <w:iCs w:val="0"/>
                <w:color w:val="auto"/>
                <w:kern w:val="0"/>
                <w:sz w:val="21"/>
                <w:szCs w:val="21"/>
                <w:u w:val="none"/>
                <w:lang w:val="en-US" w:eastAsia="zh-CN" w:bidi="ar"/>
              </w:rPr>
              <w:t>19</w:t>
            </w:r>
          </w:p>
        </w:tc>
        <w:tc>
          <w:tcPr>
            <w:tcW w:w="6351" w:type="dxa"/>
            <w:noWrap w:val="0"/>
            <w:vAlign w:val="center"/>
          </w:tcPr>
          <w:p w14:paraId="303F708A">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适合在黑板上画圆，附橡胶定位脚</w:t>
            </w:r>
          </w:p>
        </w:tc>
      </w:tr>
      <w:tr w14:paraId="3968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top"/>
          </w:tcPr>
          <w:p w14:paraId="0E5A9DB9">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4</w:t>
            </w:r>
          </w:p>
        </w:tc>
        <w:tc>
          <w:tcPr>
            <w:tcW w:w="1215" w:type="dxa"/>
            <w:noWrap w:val="0"/>
            <w:vAlign w:val="center"/>
          </w:tcPr>
          <w:p w14:paraId="70B1E03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直角坐标黑板</w:t>
            </w:r>
          </w:p>
        </w:tc>
        <w:tc>
          <w:tcPr>
            <w:tcW w:w="804" w:type="dxa"/>
            <w:noWrap w:val="0"/>
            <w:vAlign w:val="center"/>
          </w:tcPr>
          <w:p w14:paraId="759F489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块</w:t>
            </w:r>
          </w:p>
        </w:tc>
        <w:tc>
          <w:tcPr>
            <w:tcW w:w="765" w:type="dxa"/>
            <w:gridSpan w:val="2"/>
            <w:noWrap w:val="0"/>
            <w:vAlign w:val="center"/>
          </w:tcPr>
          <w:p w14:paraId="715BCDA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6</w:t>
            </w:r>
          </w:p>
        </w:tc>
        <w:tc>
          <w:tcPr>
            <w:tcW w:w="6351" w:type="dxa"/>
            <w:noWrap w:val="0"/>
            <w:vAlign w:val="center"/>
          </w:tcPr>
          <w:p w14:paraId="68720C63">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900mm×600mm</w:t>
            </w:r>
          </w:p>
        </w:tc>
      </w:tr>
      <w:tr w14:paraId="07F3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top"/>
          </w:tcPr>
          <w:p w14:paraId="38045513">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5</w:t>
            </w:r>
          </w:p>
        </w:tc>
        <w:tc>
          <w:tcPr>
            <w:tcW w:w="1215" w:type="dxa"/>
            <w:noWrap w:val="0"/>
            <w:vAlign w:val="center"/>
          </w:tcPr>
          <w:p w14:paraId="3F586A5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几何体模型</w:t>
            </w:r>
          </w:p>
        </w:tc>
        <w:tc>
          <w:tcPr>
            <w:tcW w:w="804" w:type="dxa"/>
            <w:noWrap w:val="0"/>
            <w:vAlign w:val="center"/>
          </w:tcPr>
          <w:p w14:paraId="2F1FB52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0944EFD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6</w:t>
            </w:r>
          </w:p>
        </w:tc>
        <w:tc>
          <w:tcPr>
            <w:tcW w:w="6351" w:type="dxa"/>
            <w:noWrap w:val="0"/>
            <w:vAlign w:val="center"/>
          </w:tcPr>
          <w:p w14:paraId="09014F70">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演示柱（含正方体）、锥、台、球的简单组合或分解</w:t>
            </w:r>
          </w:p>
        </w:tc>
      </w:tr>
      <w:tr w14:paraId="091E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top"/>
          </w:tcPr>
          <w:p w14:paraId="16531F65">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6</w:t>
            </w:r>
          </w:p>
        </w:tc>
        <w:tc>
          <w:tcPr>
            <w:tcW w:w="1215" w:type="dxa"/>
            <w:noWrap w:val="0"/>
            <w:vAlign w:val="center"/>
          </w:tcPr>
          <w:p w14:paraId="2E0CF44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圆锥曲线模型</w:t>
            </w:r>
          </w:p>
        </w:tc>
        <w:tc>
          <w:tcPr>
            <w:tcW w:w="804" w:type="dxa"/>
            <w:noWrap w:val="0"/>
            <w:vAlign w:val="center"/>
          </w:tcPr>
          <w:p w14:paraId="68CAB64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799671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6</w:t>
            </w:r>
          </w:p>
        </w:tc>
        <w:tc>
          <w:tcPr>
            <w:tcW w:w="6351" w:type="dxa"/>
            <w:noWrap w:val="0"/>
            <w:vAlign w:val="center"/>
          </w:tcPr>
          <w:p w14:paraId="7583B2B2">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演示平面截圆锥所得的圆锥曲线</w:t>
            </w:r>
          </w:p>
        </w:tc>
      </w:tr>
      <w:tr w14:paraId="248C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top"/>
          </w:tcPr>
          <w:p w14:paraId="1E8C0320">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7</w:t>
            </w:r>
          </w:p>
        </w:tc>
        <w:tc>
          <w:tcPr>
            <w:tcW w:w="1215" w:type="dxa"/>
            <w:noWrap w:val="0"/>
            <w:vAlign w:val="center"/>
          </w:tcPr>
          <w:p w14:paraId="7221651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凸凹多面体模型</w:t>
            </w:r>
          </w:p>
        </w:tc>
        <w:tc>
          <w:tcPr>
            <w:tcW w:w="804" w:type="dxa"/>
            <w:noWrap w:val="0"/>
            <w:vAlign w:val="center"/>
          </w:tcPr>
          <w:p w14:paraId="3EABA92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E4D7FA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6</w:t>
            </w:r>
          </w:p>
        </w:tc>
        <w:tc>
          <w:tcPr>
            <w:tcW w:w="6351" w:type="dxa"/>
            <w:noWrap w:val="0"/>
            <w:vAlign w:val="center"/>
          </w:tcPr>
          <w:p w14:paraId="32E638E7">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6个为一套</w:t>
            </w:r>
          </w:p>
        </w:tc>
      </w:tr>
      <w:tr w14:paraId="3355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top"/>
          </w:tcPr>
          <w:p w14:paraId="58EFF9D7">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8</w:t>
            </w:r>
          </w:p>
        </w:tc>
        <w:tc>
          <w:tcPr>
            <w:tcW w:w="1215" w:type="dxa"/>
            <w:noWrap w:val="0"/>
            <w:vAlign w:val="center"/>
          </w:tcPr>
          <w:p w14:paraId="382E89B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平摆线形成模型</w:t>
            </w:r>
          </w:p>
        </w:tc>
        <w:tc>
          <w:tcPr>
            <w:tcW w:w="804" w:type="dxa"/>
            <w:noWrap w:val="0"/>
            <w:vAlign w:val="center"/>
          </w:tcPr>
          <w:p w14:paraId="1B53043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C69099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19C2CA8">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依定义画平摆线</w:t>
            </w:r>
          </w:p>
        </w:tc>
      </w:tr>
      <w:tr w14:paraId="78C2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top"/>
          </w:tcPr>
          <w:p w14:paraId="2D3EE3FE">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9</w:t>
            </w:r>
          </w:p>
        </w:tc>
        <w:tc>
          <w:tcPr>
            <w:tcW w:w="1215" w:type="dxa"/>
            <w:noWrap w:val="0"/>
            <w:vAlign w:val="center"/>
          </w:tcPr>
          <w:p w14:paraId="00BB79B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渐开线形成模型</w:t>
            </w:r>
          </w:p>
        </w:tc>
        <w:tc>
          <w:tcPr>
            <w:tcW w:w="804" w:type="dxa"/>
            <w:noWrap w:val="0"/>
            <w:vAlign w:val="center"/>
          </w:tcPr>
          <w:p w14:paraId="5D36148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DF7FA7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7826C02">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依定义画渐开线</w:t>
            </w:r>
          </w:p>
        </w:tc>
      </w:tr>
      <w:tr w14:paraId="3200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top"/>
          </w:tcPr>
          <w:p w14:paraId="561EC3BC">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10</w:t>
            </w:r>
          </w:p>
        </w:tc>
        <w:tc>
          <w:tcPr>
            <w:tcW w:w="1215" w:type="dxa"/>
            <w:noWrap w:val="0"/>
            <w:vAlign w:val="center"/>
          </w:tcPr>
          <w:p w14:paraId="4CD3E8B6">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简明数学史挂图</w:t>
            </w:r>
          </w:p>
        </w:tc>
        <w:tc>
          <w:tcPr>
            <w:tcW w:w="804" w:type="dxa"/>
            <w:noWrap w:val="0"/>
            <w:vAlign w:val="center"/>
          </w:tcPr>
          <w:p w14:paraId="372D458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5A7027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219A032">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展示中外数学史上的重要人物和主要成果</w:t>
            </w:r>
          </w:p>
        </w:tc>
      </w:tr>
      <w:tr w14:paraId="160C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top"/>
          </w:tcPr>
          <w:p w14:paraId="038E95AB">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11</w:t>
            </w:r>
          </w:p>
        </w:tc>
        <w:tc>
          <w:tcPr>
            <w:tcW w:w="1215" w:type="dxa"/>
            <w:noWrap w:val="0"/>
            <w:vAlign w:val="center"/>
          </w:tcPr>
          <w:p w14:paraId="0355D3B4">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球面几何教学挂图</w:t>
            </w:r>
          </w:p>
        </w:tc>
        <w:tc>
          <w:tcPr>
            <w:tcW w:w="804" w:type="dxa"/>
            <w:noWrap w:val="0"/>
            <w:vAlign w:val="center"/>
          </w:tcPr>
          <w:p w14:paraId="6238773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CF840E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DB5C144">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对开铜版纸</w:t>
            </w:r>
          </w:p>
        </w:tc>
      </w:tr>
      <w:tr w14:paraId="5510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top"/>
          </w:tcPr>
          <w:p w14:paraId="2BD1430B">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12</w:t>
            </w:r>
          </w:p>
        </w:tc>
        <w:tc>
          <w:tcPr>
            <w:tcW w:w="1215" w:type="dxa"/>
            <w:noWrap w:val="0"/>
            <w:vAlign w:val="center"/>
          </w:tcPr>
          <w:p w14:paraId="0C743EF1">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对称与群教学挂图</w:t>
            </w:r>
          </w:p>
        </w:tc>
        <w:tc>
          <w:tcPr>
            <w:tcW w:w="804" w:type="dxa"/>
            <w:noWrap w:val="0"/>
            <w:vAlign w:val="center"/>
          </w:tcPr>
          <w:p w14:paraId="7A228F3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322D9D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B65F110">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对开铜版纸</w:t>
            </w:r>
          </w:p>
        </w:tc>
      </w:tr>
      <w:tr w14:paraId="4502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top"/>
          </w:tcPr>
          <w:p w14:paraId="52BE0EBA">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13</w:t>
            </w:r>
          </w:p>
        </w:tc>
        <w:tc>
          <w:tcPr>
            <w:tcW w:w="1215" w:type="dxa"/>
            <w:noWrap w:val="0"/>
            <w:vAlign w:val="center"/>
          </w:tcPr>
          <w:p w14:paraId="7E80AF0F">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数学教学辅助软件</w:t>
            </w:r>
          </w:p>
        </w:tc>
        <w:tc>
          <w:tcPr>
            <w:tcW w:w="804" w:type="dxa"/>
            <w:noWrap w:val="0"/>
            <w:vAlign w:val="center"/>
          </w:tcPr>
          <w:p w14:paraId="0AA6492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DD39E1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E6EC15F">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具有几何作图、图形变换、函数图象绘制、度量、动作控制等方面的功能，并以中文菜单显示</w:t>
            </w:r>
          </w:p>
        </w:tc>
      </w:tr>
      <w:tr w14:paraId="01B5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top"/>
          </w:tcPr>
          <w:p w14:paraId="4DF4CF2A">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14</w:t>
            </w:r>
          </w:p>
        </w:tc>
        <w:tc>
          <w:tcPr>
            <w:tcW w:w="1215" w:type="dxa"/>
            <w:noWrap w:val="0"/>
            <w:vAlign w:val="center"/>
          </w:tcPr>
          <w:p w14:paraId="54A33F07">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球面几何教学素材库</w:t>
            </w:r>
          </w:p>
        </w:tc>
        <w:tc>
          <w:tcPr>
            <w:tcW w:w="804" w:type="dxa"/>
            <w:noWrap w:val="0"/>
            <w:vAlign w:val="center"/>
          </w:tcPr>
          <w:p w14:paraId="539A534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3CEA31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541A34B">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软件</w:t>
            </w:r>
          </w:p>
        </w:tc>
      </w:tr>
      <w:tr w14:paraId="2A09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AC17BC1">
            <w:pPr>
              <w:pStyle w:val="46"/>
              <w:keepNext w:val="0"/>
              <w:keepLines w:val="0"/>
              <w:pageBreakBefore w:val="0"/>
              <w:kinsoku/>
              <w:wordWrap/>
              <w:overflowPunct/>
              <w:topLinePunct w:val="0"/>
              <w:bidi w:val="0"/>
              <w:spacing w:line="440" w:lineRule="exact"/>
              <w:ind w:firstLine="0" w:firstLineChars="0"/>
              <w:jc w:val="center"/>
              <w:rPr>
                <w:rFonts w:hint="eastAsia" w:ascii="宋体" w:hAnsi="宋体" w:eastAsia="宋体" w:cs="宋体"/>
                <w:bCs/>
                <w:color w:val="auto"/>
                <w:sz w:val="21"/>
                <w:szCs w:val="21"/>
                <w:highlight w:val="none"/>
                <w:lang w:val="en-US" w:eastAsia="zh-CN" w:bidi="ar"/>
              </w:rPr>
            </w:pPr>
            <w:r>
              <w:rPr>
                <w:rFonts w:hint="eastAsia" w:ascii="宋体" w:hAnsi="宋体" w:eastAsia="宋体" w:cs="宋体"/>
                <w:bCs/>
                <w:color w:val="auto"/>
                <w:sz w:val="21"/>
                <w:szCs w:val="21"/>
                <w:highlight w:val="none"/>
                <w:lang w:val="en-US" w:eastAsia="zh-CN" w:bidi="ar"/>
              </w:rPr>
              <w:t>15</w:t>
            </w:r>
          </w:p>
        </w:tc>
        <w:tc>
          <w:tcPr>
            <w:tcW w:w="1215" w:type="dxa"/>
            <w:noWrap w:val="0"/>
            <w:vAlign w:val="center"/>
          </w:tcPr>
          <w:p w14:paraId="4EA6508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仪器柜</w:t>
            </w:r>
          </w:p>
        </w:tc>
        <w:tc>
          <w:tcPr>
            <w:tcW w:w="804" w:type="dxa"/>
            <w:noWrap w:val="0"/>
            <w:vAlign w:val="center"/>
          </w:tcPr>
          <w:p w14:paraId="4620579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个</w:t>
            </w:r>
          </w:p>
        </w:tc>
        <w:tc>
          <w:tcPr>
            <w:tcW w:w="765" w:type="dxa"/>
            <w:gridSpan w:val="2"/>
            <w:noWrap w:val="0"/>
            <w:vAlign w:val="center"/>
          </w:tcPr>
          <w:p w14:paraId="529BE84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6351" w:type="dxa"/>
            <w:noWrap w:val="0"/>
            <w:vAlign w:val="center"/>
          </w:tcPr>
          <w:p w14:paraId="7A9518F3">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技术要求：</w:t>
            </w:r>
          </w:p>
          <w:p w14:paraId="6C8024A9">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规格：长Χ宽Χ高不小于900Χ390Χ1800mm</w:t>
            </w:r>
          </w:p>
          <w:p w14:paraId="65C5544C">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材料：优质钢板，表面喷塑</w:t>
            </w:r>
          </w:p>
          <w:p w14:paraId="0B7A237C">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特性：板材厚度大于0.8mm四开门、上玻下铁</w:t>
            </w:r>
          </w:p>
          <w:p w14:paraId="68D6F79C">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配备防盗锁</w:t>
            </w:r>
          </w:p>
        </w:tc>
      </w:tr>
      <w:tr w14:paraId="63AB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D9F5AF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val="en-US" w:eastAsia="zh-CN" w:bidi="ar"/>
              </w:rPr>
            </w:pPr>
            <w:r>
              <w:rPr>
                <w:rFonts w:hint="eastAsia" w:ascii="宋体" w:hAnsi="宋体" w:eastAsia="宋体" w:cs="宋体"/>
                <w:b w:val="0"/>
                <w:bCs w:val="0"/>
                <w:i w:val="0"/>
                <w:color w:val="auto"/>
                <w:kern w:val="0"/>
                <w:sz w:val="21"/>
                <w:szCs w:val="21"/>
                <w:u w:val="none"/>
                <w:lang w:val="en-US" w:eastAsia="zh-CN" w:bidi="ar"/>
              </w:rPr>
              <w:t>16</w:t>
            </w:r>
          </w:p>
        </w:tc>
        <w:tc>
          <w:tcPr>
            <w:tcW w:w="1215" w:type="dxa"/>
            <w:noWrap w:val="0"/>
            <w:vAlign w:val="center"/>
          </w:tcPr>
          <w:p w14:paraId="7EFAF6E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录像机</w:t>
            </w:r>
          </w:p>
        </w:tc>
        <w:tc>
          <w:tcPr>
            <w:tcW w:w="804" w:type="dxa"/>
            <w:noWrap w:val="0"/>
            <w:vAlign w:val="center"/>
          </w:tcPr>
          <w:p w14:paraId="530084C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34A32DC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c>
          <w:tcPr>
            <w:tcW w:w="6351" w:type="dxa"/>
            <w:noWrap w:val="0"/>
            <w:vAlign w:val="center"/>
          </w:tcPr>
          <w:p w14:paraId="7B603359">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闪存式DV：</w:t>
            </w:r>
          </w:p>
          <w:p w14:paraId="2D87AF9C">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光学变焦倍数：30倍</w:t>
            </w:r>
          </w:p>
          <w:p w14:paraId="0579A1EA">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屏幕尺寸：3英寸</w:t>
            </w:r>
          </w:p>
          <w:p w14:paraId="329AFCF8">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数码像素：201-300万</w:t>
            </w:r>
          </w:p>
          <w:p w14:paraId="0F6D6327">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重量：151g(含)-200g(含)</w:t>
            </w:r>
          </w:p>
          <w:p w14:paraId="2A53D1CD">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6.</w:t>
            </w:r>
            <w:r>
              <w:rPr>
                <w:rFonts w:hint="eastAsia" w:ascii="宋体" w:hAnsi="宋体" w:eastAsia="宋体" w:cs="宋体"/>
                <w:i w:val="0"/>
                <w:iCs w:val="0"/>
                <w:color w:val="auto"/>
                <w:kern w:val="0"/>
                <w:sz w:val="21"/>
                <w:szCs w:val="21"/>
                <w:u w:val="none"/>
                <w:lang w:val="en-US" w:eastAsia="zh-CN" w:bidi="ar"/>
              </w:rPr>
              <w:t>附加功能：支持WIFI、防抖性能、五轴防抖</w:t>
            </w:r>
          </w:p>
          <w:p w14:paraId="3322833F">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7.</w:t>
            </w:r>
            <w:r>
              <w:rPr>
                <w:rFonts w:hint="eastAsia" w:ascii="宋体" w:hAnsi="宋体" w:eastAsia="宋体" w:cs="宋体"/>
                <w:i w:val="0"/>
                <w:iCs w:val="0"/>
                <w:color w:val="auto"/>
                <w:kern w:val="0"/>
                <w:sz w:val="21"/>
                <w:szCs w:val="21"/>
                <w:u w:val="none"/>
                <w:lang w:val="en-US" w:eastAsia="zh-CN" w:bidi="ar"/>
              </w:rPr>
              <w:t>传感器尺寸：1/5.8英寸</w:t>
            </w:r>
          </w:p>
          <w:p w14:paraId="52B3D32B">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8.</w:t>
            </w:r>
            <w:r>
              <w:rPr>
                <w:rFonts w:hint="eastAsia" w:ascii="宋体" w:hAnsi="宋体" w:eastAsia="宋体" w:cs="宋体"/>
                <w:i w:val="0"/>
                <w:iCs w:val="0"/>
                <w:color w:val="auto"/>
                <w:kern w:val="0"/>
                <w:sz w:val="21"/>
                <w:szCs w:val="21"/>
                <w:u w:val="none"/>
                <w:lang w:val="en-US" w:eastAsia="zh-CN" w:bidi="ar"/>
              </w:rPr>
              <w:t>感光元件：CMOS</w:t>
            </w:r>
          </w:p>
        </w:tc>
      </w:tr>
      <w:tr w14:paraId="4767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5" w:type="dxa"/>
            <w:gridSpan w:val="6"/>
            <w:noWrap w:val="0"/>
            <w:vAlign w:val="top"/>
          </w:tcPr>
          <w:p w14:paraId="77C65F07">
            <w:pPr>
              <w:keepNext w:val="0"/>
              <w:keepLines w:val="0"/>
              <w:pageBreakBefore w:val="0"/>
              <w:widowControl/>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cs="宋体"/>
                <w:b/>
                <w:bCs w:val="0"/>
                <w:color w:val="auto"/>
                <w:sz w:val="21"/>
                <w:szCs w:val="21"/>
                <w:shd w:val="clear" w:color="auto" w:fill="FFFFFF"/>
                <w:lang w:eastAsia="zh-CN"/>
              </w:rPr>
              <w:t>（</w:t>
            </w:r>
            <w:r>
              <w:rPr>
                <w:rFonts w:hint="eastAsia" w:ascii="宋体" w:hAnsi="宋体" w:cs="宋体"/>
                <w:b/>
                <w:bCs w:val="0"/>
                <w:color w:val="auto"/>
                <w:sz w:val="21"/>
                <w:szCs w:val="21"/>
                <w:shd w:val="clear" w:color="auto" w:fill="FFFFFF"/>
                <w:lang w:val="en-US" w:eastAsia="zh-CN"/>
              </w:rPr>
              <w:t>八</w:t>
            </w:r>
            <w:r>
              <w:rPr>
                <w:rFonts w:hint="eastAsia" w:ascii="宋体" w:hAnsi="宋体" w:cs="宋体"/>
                <w:b/>
                <w:bCs w:val="0"/>
                <w:color w:val="auto"/>
                <w:sz w:val="21"/>
                <w:szCs w:val="21"/>
                <w:shd w:val="clear" w:color="auto" w:fill="FFFFFF"/>
                <w:lang w:eastAsia="zh-CN"/>
              </w:rPr>
              <w:t>）</w:t>
            </w:r>
            <w:r>
              <w:rPr>
                <w:rFonts w:hint="eastAsia" w:ascii="宋体" w:hAnsi="宋体" w:eastAsia="宋体" w:cs="宋体"/>
                <w:b/>
                <w:bCs w:val="0"/>
                <w:color w:val="auto"/>
                <w:sz w:val="21"/>
                <w:szCs w:val="21"/>
                <w:shd w:val="clear" w:color="auto" w:fill="FFFFFF"/>
              </w:rPr>
              <w:t>高中地理教学仪器</w:t>
            </w:r>
          </w:p>
        </w:tc>
      </w:tr>
      <w:tr w14:paraId="275A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top"/>
          </w:tcPr>
          <w:p w14:paraId="3CB6247E">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Cs/>
                <w:color w:val="auto"/>
                <w:sz w:val="21"/>
                <w:szCs w:val="21"/>
                <w:lang w:bidi="ar"/>
              </w:rPr>
            </w:pPr>
            <w:r>
              <w:rPr>
                <w:rFonts w:hint="eastAsia" w:ascii="宋体" w:hAnsi="宋体" w:eastAsia="宋体" w:cs="宋体"/>
                <w:b/>
                <w:bCs w:val="0"/>
                <w:color w:val="auto"/>
                <w:sz w:val="21"/>
                <w:szCs w:val="21"/>
              </w:rPr>
              <w:t>序号</w:t>
            </w:r>
          </w:p>
        </w:tc>
        <w:tc>
          <w:tcPr>
            <w:tcW w:w="1215" w:type="dxa"/>
            <w:noWrap w:val="0"/>
            <w:vAlign w:val="top"/>
          </w:tcPr>
          <w:p w14:paraId="48668CAF">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val="0"/>
                <w:color w:val="auto"/>
                <w:sz w:val="21"/>
                <w:szCs w:val="21"/>
              </w:rPr>
              <w:t>货物名称</w:t>
            </w:r>
          </w:p>
        </w:tc>
        <w:tc>
          <w:tcPr>
            <w:tcW w:w="804" w:type="dxa"/>
            <w:noWrap w:val="0"/>
            <w:vAlign w:val="top"/>
          </w:tcPr>
          <w:p w14:paraId="3A9AA2CB">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Cs/>
                <w:color w:val="auto"/>
                <w:sz w:val="21"/>
                <w:szCs w:val="21"/>
                <w:lang w:bidi="ar"/>
              </w:rPr>
            </w:pPr>
            <w:r>
              <w:rPr>
                <w:rFonts w:hint="eastAsia" w:ascii="宋体" w:hAnsi="宋体" w:eastAsia="宋体" w:cs="宋体"/>
                <w:b/>
                <w:bCs w:val="0"/>
                <w:color w:val="auto"/>
                <w:sz w:val="21"/>
                <w:szCs w:val="21"/>
              </w:rPr>
              <w:t>单位</w:t>
            </w:r>
          </w:p>
        </w:tc>
        <w:tc>
          <w:tcPr>
            <w:tcW w:w="765" w:type="dxa"/>
            <w:gridSpan w:val="2"/>
            <w:noWrap w:val="0"/>
            <w:vAlign w:val="top"/>
          </w:tcPr>
          <w:p w14:paraId="7CD2B30A">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Cs/>
                <w:color w:val="auto"/>
                <w:sz w:val="21"/>
                <w:szCs w:val="21"/>
                <w:lang w:bidi="ar"/>
              </w:rPr>
            </w:pPr>
            <w:r>
              <w:rPr>
                <w:rFonts w:hint="eastAsia" w:ascii="宋体" w:hAnsi="宋体" w:eastAsia="宋体" w:cs="宋体"/>
                <w:b/>
                <w:bCs w:val="0"/>
                <w:color w:val="auto"/>
                <w:sz w:val="21"/>
                <w:szCs w:val="21"/>
              </w:rPr>
              <w:t>数量</w:t>
            </w:r>
          </w:p>
        </w:tc>
        <w:tc>
          <w:tcPr>
            <w:tcW w:w="6351" w:type="dxa"/>
            <w:noWrap w:val="0"/>
            <w:vAlign w:val="center"/>
          </w:tcPr>
          <w:p w14:paraId="393912A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b/>
                <w:bCs w:val="0"/>
                <w:color w:val="auto"/>
                <w:sz w:val="21"/>
                <w:szCs w:val="21"/>
              </w:rPr>
              <w:t>技术参数、规格及要求</w:t>
            </w:r>
          </w:p>
        </w:tc>
      </w:tr>
      <w:tr w14:paraId="1D86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3BDC3B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1215" w:type="dxa"/>
            <w:noWrap w:val="0"/>
            <w:vAlign w:val="center"/>
          </w:tcPr>
          <w:p w14:paraId="71E8D0F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计算器</w:t>
            </w:r>
          </w:p>
        </w:tc>
        <w:tc>
          <w:tcPr>
            <w:tcW w:w="804" w:type="dxa"/>
            <w:noWrap w:val="0"/>
            <w:vAlign w:val="center"/>
          </w:tcPr>
          <w:p w14:paraId="284DB25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kern w:val="2"/>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D3D1B6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kern w:val="2"/>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351" w:type="dxa"/>
            <w:noWrap w:val="0"/>
            <w:vAlign w:val="center"/>
          </w:tcPr>
          <w:p w14:paraId="0F48FBD2">
            <w:pPr>
              <w:keepNext w:val="0"/>
              <w:keepLines w:val="0"/>
              <w:pageBreakBefore w:val="0"/>
              <w:widowControl/>
              <w:numPr>
                <w:ilvl w:val="0"/>
                <w:numId w:val="0"/>
              </w:numPr>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函数型；</w:t>
            </w:r>
          </w:p>
          <w:p w14:paraId="28FEE054">
            <w:pPr>
              <w:keepNext w:val="0"/>
              <w:keepLines w:val="0"/>
              <w:pageBreakBefore w:val="0"/>
              <w:widowControl/>
              <w:numPr>
                <w:ilvl w:val="0"/>
                <w:numId w:val="0"/>
              </w:numPr>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2.10+2位数、有统计运算功能、有分数计算功能、双行LCD显示、有函数运算功能、有多行重视功能、有方程编辑及显示、查看功能、有独立储存器功能、有临时储存器功能、有普通四则运算功能、有自动关机功能、应保留普通计算器的其他功能。</w:t>
            </w:r>
          </w:p>
        </w:tc>
      </w:tr>
      <w:tr w14:paraId="1375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92F9A8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1215" w:type="dxa"/>
            <w:noWrap w:val="0"/>
            <w:vAlign w:val="center"/>
          </w:tcPr>
          <w:p w14:paraId="295F402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望远镜</w:t>
            </w:r>
          </w:p>
        </w:tc>
        <w:tc>
          <w:tcPr>
            <w:tcW w:w="804" w:type="dxa"/>
            <w:noWrap w:val="0"/>
            <w:vAlign w:val="center"/>
          </w:tcPr>
          <w:p w14:paraId="16C9DE6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FC1E97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6351" w:type="dxa"/>
            <w:noWrap w:val="0"/>
            <w:vAlign w:val="center"/>
          </w:tcPr>
          <w:p w14:paraId="6DA17472">
            <w:pPr>
              <w:keepNext w:val="0"/>
              <w:keepLines w:val="0"/>
              <w:pageBreakBefore w:val="0"/>
              <w:widowControl/>
              <w:numPr>
                <w:ilvl w:val="0"/>
                <w:numId w:val="7"/>
              </w:numPr>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双筒，规格：7×35，可调焦；</w:t>
            </w:r>
          </w:p>
          <w:p w14:paraId="0F074191">
            <w:pPr>
              <w:keepNext w:val="0"/>
              <w:keepLines w:val="0"/>
              <w:pageBreakBefore w:val="0"/>
              <w:widowControl/>
              <w:numPr>
                <w:ilvl w:val="0"/>
                <w:numId w:val="7"/>
              </w:numPr>
              <w:suppressLineNumbers w:val="0"/>
              <w:kinsoku/>
              <w:wordWrap/>
              <w:overflowPunct/>
              <w:topLinePunct w:val="0"/>
              <w:bidi w:val="0"/>
              <w:spacing w:line="44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倍率：7倍（真实倍率），视角：8度，物镜：35mm，视野范围：1000米处为167米；</w:t>
            </w:r>
          </w:p>
          <w:p w14:paraId="01AFD517">
            <w:pPr>
              <w:keepNext w:val="0"/>
              <w:keepLines w:val="0"/>
              <w:pageBreakBefore w:val="0"/>
              <w:widowControl/>
              <w:numPr>
                <w:ilvl w:val="0"/>
                <w:numId w:val="7"/>
              </w:numPr>
              <w:suppressLineNumbers w:val="0"/>
              <w:kinsoku/>
              <w:wordWrap/>
              <w:overflowPunct/>
              <w:topLinePunct w:val="0"/>
              <w:bidi w:val="0"/>
              <w:spacing w:line="440" w:lineRule="exact"/>
              <w:ind w:left="0" w:lef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材质：望远镜专用工程材料，手感细腻、舒适，外观典雅，做工精细；</w:t>
            </w:r>
          </w:p>
          <w:p w14:paraId="1D44E855">
            <w:pPr>
              <w:keepNext w:val="0"/>
              <w:keepLines w:val="0"/>
              <w:pageBreakBefore w:val="0"/>
              <w:widowControl/>
              <w:numPr>
                <w:ilvl w:val="0"/>
                <w:numId w:val="0"/>
              </w:numPr>
              <w:suppressLineNumbers w:val="0"/>
              <w:kinsoku/>
              <w:wordWrap/>
              <w:overflowPunct/>
              <w:topLinePunct w:val="0"/>
              <w:bidi w:val="0"/>
              <w:spacing w:line="440" w:lineRule="exact"/>
              <w:ind w:leftChars="0"/>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4.镜片镀膜：完全镀膜；5.望远镜配有背带和皮夹包，配有说明书。</w:t>
            </w:r>
          </w:p>
        </w:tc>
      </w:tr>
      <w:tr w14:paraId="5D8B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889A9A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w:t>
            </w:r>
          </w:p>
        </w:tc>
        <w:tc>
          <w:tcPr>
            <w:tcW w:w="1215" w:type="dxa"/>
            <w:noWrap w:val="0"/>
            <w:vAlign w:val="center"/>
          </w:tcPr>
          <w:p w14:paraId="4BC263E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天文望远镜</w:t>
            </w:r>
          </w:p>
        </w:tc>
        <w:tc>
          <w:tcPr>
            <w:tcW w:w="804" w:type="dxa"/>
            <w:noWrap w:val="0"/>
            <w:vAlign w:val="center"/>
          </w:tcPr>
          <w:p w14:paraId="5D0D418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1BA043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CA160D3">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望远镜筒直径不低于50mm,由2个目镜组成,分别为H20mm/H6mm,1.5x正向镜,90度天顶镜,铝合金三脚架不低于380mm.</w:t>
            </w:r>
          </w:p>
        </w:tc>
      </w:tr>
      <w:tr w14:paraId="7146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4E1958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4</w:t>
            </w:r>
          </w:p>
        </w:tc>
        <w:tc>
          <w:tcPr>
            <w:tcW w:w="1215" w:type="dxa"/>
            <w:noWrap w:val="0"/>
            <w:vAlign w:val="center"/>
          </w:tcPr>
          <w:p w14:paraId="1A0BE94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数字式天文望远镜</w:t>
            </w:r>
          </w:p>
        </w:tc>
        <w:tc>
          <w:tcPr>
            <w:tcW w:w="804" w:type="dxa"/>
            <w:noWrap w:val="0"/>
            <w:vAlign w:val="center"/>
          </w:tcPr>
          <w:p w14:paraId="6195582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BDD44D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4884AE0">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光照度5lx，分辨率640×480           </w:t>
            </w:r>
          </w:p>
          <w:p w14:paraId="7ED26C1B">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USB接口</w:t>
            </w:r>
          </w:p>
        </w:tc>
      </w:tr>
      <w:tr w14:paraId="28E0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6ECA4B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1215" w:type="dxa"/>
            <w:noWrap w:val="0"/>
            <w:vAlign w:val="center"/>
          </w:tcPr>
          <w:p w14:paraId="30F36E0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温度表支架</w:t>
            </w:r>
          </w:p>
        </w:tc>
        <w:tc>
          <w:tcPr>
            <w:tcW w:w="804" w:type="dxa"/>
            <w:noWrap w:val="0"/>
            <w:vAlign w:val="center"/>
          </w:tcPr>
          <w:p w14:paraId="67BE4E5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付</w:t>
            </w:r>
          </w:p>
        </w:tc>
        <w:tc>
          <w:tcPr>
            <w:tcW w:w="765" w:type="dxa"/>
            <w:gridSpan w:val="2"/>
            <w:noWrap w:val="0"/>
            <w:vAlign w:val="center"/>
          </w:tcPr>
          <w:p w14:paraId="38D52BA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F9B4900">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金属制，能竖立放置，能竖直固定干湿球温度计（预留空间：350 mm×150 mm×50 mm），水平固定最高温度计和最低温度计</w:t>
            </w:r>
          </w:p>
        </w:tc>
      </w:tr>
      <w:tr w14:paraId="694B0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507433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6</w:t>
            </w:r>
          </w:p>
        </w:tc>
        <w:tc>
          <w:tcPr>
            <w:tcW w:w="1215" w:type="dxa"/>
            <w:noWrap w:val="0"/>
            <w:vAlign w:val="center"/>
          </w:tcPr>
          <w:p w14:paraId="542000B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百叶箱支架</w:t>
            </w:r>
          </w:p>
        </w:tc>
        <w:tc>
          <w:tcPr>
            <w:tcW w:w="804" w:type="dxa"/>
            <w:noWrap w:val="0"/>
            <w:vAlign w:val="center"/>
          </w:tcPr>
          <w:p w14:paraId="398E103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662DEE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204E288">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1.百叶箱支架采用角铁制成；高度为1500mm窄应于百叶箱配套；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2.台面四角下方均加有角钢加固，角钢带有螺孔可将其固定于支架上，支脚为上支脚和下支脚拼接而成；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3.支架与支撑杆之间用螺丝固定。</w:t>
            </w:r>
          </w:p>
        </w:tc>
      </w:tr>
      <w:tr w14:paraId="0F83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AA3DD4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7</w:t>
            </w:r>
          </w:p>
        </w:tc>
        <w:tc>
          <w:tcPr>
            <w:tcW w:w="1215" w:type="dxa"/>
            <w:noWrap w:val="0"/>
            <w:vAlign w:val="center"/>
          </w:tcPr>
          <w:p w14:paraId="70E5C01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钢卷尺</w:t>
            </w:r>
          </w:p>
        </w:tc>
        <w:tc>
          <w:tcPr>
            <w:tcW w:w="804" w:type="dxa"/>
            <w:noWrap w:val="0"/>
            <w:vAlign w:val="center"/>
          </w:tcPr>
          <w:p w14:paraId="7E011BE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盒</w:t>
            </w:r>
          </w:p>
        </w:tc>
        <w:tc>
          <w:tcPr>
            <w:tcW w:w="765" w:type="dxa"/>
            <w:gridSpan w:val="2"/>
            <w:noWrap w:val="0"/>
            <w:vAlign w:val="center"/>
          </w:tcPr>
          <w:p w14:paraId="421F06C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51173E7">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1.由尺带、尺盒组成，量程为0mm～2000mm；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2.最小刻度值为1mm，每厘米处的刻线是毫米刻线长的2倍并标有相应数字，刻线均匀、清晰；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3.尺带由不锈钢制成，弹性适宜，进出灵活，有止动装置，尺盒可为塑料制成。</w:t>
            </w:r>
          </w:p>
        </w:tc>
      </w:tr>
      <w:tr w14:paraId="667D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FB7358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8</w:t>
            </w:r>
          </w:p>
        </w:tc>
        <w:tc>
          <w:tcPr>
            <w:tcW w:w="1215" w:type="dxa"/>
            <w:noWrap w:val="0"/>
            <w:vAlign w:val="center"/>
          </w:tcPr>
          <w:p w14:paraId="3AAB9ED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布卷尺</w:t>
            </w:r>
          </w:p>
        </w:tc>
        <w:tc>
          <w:tcPr>
            <w:tcW w:w="804" w:type="dxa"/>
            <w:noWrap w:val="0"/>
            <w:vAlign w:val="center"/>
          </w:tcPr>
          <w:p w14:paraId="297E2D8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盒</w:t>
            </w:r>
          </w:p>
        </w:tc>
        <w:tc>
          <w:tcPr>
            <w:tcW w:w="765" w:type="dxa"/>
            <w:gridSpan w:val="2"/>
            <w:noWrap w:val="0"/>
            <w:vAlign w:val="center"/>
          </w:tcPr>
          <w:p w14:paraId="354B8AA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A3CAAD7">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1.量程30米；分度值1cm；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2.主要构件：尺盒、摇柄和尺带、首端装有金属拉环的整条尺带；尺盒为塑料材质，金属拉环应灵活、牢固可靠，不得锈蚀；尺带拉出或用摇柄收卷尺带时，应轻便灵活，无卡阻现象；</w:t>
            </w:r>
          </w:p>
        </w:tc>
      </w:tr>
      <w:tr w14:paraId="3EF1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D606C5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9</w:t>
            </w:r>
          </w:p>
        </w:tc>
        <w:tc>
          <w:tcPr>
            <w:tcW w:w="1215" w:type="dxa"/>
            <w:noWrap w:val="0"/>
            <w:vAlign w:val="center"/>
          </w:tcPr>
          <w:p w14:paraId="7615749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世界钟</w:t>
            </w:r>
          </w:p>
        </w:tc>
        <w:tc>
          <w:tcPr>
            <w:tcW w:w="804" w:type="dxa"/>
            <w:noWrap w:val="0"/>
            <w:vAlign w:val="center"/>
          </w:tcPr>
          <w:p w14:paraId="59F81F0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7279D1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0EEF2CA">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普及型，由计时盘、时区盘和指针式石英电子钟为基础的全套传动结构组成，能反映世界24小时区的所有国家和地区的时刻的时钟。计时盘直径260mm，计时盘用铝板制成，外围划12个等格采用12小时计时。</w:t>
            </w:r>
          </w:p>
        </w:tc>
      </w:tr>
      <w:tr w14:paraId="52F4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A6DFEC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w:t>
            </w:r>
          </w:p>
        </w:tc>
        <w:tc>
          <w:tcPr>
            <w:tcW w:w="1215" w:type="dxa"/>
            <w:noWrap w:val="0"/>
            <w:vAlign w:val="center"/>
          </w:tcPr>
          <w:p w14:paraId="708398D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寒暑表</w:t>
            </w:r>
          </w:p>
        </w:tc>
        <w:tc>
          <w:tcPr>
            <w:tcW w:w="804" w:type="dxa"/>
            <w:noWrap w:val="0"/>
            <w:vAlign w:val="center"/>
          </w:tcPr>
          <w:p w14:paraId="55712DE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只</w:t>
            </w:r>
          </w:p>
        </w:tc>
        <w:tc>
          <w:tcPr>
            <w:tcW w:w="765" w:type="dxa"/>
            <w:gridSpan w:val="2"/>
            <w:noWrap w:val="0"/>
            <w:vAlign w:val="center"/>
          </w:tcPr>
          <w:p w14:paraId="4E04711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25</w:t>
            </w:r>
          </w:p>
        </w:tc>
        <w:tc>
          <w:tcPr>
            <w:tcW w:w="6351" w:type="dxa"/>
            <w:noWrap w:val="0"/>
            <w:vAlign w:val="center"/>
          </w:tcPr>
          <w:p w14:paraId="6D52FDFD">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测量范围-20 ℃～50 ℃，分度值1 ℃，摄氏温度，底板外型尺寸≥350 mm×60 mm</w:t>
            </w:r>
          </w:p>
        </w:tc>
      </w:tr>
      <w:tr w14:paraId="3D59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D932F8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11</w:t>
            </w:r>
          </w:p>
        </w:tc>
        <w:tc>
          <w:tcPr>
            <w:tcW w:w="1215" w:type="dxa"/>
            <w:noWrap w:val="0"/>
            <w:vAlign w:val="center"/>
          </w:tcPr>
          <w:p w14:paraId="0C4E25E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最高温度表</w:t>
            </w:r>
          </w:p>
        </w:tc>
        <w:tc>
          <w:tcPr>
            <w:tcW w:w="804" w:type="dxa"/>
            <w:noWrap w:val="0"/>
            <w:vAlign w:val="center"/>
          </w:tcPr>
          <w:p w14:paraId="5048C4F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4D5FDE9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6F8598A">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 xml:space="preserve"> -16℃～+81℃</w:t>
            </w:r>
          </w:p>
        </w:tc>
      </w:tr>
      <w:tr w14:paraId="68B9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4DE92D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12</w:t>
            </w:r>
          </w:p>
        </w:tc>
        <w:tc>
          <w:tcPr>
            <w:tcW w:w="1215" w:type="dxa"/>
            <w:noWrap w:val="0"/>
            <w:vAlign w:val="center"/>
          </w:tcPr>
          <w:p w14:paraId="5ECBA36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最低温度表</w:t>
            </w:r>
          </w:p>
        </w:tc>
        <w:tc>
          <w:tcPr>
            <w:tcW w:w="804" w:type="dxa"/>
            <w:noWrap w:val="0"/>
            <w:vAlign w:val="center"/>
          </w:tcPr>
          <w:p w14:paraId="0863493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546FD65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34A17A4">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 xml:space="preserve"> -52℃～+41℃</w:t>
            </w:r>
          </w:p>
        </w:tc>
      </w:tr>
      <w:tr w14:paraId="44CF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BA6460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13</w:t>
            </w:r>
          </w:p>
        </w:tc>
        <w:tc>
          <w:tcPr>
            <w:tcW w:w="1215" w:type="dxa"/>
            <w:noWrap w:val="0"/>
            <w:vAlign w:val="center"/>
          </w:tcPr>
          <w:p w14:paraId="0FB45BE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干湿球温度计</w:t>
            </w:r>
          </w:p>
        </w:tc>
        <w:tc>
          <w:tcPr>
            <w:tcW w:w="804" w:type="dxa"/>
            <w:noWrap w:val="0"/>
            <w:vAlign w:val="center"/>
          </w:tcPr>
          <w:p w14:paraId="33134D5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557BA90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9507CB4">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本干湿温度计，是以摄氏温度计算查对空气中相对湿度的(附见表体背面)使用时将水壶内注满清水，将纱带浸入壶中,以后经常保持壶内有水不断。注意保持清洁。本干湿温度计专供养蚕、鸡单位用来测量室温、干球与湿球的差度及相对温度。也可供一般室内测量使用。一般住宅室温宜控制在24C-28C之间室内空气相对湿度宜在70%-80%之间。</w:t>
            </w:r>
          </w:p>
        </w:tc>
      </w:tr>
      <w:tr w14:paraId="24FD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902115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14</w:t>
            </w:r>
          </w:p>
        </w:tc>
        <w:tc>
          <w:tcPr>
            <w:tcW w:w="1215" w:type="dxa"/>
            <w:noWrap w:val="0"/>
            <w:vAlign w:val="center"/>
          </w:tcPr>
          <w:p w14:paraId="59070F1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地面温度表</w:t>
            </w:r>
          </w:p>
        </w:tc>
        <w:tc>
          <w:tcPr>
            <w:tcW w:w="804" w:type="dxa"/>
            <w:noWrap w:val="0"/>
            <w:vAlign w:val="center"/>
          </w:tcPr>
          <w:p w14:paraId="4B103C7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支</w:t>
            </w:r>
          </w:p>
        </w:tc>
        <w:tc>
          <w:tcPr>
            <w:tcW w:w="765" w:type="dxa"/>
            <w:gridSpan w:val="2"/>
            <w:noWrap w:val="0"/>
            <w:vAlign w:val="center"/>
          </w:tcPr>
          <w:p w14:paraId="3C8BCB1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DDE68F8">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 xml:space="preserve"> -36℃～+81℃</w:t>
            </w:r>
          </w:p>
        </w:tc>
      </w:tr>
      <w:tr w14:paraId="119BC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7F7A9F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15</w:t>
            </w:r>
          </w:p>
        </w:tc>
        <w:tc>
          <w:tcPr>
            <w:tcW w:w="1215" w:type="dxa"/>
            <w:noWrap w:val="0"/>
            <w:vAlign w:val="center"/>
          </w:tcPr>
          <w:p w14:paraId="02BB99E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自记温度计</w:t>
            </w:r>
          </w:p>
        </w:tc>
        <w:tc>
          <w:tcPr>
            <w:tcW w:w="804" w:type="dxa"/>
            <w:noWrap w:val="0"/>
            <w:vAlign w:val="center"/>
          </w:tcPr>
          <w:p w14:paraId="621C936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2C3E20C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7D1D10A">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 xml:space="preserve">1.测量范围：-40℃～+60℃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2.记录范围：-40℃～+60℃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3.显示精度：0.1℃(测量值)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4.显围：3/6/12/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5.测量精度：0.5℃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6.RS232计算机接口</w:t>
            </w:r>
          </w:p>
        </w:tc>
      </w:tr>
      <w:tr w14:paraId="60A7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69DD58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16</w:t>
            </w:r>
          </w:p>
        </w:tc>
        <w:tc>
          <w:tcPr>
            <w:tcW w:w="1215" w:type="dxa"/>
            <w:noWrap w:val="0"/>
            <w:vAlign w:val="center"/>
          </w:tcPr>
          <w:p w14:paraId="153D89F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酸度计(pH计)</w:t>
            </w:r>
          </w:p>
        </w:tc>
        <w:tc>
          <w:tcPr>
            <w:tcW w:w="804" w:type="dxa"/>
            <w:noWrap w:val="0"/>
            <w:vAlign w:val="center"/>
          </w:tcPr>
          <w:p w14:paraId="0A0C146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66E3CEA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w:t>
            </w:r>
          </w:p>
        </w:tc>
        <w:tc>
          <w:tcPr>
            <w:tcW w:w="6351" w:type="dxa"/>
            <w:noWrap w:val="0"/>
            <w:vAlign w:val="center"/>
          </w:tcPr>
          <w:p w14:paraId="4FA2AB9F">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技术指标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测量范围</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0.0~14.0 pH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分辨率</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0.1 pH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精度</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 0.1pH(@20℃) /±0.2pH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工作电压</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3x1.5v(AG-13型纽扣电池)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工作环境</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0-50℃ RH&lt;95%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6.</w:t>
            </w:r>
            <w:r>
              <w:rPr>
                <w:rFonts w:hint="eastAsia" w:ascii="宋体" w:hAnsi="宋体" w:eastAsia="宋体" w:cs="宋体"/>
                <w:i w:val="0"/>
                <w:iCs w:val="0"/>
                <w:color w:val="auto"/>
                <w:kern w:val="0"/>
                <w:sz w:val="21"/>
                <w:szCs w:val="21"/>
                <w:u w:val="none"/>
                <w:lang w:val="en-US" w:eastAsia="zh-CN" w:bidi="ar"/>
              </w:rPr>
              <w:t>校正</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一点校正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7.</w:t>
            </w:r>
            <w:r>
              <w:rPr>
                <w:rFonts w:hint="eastAsia" w:ascii="宋体" w:hAnsi="宋体" w:eastAsia="宋体" w:cs="宋体"/>
                <w:i w:val="0"/>
                <w:iCs w:val="0"/>
                <w:color w:val="auto"/>
                <w:kern w:val="0"/>
                <w:sz w:val="21"/>
                <w:szCs w:val="21"/>
                <w:u w:val="none"/>
                <w:lang w:val="en-US" w:eastAsia="zh-CN" w:bidi="ar"/>
              </w:rPr>
              <w:t>体积</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152x30x 15mm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8.</w:t>
            </w:r>
            <w:r>
              <w:rPr>
                <w:rFonts w:hint="eastAsia" w:ascii="宋体" w:hAnsi="宋体" w:eastAsia="宋体" w:cs="宋体"/>
                <w:i w:val="0"/>
                <w:iCs w:val="0"/>
                <w:color w:val="auto"/>
                <w:kern w:val="0"/>
                <w:sz w:val="21"/>
                <w:szCs w:val="21"/>
                <w:u w:val="none"/>
                <w:lang w:val="en-US" w:eastAsia="zh-CN" w:bidi="ar"/>
              </w:rPr>
              <w:t>重量</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50克 </w:t>
            </w:r>
          </w:p>
        </w:tc>
      </w:tr>
      <w:tr w14:paraId="5888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E4455E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17</w:t>
            </w:r>
          </w:p>
        </w:tc>
        <w:tc>
          <w:tcPr>
            <w:tcW w:w="1215" w:type="dxa"/>
            <w:noWrap w:val="0"/>
            <w:vAlign w:val="center"/>
          </w:tcPr>
          <w:p w14:paraId="421ADCA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地质罗盘</w:t>
            </w:r>
          </w:p>
        </w:tc>
        <w:tc>
          <w:tcPr>
            <w:tcW w:w="804" w:type="dxa"/>
            <w:noWrap w:val="0"/>
            <w:vAlign w:val="center"/>
          </w:tcPr>
          <w:p w14:paraId="14E0B9C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只</w:t>
            </w:r>
          </w:p>
        </w:tc>
        <w:tc>
          <w:tcPr>
            <w:tcW w:w="765" w:type="dxa"/>
            <w:gridSpan w:val="2"/>
            <w:noWrap w:val="0"/>
            <w:vAlign w:val="center"/>
          </w:tcPr>
          <w:p w14:paraId="3B2D4D4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9</w:t>
            </w:r>
          </w:p>
        </w:tc>
        <w:tc>
          <w:tcPr>
            <w:tcW w:w="6351" w:type="dxa"/>
            <w:noWrap w:val="0"/>
            <w:vAlign w:val="center"/>
          </w:tcPr>
          <w:p w14:paraId="406B30AC">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测定方位、距离、水平、坡度（俯仰角度）、高度及测绘简单地图的测量器材，全金属结构外壳，表层喷漆。二、结构：仪器主要由罗盘、里程计两部分构成，罗盘部分有提环，度盘座，在度盘座上划有两种科线，外圈为360度分划制，每刻线为1度。内圈为6000（密位分划制，圆周共刻300刻线，每刻线值为20（密位）。内有磁针，测角器。里程计部分主要由里程分划表，速度时间表，测轮，齿轮，指针等组成。速度时间表分划：外侧表盘上有13.15.17.19.21.23.25公里/小时，内测表盘上有10.14.16.18.20.22.24.30公里/小时（以V代表），共十五种速度。仪器的侧面有测绘尺，两端为距离估定器。估定器两尖端长12.3mm，照准与准星间长为123mm，即为尖端长的10倍。</w:t>
            </w:r>
          </w:p>
        </w:tc>
      </w:tr>
      <w:tr w14:paraId="6982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D957BC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18</w:t>
            </w:r>
          </w:p>
        </w:tc>
        <w:tc>
          <w:tcPr>
            <w:tcW w:w="1215" w:type="dxa"/>
            <w:noWrap w:val="0"/>
            <w:vAlign w:val="center"/>
          </w:tcPr>
          <w:p w14:paraId="653ED12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指南针</w:t>
            </w:r>
          </w:p>
        </w:tc>
        <w:tc>
          <w:tcPr>
            <w:tcW w:w="804" w:type="dxa"/>
            <w:noWrap w:val="0"/>
            <w:vAlign w:val="center"/>
          </w:tcPr>
          <w:p w14:paraId="602B148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B6ED0E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24</w:t>
            </w:r>
          </w:p>
        </w:tc>
        <w:tc>
          <w:tcPr>
            <w:tcW w:w="6351" w:type="dxa"/>
            <w:noWrap w:val="0"/>
            <w:vAlign w:val="center"/>
          </w:tcPr>
          <w:p w14:paraId="354C9FF7">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优质不锈钢外壳，直径不小于50mm</w:t>
            </w:r>
          </w:p>
        </w:tc>
      </w:tr>
      <w:tr w14:paraId="1F14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BFE2E9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19</w:t>
            </w:r>
          </w:p>
        </w:tc>
        <w:tc>
          <w:tcPr>
            <w:tcW w:w="1215" w:type="dxa"/>
            <w:noWrap w:val="0"/>
            <w:vAlign w:val="center"/>
          </w:tcPr>
          <w:p w14:paraId="1F0E6D5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空盒气压表</w:t>
            </w:r>
          </w:p>
        </w:tc>
        <w:tc>
          <w:tcPr>
            <w:tcW w:w="804" w:type="dxa"/>
            <w:noWrap w:val="0"/>
            <w:vAlign w:val="center"/>
          </w:tcPr>
          <w:p w14:paraId="3BBE0F4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6FA19C1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96E55DD">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800hPa～1060hPa，最小分度值1hPa，误差≤2.0hPa</w:t>
            </w:r>
          </w:p>
        </w:tc>
      </w:tr>
      <w:tr w14:paraId="73F4E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EA0C56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20</w:t>
            </w:r>
          </w:p>
        </w:tc>
        <w:tc>
          <w:tcPr>
            <w:tcW w:w="1215" w:type="dxa"/>
            <w:noWrap w:val="0"/>
            <w:vAlign w:val="center"/>
          </w:tcPr>
          <w:p w14:paraId="2BC1F88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气压计</w:t>
            </w:r>
          </w:p>
        </w:tc>
        <w:tc>
          <w:tcPr>
            <w:tcW w:w="804" w:type="dxa"/>
            <w:noWrap w:val="0"/>
            <w:vAlign w:val="center"/>
          </w:tcPr>
          <w:p w14:paraId="3D58E68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6F464D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19AACA4">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自动、连续记录气压变化</w:t>
            </w:r>
          </w:p>
        </w:tc>
      </w:tr>
      <w:tr w14:paraId="5ABB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090DB9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21</w:t>
            </w:r>
          </w:p>
        </w:tc>
        <w:tc>
          <w:tcPr>
            <w:tcW w:w="1215" w:type="dxa"/>
            <w:noWrap w:val="0"/>
            <w:vAlign w:val="center"/>
          </w:tcPr>
          <w:p w14:paraId="0E86833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毛发表</w:t>
            </w:r>
          </w:p>
        </w:tc>
        <w:tc>
          <w:tcPr>
            <w:tcW w:w="804" w:type="dxa"/>
            <w:noWrap w:val="0"/>
            <w:vAlign w:val="center"/>
          </w:tcPr>
          <w:p w14:paraId="570679D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B5C30D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0BC5D114">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单发。</w:t>
            </w:r>
          </w:p>
          <w:p w14:paraId="0807D1D8">
            <w:pPr>
              <w:keepNext w:val="0"/>
              <w:keepLines w:val="0"/>
              <w:pageBreakBefore w:val="0"/>
              <w:widowControl/>
              <w:numPr>
                <w:ilvl w:val="0"/>
                <w:numId w:val="0"/>
              </w:numPr>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湿度范围：0-100%。</w:t>
            </w:r>
          </w:p>
          <w:p w14:paraId="66051136">
            <w:pPr>
              <w:keepNext w:val="0"/>
              <w:keepLines w:val="0"/>
              <w:pageBreakBefore w:val="0"/>
              <w:widowControl/>
              <w:numPr>
                <w:ilvl w:val="0"/>
                <w:numId w:val="0"/>
              </w:numPr>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2.测量精度：±5%。</w:t>
            </w:r>
          </w:p>
          <w:p w14:paraId="33A6B870">
            <w:pPr>
              <w:keepNext w:val="0"/>
              <w:keepLines w:val="0"/>
              <w:pageBreakBefore w:val="0"/>
              <w:widowControl/>
              <w:numPr>
                <w:ilvl w:val="0"/>
                <w:numId w:val="0"/>
              </w:numPr>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3.测量误差：±5%（℃。</w:t>
            </w:r>
          </w:p>
        </w:tc>
      </w:tr>
      <w:tr w14:paraId="1260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197661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22</w:t>
            </w:r>
          </w:p>
        </w:tc>
        <w:tc>
          <w:tcPr>
            <w:tcW w:w="1215" w:type="dxa"/>
            <w:noWrap w:val="0"/>
            <w:vAlign w:val="center"/>
          </w:tcPr>
          <w:p w14:paraId="7577983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蒸发器</w:t>
            </w:r>
          </w:p>
        </w:tc>
        <w:tc>
          <w:tcPr>
            <w:tcW w:w="804" w:type="dxa"/>
            <w:noWrap w:val="0"/>
            <w:vAlign w:val="center"/>
          </w:tcPr>
          <w:p w14:paraId="443DE72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385001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4DC2718">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蒸发器面积314cm2</w:t>
            </w:r>
          </w:p>
        </w:tc>
      </w:tr>
      <w:tr w14:paraId="442C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9390E7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23</w:t>
            </w:r>
          </w:p>
        </w:tc>
        <w:tc>
          <w:tcPr>
            <w:tcW w:w="1215" w:type="dxa"/>
            <w:noWrap w:val="0"/>
            <w:vAlign w:val="center"/>
          </w:tcPr>
          <w:p w14:paraId="64B8AC8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雨量器</w:t>
            </w:r>
          </w:p>
        </w:tc>
        <w:tc>
          <w:tcPr>
            <w:tcW w:w="804" w:type="dxa"/>
            <w:noWrap w:val="0"/>
            <w:vAlign w:val="center"/>
          </w:tcPr>
          <w:p w14:paraId="75AF785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167D30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AD833AC">
            <w:pPr>
              <w:keepNext w:val="0"/>
              <w:keepLines w:val="0"/>
              <w:pageBreakBefore w:val="0"/>
              <w:widowControl/>
              <w:numPr>
                <w:ilvl w:val="0"/>
                <w:numId w:val="0"/>
              </w:numPr>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雨量器的承水装置内径φ≥200mm，为园桶金属件，应无锈蚀现象，内壁圆滑，其刃口无毛刺。</w:t>
            </w:r>
          </w:p>
          <w:p w14:paraId="102983DA">
            <w:pPr>
              <w:keepNext w:val="0"/>
              <w:keepLines w:val="0"/>
              <w:pageBreakBefore w:val="0"/>
              <w:widowControl/>
              <w:numPr>
                <w:ilvl w:val="0"/>
                <w:numId w:val="0"/>
              </w:numPr>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2．承水口内径200mm，承水装置与筒体配合应方便，并保证承水装置在正常使用中不因风力影响而脱开。</w:t>
            </w:r>
          </w:p>
          <w:p w14:paraId="469B38F1">
            <w:pPr>
              <w:keepNext w:val="0"/>
              <w:keepLines w:val="0"/>
              <w:pageBreakBefore w:val="0"/>
              <w:widowControl/>
              <w:numPr>
                <w:ilvl w:val="0"/>
                <w:numId w:val="0"/>
              </w:numPr>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3．所有与水的接触面应光滑，相互配合或连接部应牢固、不得有渗水现象。</w:t>
            </w:r>
          </w:p>
          <w:p w14:paraId="00DADAB0">
            <w:pPr>
              <w:keepNext w:val="0"/>
              <w:keepLines w:val="0"/>
              <w:pageBreakBefore w:val="0"/>
              <w:widowControl/>
              <w:numPr>
                <w:ilvl w:val="0"/>
                <w:numId w:val="0"/>
              </w:numPr>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4．所有零部件保护层牢固、均匀、光洁，装配正确，无松脱、变形现象。</w:t>
            </w:r>
          </w:p>
          <w:p w14:paraId="0226370B">
            <w:pPr>
              <w:keepNext w:val="0"/>
              <w:keepLines w:val="0"/>
              <w:pageBreakBefore w:val="0"/>
              <w:widowControl/>
              <w:numPr>
                <w:ilvl w:val="0"/>
                <w:numId w:val="0"/>
              </w:numPr>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5．雨量器与支架安装方便、牢固，不因风力影响而脱开。</w:t>
            </w:r>
          </w:p>
          <w:p w14:paraId="3F881DAB">
            <w:pPr>
              <w:keepNext w:val="0"/>
              <w:keepLines w:val="0"/>
              <w:pageBreakBefore w:val="0"/>
              <w:widowControl/>
              <w:numPr>
                <w:ilvl w:val="0"/>
                <w:numId w:val="0"/>
              </w:numPr>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6．附小漏斗、雨量杯、储水器各一个。</w:t>
            </w:r>
          </w:p>
        </w:tc>
      </w:tr>
      <w:tr w14:paraId="41C7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8145E5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24</w:t>
            </w:r>
          </w:p>
        </w:tc>
        <w:tc>
          <w:tcPr>
            <w:tcW w:w="1215" w:type="dxa"/>
            <w:noWrap w:val="0"/>
            <w:vAlign w:val="center"/>
          </w:tcPr>
          <w:p w14:paraId="4ABB725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雨量计</w:t>
            </w:r>
          </w:p>
        </w:tc>
        <w:tc>
          <w:tcPr>
            <w:tcW w:w="804" w:type="dxa"/>
            <w:noWrap w:val="0"/>
            <w:vAlign w:val="center"/>
          </w:tcPr>
          <w:p w14:paraId="1D65372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33C5610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245555D">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虹吸式或翻斗式，承水口内径200mm</w:t>
            </w:r>
          </w:p>
        </w:tc>
      </w:tr>
      <w:tr w14:paraId="7CC8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3A87CF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25</w:t>
            </w:r>
          </w:p>
        </w:tc>
        <w:tc>
          <w:tcPr>
            <w:tcW w:w="1215" w:type="dxa"/>
            <w:noWrap w:val="0"/>
            <w:vAlign w:val="center"/>
          </w:tcPr>
          <w:p w14:paraId="543B79C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轻风表</w:t>
            </w:r>
          </w:p>
        </w:tc>
        <w:tc>
          <w:tcPr>
            <w:tcW w:w="804" w:type="dxa"/>
            <w:noWrap w:val="0"/>
            <w:vAlign w:val="center"/>
          </w:tcPr>
          <w:p w14:paraId="108F7CE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663EAF2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9C50BDD">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采用单片机技术，LCD显示屏，显示屏尺寸48mm×35mm，功能及单位直接用显示汉字，显示数字高度：18mm，应可同时测量瞬时风速、平均风速、瞬时风级、平均风级、对应浪高。</w:t>
            </w:r>
          </w:p>
          <w:p w14:paraId="49B98998">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外形尺寸：400mm×100mm×100mm</w:t>
            </w:r>
          </w:p>
          <w:p w14:paraId="4B578B2B">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重量：0.5kg</w:t>
            </w:r>
          </w:p>
          <w:p w14:paraId="57AF7682">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传感器风杯护栏为铜镀铬，风杯为ABS塑料，其余部件均为铝材</w:t>
            </w:r>
          </w:p>
          <w:p w14:paraId="17E16310">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风向部分整体结构由风向标，风向轴及风向度盘组成</w:t>
            </w:r>
          </w:p>
          <w:p w14:paraId="3BAD45FC">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风速指标应达到：风速测量范围：0～30m/秒</w:t>
            </w:r>
          </w:p>
          <w:p w14:paraId="5C62A12D">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风速传感器启运动风速：不大于0.8m/秒</w:t>
            </w:r>
          </w:p>
          <w:p w14:paraId="15949CC6">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风速测量精度：误差≤±(0.3+0.03V)m/秒(V-实际风速)。</w:t>
            </w:r>
          </w:p>
        </w:tc>
      </w:tr>
      <w:tr w14:paraId="54E2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0DC502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26</w:t>
            </w:r>
          </w:p>
        </w:tc>
        <w:tc>
          <w:tcPr>
            <w:tcW w:w="1215" w:type="dxa"/>
            <w:noWrap w:val="0"/>
            <w:vAlign w:val="center"/>
          </w:tcPr>
          <w:p w14:paraId="1567626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电接风向风速计</w:t>
            </w:r>
          </w:p>
        </w:tc>
        <w:tc>
          <w:tcPr>
            <w:tcW w:w="804" w:type="dxa"/>
            <w:noWrap w:val="0"/>
            <w:vAlign w:val="center"/>
          </w:tcPr>
          <w:p w14:paraId="0F0BA1F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52127C6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505D097">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包括感应器、指示器、记录器</w:t>
            </w:r>
          </w:p>
        </w:tc>
      </w:tr>
      <w:tr w14:paraId="0137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B24789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27</w:t>
            </w:r>
          </w:p>
        </w:tc>
        <w:tc>
          <w:tcPr>
            <w:tcW w:w="1215" w:type="dxa"/>
            <w:noWrap w:val="0"/>
            <w:vAlign w:val="center"/>
          </w:tcPr>
          <w:p w14:paraId="3528293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日照计</w:t>
            </w:r>
          </w:p>
        </w:tc>
        <w:tc>
          <w:tcPr>
            <w:tcW w:w="804" w:type="dxa"/>
            <w:noWrap w:val="0"/>
            <w:vAlign w:val="center"/>
          </w:tcPr>
          <w:p w14:paraId="19525C7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28600CA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D93AA2B">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仪器由金属圆柱筒、隔光板、纬度标尺及座架组成，纬度使用范围:0°～60°</w:t>
            </w:r>
          </w:p>
        </w:tc>
      </w:tr>
      <w:tr w14:paraId="20DA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8F4D93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28</w:t>
            </w:r>
          </w:p>
        </w:tc>
        <w:tc>
          <w:tcPr>
            <w:tcW w:w="1215" w:type="dxa"/>
            <w:noWrap w:val="0"/>
            <w:vAlign w:val="center"/>
          </w:tcPr>
          <w:p w14:paraId="3A033ED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简易日照计</w:t>
            </w:r>
          </w:p>
        </w:tc>
        <w:tc>
          <w:tcPr>
            <w:tcW w:w="804" w:type="dxa"/>
            <w:noWrap w:val="0"/>
            <w:vAlign w:val="center"/>
          </w:tcPr>
          <w:p w14:paraId="4643CDD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7429BDB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30396DF">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附加温度计</w:t>
            </w:r>
          </w:p>
        </w:tc>
      </w:tr>
      <w:tr w14:paraId="3BE2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9B6C67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29</w:t>
            </w:r>
          </w:p>
        </w:tc>
        <w:tc>
          <w:tcPr>
            <w:tcW w:w="1215" w:type="dxa"/>
            <w:noWrap w:val="0"/>
            <w:vAlign w:val="center"/>
          </w:tcPr>
          <w:p w14:paraId="75D57D3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噪声测定仪</w:t>
            </w:r>
          </w:p>
        </w:tc>
        <w:tc>
          <w:tcPr>
            <w:tcW w:w="804" w:type="dxa"/>
            <w:noWrap w:val="0"/>
            <w:vAlign w:val="center"/>
          </w:tcPr>
          <w:p w14:paraId="1331043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339D40D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7E59D3C">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手持式，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1.测量范围：40-130dB；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2.分辨率：0.1dB；</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3.大屏背光显示；</w:t>
            </w:r>
          </w:p>
        </w:tc>
      </w:tr>
      <w:tr w14:paraId="051B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B4ED62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30</w:t>
            </w:r>
          </w:p>
        </w:tc>
        <w:tc>
          <w:tcPr>
            <w:tcW w:w="1215" w:type="dxa"/>
            <w:noWrap w:val="0"/>
            <w:vAlign w:val="center"/>
          </w:tcPr>
          <w:p w14:paraId="5E58C9F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粉尘测定仪</w:t>
            </w:r>
          </w:p>
        </w:tc>
        <w:tc>
          <w:tcPr>
            <w:tcW w:w="804" w:type="dxa"/>
            <w:noWrap w:val="0"/>
            <w:vAlign w:val="center"/>
          </w:tcPr>
          <w:p w14:paraId="05763A6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23C620E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9203DD9">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检测大气污染、沙尘暴</w:t>
            </w:r>
          </w:p>
        </w:tc>
      </w:tr>
      <w:tr w14:paraId="572A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D6DE91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31</w:t>
            </w:r>
          </w:p>
        </w:tc>
        <w:tc>
          <w:tcPr>
            <w:tcW w:w="1215" w:type="dxa"/>
            <w:noWrap w:val="0"/>
            <w:vAlign w:val="center"/>
          </w:tcPr>
          <w:p w14:paraId="41598ED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天文历</w:t>
            </w:r>
          </w:p>
        </w:tc>
        <w:tc>
          <w:tcPr>
            <w:tcW w:w="804" w:type="dxa"/>
            <w:noWrap w:val="0"/>
            <w:vAlign w:val="center"/>
          </w:tcPr>
          <w:p w14:paraId="2F01458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3BE9EFA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6351" w:type="dxa"/>
            <w:noWrap w:val="0"/>
            <w:vAlign w:val="center"/>
          </w:tcPr>
          <w:p w14:paraId="5DB691A8">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查昼夜长短、太阳高度等</w:t>
            </w:r>
          </w:p>
        </w:tc>
      </w:tr>
      <w:tr w14:paraId="64BC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D42296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32</w:t>
            </w:r>
          </w:p>
        </w:tc>
        <w:tc>
          <w:tcPr>
            <w:tcW w:w="1215" w:type="dxa"/>
            <w:noWrap w:val="0"/>
            <w:vAlign w:val="center"/>
          </w:tcPr>
          <w:p w14:paraId="13937C7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透明度计</w:t>
            </w:r>
          </w:p>
        </w:tc>
        <w:tc>
          <w:tcPr>
            <w:tcW w:w="804" w:type="dxa"/>
            <w:noWrap w:val="0"/>
            <w:vAlign w:val="center"/>
          </w:tcPr>
          <w:p w14:paraId="28E84A3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63145F4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2B04733">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数字显示，用于测试液体透明度</w:t>
            </w:r>
          </w:p>
        </w:tc>
      </w:tr>
      <w:tr w14:paraId="0769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A23B45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33</w:t>
            </w:r>
          </w:p>
        </w:tc>
        <w:tc>
          <w:tcPr>
            <w:tcW w:w="1215" w:type="dxa"/>
            <w:noWrap w:val="0"/>
            <w:vAlign w:val="center"/>
          </w:tcPr>
          <w:p w14:paraId="0D9326A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电导率计</w:t>
            </w:r>
          </w:p>
        </w:tc>
        <w:tc>
          <w:tcPr>
            <w:tcW w:w="804" w:type="dxa"/>
            <w:noWrap w:val="0"/>
            <w:vAlign w:val="center"/>
          </w:tcPr>
          <w:p w14:paraId="6E787A4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2DAC3D6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247DA0A">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数字显示电导率和温度，测量范围0-1999US/cm，分辨率1us/cm</w:t>
            </w:r>
          </w:p>
        </w:tc>
      </w:tr>
      <w:tr w14:paraId="5592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EAED7A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34</w:t>
            </w:r>
          </w:p>
        </w:tc>
        <w:tc>
          <w:tcPr>
            <w:tcW w:w="1215" w:type="dxa"/>
            <w:noWrap w:val="0"/>
            <w:vAlign w:val="center"/>
          </w:tcPr>
          <w:p w14:paraId="61FBA7F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简易比色计</w:t>
            </w:r>
          </w:p>
        </w:tc>
        <w:tc>
          <w:tcPr>
            <w:tcW w:w="804" w:type="dxa"/>
            <w:noWrap w:val="0"/>
            <w:vAlign w:val="center"/>
          </w:tcPr>
          <w:p w14:paraId="1C632FD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08F59D6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7A65885">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1.电压：AC220V；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2.功率：＜5W；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3.测量范围：透光度：0-100%，吸光度：0-2.00，浓度：0-100%</w:t>
            </w:r>
          </w:p>
        </w:tc>
      </w:tr>
      <w:tr w14:paraId="32F9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802189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35</w:t>
            </w:r>
          </w:p>
        </w:tc>
        <w:tc>
          <w:tcPr>
            <w:tcW w:w="1215" w:type="dxa"/>
            <w:noWrap w:val="0"/>
            <w:vAlign w:val="center"/>
          </w:tcPr>
          <w:p w14:paraId="63ECF6C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地球运行仪</w:t>
            </w:r>
          </w:p>
        </w:tc>
        <w:tc>
          <w:tcPr>
            <w:tcW w:w="804" w:type="dxa"/>
            <w:noWrap w:val="0"/>
            <w:vAlign w:val="center"/>
          </w:tcPr>
          <w:p w14:paraId="3794FC2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7DB952E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5BDADF29">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用以演示昼夜长短、太阳高度的纬度分布和季节变化；可手动、也可手动电动并用，运转平稳、连续；ABS工程塑料；环保耐用；LED节能灯，在正常使用情况下应无强光刺眼</w:t>
            </w:r>
          </w:p>
        </w:tc>
      </w:tr>
      <w:tr w14:paraId="5792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75C318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36</w:t>
            </w:r>
          </w:p>
        </w:tc>
        <w:tc>
          <w:tcPr>
            <w:tcW w:w="1215" w:type="dxa"/>
            <w:noWrap w:val="0"/>
            <w:vAlign w:val="center"/>
          </w:tcPr>
          <w:p w14:paraId="47A8F17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日、地、月运行仪</w:t>
            </w:r>
          </w:p>
        </w:tc>
        <w:tc>
          <w:tcPr>
            <w:tcW w:w="804" w:type="dxa"/>
            <w:noWrap w:val="0"/>
            <w:vAlign w:val="center"/>
          </w:tcPr>
          <w:p w14:paraId="399168B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0111EC8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C61B1C9">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直径1m</w:t>
            </w:r>
          </w:p>
        </w:tc>
      </w:tr>
      <w:tr w14:paraId="33D0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4A9CCF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37</w:t>
            </w:r>
          </w:p>
        </w:tc>
        <w:tc>
          <w:tcPr>
            <w:tcW w:w="1215" w:type="dxa"/>
            <w:noWrap w:val="0"/>
            <w:vAlign w:val="center"/>
          </w:tcPr>
          <w:p w14:paraId="5CC4A3A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太阳视运动仪</w:t>
            </w:r>
          </w:p>
        </w:tc>
        <w:tc>
          <w:tcPr>
            <w:tcW w:w="804" w:type="dxa"/>
            <w:noWrap w:val="0"/>
            <w:vAlign w:val="center"/>
          </w:tcPr>
          <w:p w14:paraId="681908D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1015981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237BB0A3">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球体直径125mm</w:t>
            </w:r>
          </w:p>
        </w:tc>
      </w:tr>
      <w:tr w14:paraId="0A61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C4F257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38</w:t>
            </w:r>
          </w:p>
        </w:tc>
        <w:tc>
          <w:tcPr>
            <w:tcW w:w="1215" w:type="dxa"/>
            <w:noWrap w:val="0"/>
            <w:vAlign w:val="center"/>
          </w:tcPr>
          <w:p w14:paraId="54437CE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天体运行仪</w:t>
            </w:r>
          </w:p>
        </w:tc>
        <w:tc>
          <w:tcPr>
            <w:tcW w:w="804" w:type="dxa"/>
            <w:noWrap w:val="0"/>
            <w:vAlign w:val="center"/>
          </w:tcPr>
          <w:p w14:paraId="470C13D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634B434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54640977">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机动可旋转双轴球；可探索88个不同星座；全彩色行星投影器，观看太阳系八大行星及卫星；星空可转动</w:t>
            </w:r>
          </w:p>
        </w:tc>
      </w:tr>
      <w:tr w14:paraId="0057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494681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39</w:t>
            </w:r>
          </w:p>
        </w:tc>
        <w:tc>
          <w:tcPr>
            <w:tcW w:w="1215" w:type="dxa"/>
            <w:noWrap w:val="0"/>
            <w:vAlign w:val="center"/>
          </w:tcPr>
          <w:p w14:paraId="555A574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三球仪</w:t>
            </w:r>
          </w:p>
        </w:tc>
        <w:tc>
          <w:tcPr>
            <w:tcW w:w="804" w:type="dxa"/>
            <w:noWrap w:val="0"/>
            <w:vAlign w:val="center"/>
          </w:tcPr>
          <w:p w14:paraId="5101AD6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6BEFB54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5EB43301">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齿轮、底座等应为铁质或钢质材料，白道面与黄道面的夹角放大到15°</w:t>
            </w:r>
          </w:p>
        </w:tc>
      </w:tr>
      <w:tr w14:paraId="5CA1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733FF0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40</w:t>
            </w:r>
          </w:p>
        </w:tc>
        <w:tc>
          <w:tcPr>
            <w:tcW w:w="1215" w:type="dxa"/>
            <w:noWrap w:val="0"/>
            <w:vAlign w:val="center"/>
          </w:tcPr>
          <w:p w14:paraId="1AD2439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流水作用演示装置</w:t>
            </w:r>
          </w:p>
        </w:tc>
        <w:tc>
          <w:tcPr>
            <w:tcW w:w="804" w:type="dxa"/>
            <w:noWrap w:val="0"/>
            <w:vAlign w:val="center"/>
          </w:tcPr>
          <w:p w14:paraId="1B0495E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797AF4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1DBDE16C">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应能通过模拟实验装置演示流水作用过程</w:t>
            </w:r>
          </w:p>
        </w:tc>
      </w:tr>
      <w:tr w14:paraId="3D99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89F25E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41</w:t>
            </w:r>
          </w:p>
        </w:tc>
        <w:tc>
          <w:tcPr>
            <w:tcW w:w="1215" w:type="dxa"/>
            <w:noWrap w:val="0"/>
            <w:vAlign w:val="center"/>
          </w:tcPr>
          <w:p w14:paraId="74265E1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地壳变动演示器</w:t>
            </w:r>
          </w:p>
        </w:tc>
        <w:tc>
          <w:tcPr>
            <w:tcW w:w="804" w:type="dxa"/>
            <w:noWrap w:val="0"/>
            <w:vAlign w:val="center"/>
          </w:tcPr>
          <w:p w14:paraId="614AE52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3055F4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149A92FA">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应能通过模拟实验装置演示地壳变动过程</w:t>
            </w:r>
          </w:p>
        </w:tc>
      </w:tr>
      <w:tr w14:paraId="69A9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67F31A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42</w:t>
            </w:r>
          </w:p>
        </w:tc>
        <w:tc>
          <w:tcPr>
            <w:tcW w:w="1215" w:type="dxa"/>
            <w:noWrap w:val="0"/>
            <w:vAlign w:val="center"/>
          </w:tcPr>
          <w:p w14:paraId="11DE793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大气环流实验器</w:t>
            </w:r>
          </w:p>
        </w:tc>
        <w:tc>
          <w:tcPr>
            <w:tcW w:w="804" w:type="dxa"/>
            <w:noWrap w:val="0"/>
            <w:vAlign w:val="center"/>
          </w:tcPr>
          <w:p w14:paraId="7C2839E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32FAA6A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3053E67F">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应能通过模拟实验装置演示大气环流形成过程</w:t>
            </w:r>
          </w:p>
        </w:tc>
      </w:tr>
      <w:tr w14:paraId="667A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FAA96A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43</w:t>
            </w:r>
          </w:p>
        </w:tc>
        <w:tc>
          <w:tcPr>
            <w:tcW w:w="1215" w:type="dxa"/>
            <w:noWrap w:val="0"/>
            <w:vAlign w:val="center"/>
          </w:tcPr>
          <w:p w14:paraId="4A6D54D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日晷</w:t>
            </w:r>
          </w:p>
        </w:tc>
        <w:tc>
          <w:tcPr>
            <w:tcW w:w="804" w:type="dxa"/>
            <w:noWrap w:val="0"/>
            <w:vAlign w:val="center"/>
          </w:tcPr>
          <w:p w14:paraId="31C51B6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04C63F0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02B5C70B">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球面式日晷，晷面应标有时间刻度、节气刻度线以及时差校正曲线；晷针平行于地轴并指向天北极</w:t>
            </w:r>
          </w:p>
        </w:tc>
      </w:tr>
      <w:tr w14:paraId="7FC9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3A4320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44</w:t>
            </w:r>
          </w:p>
        </w:tc>
        <w:tc>
          <w:tcPr>
            <w:tcW w:w="1215" w:type="dxa"/>
            <w:noWrap w:val="0"/>
            <w:vAlign w:val="center"/>
          </w:tcPr>
          <w:p w14:paraId="2FB312A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大气粉尘观察器</w:t>
            </w:r>
          </w:p>
        </w:tc>
        <w:tc>
          <w:tcPr>
            <w:tcW w:w="804" w:type="dxa"/>
            <w:noWrap w:val="0"/>
            <w:vAlign w:val="center"/>
          </w:tcPr>
          <w:p w14:paraId="74FF1D4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602D9D1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09266875">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光源：0.7W大功率节能LED，光照度：80000Lux，可观察大气中粉尘运动情况</w:t>
            </w:r>
          </w:p>
        </w:tc>
      </w:tr>
      <w:tr w14:paraId="7BD3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5CFB4C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45</w:t>
            </w:r>
          </w:p>
        </w:tc>
        <w:tc>
          <w:tcPr>
            <w:tcW w:w="1215" w:type="dxa"/>
            <w:noWrap w:val="0"/>
            <w:vAlign w:val="center"/>
          </w:tcPr>
          <w:p w14:paraId="3C4BE25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云雾发生实验器</w:t>
            </w:r>
          </w:p>
        </w:tc>
        <w:tc>
          <w:tcPr>
            <w:tcW w:w="804" w:type="dxa"/>
            <w:noWrap w:val="0"/>
            <w:vAlign w:val="center"/>
          </w:tcPr>
          <w:p w14:paraId="6A5DBD7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0F8DEC5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5B0D495C">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本仪器由主机、玻璃钟罩、橡皮圈组成，用于模拟云雾发生过程</w:t>
            </w:r>
          </w:p>
        </w:tc>
      </w:tr>
      <w:tr w14:paraId="7D30A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3E1EC1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46</w:t>
            </w:r>
          </w:p>
        </w:tc>
        <w:tc>
          <w:tcPr>
            <w:tcW w:w="1215" w:type="dxa"/>
            <w:noWrap w:val="0"/>
            <w:vAlign w:val="center"/>
          </w:tcPr>
          <w:p w14:paraId="03F008A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酸雨自动分离器</w:t>
            </w:r>
          </w:p>
        </w:tc>
        <w:tc>
          <w:tcPr>
            <w:tcW w:w="804" w:type="dxa"/>
            <w:noWrap w:val="0"/>
            <w:vAlign w:val="center"/>
          </w:tcPr>
          <w:p w14:paraId="5281F5B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1381777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432CA7D2">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塑料材质容器，用于分离酸雨</w:t>
            </w:r>
          </w:p>
        </w:tc>
      </w:tr>
      <w:tr w14:paraId="11FD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84E10F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47</w:t>
            </w:r>
          </w:p>
        </w:tc>
        <w:tc>
          <w:tcPr>
            <w:tcW w:w="1215" w:type="dxa"/>
            <w:noWrap w:val="0"/>
            <w:vAlign w:val="center"/>
          </w:tcPr>
          <w:p w14:paraId="563A303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全球定位实验教学系统</w:t>
            </w:r>
          </w:p>
        </w:tc>
        <w:tc>
          <w:tcPr>
            <w:tcW w:w="804" w:type="dxa"/>
            <w:noWrap w:val="0"/>
            <w:vAlign w:val="center"/>
          </w:tcPr>
          <w:p w14:paraId="12A768D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0F9408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18AE78D">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全球定位教学系统(GPS)旨在帮助中学生能够更好地理解和掌握GPS的工作原理及其和GIS之间的协同工作方式。GPS软件功能严格遵照高中地理新课程标准中全球定位系统相关部分设计，主要包括GPS数据采集模块、GPS信息显示模块、GPS路径导航模块、空间查询模块和GPS空间数据库管理模块等五个功能模块。</w:t>
            </w:r>
          </w:p>
        </w:tc>
      </w:tr>
      <w:tr w14:paraId="3189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A12200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48</w:t>
            </w:r>
          </w:p>
        </w:tc>
        <w:tc>
          <w:tcPr>
            <w:tcW w:w="1215" w:type="dxa"/>
            <w:noWrap w:val="0"/>
            <w:vAlign w:val="center"/>
          </w:tcPr>
          <w:p w14:paraId="04753CF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手持全球定位系统接收机</w:t>
            </w:r>
          </w:p>
        </w:tc>
        <w:tc>
          <w:tcPr>
            <w:tcW w:w="804" w:type="dxa"/>
            <w:noWrap w:val="0"/>
            <w:vAlign w:val="center"/>
          </w:tcPr>
          <w:p w14:paraId="3900BA3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332183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376B1828">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野外测量、选点、定位，个人导航用，带地图卡(带全国公路网格图，城市详图)，彩屏，内置温度计、气压计，锂电池供电，防水、防尘、防震</w:t>
            </w:r>
          </w:p>
        </w:tc>
      </w:tr>
      <w:tr w14:paraId="208F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6F03DF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49</w:t>
            </w:r>
          </w:p>
        </w:tc>
        <w:tc>
          <w:tcPr>
            <w:tcW w:w="1215" w:type="dxa"/>
            <w:noWrap w:val="0"/>
            <w:vAlign w:val="center"/>
          </w:tcPr>
          <w:p w14:paraId="03373ED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外接式全球定位系统接收仪</w:t>
            </w:r>
          </w:p>
        </w:tc>
        <w:tc>
          <w:tcPr>
            <w:tcW w:w="804" w:type="dxa"/>
            <w:noWrap w:val="0"/>
            <w:vAlign w:val="center"/>
          </w:tcPr>
          <w:p w14:paraId="346C0B0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06D074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7EEF35F">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接收天线：频率范围1575±5MHz，极化方式：右旋圆极化，天线增益≥3.5dB，放大器增益≥37dB，噪声系数≤1.5dB，反射损耗-14dB（即驻波比≤1.5），p-1≥10dBm，干扰抑制≥20dB（f0±100MHz）；</w:t>
            </w:r>
          </w:p>
        </w:tc>
      </w:tr>
      <w:tr w14:paraId="706A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81ADB8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50</w:t>
            </w:r>
          </w:p>
        </w:tc>
        <w:tc>
          <w:tcPr>
            <w:tcW w:w="1215" w:type="dxa"/>
            <w:noWrap w:val="0"/>
            <w:vAlign w:val="center"/>
          </w:tcPr>
          <w:p w14:paraId="6B578BC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基于地理信息系统（GIS）的地理教学辅助系统</w:t>
            </w:r>
          </w:p>
        </w:tc>
        <w:tc>
          <w:tcPr>
            <w:tcW w:w="804" w:type="dxa"/>
            <w:noWrap w:val="0"/>
            <w:vAlign w:val="center"/>
          </w:tcPr>
          <w:p w14:paraId="76BE2B4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5FB8B0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E3A603A">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线缆：线缆长度 25-30m，线缆标准SYV-50-3；</w:t>
            </w:r>
          </w:p>
        </w:tc>
      </w:tr>
      <w:tr w14:paraId="099C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B99886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51</w:t>
            </w:r>
          </w:p>
        </w:tc>
        <w:tc>
          <w:tcPr>
            <w:tcW w:w="1215" w:type="dxa"/>
            <w:noWrap w:val="0"/>
            <w:vAlign w:val="center"/>
          </w:tcPr>
          <w:p w14:paraId="4695F39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基于地理信息系统（GIS）的研究性学习系统</w:t>
            </w:r>
          </w:p>
        </w:tc>
        <w:tc>
          <w:tcPr>
            <w:tcW w:w="804" w:type="dxa"/>
            <w:noWrap w:val="0"/>
            <w:vAlign w:val="center"/>
          </w:tcPr>
          <w:p w14:paraId="795C919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11228D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351" w:type="dxa"/>
            <w:noWrap w:val="0"/>
            <w:vAlign w:val="center"/>
          </w:tcPr>
          <w:p w14:paraId="1FBE0F4B">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放大器：频率范围1575±5MHz，增益：54db，干扰抑制≥20dB（f0±100MHz），反射损耗-14dB（即驻波比≤1.5）；</w:t>
            </w:r>
          </w:p>
        </w:tc>
      </w:tr>
      <w:tr w14:paraId="46B6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F68935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52</w:t>
            </w:r>
          </w:p>
        </w:tc>
        <w:tc>
          <w:tcPr>
            <w:tcW w:w="1215" w:type="dxa"/>
            <w:noWrap w:val="0"/>
            <w:vAlign w:val="center"/>
          </w:tcPr>
          <w:p w14:paraId="5BC86C1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基于三维GIS的地理教学辅助系统</w:t>
            </w:r>
          </w:p>
        </w:tc>
        <w:tc>
          <w:tcPr>
            <w:tcW w:w="804" w:type="dxa"/>
            <w:noWrap w:val="0"/>
            <w:vAlign w:val="center"/>
          </w:tcPr>
          <w:p w14:paraId="64C1851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14925C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7530FDD">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发射器：频率范围1575±5MHz，增益：3.5DBI，反射损耗-14dB（即驻波比≤1.5）</w:t>
            </w:r>
          </w:p>
        </w:tc>
      </w:tr>
      <w:tr w14:paraId="115C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05BD01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53</w:t>
            </w:r>
          </w:p>
        </w:tc>
        <w:tc>
          <w:tcPr>
            <w:tcW w:w="1215" w:type="dxa"/>
            <w:noWrap w:val="0"/>
            <w:vAlign w:val="center"/>
          </w:tcPr>
          <w:p w14:paraId="4259EA9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遥感空间信息教学实验系统</w:t>
            </w:r>
          </w:p>
        </w:tc>
        <w:tc>
          <w:tcPr>
            <w:tcW w:w="804" w:type="dxa"/>
            <w:noWrap w:val="0"/>
            <w:vAlign w:val="center"/>
          </w:tcPr>
          <w:p w14:paraId="1EE117A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6D2F4C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9DCC34D">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演示系统平台；航空、卫星、雷达，多分辨率，多波段课程内容影像资源；遥感教程；说明手册</w:t>
            </w:r>
          </w:p>
        </w:tc>
      </w:tr>
      <w:tr w14:paraId="5323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16A47B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54</w:t>
            </w:r>
          </w:p>
        </w:tc>
        <w:tc>
          <w:tcPr>
            <w:tcW w:w="1215" w:type="dxa"/>
            <w:noWrap w:val="0"/>
            <w:vAlign w:val="center"/>
          </w:tcPr>
          <w:p w14:paraId="0C2418C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虚拟三维仿真教学系统</w:t>
            </w:r>
          </w:p>
        </w:tc>
        <w:tc>
          <w:tcPr>
            <w:tcW w:w="804" w:type="dxa"/>
            <w:noWrap w:val="0"/>
            <w:vAlign w:val="center"/>
          </w:tcPr>
          <w:p w14:paraId="34A5944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4F795B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033F412">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须实现在线教学与数据及教学内容升级更新，含教师版及学生版</w:t>
            </w:r>
          </w:p>
        </w:tc>
      </w:tr>
      <w:tr w14:paraId="7715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E22CA0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55</w:t>
            </w:r>
          </w:p>
        </w:tc>
        <w:tc>
          <w:tcPr>
            <w:tcW w:w="1215" w:type="dxa"/>
            <w:noWrap w:val="0"/>
            <w:vAlign w:val="center"/>
          </w:tcPr>
          <w:p w14:paraId="0659597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校园自动气象气候观测系统</w:t>
            </w:r>
          </w:p>
        </w:tc>
        <w:tc>
          <w:tcPr>
            <w:tcW w:w="804" w:type="dxa"/>
            <w:noWrap w:val="0"/>
            <w:vAlign w:val="center"/>
          </w:tcPr>
          <w:p w14:paraId="434FBFE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5D5B51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A0DD167">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由硬件和系统软件组成，硬件包括传感器、数据采集器、系统电源、通信接口、外围设备(计算机、打印机)；系统软件包括：采集软件、测报软件和学习管理软件</w:t>
            </w:r>
          </w:p>
        </w:tc>
      </w:tr>
      <w:tr w14:paraId="4923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D4BECC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56</w:t>
            </w:r>
          </w:p>
        </w:tc>
        <w:tc>
          <w:tcPr>
            <w:tcW w:w="1215" w:type="dxa"/>
            <w:noWrap w:val="0"/>
            <w:vAlign w:val="center"/>
          </w:tcPr>
          <w:p w14:paraId="2A8CC10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平面政区地球仪</w:t>
            </w:r>
          </w:p>
        </w:tc>
        <w:tc>
          <w:tcPr>
            <w:tcW w:w="804" w:type="dxa"/>
            <w:noWrap w:val="0"/>
            <w:vAlign w:val="center"/>
          </w:tcPr>
          <w:p w14:paraId="37A9650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11ACEF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351" w:type="dxa"/>
            <w:noWrap w:val="0"/>
            <w:vAlign w:val="center"/>
          </w:tcPr>
          <w:p w14:paraId="7F1C1E48">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球体直径为320mm，平面比例尺为1：40000000，地轴的倾斜为66.5°，并垂直于赤道面。用不同颜色明显区分各个国家和地区的名称。</w:t>
            </w:r>
          </w:p>
        </w:tc>
      </w:tr>
      <w:tr w14:paraId="0AAC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BE1D80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57</w:t>
            </w:r>
          </w:p>
        </w:tc>
        <w:tc>
          <w:tcPr>
            <w:tcW w:w="1215" w:type="dxa"/>
            <w:noWrap w:val="0"/>
            <w:vAlign w:val="center"/>
          </w:tcPr>
          <w:p w14:paraId="2FFCB52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平面地形地球仪</w:t>
            </w:r>
          </w:p>
        </w:tc>
        <w:tc>
          <w:tcPr>
            <w:tcW w:w="804" w:type="dxa"/>
            <w:noWrap w:val="0"/>
            <w:vAlign w:val="center"/>
          </w:tcPr>
          <w:p w14:paraId="47B833D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6D4B220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351" w:type="dxa"/>
            <w:noWrap w:val="0"/>
            <w:vAlign w:val="center"/>
          </w:tcPr>
          <w:p w14:paraId="28E9A87E">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球体直径为320mm，平面比例尺为1：40000000，地轴的倾斜为66.5°，并垂直于赤道面。用不同颜色明显区分各个国家和地区的名称。</w:t>
            </w:r>
          </w:p>
        </w:tc>
      </w:tr>
      <w:tr w14:paraId="56B2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7FDEE5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58</w:t>
            </w:r>
          </w:p>
        </w:tc>
        <w:tc>
          <w:tcPr>
            <w:tcW w:w="1215" w:type="dxa"/>
            <w:noWrap w:val="0"/>
            <w:vAlign w:val="center"/>
          </w:tcPr>
          <w:p w14:paraId="1F2981E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平面地形地球仪</w:t>
            </w:r>
          </w:p>
        </w:tc>
        <w:tc>
          <w:tcPr>
            <w:tcW w:w="804" w:type="dxa"/>
            <w:noWrap w:val="0"/>
            <w:vAlign w:val="center"/>
          </w:tcPr>
          <w:p w14:paraId="0F039BC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7B46C7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6351" w:type="dxa"/>
            <w:noWrap w:val="0"/>
            <w:vAlign w:val="center"/>
          </w:tcPr>
          <w:p w14:paraId="28149DFD">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球体直径约为140mm，平面比例尺1：60000000，地轴的倾斜为66.5°，并垂直于赤道面。用不同颜色明显区分各个国家和地区的名称。</w:t>
            </w:r>
          </w:p>
        </w:tc>
      </w:tr>
      <w:tr w14:paraId="2ED9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828F28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59</w:t>
            </w:r>
          </w:p>
        </w:tc>
        <w:tc>
          <w:tcPr>
            <w:tcW w:w="1215" w:type="dxa"/>
            <w:noWrap w:val="0"/>
            <w:vAlign w:val="center"/>
          </w:tcPr>
          <w:p w14:paraId="34BEE93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立体地形地球仪</w:t>
            </w:r>
          </w:p>
        </w:tc>
        <w:tc>
          <w:tcPr>
            <w:tcW w:w="804" w:type="dxa"/>
            <w:noWrap w:val="0"/>
            <w:vAlign w:val="center"/>
          </w:tcPr>
          <w:p w14:paraId="6F819B7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95E210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512F6AE">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球体直径为320mm，平面比例尺1：40000000，地轴的倾斜为66.5°，并垂直于赤道面。球体上绘有经线和纬线用不同颜色明显区分各个国家和地区的名称。</w:t>
            </w:r>
          </w:p>
        </w:tc>
      </w:tr>
      <w:tr w14:paraId="265E6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65AE1E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60</w:t>
            </w:r>
          </w:p>
        </w:tc>
        <w:tc>
          <w:tcPr>
            <w:tcW w:w="1215" w:type="dxa"/>
            <w:noWrap w:val="0"/>
            <w:vAlign w:val="center"/>
          </w:tcPr>
          <w:p w14:paraId="4CD8C54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经纬度模型</w:t>
            </w:r>
          </w:p>
        </w:tc>
        <w:tc>
          <w:tcPr>
            <w:tcW w:w="804" w:type="dxa"/>
            <w:noWrap w:val="0"/>
            <w:vAlign w:val="center"/>
          </w:tcPr>
          <w:p w14:paraId="66B3822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7F9924B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351" w:type="dxa"/>
            <w:noWrap w:val="0"/>
            <w:vAlign w:val="center"/>
          </w:tcPr>
          <w:p w14:paraId="037D0FD1">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球体直径不小于320mm，模型全高不少于480mm，内装有固定的本初子午线平面板和赤道平面板，以及可转动的经线平面板和纬度指针及底座组成。</w:t>
            </w:r>
          </w:p>
        </w:tc>
      </w:tr>
      <w:tr w14:paraId="64C9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052F79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61</w:t>
            </w:r>
          </w:p>
        </w:tc>
        <w:tc>
          <w:tcPr>
            <w:tcW w:w="1215" w:type="dxa"/>
            <w:noWrap w:val="0"/>
            <w:vAlign w:val="center"/>
          </w:tcPr>
          <w:p w14:paraId="3BE9AE6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天球仪</w:t>
            </w:r>
          </w:p>
        </w:tc>
        <w:tc>
          <w:tcPr>
            <w:tcW w:w="804" w:type="dxa"/>
            <w:noWrap w:val="0"/>
            <w:vAlign w:val="center"/>
          </w:tcPr>
          <w:p w14:paraId="373D312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3B78FD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6C9194AB">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灯光两用，320mm</w:t>
            </w:r>
          </w:p>
        </w:tc>
      </w:tr>
      <w:tr w14:paraId="0140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D9FCB6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62</w:t>
            </w:r>
          </w:p>
        </w:tc>
        <w:tc>
          <w:tcPr>
            <w:tcW w:w="1215" w:type="dxa"/>
            <w:noWrap w:val="0"/>
            <w:vAlign w:val="center"/>
          </w:tcPr>
          <w:p w14:paraId="246BFE7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晨昏圈地球仪</w:t>
            </w:r>
          </w:p>
        </w:tc>
        <w:tc>
          <w:tcPr>
            <w:tcW w:w="804" w:type="dxa"/>
            <w:noWrap w:val="0"/>
            <w:vAlign w:val="center"/>
          </w:tcPr>
          <w:p w14:paraId="15FFF7B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B3807C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171EA8D7">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320mm</w:t>
            </w:r>
          </w:p>
        </w:tc>
      </w:tr>
      <w:tr w14:paraId="1A3A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4A1AD6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63</w:t>
            </w:r>
          </w:p>
        </w:tc>
        <w:tc>
          <w:tcPr>
            <w:tcW w:w="1215" w:type="dxa"/>
            <w:noWrap w:val="0"/>
            <w:vAlign w:val="center"/>
          </w:tcPr>
          <w:p w14:paraId="7D1201B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中国地形模型</w:t>
            </w:r>
          </w:p>
        </w:tc>
        <w:tc>
          <w:tcPr>
            <w:tcW w:w="804" w:type="dxa"/>
            <w:noWrap w:val="0"/>
            <w:vAlign w:val="center"/>
          </w:tcPr>
          <w:p w14:paraId="6CBB011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7C1D932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5561858D">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吸塑填充   1∶8 000 000</w:t>
            </w:r>
          </w:p>
        </w:tc>
      </w:tr>
      <w:tr w14:paraId="41D8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9B4A3B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64</w:t>
            </w:r>
          </w:p>
        </w:tc>
        <w:tc>
          <w:tcPr>
            <w:tcW w:w="1215" w:type="dxa"/>
            <w:noWrap w:val="0"/>
            <w:vAlign w:val="center"/>
          </w:tcPr>
          <w:p w14:paraId="294EDE6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板块构造及地表形态模型</w:t>
            </w:r>
          </w:p>
        </w:tc>
        <w:tc>
          <w:tcPr>
            <w:tcW w:w="804" w:type="dxa"/>
            <w:noWrap w:val="0"/>
            <w:vAlign w:val="center"/>
          </w:tcPr>
          <w:p w14:paraId="067E394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51C36FF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77874E95">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符合教育行业执行标准</w:t>
            </w:r>
          </w:p>
        </w:tc>
      </w:tr>
      <w:tr w14:paraId="7324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50A026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65</w:t>
            </w:r>
          </w:p>
        </w:tc>
        <w:tc>
          <w:tcPr>
            <w:tcW w:w="1215" w:type="dxa"/>
            <w:noWrap w:val="0"/>
            <w:vAlign w:val="center"/>
          </w:tcPr>
          <w:p w14:paraId="6CEE5B8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褶皱构造及其地貌演变模型</w:t>
            </w:r>
          </w:p>
        </w:tc>
        <w:tc>
          <w:tcPr>
            <w:tcW w:w="804" w:type="dxa"/>
            <w:noWrap w:val="0"/>
            <w:vAlign w:val="center"/>
          </w:tcPr>
          <w:p w14:paraId="6CCC34B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2BC0D62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6D8D9CE3">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符合教育行业执行标准</w:t>
            </w:r>
          </w:p>
        </w:tc>
      </w:tr>
      <w:tr w14:paraId="65CA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105862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66</w:t>
            </w:r>
          </w:p>
        </w:tc>
        <w:tc>
          <w:tcPr>
            <w:tcW w:w="1215" w:type="dxa"/>
            <w:noWrap w:val="0"/>
            <w:vAlign w:val="center"/>
          </w:tcPr>
          <w:p w14:paraId="01F8141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断裂构造及地垒地堑发育模型</w:t>
            </w:r>
          </w:p>
        </w:tc>
        <w:tc>
          <w:tcPr>
            <w:tcW w:w="804" w:type="dxa"/>
            <w:noWrap w:val="0"/>
            <w:vAlign w:val="center"/>
          </w:tcPr>
          <w:p w14:paraId="48C82E9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26E6C18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2105419">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符合教育行业执行标准</w:t>
            </w:r>
          </w:p>
        </w:tc>
      </w:tr>
      <w:tr w14:paraId="0364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8946BB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67</w:t>
            </w:r>
          </w:p>
        </w:tc>
        <w:tc>
          <w:tcPr>
            <w:tcW w:w="1215" w:type="dxa"/>
            <w:noWrap w:val="0"/>
            <w:vAlign w:val="center"/>
          </w:tcPr>
          <w:p w14:paraId="6AC03FA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地球内部构造模型</w:t>
            </w:r>
          </w:p>
        </w:tc>
        <w:tc>
          <w:tcPr>
            <w:tcW w:w="804" w:type="dxa"/>
            <w:noWrap w:val="0"/>
            <w:vAlign w:val="center"/>
          </w:tcPr>
          <w:p w14:paraId="729A080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72C01AF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003635B">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能显示内、外地核，上、下地幔，软流层，地壳，显示地幔对流及板块碰撞示意</w:t>
            </w:r>
          </w:p>
        </w:tc>
      </w:tr>
      <w:tr w14:paraId="76E9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D50E37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68</w:t>
            </w:r>
          </w:p>
        </w:tc>
        <w:tc>
          <w:tcPr>
            <w:tcW w:w="1215" w:type="dxa"/>
            <w:noWrap w:val="0"/>
            <w:vAlign w:val="center"/>
          </w:tcPr>
          <w:p w14:paraId="27ECB51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世界立体地形模型</w:t>
            </w:r>
          </w:p>
        </w:tc>
        <w:tc>
          <w:tcPr>
            <w:tcW w:w="804" w:type="dxa"/>
            <w:noWrap w:val="0"/>
            <w:vAlign w:val="center"/>
          </w:tcPr>
          <w:p w14:paraId="383904D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646A17D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3AA0A2E">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1∶16 000 000</w:t>
            </w:r>
          </w:p>
        </w:tc>
      </w:tr>
      <w:tr w14:paraId="1832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624C60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69</w:t>
            </w:r>
          </w:p>
        </w:tc>
        <w:tc>
          <w:tcPr>
            <w:tcW w:w="1215" w:type="dxa"/>
            <w:noWrap w:val="0"/>
            <w:vAlign w:val="center"/>
          </w:tcPr>
          <w:p w14:paraId="1FA79DB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中国立体地形模型</w:t>
            </w:r>
          </w:p>
        </w:tc>
        <w:tc>
          <w:tcPr>
            <w:tcW w:w="804" w:type="dxa"/>
            <w:noWrap w:val="0"/>
            <w:vAlign w:val="center"/>
          </w:tcPr>
          <w:p w14:paraId="74C974A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件</w:t>
            </w:r>
          </w:p>
        </w:tc>
        <w:tc>
          <w:tcPr>
            <w:tcW w:w="765" w:type="dxa"/>
            <w:gridSpan w:val="2"/>
            <w:noWrap w:val="0"/>
            <w:vAlign w:val="center"/>
          </w:tcPr>
          <w:p w14:paraId="64D1371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F93E842">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1∶14 000 000</w:t>
            </w:r>
          </w:p>
        </w:tc>
      </w:tr>
      <w:tr w14:paraId="2C8E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716E6C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70</w:t>
            </w:r>
          </w:p>
        </w:tc>
        <w:tc>
          <w:tcPr>
            <w:tcW w:w="1215" w:type="dxa"/>
            <w:noWrap w:val="0"/>
            <w:vAlign w:val="center"/>
          </w:tcPr>
          <w:p w14:paraId="1170482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活动星空盘</w:t>
            </w:r>
          </w:p>
        </w:tc>
        <w:tc>
          <w:tcPr>
            <w:tcW w:w="804" w:type="dxa"/>
            <w:noWrap w:val="0"/>
            <w:vAlign w:val="center"/>
          </w:tcPr>
          <w:p w14:paraId="653091A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6233E5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w:t>
            </w:r>
          </w:p>
        </w:tc>
        <w:tc>
          <w:tcPr>
            <w:tcW w:w="6351" w:type="dxa"/>
            <w:noWrap w:val="0"/>
            <w:vAlign w:val="center"/>
          </w:tcPr>
          <w:p w14:paraId="7FFBE1B7">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可手动调节观看时间、日期、月份；带指南针定方位；三种观看模式(星座连线观看、神话星图观看、双重模式观看)；可探索30个以上星座</w:t>
            </w:r>
          </w:p>
        </w:tc>
      </w:tr>
      <w:tr w14:paraId="7944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9C86B0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71</w:t>
            </w:r>
          </w:p>
        </w:tc>
        <w:tc>
          <w:tcPr>
            <w:tcW w:w="1215" w:type="dxa"/>
            <w:noWrap w:val="0"/>
            <w:vAlign w:val="center"/>
          </w:tcPr>
          <w:p w14:paraId="2E5AFBA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岩石矿物标本</w:t>
            </w:r>
          </w:p>
        </w:tc>
        <w:tc>
          <w:tcPr>
            <w:tcW w:w="804" w:type="dxa"/>
            <w:noWrap w:val="0"/>
            <w:vAlign w:val="center"/>
          </w:tcPr>
          <w:p w14:paraId="7AED7AC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92F16A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1AC3A48E">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三大类岩石(岩浆岩、变质岩、沉积岩)，常见矿物(磁铁矿、黑钨矿、蓝铜矿、方铅矿、滑石、石英、云母、正长石、方解石、斜长石、磷灰石等)</w:t>
            </w:r>
          </w:p>
        </w:tc>
      </w:tr>
      <w:tr w14:paraId="4AB1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15B6E0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72</w:t>
            </w:r>
          </w:p>
        </w:tc>
        <w:tc>
          <w:tcPr>
            <w:tcW w:w="1215" w:type="dxa"/>
            <w:noWrap w:val="0"/>
            <w:vAlign w:val="center"/>
          </w:tcPr>
          <w:p w14:paraId="4537178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土壤标本</w:t>
            </w:r>
          </w:p>
        </w:tc>
        <w:tc>
          <w:tcPr>
            <w:tcW w:w="804" w:type="dxa"/>
            <w:noWrap w:val="0"/>
            <w:vAlign w:val="center"/>
          </w:tcPr>
          <w:p w14:paraId="3874D0A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D12A07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669FA622">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红壤、砖红壤、黑钙土、紫色土、水稻土等</w:t>
            </w:r>
          </w:p>
        </w:tc>
      </w:tr>
      <w:tr w14:paraId="564A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7D7C0D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73</w:t>
            </w:r>
          </w:p>
        </w:tc>
        <w:tc>
          <w:tcPr>
            <w:tcW w:w="1215" w:type="dxa"/>
            <w:noWrap w:val="0"/>
            <w:vAlign w:val="center"/>
          </w:tcPr>
          <w:p w14:paraId="191AB72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中国地理教学地图</w:t>
            </w:r>
          </w:p>
        </w:tc>
        <w:tc>
          <w:tcPr>
            <w:tcW w:w="804" w:type="dxa"/>
            <w:noWrap w:val="0"/>
            <w:vAlign w:val="center"/>
          </w:tcPr>
          <w:p w14:paraId="4161385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279C4A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351" w:type="dxa"/>
            <w:noWrap w:val="0"/>
            <w:vAlign w:val="center"/>
          </w:tcPr>
          <w:p w14:paraId="00929F54">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对开，5幅</w:t>
            </w:r>
          </w:p>
        </w:tc>
      </w:tr>
      <w:tr w14:paraId="5A15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86F51A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74</w:t>
            </w:r>
          </w:p>
        </w:tc>
        <w:tc>
          <w:tcPr>
            <w:tcW w:w="1215" w:type="dxa"/>
            <w:noWrap w:val="0"/>
            <w:vAlign w:val="center"/>
          </w:tcPr>
          <w:p w14:paraId="366C545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世界地理教学地图</w:t>
            </w:r>
          </w:p>
        </w:tc>
        <w:tc>
          <w:tcPr>
            <w:tcW w:w="804" w:type="dxa"/>
            <w:noWrap w:val="0"/>
            <w:vAlign w:val="center"/>
          </w:tcPr>
          <w:p w14:paraId="6EE8AB0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AE4C8B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351" w:type="dxa"/>
            <w:noWrap w:val="0"/>
            <w:vAlign w:val="center"/>
          </w:tcPr>
          <w:p w14:paraId="3CAE6BEE">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对开，6幅</w:t>
            </w:r>
          </w:p>
        </w:tc>
      </w:tr>
      <w:tr w14:paraId="580B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AAC485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75</w:t>
            </w:r>
          </w:p>
        </w:tc>
        <w:tc>
          <w:tcPr>
            <w:tcW w:w="1215" w:type="dxa"/>
            <w:noWrap w:val="0"/>
            <w:vAlign w:val="center"/>
          </w:tcPr>
          <w:p w14:paraId="56AE3C0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宇宙与地球教学挂图</w:t>
            </w:r>
          </w:p>
        </w:tc>
        <w:tc>
          <w:tcPr>
            <w:tcW w:w="804" w:type="dxa"/>
            <w:noWrap w:val="0"/>
            <w:vAlign w:val="center"/>
          </w:tcPr>
          <w:p w14:paraId="70C84DC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4E9F059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3E8D5232">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符合教育行业执行标准</w:t>
            </w:r>
          </w:p>
        </w:tc>
      </w:tr>
      <w:tr w14:paraId="4134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23AEEB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76</w:t>
            </w:r>
          </w:p>
        </w:tc>
        <w:tc>
          <w:tcPr>
            <w:tcW w:w="1215" w:type="dxa"/>
            <w:noWrap w:val="0"/>
            <w:vAlign w:val="center"/>
          </w:tcPr>
          <w:p w14:paraId="7C52804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自然环境与人类活动教学挂图</w:t>
            </w:r>
          </w:p>
        </w:tc>
        <w:tc>
          <w:tcPr>
            <w:tcW w:w="804" w:type="dxa"/>
            <w:noWrap w:val="0"/>
            <w:vAlign w:val="center"/>
          </w:tcPr>
          <w:p w14:paraId="156258C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F6E41E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0CFBEF31">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符合教育行业执行标准</w:t>
            </w:r>
          </w:p>
        </w:tc>
      </w:tr>
      <w:tr w14:paraId="0367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18BA3C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77</w:t>
            </w:r>
          </w:p>
        </w:tc>
        <w:tc>
          <w:tcPr>
            <w:tcW w:w="1215" w:type="dxa"/>
            <w:noWrap w:val="0"/>
            <w:vAlign w:val="center"/>
          </w:tcPr>
          <w:p w14:paraId="4BDCACE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区域地理环境与可持续发展教学挂图</w:t>
            </w:r>
          </w:p>
        </w:tc>
        <w:tc>
          <w:tcPr>
            <w:tcW w:w="804" w:type="dxa"/>
            <w:noWrap w:val="0"/>
            <w:vAlign w:val="center"/>
          </w:tcPr>
          <w:p w14:paraId="55095E0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CF23BF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31FACEA0">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符合教育行业执行标准</w:t>
            </w:r>
          </w:p>
        </w:tc>
      </w:tr>
      <w:tr w14:paraId="5E6C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D8B2F5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78</w:t>
            </w:r>
          </w:p>
        </w:tc>
        <w:tc>
          <w:tcPr>
            <w:tcW w:w="1215" w:type="dxa"/>
            <w:noWrap w:val="0"/>
            <w:vAlign w:val="center"/>
          </w:tcPr>
          <w:p w14:paraId="383EA79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海洋地理教学挂图</w:t>
            </w:r>
          </w:p>
        </w:tc>
        <w:tc>
          <w:tcPr>
            <w:tcW w:w="804" w:type="dxa"/>
            <w:noWrap w:val="0"/>
            <w:vAlign w:val="center"/>
          </w:tcPr>
          <w:p w14:paraId="377E6C9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DB848E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61E587A1">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1.幅数：4幅；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2.纸张规格：纸张不低于105克铜版纸，覆膜；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3.图形：教学挂图应图像清晰，色泽自然鲜明，位置准确；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书面平服，无皱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5.印刷标准:符合GB7705-87《平版装潢印刷品标准》；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6.适用于《高中地理课程标准》。</w:t>
            </w:r>
          </w:p>
        </w:tc>
      </w:tr>
      <w:tr w14:paraId="311F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8FC498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79</w:t>
            </w:r>
          </w:p>
        </w:tc>
        <w:tc>
          <w:tcPr>
            <w:tcW w:w="1215" w:type="dxa"/>
            <w:noWrap w:val="0"/>
            <w:vAlign w:val="center"/>
          </w:tcPr>
          <w:p w14:paraId="45CA404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旅游地理教学挂图</w:t>
            </w:r>
          </w:p>
        </w:tc>
        <w:tc>
          <w:tcPr>
            <w:tcW w:w="804" w:type="dxa"/>
            <w:noWrap w:val="0"/>
            <w:vAlign w:val="center"/>
          </w:tcPr>
          <w:p w14:paraId="27C863D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A5FD56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4E01FD73">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1.幅数：4幅；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2.纸张规格：纸张不低于105克铜版纸，覆膜；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3.图形：教学挂图应图像清晰，色泽自然鲜明，位置准确；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图片印刷套印准确，层次分明，轮廓实，电分制版无浮雕印；网点清晰饱满，小点不秃，大点光洁不糊，质感好；墨色均匀厚实，色彩鲜有光泽，肤色正、接版准确，色调深浅一致；文字印刷压力适度，全图前后轻重一致；全图前后墨色一致，浓淡适度符合要求；版面端正，正反套印准确；文字、标点清晰，笔锋挺秀，无缺笔断划，标题黑实不花，小字不糊不瞎；无脏污、破损；无野墨；成品裁切方正，无明显刀花，无连接页、折角、破头；书面平服，无皱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5.印刷标准:符合GB7705-87《平版装潢印刷品标准》；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6.适用于《高中地理课程标准》。</w:t>
            </w:r>
          </w:p>
        </w:tc>
      </w:tr>
      <w:tr w14:paraId="19B5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DE9C33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80</w:t>
            </w:r>
          </w:p>
        </w:tc>
        <w:tc>
          <w:tcPr>
            <w:tcW w:w="1215" w:type="dxa"/>
            <w:noWrap w:val="0"/>
            <w:vAlign w:val="center"/>
          </w:tcPr>
          <w:p w14:paraId="076504B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城乡规划教学挂图</w:t>
            </w:r>
          </w:p>
        </w:tc>
        <w:tc>
          <w:tcPr>
            <w:tcW w:w="804" w:type="dxa"/>
            <w:noWrap w:val="0"/>
            <w:vAlign w:val="center"/>
          </w:tcPr>
          <w:p w14:paraId="792C410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DAC0CD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1551B6F6">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符合教育行业执行标准</w:t>
            </w:r>
          </w:p>
        </w:tc>
      </w:tr>
      <w:tr w14:paraId="504B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2E65E0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81</w:t>
            </w:r>
          </w:p>
        </w:tc>
        <w:tc>
          <w:tcPr>
            <w:tcW w:w="1215" w:type="dxa"/>
            <w:noWrap w:val="0"/>
            <w:vAlign w:val="center"/>
          </w:tcPr>
          <w:p w14:paraId="52D61CB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自然灾害与防治教学挂图</w:t>
            </w:r>
          </w:p>
        </w:tc>
        <w:tc>
          <w:tcPr>
            <w:tcW w:w="804" w:type="dxa"/>
            <w:noWrap w:val="0"/>
            <w:vAlign w:val="center"/>
          </w:tcPr>
          <w:p w14:paraId="26BAB16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18ADAE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65FE6173">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符合教育行业执行标准</w:t>
            </w:r>
          </w:p>
        </w:tc>
      </w:tr>
      <w:tr w14:paraId="577F2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966CBA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82</w:t>
            </w:r>
          </w:p>
        </w:tc>
        <w:tc>
          <w:tcPr>
            <w:tcW w:w="1215" w:type="dxa"/>
            <w:noWrap w:val="0"/>
            <w:vAlign w:val="center"/>
          </w:tcPr>
          <w:p w14:paraId="4DC7139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环境保护教学挂图</w:t>
            </w:r>
          </w:p>
        </w:tc>
        <w:tc>
          <w:tcPr>
            <w:tcW w:w="804" w:type="dxa"/>
            <w:noWrap w:val="0"/>
            <w:vAlign w:val="center"/>
          </w:tcPr>
          <w:p w14:paraId="217AAAC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564C40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79E0B02B">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符合教育行业执行标准</w:t>
            </w:r>
          </w:p>
        </w:tc>
      </w:tr>
      <w:tr w14:paraId="0011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8E7ABF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83</w:t>
            </w:r>
          </w:p>
        </w:tc>
        <w:tc>
          <w:tcPr>
            <w:tcW w:w="1215" w:type="dxa"/>
            <w:noWrap w:val="0"/>
            <w:vAlign w:val="center"/>
          </w:tcPr>
          <w:p w14:paraId="0043C4F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地理信息技术应用教学挂图</w:t>
            </w:r>
          </w:p>
        </w:tc>
        <w:tc>
          <w:tcPr>
            <w:tcW w:w="804" w:type="dxa"/>
            <w:noWrap w:val="0"/>
            <w:vAlign w:val="center"/>
          </w:tcPr>
          <w:p w14:paraId="6B8E08C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81E3CD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296CBD88">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符合教育行业执行标准</w:t>
            </w:r>
          </w:p>
        </w:tc>
      </w:tr>
      <w:tr w14:paraId="703F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94AC86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84</w:t>
            </w:r>
          </w:p>
        </w:tc>
        <w:tc>
          <w:tcPr>
            <w:tcW w:w="1215" w:type="dxa"/>
            <w:noWrap w:val="0"/>
            <w:vAlign w:val="center"/>
          </w:tcPr>
          <w:p w14:paraId="3C460E8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立体光栅地理挂图</w:t>
            </w:r>
          </w:p>
        </w:tc>
        <w:tc>
          <w:tcPr>
            <w:tcW w:w="804" w:type="dxa"/>
            <w:noWrap w:val="0"/>
            <w:vAlign w:val="center"/>
          </w:tcPr>
          <w:p w14:paraId="3A551FB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DA5B75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566776B2">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对开，1幅</w:t>
            </w:r>
          </w:p>
        </w:tc>
      </w:tr>
      <w:tr w14:paraId="2A329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EEAE54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85</w:t>
            </w:r>
          </w:p>
        </w:tc>
        <w:tc>
          <w:tcPr>
            <w:tcW w:w="1215" w:type="dxa"/>
            <w:noWrap w:val="0"/>
            <w:vAlign w:val="center"/>
          </w:tcPr>
          <w:p w14:paraId="7DC5A71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自然灾害系列遥感影像挂图</w:t>
            </w:r>
          </w:p>
        </w:tc>
        <w:tc>
          <w:tcPr>
            <w:tcW w:w="804" w:type="dxa"/>
            <w:noWrap w:val="0"/>
            <w:vAlign w:val="center"/>
          </w:tcPr>
          <w:p w14:paraId="4686FD3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0F7D24A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2893D4FC">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对开，8幅</w:t>
            </w:r>
          </w:p>
        </w:tc>
      </w:tr>
      <w:tr w14:paraId="3512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EE2631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86</w:t>
            </w:r>
          </w:p>
        </w:tc>
        <w:tc>
          <w:tcPr>
            <w:tcW w:w="1215" w:type="dxa"/>
            <w:noWrap w:val="0"/>
            <w:vAlign w:val="center"/>
          </w:tcPr>
          <w:p w14:paraId="29618AD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地形地貌系列遥感影像挂图</w:t>
            </w:r>
          </w:p>
        </w:tc>
        <w:tc>
          <w:tcPr>
            <w:tcW w:w="804" w:type="dxa"/>
            <w:noWrap w:val="0"/>
            <w:vAlign w:val="center"/>
          </w:tcPr>
          <w:p w14:paraId="3394C75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0AED5AC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5550FD6">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对开，8幅</w:t>
            </w:r>
          </w:p>
        </w:tc>
      </w:tr>
      <w:tr w14:paraId="38C7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FD0F40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87</w:t>
            </w:r>
          </w:p>
        </w:tc>
        <w:tc>
          <w:tcPr>
            <w:tcW w:w="1215" w:type="dxa"/>
            <w:noWrap w:val="0"/>
            <w:vAlign w:val="center"/>
          </w:tcPr>
          <w:p w14:paraId="0D8F4C7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旅游资源遥感影像挂图</w:t>
            </w:r>
          </w:p>
        </w:tc>
        <w:tc>
          <w:tcPr>
            <w:tcW w:w="804" w:type="dxa"/>
            <w:noWrap w:val="0"/>
            <w:vAlign w:val="center"/>
          </w:tcPr>
          <w:p w14:paraId="612DB6D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0696080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33DEFFA9">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对开，8幅</w:t>
            </w:r>
          </w:p>
        </w:tc>
      </w:tr>
      <w:tr w14:paraId="10C7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37D2D2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88</w:t>
            </w:r>
          </w:p>
        </w:tc>
        <w:tc>
          <w:tcPr>
            <w:tcW w:w="1215" w:type="dxa"/>
            <w:noWrap w:val="0"/>
            <w:vAlign w:val="center"/>
          </w:tcPr>
          <w:p w14:paraId="2EB2AA8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城乡发展与变迁遥感影像挂图</w:t>
            </w:r>
          </w:p>
        </w:tc>
        <w:tc>
          <w:tcPr>
            <w:tcW w:w="804" w:type="dxa"/>
            <w:noWrap w:val="0"/>
            <w:vAlign w:val="center"/>
          </w:tcPr>
          <w:p w14:paraId="4170A90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786218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00BE8C1E">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对开，8幅</w:t>
            </w:r>
          </w:p>
        </w:tc>
      </w:tr>
      <w:tr w14:paraId="62C2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CF8577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89</w:t>
            </w:r>
          </w:p>
        </w:tc>
        <w:tc>
          <w:tcPr>
            <w:tcW w:w="1215" w:type="dxa"/>
            <w:noWrap w:val="0"/>
            <w:vAlign w:val="center"/>
          </w:tcPr>
          <w:p w14:paraId="755F19D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环境与生态系列遥感影像挂图</w:t>
            </w:r>
          </w:p>
        </w:tc>
        <w:tc>
          <w:tcPr>
            <w:tcW w:w="804" w:type="dxa"/>
            <w:noWrap w:val="0"/>
            <w:vAlign w:val="center"/>
          </w:tcPr>
          <w:p w14:paraId="1675314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98145D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552A054A">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对开，8幅</w:t>
            </w:r>
          </w:p>
        </w:tc>
      </w:tr>
      <w:tr w14:paraId="4395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03E901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90</w:t>
            </w:r>
          </w:p>
        </w:tc>
        <w:tc>
          <w:tcPr>
            <w:tcW w:w="1215" w:type="dxa"/>
            <w:noWrap w:val="0"/>
            <w:vAlign w:val="center"/>
          </w:tcPr>
          <w:p w14:paraId="290A67D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地表形态及土地利用动态变化遥感影像挂图</w:t>
            </w:r>
          </w:p>
        </w:tc>
        <w:tc>
          <w:tcPr>
            <w:tcW w:w="804" w:type="dxa"/>
            <w:noWrap w:val="0"/>
            <w:vAlign w:val="center"/>
          </w:tcPr>
          <w:p w14:paraId="1BBEDAC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055D0FF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253E2270">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对开，8幅</w:t>
            </w:r>
          </w:p>
        </w:tc>
      </w:tr>
      <w:tr w14:paraId="2FA2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759D60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91</w:t>
            </w:r>
          </w:p>
        </w:tc>
        <w:tc>
          <w:tcPr>
            <w:tcW w:w="1215" w:type="dxa"/>
            <w:noWrap w:val="0"/>
            <w:vAlign w:val="center"/>
          </w:tcPr>
          <w:p w14:paraId="2D4F90B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水资源与海洋环境遥感影像挂图</w:t>
            </w:r>
          </w:p>
        </w:tc>
        <w:tc>
          <w:tcPr>
            <w:tcW w:w="804" w:type="dxa"/>
            <w:noWrap w:val="0"/>
            <w:vAlign w:val="center"/>
          </w:tcPr>
          <w:p w14:paraId="18DCD7A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292C41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52F0C3F1">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对开，8幅</w:t>
            </w:r>
          </w:p>
        </w:tc>
      </w:tr>
      <w:tr w14:paraId="0E20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CE768F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92</w:t>
            </w:r>
          </w:p>
        </w:tc>
        <w:tc>
          <w:tcPr>
            <w:tcW w:w="1215" w:type="dxa"/>
            <w:noWrap w:val="0"/>
            <w:vAlign w:val="center"/>
          </w:tcPr>
          <w:p w14:paraId="14E6B93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地球活动实验材料</w:t>
            </w:r>
          </w:p>
        </w:tc>
        <w:tc>
          <w:tcPr>
            <w:tcW w:w="804" w:type="dxa"/>
            <w:noWrap w:val="0"/>
            <w:vAlign w:val="center"/>
          </w:tcPr>
          <w:p w14:paraId="2767324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C4F14B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6351" w:type="dxa"/>
            <w:noWrap w:val="0"/>
            <w:vAlign w:val="center"/>
          </w:tcPr>
          <w:p w14:paraId="3A8FB202">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产品材料:水粉颜料1盒12色、细钢丝、细铁丝、皮泥2块、纱布条、棉签、软木塞4个、硬纸板5张、细线。</w:t>
            </w:r>
          </w:p>
        </w:tc>
      </w:tr>
      <w:tr w14:paraId="0385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D31B35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93</w:t>
            </w:r>
          </w:p>
        </w:tc>
        <w:tc>
          <w:tcPr>
            <w:tcW w:w="1215" w:type="dxa"/>
            <w:noWrap w:val="0"/>
            <w:vAlign w:val="center"/>
          </w:tcPr>
          <w:p w14:paraId="5451845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地理野外实习用具</w:t>
            </w:r>
          </w:p>
        </w:tc>
        <w:tc>
          <w:tcPr>
            <w:tcW w:w="804" w:type="dxa"/>
            <w:noWrap w:val="0"/>
            <w:vAlign w:val="center"/>
          </w:tcPr>
          <w:p w14:paraId="4A37D4C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0C68AC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6351" w:type="dxa"/>
            <w:noWrap w:val="0"/>
            <w:vAlign w:val="center"/>
          </w:tcPr>
          <w:p w14:paraId="19E518C8">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符合教育行业执行标准</w:t>
            </w:r>
          </w:p>
        </w:tc>
      </w:tr>
      <w:tr w14:paraId="35EF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C670F7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94</w:t>
            </w:r>
          </w:p>
        </w:tc>
        <w:tc>
          <w:tcPr>
            <w:tcW w:w="1215" w:type="dxa"/>
            <w:noWrap w:val="0"/>
            <w:vAlign w:val="center"/>
          </w:tcPr>
          <w:p w14:paraId="7055D98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平底盘</w:t>
            </w:r>
          </w:p>
        </w:tc>
        <w:tc>
          <w:tcPr>
            <w:tcW w:w="804" w:type="dxa"/>
            <w:noWrap w:val="0"/>
            <w:vAlign w:val="center"/>
          </w:tcPr>
          <w:p w14:paraId="4B9CC17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8C0070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B7C6827">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符合教育行业执行标准</w:t>
            </w:r>
          </w:p>
        </w:tc>
      </w:tr>
      <w:tr w14:paraId="2B35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1365D4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95</w:t>
            </w:r>
          </w:p>
        </w:tc>
        <w:tc>
          <w:tcPr>
            <w:tcW w:w="1215" w:type="dxa"/>
            <w:noWrap w:val="0"/>
            <w:vAlign w:val="center"/>
          </w:tcPr>
          <w:p w14:paraId="4A7C743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金属托盘</w:t>
            </w:r>
          </w:p>
        </w:tc>
        <w:tc>
          <w:tcPr>
            <w:tcW w:w="804" w:type="dxa"/>
            <w:noWrap w:val="0"/>
            <w:vAlign w:val="center"/>
          </w:tcPr>
          <w:p w14:paraId="607EDA9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3DC929D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F4CE662">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符合教育行业执行标准</w:t>
            </w:r>
          </w:p>
        </w:tc>
      </w:tr>
      <w:tr w14:paraId="7F74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C8C722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96</w:t>
            </w:r>
          </w:p>
        </w:tc>
        <w:tc>
          <w:tcPr>
            <w:tcW w:w="1215" w:type="dxa"/>
            <w:noWrap w:val="0"/>
            <w:vAlign w:val="center"/>
          </w:tcPr>
          <w:p w14:paraId="0C0D121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洛阳铲</w:t>
            </w:r>
          </w:p>
        </w:tc>
        <w:tc>
          <w:tcPr>
            <w:tcW w:w="804" w:type="dxa"/>
            <w:noWrap w:val="0"/>
            <w:vAlign w:val="center"/>
          </w:tcPr>
          <w:p w14:paraId="2A01CDF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w:t>
            </w:r>
          </w:p>
        </w:tc>
        <w:tc>
          <w:tcPr>
            <w:tcW w:w="765" w:type="dxa"/>
            <w:gridSpan w:val="2"/>
            <w:noWrap w:val="0"/>
            <w:vAlign w:val="center"/>
          </w:tcPr>
          <w:p w14:paraId="71EA88F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5BB3E0A">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符合教育行业执行标准</w:t>
            </w:r>
          </w:p>
        </w:tc>
      </w:tr>
      <w:tr w14:paraId="1AFA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7F92EA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97</w:t>
            </w:r>
          </w:p>
        </w:tc>
        <w:tc>
          <w:tcPr>
            <w:tcW w:w="1215" w:type="dxa"/>
            <w:noWrap w:val="0"/>
            <w:vAlign w:val="center"/>
          </w:tcPr>
          <w:p w14:paraId="30DBEA8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剖面刀</w:t>
            </w:r>
          </w:p>
        </w:tc>
        <w:tc>
          <w:tcPr>
            <w:tcW w:w="804" w:type="dxa"/>
            <w:noWrap w:val="0"/>
            <w:vAlign w:val="center"/>
          </w:tcPr>
          <w:p w14:paraId="23CC960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w:t>
            </w:r>
          </w:p>
        </w:tc>
        <w:tc>
          <w:tcPr>
            <w:tcW w:w="765" w:type="dxa"/>
            <w:gridSpan w:val="2"/>
            <w:noWrap w:val="0"/>
            <w:vAlign w:val="center"/>
          </w:tcPr>
          <w:p w14:paraId="34AB5D1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F1568A9">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符合教育行业执行标准</w:t>
            </w:r>
          </w:p>
        </w:tc>
      </w:tr>
      <w:tr w14:paraId="5B1B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1AA991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98</w:t>
            </w:r>
          </w:p>
        </w:tc>
        <w:tc>
          <w:tcPr>
            <w:tcW w:w="1215" w:type="dxa"/>
            <w:noWrap w:val="0"/>
            <w:vAlign w:val="center"/>
          </w:tcPr>
          <w:p w14:paraId="753333A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土壤筛</w:t>
            </w:r>
          </w:p>
        </w:tc>
        <w:tc>
          <w:tcPr>
            <w:tcW w:w="804" w:type="dxa"/>
            <w:noWrap w:val="0"/>
            <w:vAlign w:val="center"/>
          </w:tcPr>
          <w:p w14:paraId="3CC8712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937440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0866ABD">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五个一套</w:t>
            </w:r>
          </w:p>
        </w:tc>
      </w:tr>
      <w:tr w14:paraId="15AA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839912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99</w:t>
            </w:r>
          </w:p>
        </w:tc>
        <w:tc>
          <w:tcPr>
            <w:tcW w:w="1215" w:type="dxa"/>
            <w:noWrap w:val="0"/>
            <w:vAlign w:val="center"/>
          </w:tcPr>
          <w:p w14:paraId="5AD4F4E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自备材料</w:t>
            </w:r>
          </w:p>
        </w:tc>
        <w:tc>
          <w:tcPr>
            <w:tcW w:w="804" w:type="dxa"/>
            <w:noWrap w:val="0"/>
            <w:vAlign w:val="center"/>
          </w:tcPr>
          <w:p w14:paraId="6E804D0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B824B6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CFAE989">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乒乓球、泡沫塑料、海绵、塑料板、木板、玻璃、牙签、塑料袋、塑料薄膜、纸板、自制龙卷风演示、海底扩张等</w:t>
            </w:r>
          </w:p>
        </w:tc>
      </w:tr>
      <w:tr w14:paraId="3EA1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2A8BA5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100</w:t>
            </w:r>
          </w:p>
        </w:tc>
        <w:tc>
          <w:tcPr>
            <w:tcW w:w="1215" w:type="dxa"/>
            <w:noWrap w:val="0"/>
            <w:vAlign w:val="center"/>
          </w:tcPr>
          <w:p w14:paraId="3A9BB10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录像机</w:t>
            </w:r>
          </w:p>
        </w:tc>
        <w:tc>
          <w:tcPr>
            <w:tcW w:w="804" w:type="dxa"/>
            <w:noWrap w:val="0"/>
            <w:vAlign w:val="center"/>
          </w:tcPr>
          <w:p w14:paraId="5D8BE8B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45C5D74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c>
          <w:tcPr>
            <w:tcW w:w="6351" w:type="dxa"/>
            <w:noWrap w:val="0"/>
            <w:vAlign w:val="center"/>
          </w:tcPr>
          <w:p w14:paraId="67706714">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闪存式DV：</w:t>
            </w:r>
          </w:p>
          <w:p w14:paraId="060C8C92">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光学变焦倍数：30倍</w:t>
            </w:r>
          </w:p>
          <w:p w14:paraId="62482382">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屏幕尺寸：3英寸</w:t>
            </w:r>
          </w:p>
          <w:p w14:paraId="42C8473D">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数码像素：201-300万</w:t>
            </w:r>
          </w:p>
          <w:p w14:paraId="35F27258">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重量：151g(含)-200g(含)</w:t>
            </w:r>
          </w:p>
          <w:p w14:paraId="28FDAD5B">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附加功能：支持WIFI、防抖性能、五轴防抖</w:t>
            </w:r>
          </w:p>
          <w:p w14:paraId="2B7775C6">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传感器尺寸：1/5.8英寸</w:t>
            </w:r>
          </w:p>
          <w:p w14:paraId="4FBC7F1E">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感光元件：CMOS</w:t>
            </w:r>
          </w:p>
        </w:tc>
      </w:tr>
      <w:tr w14:paraId="3082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5" w:type="dxa"/>
            <w:gridSpan w:val="6"/>
            <w:noWrap w:val="0"/>
            <w:vAlign w:val="top"/>
          </w:tcPr>
          <w:p w14:paraId="30C7D824">
            <w:pPr>
              <w:keepNext w:val="0"/>
              <w:keepLines w:val="0"/>
              <w:pageBreakBefore w:val="0"/>
              <w:widowControl/>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cs="宋体"/>
                <w:b/>
                <w:bCs w:val="0"/>
                <w:color w:val="auto"/>
                <w:sz w:val="21"/>
                <w:szCs w:val="21"/>
                <w:shd w:val="clear" w:color="auto" w:fill="FFFFFF"/>
                <w:lang w:eastAsia="zh-CN"/>
              </w:rPr>
              <w:t>（</w:t>
            </w:r>
            <w:r>
              <w:rPr>
                <w:rFonts w:hint="eastAsia" w:ascii="宋体" w:hAnsi="宋体" w:cs="宋体"/>
                <w:b/>
                <w:bCs w:val="0"/>
                <w:color w:val="auto"/>
                <w:sz w:val="21"/>
                <w:szCs w:val="21"/>
                <w:shd w:val="clear" w:color="auto" w:fill="FFFFFF"/>
                <w:lang w:val="en-US" w:eastAsia="zh-CN"/>
              </w:rPr>
              <w:t>九</w:t>
            </w:r>
            <w:r>
              <w:rPr>
                <w:rFonts w:hint="eastAsia" w:ascii="宋体" w:hAnsi="宋体" w:cs="宋体"/>
                <w:b/>
                <w:bCs w:val="0"/>
                <w:color w:val="auto"/>
                <w:sz w:val="21"/>
                <w:szCs w:val="21"/>
                <w:shd w:val="clear" w:color="auto" w:fill="FFFFFF"/>
                <w:lang w:eastAsia="zh-CN"/>
              </w:rPr>
              <w:t>）</w:t>
            </w:r>
            <w:r>
              <w:rPr>
                <w:rFonts w:hint="eastAsia" w:ascii="宋体" w:hAnsi="宋体" w:eastAsia="宋体" w:cs="宋体"/>
                <w:b/>
                <w:bCs w:val="0"/>
                <w:color w:val="auto"/>
                <w:sz w:val="21"/>
                <w:szCs w:val="21"/>
                <w:shd w:val="clear" w:color="auto" w:fill="FFFFFF"/>
              </w:rPr>
              <w:t>高中美术专用教室</w:t>
            </w:r>
          </w:p>
        </w:tc>
      </w:tr>
      <w:tr w14:paraId="138A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top"/>
          </w:tcPr>
          <w:p w14:paraId="72ED64DD">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bCs/>
                <w:color w:val="auto"/>
                <w:sz w:val="21"/>
                <w:szCs w:val="21"/>
                <w:lang w:bidi="ar"/>
              </w:rPr>
            </w:pPr>
            <w:r>
              <w:rPr>
                <w:rFonts w:hint="eastAsia" w:ascii="宋体" w:hAnsi="宋体" w:eastAsia="宋体" w:cs="宋体"/>
                <w:b/>
                <w:bCs w:val="0"/>
                <w:color w:val="auto"/>
                <w:sz w:val="21"/>
                <w:szCs w:val="21"/>
              </w:rPr>
              <w:t>序号</w:t>
            </w:r>
          </w:p>
        </w:tc>
        <w:tc>
          <w:tcPr>
            <w:tcW w:w="1215" w:type="dxa"/>
            <w:noWrap w:val="0"/>
            <w:vAlign w:val="top"/>
          </w:tcPr>
          <w:p w14:paraId="522BB583">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val="0"/>
                <w:color w:val="auto"/>
                <w:sz w:val="21"/>
                <w:szCs w:val="21"/>
              </w:rPr>
              <w:t>货物名称</w:t>
            </w:r>
          </w:p>
        </w:tc>
        <w:tc>
          <w:tcPr>
            <w:tcW w:w="804" w:type="dxa"/>
            <w:noWrap w:val="0"/>
            <w:vAlign w:val="top"/>
          </w:tcPr>
          <w:p w14:paraId="37CF20FB">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val="0"/>
                <w:color w:val="auto"/>
                <w:sz w:val="21"/>
                <w:szCs w:val="21"/>
              </w:rPr>
              <w:t>单位</w:t>
            </w:r>
          </w:p>
        </w:tc>
        <w:tc>
          <w:tcPr>
            <w:tcW w:w="765" w:type="dxa"/>
            <w:gridSpan w:val="2"/>
            <w:noWrap w:val="0"/>
            <w:vAlign w:val="top"/>
          </w:tcPr>
          <w:p w14:paraId="13BD0743">
            <w:pPr>
              <w:pStyle w:val="46"/>
              <w:keepNext w:val="0"/>
              <w:keepLines w:val="0"/>
              <w:pageBreakBefore w:val="0"/>
              <w:kinsoku/>
              <w:wordWrap/>
              <w:overflowPunct/>
              <w:topLinePunct w:val="0"/>
              <w:bidi w:val="0"/>
              <w:spacing w:line="440" w:lineRule="exact"/>
              <w:ind w:firstLine="0" w:firstLineChars="0"/>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val="0"/>
                <w:color w:val="auto"/>
                <w:sz w:val="21"/>
                <w:szCs w:val="21"/>
              </w:rPr>
              <w:t>数量</w:t>
            </w:r>
          </w:p>
        </w:tc>
        <w:tc>
          <w:tcPr>
            <w:tcW w:w="6351" w:type="dxa"/>
            <w:noWrap w:val="0"/>
            <w:vAlign w:val="top"/>
          </w:tcPr>
          <w:p w14:paraId="3E3754CE">
            <w:pPr>
              <w:pStyle w:val="46"/>
              <w:keepNext w:val="0"/>
              <w:keepLines w:val="0"/>
              <w:pageBreakBefore w:val="0"/>
              <w:kinsoku/>
              <w:wordWrap/>
              <w:overflowPunct/>
              <w:topLinePunct w:val="0"/>
              <w:bidi w:val="0"/>
              <w:spacing w:line="440" w:lineRule="exact"/>
              <w:ind w:firstLine="310" w:firstLineChars="147"/>
              <w:rPr>
                <w:rFonts w:hint="eastAsia" w:ascii="宋体" w:hAnsi="宋体" w:eastAsia="宋体" w:cs="宋体"/>
                <w:bCs/>
                <w:color w:val="auto"/>
                <w:sz w:val="21"/>
                <w:szCs w:val="21"/>
                <w:shd w:val="clear" w:color="auto" w:fill="FFFFFF"/>
              </w:rPr>
            </w:pPr>
            <w:r>
              <w:rPr>
                <w:rFonts w:hint="eastAsia" w:ascii="宋体" w:hAnsi="宋体" w:eastAsia="宋体" w:cs="宋体"/>
                <w:b/>
                <w:bCs w:val="0"/>
                <w:color w:val="auto"/>
                <w:sz w:val="21"/>
                <w:szCs w:val="21"/>
              </w:rPr>
              <w:t>技术参数、规格及要求</w:t>
            </w:r>
          </w:p>
        </w:tc>
      </w:tr>
      <w:tr w14:paraId="63DD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0DDEB2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1215" w:type="dxa"/>
            <w:noWrap w:val="0"/>
            <w:vAlign w:val="center"/>
          </w:tcPr>
          <w:p w14:paraId="1CDE4AD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衬布</w:t>
            </w:r>
          </w:p>
        </w:tc>
        <w:tc>
          <w:tcPr>
            <w:tcW w:w="804" w:type="dxa"/>
            <w:noWrap w:val="0"/>
            <w:vAlign w:val="center"/>
          </w:tcPr>
          <w:p w14:paraId="7319B66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765" w:type="dxa"/>
            <w:gridSpan w:val="2"/>
            <w:noWrap w:val="0"/>
            <w:vAlign w:val="center"/>
          </w:tcPr>
          <w:p w14:paraId="628B68D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w:t>
            </w:r>
          </w:p>
        </w:tc>
        <w:tc>
          <w:tcPr>
            <w:tcW w:w="6351" w:type="dxa"/>
            <w:noWrap w:val="0"/>
            <w:vAlign w:val="center"/>
          </w:tcPr>
          <w:p w14:paraId="31C311C6">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1.尺寸：900mm×1500mm；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2.衬布材质为丝质颜色鲜艳。</w:t>
            </w:r>
          </w:p>
        </w:tc>
      </w:tr>
      <w:tr w14:paraId="5672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646704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1215" w:type="dxa"/>
            <w:noWrap w:val="0"/>
            <w:vAlign w:val="center"/>
          </w:tcPr>
          <w:p w14:paraId="057911F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遮光窗帘</w:t>
            </w:r>
          </w:p>
        </w:tc>
        <w:tc>
          <w:tcPr>
            <w:tcW w:w="804" w:type="dxa"/>
            <w:noWrap w:val="0"/>
            <w:vAlign w:val="center"/>
          </w:tcPr>
          <w:p w14:paraId="11A3721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765" w:type="dxa"/>
            <w:gridSpan w:val="2"/>
            <w:noWrap w:val="0"/>
            <w:vAlign w:val="center"/>
          </w:tcPr>
          <w:p w14:paraId="41543EA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351" w:type="dxa"/>
            <w:noWrap w:val="0"/>
            <w:vAlign w:val="center"/>
          </w:tcPr>
          <w:p w14:paraId="116AE0C3">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1.尺寸：2000mm×1800mm遮光窗帘、平绒材质、正面为暗红色、反面亮银色；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2.高强遮光，共8折，贴边宽80mm，配镀鉻挂钩10个。</w:t>
            </w:r>
          </w:p>
        </w:tc>
      </w:tr>
      <w:tr w14:paraId="300A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3A8AA0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w:t>
            </w:r>
          </w:p>
        </w:tc>
        <w:tc>
          <w:tcPr>
            <w:tcW w:w="1215" w:type="dxa"/>
            <w:noWrap w:val="0"/>
            <w:vAlign w:val="center"/>
          </w:tcPr>
          <w:p w14:paraId="57851E4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写生凳</w:t>
            </w:r>
          </w:p>
        </w:tc>
        <w:tc>
          <w:tcPr>
            <w:tcW w:w="804" w:type="dxa"/>
            <w:noWrap w:val="0"/>
            <w:vAlign w:val="center"/>
          </w:tcPr>
          <w:p w14:paraId="0501B0F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032529F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56</w:t>
            </w:r>
          </w:p>
        </w:tc>
        <w:tc>
          <w:tcPr>
            <w:tcW w:w="6351" w:type="dxa"/>
            <w:noWrap w:val="0"/>
            <w:vAlign w:val="center"/>
          </w:tcPr>
          <w:p w14:paraId="0B1A8946">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1.规格：不小于220mm×290mm×390mm；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2.采用塑料折叠凳。</w:t>
            </w:r>
          </w:p>
        </w:tc>
      </w:tr>
      <w:tr w14:paraId="2BC2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83CB3C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4</w:t>
            </w:r>
          </w:p>
        </w:tc>
        <w:tc>
          <w:tcPr>
            <w:tcW w:w="1215" w:type="dxa"/>
            <w:noWrap w:val="0"/>
            <w:vAlign w:val="center"/>
          </w:tcPr>
          <w:p w14:paraId="1F19090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写生灯</w:t>
            </w:r>
          </w:p>
        </w:tc>
        <w:tc>
          <w:tcPr>
            <w:tcW w:w="804" w:type="dxa"/>
            <w:noWrap w:val="0"/>
            <w:vAlign w:val="center"/>
          </w:tcPr>
          <w:p w14:paraId="59C73C9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只</w:t>
            </w:r>
          </w:p>
        </w:tc>
        <w:tc>
          <w:tcPr>
            <w:tcW w:w="765" w:type="dxa"/>
            <w:gridSpan w:val="2"/>
            <w:noWrap w:val="0"/>
            <w:vAlign w:val="center"/>
          </w:tcPr>
          <w:p w14:paraId="35AFEE6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351" w:type="dxa"/>
            <w:noWrap w:val="0"/>
            <w:vAlign w:val="center"/>
          </w:tcPr>
          <w:p w14:paraId="65EC07FF">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落地升降高度600mm-2400mm；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1.3节升降杆,由三根直径分别为22mm、16mm、10mm钢管组成,升降固定钮用PCV压铸而成；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2.落地配三角底座；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3.聚光灯罩钢板喷塑,直径260mm，配灯罩沿；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4.三角支撑架用铝合金压铸而成,三角支撑杆用直径16mm不锈钢管制成。</w:t>
            </w:r>
          </w:p>
        </w:tc>
      </w:tr>
      <w:tr w14:paraId="2DC1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B6FA70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5</w:t>
            </w:r>
          </w:p>
        </w:tc>
        <w:tc>
          <w:tcPr>
            <w:tcW w:w="1215" w:type="dxa"/>
            <w:noWrap w:val="0"/>
            <w:vAlign w:val="center"/>
          </w:tcPr>
          <w:p w14:paraId="02989C2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工作台</w:t>
            </w:r>
          </w:p>
        </w:tc>
        <w:tc>
          <w:tcPr>
            <w:tcW w:w="804" w:type="dxa"/>
            <w:noWrap w:val="0"/>
            <w:vAlign w:val="center"/>
          </w:tcPr>
          <w:p w14:paraId="7F8B26F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748C928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6351" w:type="dxa"/>
            <w:noWrap w:val="0"/>
            <w:vAlign w:val="center"/>
          </w:tcPr>
          <w:p w14:paraId="5C111BDF">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1.规格：尺寸不小于1800mm×800mm×750mm；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2.台面：板厚不小于厚18mm，采用环保型中密度板，灰白色三聚氰胺板贴面，优质PVC封边，可折叠；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3.台架采用不小于30mm×30mm、30mm×25mm无缝钢管，钢管厚度1.0mm，可拆装结构；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4.台架工艺要求：经酸洗磷化处理，静电喷涂，无虚焊、无焊渣，焊点光滑、美观，结构稳固，颜色灰白，漆面不脱落。</w:t>
            </w:r>
          </w:p>
        </w:tc>
      </w:tr>
      <w:tr w14:paraId="17DE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9DE342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6</w:t>
            </w:r>
          </w:p>
        </w:tc>
        <w:tc>
          <w:tcPr>
            <w:tcW w:w="1215" w:type="dxa"/>
            <w:noWrap w:val="0"/>
            <w:vAlign w:val="center"/>
          </w:tcPr>
          <w:p w14:paraId="0315D70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美术教学用品柜</w:t>
            </w:r>
          </w:p>
        </w:tc>
        <w:tc>
          <w:tcPr>
            <w:tcW w:w="804" w:type="dxa"/>
            <w:noWrap w:val="0"/>
            <w:vAlign w:val="center"/>
          </w:tcPr>
          <w:p w14:paraId="6575F58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ABA73F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351" w:type="dxa"/>
            <w:noWrap w:val="0"/>
            <w:vAlign w:val="center"/>
          </w:tcPr>
          <w:p w14:paraId="3D4A37B8">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b w:val="0"/>
                <w:bCs w:val="0"/>
                <w:i w:val="0"/>
                <w:iCs w:val="0"/>
                <w:color w:val="auto"/>
                <w:kern w:val="0"/>
                <w:sz w:val="21"/>
                <w:szCs w:val="21"/>
                <w:u w:val="none"/>
                <w:lang w:val="en-US" w:eastAsia="zh-CN" w:bidi="ar"/>
              </w:rPr>
              <w:t>1.规格：1850mm×850mm×390mm</w:t>
            </w:r>
            <w:r>
              <w:rPr>
                <w:rStyle w:val="146"/>
                <w:rFonts w:hint="eastAsia" w:ascii="宋体" w:hAnsi="宋体" w:eastAsia="宋体" w:cs="宋体"/>
                <w:b w:val="0"/>
                <w:bCs w:val="0"/>
                <w:color w:val="auto"/>
                <w:sz w:val="21"/>
                <w:szCs w:val="21"/>
                <w:lang w:val="en-US" w:eastAsia="zh-CN" w:bidi="ar"/>
              </w:rPr>
              <w:br w:type="textWrapping"/>
            </w:r>
            <w:r>
              <w:rPr>
                <w:rStyle w:val="146"/>
                <w:rFonts w:hint="eastAsia" w:ascii="宋体" w:hAnsi="宋体" w:eastAsia="宋体" w:cs="宋体"/>
                <w:b w:val="0"/>
                <w:bCs w:val="0"/>
                <w:color w:val="auto"/>
                <w:sz w:val="21"/>
                <w:szCs w:val="21"/>
                <w:lang w:val="en-US" w:eastAsia="zh-CN" w:bidi="ar"/>
              </w:rPr>
              <w:t>2.结构：分为上下两个个部分，上部分为对开玻璃门，内置一块隔板，下部分为铁门，内置一块隔板。</w:t>
            </w:r>
            <w:r>
              <w:rPr>
                <w:rStyle w:val="146"/>
                <w:rFonts w:hint="eastAsia" w:ascii="宋体" w:hAnsi="宋体" w:eastAsia="宋体" w:cs="宋体"/>
                <w:b w:val="0"/>
                <w:bCs w:val="0"/>
                <w:color w:val="auto"/>
                <w:sz w:val="21"/>
                <w:szCs w:val="21"/>
                <w:lang w:val="en-US" w:eastAsia="zh-CN" w:bidi="ar"/>
              </w:rPr>
              <w:br w:type="textWrapping"/>
            </w:r>
            <w:r>
              <w:rPr>
                <w:rStyle w:val="146"/>
                <w:rFonts w:hint="eastAsia" w:ascii="宋体" w:hAnsi="宋体" w:eastAsia="宋体" w:cs="宋体"/>
                <w:b w:val="0"/>
                <w:bCs w:val="0"/>
                <w:color w:val="auto"/>
                <w:sz w:val="21"/>
                <w:szCs w:val="21"/>
                <w:lang w:val="en-US" w:eastAsia="zh-CN" w:bidi="ar"/>
              </w:rPr>
              <w:t xml:space="preserve">3.板材采用≥0.5mm一级冷轧钢板，各面钢板必须是无拼接，钢板厚误差不超过±0.05mm； </w:t>
            </w:r>
            <w:r>
              <w:rPr>
                <w:rStyle w:val="146"/>
                <w:rFonts w:hint="eastAsia" w:ascii="宋体" w:hAnsi="宋体" w:eastAsia="宋体" w:cs="宋体"/>
                <w:b w:val="0"/>
                <w:bCs w:val="0"/>
                <w:color w:val="auto"/>
                <w:sz w:val="21"/>
                <w:szCs w:val="21"/>
                <w:lang w:val="en-US" w:eastAsia="zh-CN" w:bidi="ar"/>
              </w:rPr>
              <w:br w:type="textWrapping"/>
            </w:r>
            <w:r>
              <w:rPr>
                <w:rStyle w:val="146"/>
                <w:rFonts w:hint="eastAsia" w:ascii="宋体" w:hAnsi="宋体" w:eastAsia="宋体" w:cs="宋体"/>
                <w:b w:val="0"/>
                <w:bCs w:val="0"/>
                <w:color w:val="auto"/>
                <w:sz w:val="21"/>
                <w:szCs w:val="21"/>
                <w:lang w:val="en-US" w:eastAsia="zh-CN" w:bidi="ar"/>
              </w:rPr>
              <w:t>4.金属件涂饰工艺要求：涂饰前零、部件的表面应光滑、平整，无开裂、脱焊、漏焊、焊渣或飞边、尖角、毛刺等可能造成机械伤害的缺陷，涂饰前零、部件表面进行预备处理，采用除锈、防锈处理工艺除去锈迹等其他污迹后进行涂装打底磷化处理，预备处理后表面无氧化皮、锈蚀、粘砂等其他杂质，磷化层达到工艺要求，预备处理后及时进行涂饰；</w:t>
            </w:r>
            <w:r>
              <w:rPr>
                <w:rStyle w:val="146"/>
                <w:rFonts w:hint="eastAsia" w:ascii="宋体" w:hAnsi="宋体" w:eastAsia="宋体" w:cs="宋体"/>
                <w:b w:val="0"/>
                <w:bCs w:val="0"/>
                <w:color w:val="auto"/>
                <w:sz w:val="21"/>
                <w:szCs w:val="21"/>
                <w:lang w:val="en-US" w:eastAsia="zh-CN" w:bidi="ar"/>
              </w:rPr>
              <w:br w:type="textWrapping"/>
            </w:r>
            <w:r>
              <w:rPr>
                <w:rStyle w:val="146"/>
                <w:rFonts w:hint="eastAsia" w:ascii="宋体" w:hAnsi="宋体" w:eastAsia="宋体" w:cs="宋体"/>
                <w:b w:val="0"/>
                <w:bCs w:val="0"/>
                <w:color w:val="auto"/>
                <w:sz w:val="21"/>
                <w:szCs w:val="21"/>
                <w:lang w:val="en-US" w:eastAsia="zh-CN" w:bidi="ar"/>
              </w:rPr>
              <w:t>5.表面除锈喷塑工艺要求：表面经过：除油-水洗-酸洗-除锈-清洗-中和-磷化-水洗-烘干处理。</w:t>
            </w:r>
          </w:p>
        </w:tc>
      </w:tr>
      <w:tr w14:paraId="16ED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FE806C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val="en-US" w:eastAsia="zh-CN" w:bidi="ar"/>
              </w:rPr>
            </w:pPr>
            <w:r>
              <w:rPr>
                <w:rFonts w:hint="eastAsia" w:ascii="宋体" w:hAnsi="宋体" w:eastAsia="宋体" w:cs="宋体"/>
                <w:bCs/>
                <w:color w:val="auto"/>
                <w:sz w:val="21"/>
                <w:szCs w:val="21"/>
                <w:lang w:val="en-US" w:eastAsia="zh-CN" w:bidi="ar"/>
              </w:rPr>
              <w:t>7</w:t>
            </w:r>
          </w:p>
        </w:tc>
        <w:tc>
          <w:tcPr>
            <w:tcW w:w="1215" w:type="dxa"/>
            <w:noWrap w:val="0"/>
            <w:vAlign w:val="center"/>
          </w:tcPr>
          <w:p w14:paraId="6D76C1C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磁性白黑板</w:t>
            </w:r>
          </w:p>
        </w:tc>
        <w:tc>
          <w:tcPr>
            <w:tcW w:w="804" w:type="dxa"/>
            <w:noWrap w:val="0"/>
            <w:vAlign w:val="center"/>
          </w:tcPr>
          <w:p w14:paraId="3355313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765" w:type="dxa"/>
            <w:gridSpan w:val="2"/>
            <w:noWrap w:val="0"/>
            <w:vAlign w:val="center"/>
          </w:tcPr>
          <w:p w14:paraId="185FDEA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2BDC6D6">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1.规格2000mm×1000mm；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2.书写面为单面白色板面，表面平正，涂复层无脱落、起泡、龟裂、针孔、斑痕、凹凸不平等不良现象。铝合金边框。</w:t>
            </w:r>
          </w:p>
        </w:tc>
      </w:tr>
      <w:tr w14:paraId="5A92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6B2CED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8</w:t>
            </w:r>
          </w:p>
        </w:tc>
        <w:tc>
          <w:tcPr>
            <w:tcW w:w="1215" w:type="dxa"/>
            <w:noWrap w:val="0"/>
            <w:vAlign w:val="center"/>
          </w:tcPr>
          <w:p w14:paraId="21E5A37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中学美术教学挂图</w:t>
            </w:r>
          </w:p>
        </w:tc>
        <w:tc>
          <w:tcPr>
            <w:tcW w:w="804" w:type="dxa"/>
            <w:noWrap w:val="0"/>
            <w:vAlign w:val="center"/>
          </w:tcPr>
          <w:p w14:paraId="1430A3B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03394EA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351" w:type="dxa"/>
            <w:noWrap w:val="0"/>
            <w:vAlign w:val="center"/>
          </w:tcPr>
          <w:p w14:paraId="62F40AA8">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1.幅数48幅，纸张规格不低于128g铜版纸，印刷符合GB/T7705-2008《平版装潢印刷品》的要求；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2.符合新课标教学的要求。四色彩印。</w:t>
            </w:r>
          </w:p>
        </w:tc>
      </w:tr>
      <w:tr w14:paraId="3108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ED9DFD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9</w:t>
            </w:r>
          </w:p>
        </w:tc>
        <w:tc>
          <w:tcPr>
            <w:tcW w:w="1215" w:type="dxa"/>
            <w:noWrap w:val="0"/>
            <w:vAlign w:val="center"/>
          </w:tcPr>
          <w:p w14:paraId="3CF14E5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影像资料</w:t>
            </w:r>
          </w:p>
        </w:tc>
        <w:tc>
          <w:tcPr>
            <w:tcW w:w="804" w:type="dxa"/>
            <w:noWrap w:val="0"/>
            <w:vAlign w:val="center"/>
          </w:tcPr>
          <w:p w14:paraId="119A095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E616EE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884EB65">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幻灯片、光盘、数字化美术教学资源库、虚拟美术博物馆、美术展等。</w:t>
            </w:r>
          </w:p>
        </w:tc>
      </w:tr>
      <w:tr w14:paraId="325F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4C008E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10</w:t>
            </w:r>
          </w:p>
        </w:tc>
        <w:tc>
          <w:tcPr>
            <w:tcW w:w="1215" w:type="dxa"/>
            <w:noWrap w:val="0"/>
            <w:vAlign w:val="center"/>
          </w:tcPr>
          <w:p w14:paraId="6C0FC86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写生画板</w:t>
            </w:r>
          </w:p>
        </w:tc>
        <w:tc>
          <w:tcPr>
            <w:tcW w:w="804" w:type="dxa"/>
            <w:noWrap w:val="0"/>
            <w:vAlign w:val="center"/>
          </w:tcPr>
          <w:p w14:paraId="699E27C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765" w:type="dxa"/>
            <w:gridSpan w:val="2"/>
            <w:noWrap w:val="0"/>
            <w:vAlign w:val="center"/>
          </w:tcPr>
          <w:p w14:paraId="06A7721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56</w:t>
            </w:r>
          </w:p>
        </w:tc>
        <w:tc>
          <w:tcPr>
            <w:tcW w:w="6351" w:type="dxa"/>
            <w:noWrap w:val="0"/>
            <w:vAlign w:val="center"/>
          </w:tcPr>
          <w:p w14:paraId="581284BE">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1.规格450×320(mm)×厚15mm；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2.双面采用优质胶合板，木条框架，四周包边，边框采用45°割角拼接。</w:t>
            </w:r>
          </w:p>
        </w:tc>
      </w:tr>
      <w:tr w14:paraId="0E44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E92666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11</w:t>
            </w:r>
          </w:p>
        </w:tc>
        <w:tc>
          <w:tcPr>
            <w:tcW w:w="1215" w:type="dxa"/>
            <w:noWrap w:val="0"/>
            <w:vAlign w:val="center"/>
          </w:tcPr>
          <w:p w14:paraId="0BF3BB3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画板</w:t>
            </w:r>
          </w:p>
        </w:tc>
        <w:tc>
          <w:tcPr>
            <w:tcW w:w="804" w:type="dxa"/>
            <w:noWrap w:val="0"/>
            <w:vAlign w:val="center"/>
          </w:tcPr>
          <w:p w14:paraId="2DC4FD8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765" w:type="dxa"/>
            <w:gridSpan w:val="2"/>
            <w:noWrap w:val="0"/>
            <w:vAlign w:val="center"/>
          </w:tcPr>
          <w:p w14:paraId="76E9ED0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33A5A7D">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1.2#图板，规格600mm×450mm；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2.板面采用优质合板，木条框架，四周包边。</w:t>
            </w:r>
          </w:p>
        </w:tc>
      </w:tr>
      <w:tr w14:paraId="6595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6E83C7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12</w:t>
            </w:r>
          </w:p>
        </w:tc>
        <w:tc>
          <w:tcPr>
            <w:tcW w:w="1215" w:type="dxa"/>
            <w:noWrap w:val="0"/>
            <w:vAlign w:val="center"/>
          </w:tcPr>
          <w:p w14:paraId="12E112B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画架</w:t>
            </w:r>
          </w:p>
        </w:tc>
        <w:tc>
          <w:tcPr>
            <w:tcW w:w="804" w:type="dxa"/>
            <w:noWrap w:val="0"/>
            <w:vAlign w:val="center"/>
          </w:tcPr>
          <w:p w14:paraId="7AAEA73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5E7EFD1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21CAD56">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梯形画架。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1.材质:松木，防蛀、防裂，表面平滑、无毛刺。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2.丁字活动脚。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3.外形尺寸不小于：厚20mm×宽400mm×高1500mm。</w:t>
            </w:r>
          </w:p>
        </w:tc>
      </w:tr>
      <w:tr w14:paraId="7537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2372C3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13</w:t>
            </w:r>
          </w:p>
        </w:tc>
        <w:tc>
          <w:tcPr>
            <w:tcW w:w="1215" w:type="dxa"/>
            <w:noWrap w:val="0"/>
            <w:vAlign w:val="center"/>
          </w:tcPr>
          <w:p w14:paraId="00376BB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写生画箱</w:t>
            </w:r>
          </w:p>
        </w:tc>
        <w:tc>
          <w:tcPr>
            <w:tcW w:w="804" w:type="dxa"/>
            <w:noWrap w:val="0"/>
            <w:vAlign w:val="center"/>
          </w:tcPr>
          <w:p w14:paraId="56DB47F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只</w:t>
            </w:r>
          </w:p>
        </w:tc>
        <w:tc>
          <w:tcPr>
            <w:tcW w:w="765" w:type="dxa"/>
            <w:gridSpan w:val="2"/>
            <w:noWrap w:val="0"/>
            <w:vAlign w:val="center"/>
          </w:tcPr>
          <w:p w14:paraId="14610B3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382004B">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1．材质：优质实木；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2．支架高度不小于700mm，箱体不小于480mm×335mm×80mm；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3．特点：便携式、木质箱，箱体分为上箱体和下箱体，可以打开闭合，并可以在0°-120°范围调节，铝合金腿、可伸缩、可折叠。</w:t>
            </w:r>
          </w:p>
        </w:tc>
      </w:tr>
      <w:tr w14:paraId="71AC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E12D94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14</w:t>
            </w:r>
          </w:p>
        </w:tc>
        <w:tc>
          <w:tcPr>
            <w:tcW w:w="1215" w:type="dxa"/>
            <w:noWrap w:val="0"/>
            <w:vAlign w:val="center"/>
          </w:tcPr>
          <w:p w14:paraId="150E260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写生教具（1）</w:t>
            </w:r>
          </w:p>
        </w:tc>
        <w:tc>
          <w:tcPr>
            <w:tcW w:w="804" w:type="dxa"/>
            <w:noWrap w:val="0"/>
            <w:vAlign w:val="center"/>
          </w:tcPr>
          <w:p w14:paraId="2B422D9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17682D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0EEBE56">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1.石膏像类,4尊,高强度石膏浇制、洁白光滑、无裂痕；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2.伏尔泰不小于200mm×430mm×520mm；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3.海盗不小于280mm×250mm×550mm；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4.阿格里巴不小于380mm×250mm×530mm；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5.小卫不小于380mm×680mm×400mm。</w:t>
            </w:r>
          </w:p>
        </w:tc>
      </w:tr>
      <w:tr w14:paraId="11AE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4BFA4A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15</w:t>
            </w:r>
          </w:p>
        </w:tc>
        <w:tc>
          <w:tcPr>
            <w:tcW w:w="1215" w:type="dxa"/>
            <w:noWrap w:val="0"/>
            <w:vAlign w:val="center"/>
          </w:tcPr>
          <w:p w14:paraId="73550BD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写生教具（2）</w:t>
            </w:r>
          </w:p>
        </w:tc>
        <w:tc>
          <w:tcPr>
            <w:tcW w:w="804" w:type="dxa"/>
            <w:noWrap w:val="0"/>
            <w:vAlign w:val="center"/>
          </w:tcPr>
          <w:p w14:paraId="7BCC69B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209D53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5FB96E9">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1.几何形体15件，高强度石膏浇制、洁白光滑、无裂痕、加厚形；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2.圆切体，多面体,正六锥体,棱锥接棱柱,正八边棱柱,正方体,十字柱，圆球，正三角体,圆锥体,圆柱体,切面圆柱,圆锥接圆柱,正六边棱柱,正四面锥体。</w:t>
            </w:r>
          </w:p>
        </w:tc>
      </w:tr>
      <w:tr w14:paraId="2AD7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940E0E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16</w:t>
            </w:r>
          </w:p>
        </w:tc>
        <w:tc>
          <w:tcPr>
            <w:tcW w:w="1215" w:type="dxa"/>
            <w:noWrap w:val="0"/>
            <w:vAlign w:val="center"/>
          </w:tcPr>
          <w:p w14:paraId="71ABE44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写生教具（3）</w:t>
            </w:r>
          </w:p>
        </w:tc>
        <w:tc>
          <w:tcPr>
            <w:tcW w:w="804" w:type="dxa"/>
            <w:noWrap w:val="0"/>
            <w:vAlign w:val="center"/>
          </w:tcPr>
          <w:p w14:paraId="4FDB6EB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47598C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C31C766">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1.陶器、禽鸟标本等写生用品28件；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2.陶罐10个,蜡果10种,标本,家兔1只,仿真啄木鸟1只,塑花1束,彩蛋5个。实物大小、分形面线条清晰。</w:t>
            </w:r>
          </w:p>
        </w:tc>
      </w:tr>
      <w:tr w14:paraId="1E17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658A76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17</w:t>
            </w:r>
          </w:p>
        </w:tc>
        <w:tc>
          <w:tcPr>
            <w:tcW w:w="1215" w:type="dxa"/>
            <w:noWrap w:val="0"/>
            <w:vAlign w:val="center"/>
          </w:tcPr>
          <w:p w14:paraId="2E80588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版画工具</w:t>
            </w:r>
          </w:p>
        </w:tc>
        <w:tc>
          <w:tcPr>
            <w:tcW w:w="804" w:type="dxa"/>
            <w:noWrap w:val="0"/>
            <w:vAlign w:val="center"/>
          </w:tcPr>
          <w:p w14:paraId="1ECB0C8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000BC05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54629A42">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1.木刻刀5把、手柄木制，直径11mm长105mm；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2.笔刀1把、铝合金柄身、总长120mm，笔刀片3件、刀刃长20mm；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3.电烙铁1把、200V/240V、35W；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4.木蘑托1只、蘑托头直径50mm、手柄长95mm；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5.胶滚1套、胶滚面宽度95mm、手柄长105mm；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6.油石1件、尺寸70*50*16mm；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7.2H、2B、中华绘图铅笔各2支；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8.石刻刀1件、长135mm；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9.马莲1件、注塑成型直径98mm，中空注塑定位包装。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10.参照标准，满足以下要求：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10-1.教学仪器设备产品的外观要造型美观、色彩协调、规整光洁。表面不应有明显的擦伤、划痕和碰撞的坑疤；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10-2.漆层附着牢固，不脱落，表面平整光滑、色调美观、薄厚均匀，不应有流疤、龟裂、皱皮、剥落和露底。美术漆层应花纹清楚，裂纹层不应露出底漆；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10-3.塑料件表面应平整清洁，不应有划痕、溶迹、缩迹，不应有气泡、烧粉和夹生，边缘不应有毛刺、变形、破边和凹凸不平，不应有明显的浇口飞边；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10-4.木质件应平整清洁，无霉变、虫眼、死节、树脂漆（明子）和明显变形。</w:t>
            </w:r>
          </w:p>
        </w:tc>
      </w:tr>
      <w:tr w14:paraId="2116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D30704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18</w:t>
            </w:r>
          </w:p>
        </w:tc>
        <w:tc>
          <w:tcPr>
            <w:tcW w:w="1215" w:type="dxa"/>
            <w:noWrap w:val="0"/>
            <w:vAlign w:val="center"/>
          </w:tcPr>
          <w:p w14:paraId="1C56961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绘图仪器</w:t>
            </w:r>
          </w:p>
        </w:tc>
        <w:tc>
          <w:tcPr>
            <w:tcW w:w="804" w:type="dxa"/>
            <w:noWrap w:val="0"/>
            <w:vAlign w:val="center"/>
          </w:tcPr>
          <w:p w14:paraId="023277A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6B59C35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40BA5FA0">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1.直尺1把、有效量程300mm；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2.25cm三角板1套，有效量程220mm；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3.曲线板1件、长度240mm；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4.蛇形尺1件、有效量程300mm；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5.HB、2H、2B铅笔各一支；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6.美工橡皮1个；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7.大圆规大分规各1个、胶带1卷、美工刀1个。中空注塑定位包装。</w:t>
            </w:r>
          </w:p>
        </w:tc>
      </w:tr>
      <w:tr w14:paraId="0E64B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B45C77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19</w:t>
            </w:r>
          </w:p>
        </w:tc>
        <w:tc>
          <w:tcPr>
            <w:tcW w:w="1215" w:type="dxa"/>
            <w:noWrap w:val="0"/>
            <w:vAlign w:val="center"/>
          </w:tcPr>
          <w:p w14:paraId="0229C9B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曲线板</w:t>
            </w:r>
          </w:p>
        </w:tc>
        <w:tc>
          <w:tcPr>
            <w:tcW w:w="804" w:type="dxa"/>
            <w:noWrap w:val="0"/>
            <w:vAlign w:val="center"/>
          </w:tcPr>
          <w:p w14:paraId="6EC09C7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块</w:t>
            </w:r>
          </w:p>
        </w:tc>
        <w:tc>
          <w:tcPr>
            <w:tcW w:w="765" w:type="dxa"/>
            <w:gridSpan w:val="2"/>
            <w:noWrap w:val="0"/>
            <w:vAlign w:val="center"/>
          </w:tcPr>
          <w:p w14:paraId="633A814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AECFF41">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1.教师用；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2.材质：有机玻璃；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3.外形尺寸不小于250mm；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4.板面平整、光洁、透明、无划痕、不变形。</w:t>
            </w:r>
          </w:p>
        </w:tc>
      </w:tr>
      <w:tr w14:paraId="77B3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B152C7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20</w:t>
            </w:r>
          </w:p>
        </w:tc>
        <w:tc>
          <w:tcPr>
            <w:tcW w:w="1215" w:type="dxa"/>
            <w:noWrap w:val="0"/>
            <w:vAlign w:val="center"/>
          </w:tcPr>
          <w:p w14:paraId="10FF9EA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三角板</w:t>
            </w:r>
          </w:p>
        </w:tc>
        <w:tc>
          <w:tcPr>
            <w:tcW w:w="804" w:type="dxa"/>
            <w:noWrap w:val="0"/>
            <w:vAlign w:val="center"/>
          </w:tcPr>
          <w:p w14:paraId="236A863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付</w:t>
            </w:r>
          </w:p>
        </w:tc>
        <w:tc>
          <w:tcPr>
            <w:tcW w:w="765" w:type="dxa"/>
            <w:gridSpan w:val="2"/>
            <w:noWrap w:val="0"/>
            <w:vAlign w:val="center"/>
          </w:tcPr>
          <w:p w14:paraId="6210248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6BCBB8DA">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1.330mm；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2.有机玻璃,厚度不得小于3.0mm；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3.45°等腰、60°直角各1件。最小刻度为1mm。</w:t>
            </w:r>
          </w:p>
        </w:tc>
      </w:tr>
      <w:tr w14:paraId="50DC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51BC30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21</w:t>
            </w:r>
          </w:p>
        </w:tc>
        <w:tc>
          <w:tcPr>
            <w:tcW w:w="1215" w:type="dxa"/>
            <w:noWrap w:val="0"/>
            <w:vAlign w:val="center"/>
          </w:tcPr>
          <w:p w14:paraId="0AB34A9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大三角板</w:t>
            </w:r>
          </w:p>
        </w:tc>
        <w:tc>
          <w:tcPr>
            <w:tcW w:w="804" w:type="dxa"/>
            <w:noWrap w:val="0"/>
            <w:vAlign w:val="center"/>
          </w:tcPr>
          <w:p w14:paraId="4F5FFC5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付</w:t>
            </w:r>
          </w:p>
        </w:tc>
        <w:tc>
          <w:tcPr>
            <w:tcW w:w="765" w:type="dxa"/>
            <w:gridSpan w:val="2"/>
            <w:noWrap w:val="0"/>
            <w:vAlign w:val="center"/>
          </w:tcPr>
          <w:p w14:paraId="0351A3E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76A2AD6F">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1.每副三角板60度、45度各1块；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2.用无节疤、无裂纹、不易变形、坚硬并经脱脂干燥处理的木材制成；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3.等腰三角形，两底角为45度；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4.所有角度误差不超过±2度；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5.示值全长误差和任一中间分度至刻度尺的零点的误差不超过±1mm。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6.三角板的刻度线应垂直达到尺边，刻线和数码应清晰、正确、不得有重线、断线、缺字。</w:t>
            </w:r>
          </w:p>
        </w:tc>
      </w:tr>
      <w:tr w14:paraId="647C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60045D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22</w:t>
            </w:r>
          </w:p>
        </w:tc>
        <w:tc>
          <w:tcPr>
            <w:tcW w:w="1215" w:type="dxa"/>
            <w:noWrap w:val="0"/>
            <w:vAlign w:val="center"/>
          </w:tcPr>
          <w:p w14:paraId="3C5AEB6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大圆规</w:t>
            </w:r>
          </w:p>
        </w:tc>
        <w:tc>
          <w:tcPr>
            <w:tcW w:w="804" w:type="dxa"/>
            <w:noWrap w:val="0"/>
            <w:vAlign w:val="center"/>
          </w:tcPr>
          <w:p w14:paraId="70343DA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w:t>
            </w:r>
          </w:p>
        </w:tc>
        <w:tc>
          <w:tcPr>
            <w:tcW w:w="765" w:type="dxa"/>
            <w:gridSpan w:val="2"/>
            <w:noWrap w:val="0"/>
            <w:vAlign w:val="center"/>
          </w:tcPr>
          <w:p w14:paraId="243C449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B2516CC">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1.塑料尺寸不小于390mm，由规身、粉笔套、规脚等三部分组成；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2.规身分双片和单片，由优质木材制成，上部用M5螺栓和鱼尾螺母连接紧固；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3.粉笔套由塑料开口夹和紧固卡圈组成，规脚由不锈钢钉和吸盘组成。</w:t>
            </w:r>
          </w:p>
        </w:tc>
      </w:tr>
      <w:tr w14:paraId="2F7A2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5491E8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23</w:t>
            </w:r>
          </w:p>
        </w:tc>
        <w:tc>
          <w:tcPr>
            <w:tcW w:w="1215" w:type="dxa"/>
            <w:noWrap w:val="0"/>
            <w:vAlign w:val="center"/>
          </w:tcPr>
          <w:p w14:paraId="4F793B0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直尺</w:t>
            </w:r>
          </w:p>
        </w:tc>
        <w:tc>
          <w:tcPr>
            <w:tcW w:w="804" w:type="dxa"/>
            <w:noWrap w:val="0"/>
            <w:vAlign w:val="center"/>
          </w:tcPr>
          <w:p w14:paraId="3D8342E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把</w:t>
            </w:r>
          </w:p>
        </w:tc>
        <w:tc>
          <w:tcPr>
            <w:tcW w:w="765" w:type="dxa"/>
            <w:gridSpan w:val="2"/>
            <w:noWrap w:val="0"/>
            <w:vAlign w:val="center"/>
          </w:tcPr>
          <w:p w14:paraId="0A778C0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046D8AEC">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1.尺寸：长度600mm，最小刻度直尺为1mm；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2.材质：有机玻璃。</w:t>
            </w:r>
          </w:p>
        </w:tc>
      </w:tr>
      <w:tr w14:paraId="63E5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03CBEA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24</w:t>
            </w:r>
          </w:p>
        </w:tc>
        <w:tc>
          <w:tcPr>
            <w:tcW w:w="1215" w:type="dxa"/>
            <w:noWrap w:val="0"/>
            <w:vAlign w:val="center"/>
          </w:tcPr>
          <w:p w14:paraId="217CDA7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丁字尺</w:t>
            </w:r>
          </w:p>
        </w:tc>
        <w:tc>
          <w:tcPr>
            <w:tcW w:w="804" w:type="dxa"/>
            <w:noWrap w:val="0"/>
            <w:vAlign w:val="center"/>
          </w:tcPr>
          <w:p w14:paraId="1C3DB15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只</w:t>
            </w:r>
          </w:p>
        </w:tc>
        <w:tc>
          <w:tcPr>
            <w:tcW w:w="765" w:type="dxa"/>
            <w:gridSpan w:val="2"/>
            <w:noWrap w:val="0"/>
            <w:vAlign w:val="center"/>
          </w:tcPr>
          <w:p w14:paraId="3B68347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3150C3A5">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1.有机玻璃：1000mm；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2.丁字头与丁字成直角固定中间；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3.直尺边上印有刻线数码，有效示值全长为1000mm；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4.示值全长误差和任一中间分度至尺的零点的误差不超过±1mm；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5.丁字直尺的刻度线应垂直达到尺边，刻线和数码应清晰、正确，不得有重线、断线、缺字；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6.产品应符合JY0001《教学仪器产品一般质量要求》。</w:t>
            </w:r>
          </w:p>
        </w:tc>
      </w:tr>
      <w:tr w14:paraId="7CE6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B4EB3B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25</w:t>
            </w:r>
          </w:p>
        </w:tc>
        <w:tc>
          <w:tcPr>
            <w:tcW w:w="1215" w:type="dxa"/>
            <w:noWrap w:val="0"/>
            <w:vAlign w:val="center"/>
          </w:tcPr>
          <w:p w14:paraId="471859A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绘画工具</w:t>
            </w:r>
          </w:p>
        </w:tc>
        <w:tc>
          <w:tcPr>
            <w:tcW w:w="804" w:type="dxa"/>
            <w:noWrap w:val="0"/>
            <w:vAlign w:val="center"/>
          </w:tcPr>
          <w:p w14:paraId="39B7D63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0960076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18650971">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每套工具包括：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1.水粉画笔1-12#各1支；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2.油画笔1-12#各1支；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3.毛笔8支：加健毛笔，大、中、小提斗，大、中、小白云，花枝俏1支，小依纹1支；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4.调色盒1件：24眼；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5.调色板1件：17眼；中空吹塑包装。</w:t>
            </w:r>
          </w:p>
        </w:tc>
      </w:tr>
      <w:tr w14:paraId="101D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494E79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26</w:t>
            </w:r>
          </w:p>
        </w:tc>
        <w:tc>
          <w:tcPr>
            <w:tcW w:w="1215" w:type="dxa"/>
            <w:noWrap w:val="0"/>
            <w:vAlign w:val="center"/>
          </w:tcPr>
          <w:p w14:paraId="73904CD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泥工工具</w:t>
            </w:r>
          </w:p>
        </w:tc>
        <w:tc>
          <w:tcPr>
            <w:tcW w:w="804" w:type="dxa"/>
            <w:noWrap w:val="0"/>
            <w:vAlign w:val="center"/>
          </w:tcPr>
          <w:p w14:paraId="4B0FFDF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496FFE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070A25D4">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每套工具包括：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1.拍板1件：木质，弧形背板；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2.泥塑刀6件：黄杨木材质；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3.环型刀3件；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4.刮刀2件：环型刀头；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5.型板1件：黄杨木型板；</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6.切割线1件；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7.海绵1块；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8.喷壶1件；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9.刮板1件：中空吹塑包装。</w:t>
            </w:r>
          </w:p>
        </w:tc>
      </w:tr>
      <w:tr w14:paraId="3A0E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AF02C6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27</w:t>
            </w:r>
          </w:p>
        </w:tc>
        <w:tc>
          <w:tcPr>
            <w:tcW w:w="1215" w:type="dxa"/>
            <w:noWrap w:val="0"/>
            <w:vAlign w:val="center"/>
          </w:tcPr>
          <w:p w14:paraId="21F4340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制作工具</w:t>
            </w:r>
          </w:p>
        </w:tc>
        <w:tc>
          <w:tcPr>
            <w:tcW w:w="804" w:type="dxa"/>
            <w:noWrap w:val="0"/>
            <w:vAlign w:val="center"/>
          </w:tcPr>
          <w:p w14:paraId="2A17F96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E2C50D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06AA6BA7">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每套工具包括：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1.油画刀5把：长210mm、205mm、180mm、185mm、170mm；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2.什锦锉5把：长160mm；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3.美工刀1把：长160mm；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4.垫板1块：190mm×90mm；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5.钩刀1把：长120mm；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6.电烙铁1把：长200mm；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7.木刻刀5把：长130mm；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8.打孔器1件：长12.5cm单孔孔径0.6cm；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9.剪刀2把：长140mm、125mm；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10.多用锯1把：长230mm宽100mm；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11.尖嘴钳1把：长165mm；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12.板刷1把：145mm×20mm；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13.锥子1件：长120mm；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14.多功能小锤1把：长160mm；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15.油石1件：140mm×70mm×20mm；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16.锯条10根：长155mm；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17.凿子1件：长185mm；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18.篆刻刀1把：长140mm；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19.鸭嘴锤1把：长250mm；中空吹塑包装。</w:t>
            </w:r>
          </w:p>
        </w:tc>
      </w:tr>
      <w:tr w14:paraId="7012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14439F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28</w:t>
            </w:r>
          </w:p>
        </w:tc>
        <w:tc>
          <w:tcPr>
            <w:tcW w:w="1215" w:type="dxa"/>
            <w:noWrap w:val="0"/>
            <w:vAlign w:val="center"/>
          </w:tcPr>
          <w:p w14:paraId="7C87D9D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篆刻工具</w:t>
            </w:r>
          </w:p>
        </w:tc>
        <w:tc>
          <w:tcPr>
            <w:tcW w:w="804" w:type="dxa"/>
            <w:noWrap w:val="0"/>
            <w:vAlign w:val="center"/>
          </w:tcPr>
          <w:p w14:paraId="2C1EAB7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5665264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56</w:t>
            </w:r>
          </w:p>
        </w:tc>
        <w:tc>
          <w:tcPr>
            <w:tcW w:w="6351" w:type="dxa"/>
            <w:noWrap w:val="0"/>
            <w:vAlign w:val="center"/>
          </w:tcPr>
          <w:p w14:paraId="5BA047C9">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1.印床1个:优质木材制成；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2.石刻刀3支：锰钢制成，长度：140±2mm,刀口分别为3mm、4mm、5mm；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3.木刻刀3支:长度不小于130mm,木柄；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4.印泥盒1个：铁盒包装，直径=90±1mm，高度=18±1mm；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5.铅笔1支；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6.美工刀1把:塑料手柄，长度不小于130mm；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7.勾线笔1支：优质狼毫笔头，实木笔杆；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8.油石1块；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9.章料2块:优质石质；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10.砂纸2纸；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12.板刷1把：木柄尼龙刷头，总长度不小135mm,刷头宽不小于23mm；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13.吹塑定位包装盒。</w:t>
            </w:r>
          </w:p>
        </w:tc>
      </w:tr>
      <w:tr w14:paraId="296C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D2A46E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29</w:t>
            </w:r>
          </w:p>
        </w:tc>
        <w:tc>
          <w:tcPr>
            <w:tcW w:w="1215" w:type="dxa"/>
            <w:noWrap w:val="0"/>
            <w:vAlign w:val="center"/>
          </w:tcPr>
          <w:p w14:paraId="5163D9C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书法工具</w:t>
            </w:r>
          </w:p>
        </w:tc>
        <w:tc>
          <w:tcPr>
            <w:tcW w:w="804" w:type="dxa"/>
            <w:noWrap w:val="0"/>
            <w:vAlign w:val="center"/>
          </w:tcPr>
          <w:p w14:paraId="4D0D2B1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7522B18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56</w:t>
            </w:r>
          </w:p>
        </w:tc>
        <w:tc>
          <w:tcPr>
            <w:tcW w:w="6351" w:type="dxa"/>
            <w:noWrap w:val="0"/>
            <w:vAlign w:val="center"/>
          </w:tcPr>
          <w:p w14:paraId="1174F61F">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配置：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1.笔洗1件：青花瓷材质；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2.笔架1件：青花瓷材质；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3.砚台1件：石砚，雕花带盖；</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4.印盒1件：青花瓷材质，带印泥；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5.墨1件：金不换；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6.毛笔8件：加健毛笔，大、中、小提斗，大、中、小白云，花枝俏，小依纹各1支；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7.画毡1件：毛毡长宽厚：不小于450mm×580mm×2mm；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8.调色盘1件：聚丙稀材质，10眼梅花型；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9.笔帘1件：竹制；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10.镇尺一副：石质雕花；</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11.工具箱1件：ABS材质；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12.中空吹塑定位包装，所有产品均有单独卡槽定位于箱子内，不得串动；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13.应符合JY0001-2003的有关规定。</w:t>
            </w:r>
          </w:p>
        </w:tc>
      </w:tr>
      <w:tr w14:paraId="2956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B5B7F9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30</w:t>
            </w:r>
          </w:p>
        </w:tc>
        <w:tc>
          <w:tcPr>
            <w:tcW w:w="1215" w:type="dxa"/>
            <w:noWrap w:val="0"/>
            <w:vAlign w:val="center"/>
          </w:tcPr>
          <w:p w14:paraId="7E322F0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国画和书法工具</w:t>
            </w:r>
          </w:p>
        </w:tc>
        <w:tc>
          <w:tcPr>
            <w:tcW w:w="804" w:type="dxa"/>
            <w:noWrap w:val="0"/>
            <w:vAlign w:val="center"/>
          </w:tcPr>
          <w:p w14:paraId="16B5428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E15A27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14B97384">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1.笔洗1件：青花瓷材质，直径150mm、高度50mm；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2.笔架1件：青花瓷材质，长度130mm，高度45mm；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3.砚台1件：带盖石砚，直径120mm；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4.毛笔8件：加健毛笔，大、中、小提斗，大、中、小白云、花枝俏1枝，小依纹1枝；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5.画毡1件：毛毡长宽厚：500mm×500mm×3mm；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6.调色盘1件：聚丙稀材质，13眼梅花型，直径14mm；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7.笔帘1件：竹制；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8.镇尺一对：石质，黑色或灰色；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9.墨块：金不换；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10.印尼盒1件：直径70mm；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11.工具箱1件：中空吹塑包装。</w:t>
            </w:r>
          </w:p>
        </w:tc>
      </w:tr>
      <w:tr w14:paraId="3FC8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1D09C3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31</w:t>
            </w:r>
          </w:p>
        </w:tc>
        <w:tc>
          <w:tcPr>
            <w:tcW w:w="1215" w:type="dxa"/>
            <w:noWrap w:val="0"/>
            <w:vAlign w:val="center"/>
          </w:tcPr>
          <w:p w14:paraId="1FFB707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美术学具</w:t>
            </w:r>
          </w:p>
        </w:tc>
        <w:tc>
          <w:tcPr>
            <w:tcW w:w="804" w:type="dxa"/>
            <w:noWrap w:val="0"/>
            <w:vAlign w:val="center"/>
          </w:tcPr>
          <w:p w14:paraId="3BB124D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EF35B2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56</w:t>
            </w:r>
          </w:p>
        </w:tc>
        <w:tc>
          <w:tcPr>
            <w:tcW w:w="6351" w:type="dxa"/>
            <w:noWrap w:val="0"/>
            <w:vAlign w:val="center"/>
          </w:tcPr>
          <w:p w14:paraId="313B9BCC">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一、适用范围：适用于小学、初中美术教学使用；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二、技术要求：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1.毛笔5支：加健毛笔，大白云、中白云、小白云、花枝俏、小依纹各1支；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2.小剪刀1件：无刃、圆头；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3.调色盘1个：10眼梅花型；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4.笔洗1个：可折叠；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5.美工刀1把：塑料材质手柄；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6.水溶性油墨1支：黑色；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7.黑色胶辊1件：滚筒为木质手柄；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8.毛毡1块：尺寸不小于450*600mm；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9.刻纸刀1把：合金手柄长度不小于100mm；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10.笔刀刀头3件：猛钢刀头不小于35mm；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11.水粉画笔6支：优质尼龙笔头；</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12.调色盒1件：24格；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13.直尺1把：有机塑料材质；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14.工具箱1件；中空吹塑定位包装，所有产品均有单独卡槽定位于箱子内，不得串动，便于携带、存放。</w:t>
            </w:r>
          </w:p>
        </w:tc>
      </w:tr>
      <w:tr w14:paraId="4D0F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302CF9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32</w:t>
            </w:r>
          </w:p>
        </w:tc>
        <w:tc>
          <w:tcPr>
            <w:tcW w:w="1215" w:type="dxa"/>
            <w:noWrap w:val="0"/>
            <w:vAlign w:val="center"/>
          </w:tcPr>
          <w:p w14:paraId="7EF3B63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毛笔</w:t>
            </w:r>
          </w:p>
        </w:tc>
        <w:tc>
          <w:tcPr>
            <w:tcW w:w="804" w:type="dxa"/>
            <w:noWrap w:val="0"/>
            <w:vAlign w:val="center"/>
          </w:tcPr>
          <w:p w14:paraId="61CC4EB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40FFF3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24005215">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9支为一套大兰竹、中兰竹、小兰竹，狼毫大楷、中楷、小楷，大白云、中白云、小白云。</w:t>
            </w:r>
          </w:p>
        </w:tc>
      </w:tr>
      <w:tr w14:paraId="0426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FCD7DD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33</w:t>
            </w:r>
          </w:p>
        </w:tc>
        <w:tc>
          <w:tcPr>
            <w:tcW w:w="1215" w:type="dxa"/>
            <w:noWrap w:val="0"/>
            <w:vAlign w:val="center"/>
          </w:tcPr>
          <w:p w14:paraId="3B175BA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民间美术欣赏及写生样本</w:t>
            </w:r>
          </w:p>
        </w:tc>
        <w:tc>
          <w:tcPr>
            <w:tcW w:w="804" w:type="dxa"/>
            <w:noWrap w:val="0"/>
            <w:vAlign w:val="center"/>
          </w:tcPr>
          <w:p w14:paraId="428FED0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1497BD6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2A425C8F">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中国结、京剧脸谱、扎染、蜡染、皮影、年画、木板年画、剪纸、面具、泥塑、玩具、风车、纹样、风筝、唐三彩、彩陶器、瓷器。</w:t>
            </w:r>
          </w:p>
        </w:tc>
      </w:tr>
      <w:tr w14:paraId="7569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B9ED6C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34</w:t>
            </w:r>
          </w:p>
        </w:tc>
        <w:tc>
          <w:tcPr>
            <w:tcW w:w="1215" w:type="dxa"/>
            <w:noWrap w:val="0"/>
            <w:vAlign w:val="center"/>
          </w:tcPr>
          <w:p w14:paraId="429B17F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人体结构活动模型</w:t>
            </w:r>
          </w:p>
        </w:tc>
        <w:tc>
          <w:tcPr>
            <w:tcW w:w="804" w:type="dxa"/>
            <w:noWrap w:val="0"/>
            <w:vAlign w:val="center"/>
          </w:tcPr>
          <w:p w14:paraId="770F867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2755E77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351" w:type="dxa"/>
            <w:noWrap w:val="0"/>
            <w:vAlign w:val="center"/>
          </w:tcPr>
          <w:p w14:paraId="6DC2B43B">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高不低于40cm，椴木、表面无毛刺、关节活动灵活。</w:t>
            </w:r>
          </w:p>
        </w:tc>
      </w:tr>
      <w:tr w14:paraId="7033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C96B05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35</w:t>
            </w:r>
          </w:p>
        </w:tc>
        <w:tc>
          <w:tcPr>
            <w:tcW w:w="1215" w:type="dxa"/>
            <w:noWrap w:val="0"/>
            <w:vAlign w:val="center"/>
          </w:tcPr>
          <w:p w14:paraId="5B92708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陶瓷样本</w:t>
            </w:r>
          </w:p>
        </w:tc>
        <w:tc>
          <w:tcPr>
            <w:tcW w:w="804" w:type="dxa"/>
            <w:noWrap w:val="0"/>
            <w:vAlign w:val="center"/>
          </w:tcPr>
          <w:p w14:paraId="77DF906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2840621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351" w:type="dxa"/>
            <w:noWrap w:val="0"/>
            <w:vAlign w:val="center"/>
          </w:tcPr>
          <w:p w14:paraId="148ECCBE">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中国各大名窑实物(仿)十四件及简介，可陈设、展示、欣赏。</w:t>
            </w:r>
          </w:p>
        </w:tc>
      </w:tr>
      <w:tr w14:paraId="53FD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483B84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36</w:t>
            </w:r>
          </w:p>
        </w:tc>
        <w:tc>
          <w:tcPr>
            <w:tcW w:w="1215" w:type="dxa"/>
            <w:noWrap w:val="0"/>
            <w:vAlign w:val="center"/>
          </w:tcPr>
          <w:p w14:paraId="0A2C627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展示画框</w:t>
            </w:r>
          </w:p>
        </w:tc>
        <w:tc>
          <w:tcPr>
            <w:tcW w:w="804" w:type="dxa"/>
            <w:noWrap w:val="0"/>
            <w:vAlign w:val="center"/>
          </w:tcPr>
          <w:p w14:paraId="727D312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1838DDB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2B40F01A">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1.学生用；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2.尺寸：60cm×45cm；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3.由框架、透明塑料面板、底板、锁扣等组成；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4.透明塑料面板≥2㎜；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5.悬挂件牢固、可靠，能承受自身重力的2～3倍。</w:t>
            </w:r>
          </w:p>
        </w:tc>
      </w:tr>
      <w:tr w14:paraId="095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3F856E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37</w:t>
            </w:r>
          </w:p>
        </w:tc>
        <w:tc>
          <w:tcPr>
            <w:tcW w:w="1215" w:type="dxa"/>
            <w:noWrap w:val="0"/>
            <w:vAlign w:val="center"/>
          </w:tcPr>
          <w:p w14:paraId="16A86B1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展示画框</w:t>
            </w:r>
          </w:p>
        </w:tc>
        <w:tc>
          <w:tcPr>
            <w:tcW w:w="804" w:type="dxa"/>
            <w:noWrap w:val="0"/>
            <w:vAlign w:val="center"/>
          </w:tcPr>
          <w:p w14:paraId="5483334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765" w:type="dxa"/>
            <w:gridSpan w:val="2"/>
            <w:noWrap w:val="0"/>
            <w:vAlign w:val="center"/>
          </w:tcPr>
          <w:p w14:paraId="43E5E1E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6351" w:type="dxa"/>
            <w:noWrap w:val="0"/>
            <w:vAlign w:val="center"/>
          </w:tcPr>
          <w:p w14:paraId="0A9E7CBA">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1.教师用；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2.尺寸：60cm×90cm；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3.由框架、透明塑料面板、底板、锁扣等组成；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4.透明塑料面板≥2㎜；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5.悬挂件牢固、可靠，能承受自身重力的2～3倍。</w:t>
            </w:r>
          </w:p>
        </w:tc>
      </w:tr>
      <w:tr w14:paraId="0781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7C6683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38</w:t>
            </w:r>
          </w:p>
        </w:tc>
        <w:tc>
          <w:tcPr>
            <w:tcW w:w="1215" w:type="dxa"/>
            <w:noWrap w:val="0"/>
            <w:vAlign w:val="center"/>
          </w:tcPr>
          <w:p w14:paraId="640EE7C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移动式交互式一体机</w:t>
            </w:r>
          </w:p>
        </w:tc>
        <w:tc>
          <w:tcPr>
            <w:tcW w:w="804" w:type="dxa"/>
            <w:noWrap w:val="0"/>
            <w:vAlign w:val="center"/>
          </w:tcPr>
          <w:p w14:paraId="383992C3">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1E4363F3">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1</w:t>
            </w:r>
          </w:p>
        </w:tc>
        <w:tc>
          <w:tcPr>
            <w:tcW w:w="6351" w:type="dxa"/>
            <w:noWrap w:val="0"/>
            <w:vAlign w:val="top"/>
          </w:tcPr>
          <w:p w14:paraId="7CAAE8DB">
            <w:pPr>
              <w:keepNext w:val="0"/>
              <w:keepLines w:val="0"/>
              <w:pageBreakBefore w:val="0"/>
              <w:widowControl/>
              <w:kinsoku/>
              <w:wordWrap/>
              <w:overflowPunct/>
              <w:topLinePunct w:val="0"/>
              <w:bidi w:val="0"/>
              <w:spacing w:line="440" w:lineRule="exact"/>
              <w:jc w:val="left"/>
              <w:rPr>
                <w:rFonts w:hint="eastAsia" w:ascii="宋体" w:hAnsi="宋体" w:eastAsia="宋体" w:cs="宋体"/>
                <w:b/>
                <w:bCs/>
                <w:strike w:val="0"/>
                <w:dstrike w:val="0"/>
                <w:color w:val="auto"/>
                <w:kern w:val="0"/>
                <w:sz w:val="21"/>
                <w:szCs w:val="21"/>
                <w:lang w:bidi="ar"/>
              </w:rPr>
            </w:pPr>
            <w:r>
              <w:rPr>
                <w:rFonts w:hint="eastAsia" w:ascii="宋体" w:hAnsi="宋体" w:eastAsia="宋体" w:cs="宋体"/>
                <w:b/>
                <w:bCs/>
                <w:strike w:val="0"/>
                <w:dstrike w:val="0"/>
                <w:color w:val="auto"/>
                <w:kern w:val="0"/>
                <w:sz w:val="21"/>
                <w:szCs w:val="21"/>
                <w:lang w:bidi="ar"/>
              </w:rPr>
              <w:t>一、显示模块及整机性能要求</w:t>
            </w:r>
            <w:r>
              <w:rPr>
                <w:rFonts w:hint="eastAsia" w:ascii="宋体" w:hAnsi="宋体" w:eastAsia="宋体" w:cs="宋体"/>
                <w:b/>
                <w:bCs/>
                <w:strike w:val="0"/>
                <w:dstrike w:val="0"/>
                <w:color w:val="auto"/>
                <w:kern w:val="0"/>
                <w:sz w:val="21"/>
                <w:szCs w:val="21"/>
                <w:lang w:bidi="ar"/>
              </w:rPr>
              <w:tab/>
            </w:r>
          </w:p>
          <w:p w14:paraId="136B4513">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1.液晶屏显示尺寸：≥86英寸；LED背光源；DLED；显示比例：16:9；水平可视角度：≥178°；图像分辨率：≥3840×2160 ；灰阶等级：≥256级, 液晶屏达到A级标准。</w:t>
            </w:r>
          </w:p>
          <w:p w14:paraId="70B166F1">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2.全贴合触控显示模组：采用全贴合工艺，书写无悬空感，触控无偏移，侧视无重影。</w:t>
            </w:r>
          </w:p>
          <w:p w14:paraId="6F4A0DB9">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3.抗光强度：在照度400Klux环境下正常工作；</w:t>
            </w:r>
          </w:p>
          <w:p w14:paraId="572BAAE6">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4.采用红外触控技术。在Android、Windows系统双系统下均支持20点触控，支持多人同时书写和擦除。</w:t>
            </w:r>
          </w:p>
          <w:p w14:paraId="55D649F0">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5.</w:t>
            </w:r>
            <w:r>
              <w:rPr>
                <w:rFonts w:hint="eastAsia" w:ascii="宋体" w:hAnsi="宋体" w:eastAsia="宋体" w:cs="宋体"/>
                <w:strike w:val="0"/>
                <w:dstrike w:val="0"/>
                <w:color w:val="auto"/>
                <w:kern w:val="0"/>
                <w:sz w:val="21"/>
                <w:szCs w:val="21"/>
                <w:lang w:bidi="ar"/>
              </w:rPr>
              <w:t>触摸分辨率：32768*32768</w:t>
            </w:r>
          </w:p>
          <w:p w14:paraId="334948E3">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6.</w:t>
            </w:r>
            <w:r>
              <w:rPr>
                <w:rFonts w:hint="eastAsia" w:ascii="宋体" w:hAnsi="宋体" w:eastAsia="宋体" w:cs="宋体"/>
                <w:strike w:val="0"/>
                <w:dstrike w:val="0"/>
                <w:color w:val="auto"/>
                <w:kern w:val="0"/>
                <w:sz w:val="21"/>
                <w:szCs w:val="21"/>
                <w:lang w:bidi="ar"/>
              </w:rPr>
              <w:t>定位精度：±0.1mm</w:t>
            </w:r>
          </w:p>
          <w:p w14:paraId="4E8E0202">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7.</w:t>
            </w:r>
            <w:r>
              <w:rPr>
                <w:rFonts w:hint="eastAsia" w:ascii="宋体" w:hAnsi="宋体" w:eastAsia="宋体" w:cs="宋体"/>
                <w:strike w:val="0"/>
                <w:dstrike w:val="0"/>
                <w:color w:val="auto"/>
                <w:kern w:val="0"/>
                <w:sz w:val="21"/>
                <w:szCs w:val="21"/>
                <w:lang w:bidi="ar"/>
              </w:rPr>
              <w:t>最小触摸物体直径≥2mm</w:t>
            </w:r>
          </w:p>
          <w:p w14:paraId="2CC83AFE">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8.</w:t>
            </w:r>
            <w:r>
              <w:rPr>
                <w:rFonts w:hint="eastAsia" w:ascii="宋体" w:hAnsi="宋体" w:eastAsia="宋体" w:cs="宋体"/>
                <w:strike w:val="0"/>
                <w:dstrike w:val="0"/>
                <w:color w:val="auto"/>
                <w:kern w:val="0"/>
                <w:sz w:val="21"/>
                <w:szCs w:val="21"/>
                <w:lang w:bidi="ar"/>
              </w:rPr>
              <w:t>整机屏幕触摸有效识别高度不超过2.5mm，即触摸物体距离玻璃外表面高度不超过2.5mm时，触摸屏识别为点击操作。</w:t>
            </w:r>
          </w:p>
          <w:p w14:paraId="6773038F">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9.</w:t>
            </w:r>
            <w:r>
              <w:rPr>
                <w:rFonts w:hint="eastAsia" w:ascii="宋体" w:hAnsi="宋体" w:eastAsia="宋体" w:cs="宋体"/>
                <w:strike w:val="0"/>
                <w:dstrike w:val="0"/>
                <w:color w:val="auto"/>
                <w:kern w:val="0"/>
                <w:sz w:val="21"/>
                <w:szCs w:val="21"/>
                <w:lang w:bidi="ar"/>
              </w:rPr>
              <w:t>书写保障：屏幕任何位置被手、A4大小书本等较大物体遮挡或某一条触摸边框完全失灵，仍可以正常书写、操作；</w:t>
            </w:r>
          </w:p>
          <w:p w14:paraId="19B64D8B">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10.</w:t>
            </w:r>
            <w:r>
              <w:rPr>
                <w:rFonts w:hint="eastAsia" w:ascii="宋体" w:hAnsi="宋体" w:eastAsia="宋体" w:cs="宋体"/>
                <w:strike w:val="0"/>
                <w:dstrike w:val="0"/>
                <w:color w:val="auto"/>
                <w:kern w:val="0"/>
                <w:sz w:val="21"/>
                <w:szCs w:val="21"/>
                <w:lang w:bidi="ar"/>
              </w:rPr>
              <w:t>触摸框通道切换速度：触摸框切换到内部通道后在1s内达到可触摸状态。触摸框切换到外部通道后在3s内达到可触摸状态。</w:t>
            </w:r>
          </w:p>
          <w:p w14:paraId="02CFFD77">
            <w:pPr>
              <w:keepNext w:val="0"/>
              <w:keepLines w:val="0"/>
              <w:pageBreakBefore w:val="0"/>
              <w:widowControl/>
              <w:numPr>
                <w:ilvl w:val="0"/>
                <w:numId w:val="0"/>
              </w:numPr>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11.</w:t>
            </w:r>
            <w:r>
              <w:rPr>
                <w:rFonts w:hint="eastAsia" w:ascii="宋体" w:hAnsi="宋体" w:eastAsia="宋体" w:cs="宋体"/>
                <w:strike w:val="0"/>
                <w:dstrike w:val="0"/>
                <w:color w:val="auto"/>
                <w:kern w:val="0"/>
                <w:sz w:val="21"/>
                <w:szCs w:val="21"/>
                <w:lang w:bidi="ar"/>
              </w:rPr>
              <w:t>设备自带安卓操作系统，安卓版本Android 9.0</w:t>
            </w:r>
            <w:r>
              <w:rPr>
                <w:rFonts w:hint="eastAsia" w:ascii="宋体" w:hAnsi="宋体" w:eastAsia="宋体" w:cs="宋体"/>
                <w:strike w:val="0"/>
                <w:dstrike w:val="0"/>
                <w:color w:val="auto"/>
                <w:kern w:val="0"/>
                <w:sz w:val="21"/>
                <w:szCs w:val="21"/>
                <w:lang w:val="en-US" w:eastAsia="zh-CN" w:bidi="ar"/>
              </w:rPr>
              <w:t>及以上</w:t>
            </w:r>
            <w:r>
              <w:rPr>
                <w:rFonts w:hint="eastAsia" w:ascii="宋体" w:hAnsi="宋体" w:eastAsia="宋体" w:cs="宋体"/>
                <w:strike w:val="0"/>
                <w:dstrike w:val="0"/>
                <w:color w:val="auto"/>
                <w:kern w:val="0"/>
                <w:sz w:val="21"/>
                <w:szCs w:val="21"/>
                <w:lang w:bidi="ar"/>
              </w:rPr>
              <w:t xml:space="preserve"> ；与可插拔式电脑系统形成双系统；4核CPU、2核GPU、4核协处理器，共计10 核；RAM≥2G，ROM≥8G；</w:t>
            </w:r>
          </w:p>
          <w:p w14:paraId="0CC83045">
            <w:pPr>
              <w:keepNext w:val="0"/>
              <w:keepLines w:val="0"/>
              <w:pageBreakBefore w:val="0"/>
              <w:widowControl/>
              <w:numPr>
                <w:ilvl w:val="0"/>
                <w:numId w:val="0"/>
              </w:numPr>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val="en-US" w:eastAsia="zh-CN" w:bidi="ar"/>
              </w:rPr>
            </w:pPr>
            <w:r>
              <w:rPr>
                <w:rFonts w:hint="eastAsia" w:ascii="宋体" w:hAnsi="宋体" w:cs="宋体"/>
                <w:strike w:val="0"/>
                <w:dstrike w:val="0"/>
                <w:color w:val="auto"/>
                <w:kern w:val="0"/>
                <w:sz w:val="21"/>
                <w:szCs w:val="21"/>
                <w:lang w:val="en-US" w:eastAsia="zh-CN" w:bidi="ar"/>
              </w:rPr>
              <w:t>12</w:t>
            </w:r>
            <w:r>
              <w:rPr>
                <w:rFonts w:hint="eastAsia" w:ascii="宋体" w:hAnsi="宋体" w:eastAsia="宋体" w:cs="宋体"/>
                <w:strike w:val="0"/>
                <w:dstrike w:val="0"/>
                <w:color w:val="auto"/>
                <w:kern w:val="0"/>
                <w:sz w:val="21"/>
                <w:szCs w:val="21"/>
                <w:lang w:bidi="ar"/>
              </w:rPr>
              <w:t>.低蓝光护眼灯：整机使用低蓝光护眼LED灯</w:t>
            </w:r>
          </w:p>
          <w:p w14:paraId="495251D1">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13.</w:t>
            </w:r>
            <w:r>
              <w:rPr>
                <w:rFonts w:hint="eastAsia" w:ascii="宋体" w:hAnsi="宋体" w:eastAsia="宋体" w:cs="宋体"/>
                <w:strike w:val="0"/>
                <w:dstrike w:val="0"/>
                <w:color w:val="auto"/>
                <w:kern w:val="0"/>
                <w:sz w:val="21"/>
                <w:szCs w:val="21"/>
                <w:lang w:bidi="ar"/>
              </w:rPr>
              <w:t>对比度≥4000:1</w:t>
            </w:r>
          </w:p>
          <w:p w14:paraId="0863A881">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14.</w:t>
            </w:r>
            <w:r>
              <w:rPr>
                <w:rFonts w:hint="eastAsia" w:ascii="宋体" w:hAnsi="宋体" w:eastAsia="宋体" w:cs="宋体"/>
                <w:strike w:val="0"/>
                <w:dstrike w:val="0"/>
                <w:color w:val="auto"/>
                <w:kern w:val="0"/>
                <w:sz w:val="21"/>
                <w:szCs w:val="21"/>
                <w:lang w:bidi="ar"/>
              </w:rPr>
              <w:t>色域覆盖率（NTSC）≥90%</w:t>
            </w:r>
          </w:p>
          <w:p w14:paraId="2F926FF9">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15.</w:t>
            </w:r>
            <w:r>
              <w:rPr>
                <w:rFonts w:hint="eastAsia" w:ascii="宋体" w:hAnsi="宋体" w:eastAsia="宋体" w:cs="宋体"/>
                <w:strike w:val="0"/>
                <w:dstrike w:val="0"/>
                <w:color w:val="auto"/>
                <w:kern w:val="0"/>
                <w:sz w:val="21"/>
                <w:szCs w:val="21"/>
                <w:lang w:bidi="ar"/>
              </w:rPr>
              <w:t>整机待机状态下节能≥99.8%</w:t>
            </w:r>
          </w:p>
          <w:p w14:paraId="601DD185">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16.</w:t>
            </w:r>
            <w:r>
              <w:rPr>
                <w:rFonts w:hint="eastAsia" w:ascii="宋体" w:hAnsi="宋体" w:eastAsia="宋体" w:cs="宋体"/>
                <w:strike w:val="0"/>
                <w:dstrike w:val="0"/>
                <w:color w:val="auto"/>
                <w:kern w:val="0"/>
                <w:sz w:val="21"/>
                <w:szCs w:val="21"/>
                <w:lang w:bidi="ar"/>
              </w:rPr>
              <w:t>亮度均匀性≥90%</w:t>
            </w:r>
          </w:p>
          <w:p w14:paraId="70D5F12F">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17.</w:t>
            </w:r>
            <w:r>
              <w:rPr>
                <w:rFonts w:hint="eastAsia" w:ascii="宋体" w:hAnsi="宋体" w:eastAsia="宋体" w:cs="宋体"/>
                <w:strike w:val="0"/>
                <w:dstrike w:val="0"/>
                <w:color w:val="auto"/>
                <w:kern w:val="0"/>
                <w:sz w:val="21"/>
                <w:szCs w:val="21"/>
                <w:lang w:bidi="ar"/>
              </w:rPr>
              <w:t>亮度≥500cd/㎡</w:t>
            </w:r>
          </w:p>
          <w:p w14:paraId="601EEE3A">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18.</w:t>
            </w:r>
            <w:r>
              <w:rPr>
                <w:rFonts w:hint="eastAsia" w:ascii="宋体" w:hAnsi="宋体" w:eastAsia="宋体" w:cs="宋体"/>
                <w:strike w:val="0"/>
                <w:dstrike w:val="0"/>
                <w:color w:val="auto"/>
                <w:kern w:val="0"/>
                <w:sz w:val="21"/>
                <w:szCs w:val="21"/>
                <w:lang w:bidi="ar"/>
              </w:rPr>
              <w:t>高清编解码：整机产品支持纯硬件高清解码技术，支持H.265 解码（高效视频编码(HighEfficiency Video Coding)）；支持 4K(3840×2160)超高清视频；；</w:t>
            </w:r>
          </w:p>
          <w:p w14:paraId="7E021A39">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19.</w:t>
            </w:r>
            <w:r>
              <w:rPr>
                <w:rFonts w:hint="eastAsia" w:ascii="宋体" w:hAnsi="宋体" w:eastAsia="宋体" w:cs="宋体"/>
                <w:strike w:val="0"/>
                <w:dstrike w:val="0"/>
                <w:color w:val="auto"/>
                <w:kern w:val="0"/>
                <w:sz w:val="21"/>
                <w:szCs w:val="21"/>
                <w:lang w:bidi="ar"/>
              </w:rPr>
              <w:t>扬声器：整机内置2.0声道扬声器，功率15W*2。</w:t>
            </w:r>
          </w:p>
          <w:p w14:paraId="3EB5A41A">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2</w:t>
            </w:r>
            <w:r>
              <w:rPr>
                <w:rFonts w:hint="eastAsia" w:ascii="宋体" w:hAnsi="宋体" w:eastAsia="宋体" w:cs="宋体"/>
                <w:strike w:val="0"/>
                <w:dstrike w:val="0"/>
                <w:color w:val="auto"/>
                <w:kern w:val="0"/>
                <w:sz w:val="21"/>
                <w:szCs w:val="21"/>
                <w:lang w:bidi="ar"/>
              </w:rPr>
              <w:t>0.音效：支持DTS音效解码，支持开启/关闭DTS音效，营造沉浸式生动教学氛围。</w:t>
            </w:r>
          </w:p>
          <w:p w14:paraId="0AC30CE8">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2</w:t>
            </w:r>
            <w:r>
              <w:rPr>
                <w:rFonts w:hint="eastAsia" w:ascii="宋体" w:hAnsi="宋体" w:eastAsia="宋体" w:cs="宋体"/>
                <w:strike w:val="0"/>
                <w:dstrike w:val="0"/>
                <w:color w:val="auto"/>
                <w:kern w:val="0"/>
                <w:sz w:val="21"/>
                <w:szCs w:val="21"/>
                <w:lang w:bidi="ar"/>
              </w:rPr>
              <w:t>1.</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内置摄像头：内置1100万像素摄像头，对角线120°，水平视场角≥95°。</w:t>
            </w:r>
          </w:p>
          <w:p w14:paraId="56C7B3E3">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2</w:t>
            </w:r>
            <w:r>
              <w:rPr>
                <w:rFonts w:hint="eastAsia" w:ascii="宋体" w:hAnsi="宋体" w:eastAsia="宋体" w:cs="宋体"/>
                <w:strike w:val="0"/>
                <w:dstrike w:val="0"/>
                <w:color w:val="auto"/>
                <w:kern w:val="0"/>
                <w:sz w:val="21"/>
                <w:szCs w:val="21"/>
                <w:lang w:bidi="ar"/>
              </w:rPr>
              <w:t>2.</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内置麦克风：内置四路麦克风阵列，支持8M拾音，方便对课堂音频进行采集。</w:t>
            </w:r>
          </w:p>
          <w:p w14:paraId="28314E18">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2</w:t>
            </w:r>
            <w:r>
              <w:rPr>
                <w:rFonts w:hint="eastAsia" w:ascii="宋体" w:hAnsi="宋体" w:eastAsia="宋体" w:cs="宋体"/>
                <w:strike w:val="0"/>
                <w:dstrike w:val="0"/>
                <w:color w:val="auto"/>
                <w:kern w:val="0"/>
                <w:sz w:val="21"/>
                <w:szCs w:val="21"/>
                <w:lang w:bidi="ar"/>
              </w:rPr>
              <w:t>3.</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整机本身支持扩音功能，无需外接音响，任意无线麦克风均可通过大屏扩音，延时小于30ms 。</w:t>
            </w:r>
          </w:p>
          <w:p w14:paraId="64715C04">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2</w:t>
            </w:r>
            <w:r>
              <w:rPr>
                <w:rFonts w:hint="eastAsia" w:ascii="宋体" w:hAnsi="宋体" w:eastAsia="宋体" w:cs="宋体"/>
                <w:strike w:val="0"/>
                <w:dstrike w:val="0"/>
                <w:color w:val="auto"/>
                <w:kern w:val="0"/>
                <w:sz w:val="21"/>
                <w:szCs w:val="21"/>
                <w:lang w:bidi="ar"/>
              </w:rPr>
              <w:t>4.</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前置接口：为方便教师使用，具备至少前置一路USB2.0，两路USB3.0，一路全功能Type-C，USB 接口和Type-C支持在Windows和Android 系统下被读取，即插即用。</w:t>
            </w:r>
          </w:p>
          <w:p w14:paraId="57256A46">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2</w:t>
            </w:r>
            <w:r>
              <w:rPr>
                <w:rFonts w:hint="eastAsia" w:ascii="宋体" w:hAnsi="宋体" w:eastAsia="宋体" w:cs="宋体"/>
                <w:strike w:val="0"/>
                <w:dstrike w:val="0"/>
                <w:color w:val="auto"/>
                <w:kern w:val="0"/>
                <w:sz w:val="21"/>
                <w:szCs w:val="21"/>
                <w:lang w:bidi="ar"/>
              </w:rPr>
              <w:t>5.</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 xml:space="preserve">USB模式：为方便教学，每个USB接口（含Type-C）均支持以下三种模式：安卓 USB、电脑 USB、智能USB；教师可根据具体教学需求将前置USB自定义成以上三种模式中的任意一种； </w:t>
            </w:r>
          </w:p>
          <w:p w14:paraId="38F7815A">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2</w:t>
            </w:r>
            <w:r>
              <w:rPr>
                <w:rFonts w:hint="eastAsia" w:ascii="宋体" w:hAnsi="宋体" w:eastAsia="宋体" w:cs="宋体"/>
                <w:strike w:val="0"/>
                <w:dstrike w:val="0"/>
                <w:color w:val="auto"/>
                <w:kern w:val="0"/>
                <w:sz w:val="21"/>
                <w:szCs w:val="21"/>
                <w:lang w:bidi="ar"/>
              </w:rPr>
              <w:t>6.</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Type-C接口：Type-C支持传屏（音视频信号输入），支持高速文件传输，兼容手机充电，可搭配扩展坞兼容各类特殊接口，支持各种外设。</w:t>
            </w:r>
          </w:p>
          <w:p w14:paraId="15102CAD">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2</w:t>
            </w:r>
            <w:r>
              <w:rPr>
                <w:rFonts w:hint="eastAsia" w:ascii="宋体" w:hAnsi="宋体" w:eastAsia="宋体" w:cs="宋体"/>
                <w:strike w:val="0"/>
                <w:dstrike w:val="0"/>
                <w:color w:val="auto"/>
                <w:kern w:val="0"/>
                <w:sz w:val="21"/>
                <w:szCs w:val="21"/>
                <w:lang w:bidi="ar"/>
              </w:rPr>
              <w:t>7.</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侧置接口：为方便教师使用，整机提供侧置1路touch USB，1路USB2.0，1路HDMI输入， 1路SPDIF输出，1路耳机输出，1路网口，1路串口（RS232）。</w:t>
            </w:r>
          </w:p>
          <w:p w14:paraId="29A609B3">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2</w:t>
            </w:r>
            <w:r>
              <w:rPr>
                <w:rFonts w:hint="eastAsia" w:ascii="宋体" w:hAnsi="宋体" w:eastAsia="宋体" w:cs="宋体"/>
                <w:strike w:val="0"/>
                <w:dstrike w:val="0"/>
                <w:color w:val="auto"/>
                <w:kern w:val="0"/>
                <w:sz w:val="21"/>
                <w:szCs w:val="21"/>
                <w:lang w:bidi="ar"/>
              </w:rPr>
              <w:t>8.前置按键：为方便教学，前置物理按键≤1个，前置一个物理按键，支持调取中控菜单，支持锁定/解锁屏幕、支持一体机开机、支持一体机待机、支持电脑开/关机。</w:t>
            </w:r>
          </w:p>
          <w:p w14:paraId="773FDEEE">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2</w:t>
            </w:r>
            <w:r>
              <w:rPr>
                <w:rFonts w:hint="eastAsia" w:ascii="宋体" w:hAnsi="宋体" w:eastAsia="宋体" w:cs="宋体"/>
                <w:strike w:val="0"/>
                <w:dstrike w:val="0"/>
                <w:color w:val="auto"/>
                <w:kern w:val="0"/>
                <w:sz w:val="21"/>
                <w:szCs w:val="21"/>
                <w:lang w:bidi="ar"/>
              </w:rPr>
              <w:t>9.</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WiFi和蓝牙：内置 2.4G/5G双频WiFi，支持WiFi 上网和建立热点，支持蓝牙5.1；</w:t>
            </w:r>
          </w:p>
          <w:p w14:paraId="463F01D3">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3</w:t>
            </w:r>
            <w:r>
              <w:rPr>
                <w:rFonts w:hint="eastAsia" w:ascii="宋体" w:hAnsi="宋体" w:eastAsia="宋体" w:cs="宋体"/>
                <w:strike w:val="0"/>
                <w:dstrike w:val="0"/>
                <w:color w:val="auto"/>
                <w:kern w:val="0"/>
                <w:sz w:val="21"/>
                <w:szCs w:val="21"/>
                <w:lang w:bidi="ar"/>
              </w:rPr>
              <w:t>0.</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信号指示灯：整机前置OPS电脑和整机信号指示灯，可通过指示灯的颜色判断OPS电脑或整机的工作状态；</w:t>
            </w:r>
          </w:p>
          <w:p w14:paraId="2DBCDD6E">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3</w:t>
            </w:r>
            <w:r>
              <w:rPr>
                <w:rFonts w:hint="eastAsia" w:ascii="宋体" w:hAnsi="宋体" w:eastAsia="宋体" w:cs="宋体"/>
                <w:strike w:val="0"/>
                <w:dstrike w:val="0"/>
                <w:color w:val="auto"/>
                <w:kern w:val="0"/>
                <w:sz w:val="21"/>
                <w:szCs w:val="21"/>
                <w:lang w:bidi="ar"/>
              </w:rPr>
              <w:t>1.</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软控菜单：支持在任意信号源通道任意屏幕位置五指调取软控菜单，菜单包含：安卓、信号源、半屏显示、息屏、待机、电脑开关、健康护眼、音量加减、设置、返回、更多；其中，更多菜单中包含：上一级、锁屏、截图、冻结、批注、视频展台、白板、计时器、放大镜、任务视窗，更多菜单中的功能可进行自定义替换，其中包含：无线显示、蓝牙音乐、聚光灯、计算器、倒计日；软控菜单无需手动关闭，可自动隐藏。</w:t>
            </w:r>
          </w:p>
          <w:p w14:paraId="6D3BC739">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3</w:t>
            </w:r>
            <w:r>
              <w:rPr>
                <w:rFonts w:hint="eastAsia" w:ascii="宋体" w:hAnsi="宋体" w:eastAsia="宋体" w:cs="宋体"/>
                <w:strike w:val="0"/>
                <w:dstrike w:val="0"/>
                <w:color w:val="auto"/>
                <w:kern w:val="0"/>
                <w:sz w:val="21"/>
                <w:szCs w:val="21"/>
                <w:lang w:bidi="ar"/>
              </w:rPr>
              <w:t>2.</w:t>
            </w:r>
            <w:r>
              <w:rPr>
                <w:rFonts w:hint="eastAsia" w:ascii="宋体" w:hAnsi="宋体" w:eastAsia="宋体" w:cs="宋体"/>
                <w:strike w:val="0"/>
                <w:dstrike w:val="0"/>
                <w:color w:val="auto"/>
                <w:kern w:val="0"/>
                <w:sz w:val="21"/>
                <w:szCs w:val="21"/>
                <w:lang w:bidi="ar"/>
              </w:rPr>
              <w:tab/>
            </w:r>
            <w:r>
              <w:rPr>
                <w:rFonts w:hint="eastAsia" w:ascii="宋体" w:hAnsi="宋体" w:cs="宋体"/>
                <w:strike w:val="0"/>
                <w:dstrike w:val="0"/>
                <w:color w:val="auto"/>
                <w:kern w:val="0"/>
                <w:sz w:val="21"/>
                <w:szCs w:val="21"/>
                <w:lang w:val="en-US" w:eastAsia="zh-CN" w:bidi="ar"/>
              </w:rPr>
              <w:t>工</w:t>
            </w:r>
            <w:r>
              <w:rPr>
                <w:rFonts w:hint="eastAsia" w:ascii="宋体" w:hAnsi="宋体" w:eastAsia="宋体" w:cs="宋体"/>
                <w:strike w:val="0"/>
                <w:dstrike w:val="0"/>
                <w:color w:val="auto"/>
                <w:kern w:val="0"/>
                <w:sz w:val="21"/>
                <w:szCs w:val="21"/>
                <w:lang w:bidi="ar"/>
              </w:rPr>
              <w:t>具菜单：为方便走动式教学，支持在任意通道下通过两指快速调出工具菜单，菜单包含：上一级、锁屏、截图、冻结、批注、视频展台、白板、计时器、放大镜、任务视窗、可编辑选择的功能有：无线显示、蓝牙音乐、聚光灯、计算器、倒计日；软控菜单无操作自动隐藏，无需手动关闭。</w:t>
            </w:r>
          </w:p>
          <w:p w14:paraId="5347E4CC">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3</w:t>
            </w:r>
            <w:r>
              <w:rPr>
                <w:rFonts w:hint="eastAsia" w:ascii="宋体" w:hAnsi="宋体" w:eastAsia="宋体" w:cs="宋体"/>
                <w:strike w:val="0"/>
                <w:dstrike w:val="0"/>
                <w:color w:val="auto"/>
                <w:kern w:val="0"/>
                <w:sz w:val="21"/>
                <w:szCs w:val="21"/>
                <w:lang w:bidi="ar"/>
              </w:rPr>
              <w:t>3.</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一网通：在Windows系统下接入有线或无线网络，Android系统也能实现上网；反之，Android系统实现上网，Windows系统同时也能实现上网。</w:t>
            </w:r>
          </w:p>
          <w:p w14:paraId="0D79BE07">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3</w:t>
            </w:r>
            <w:r>
              <w:rPr>
                <w:rFonts w:hint="eastAsia" w:ascii="宋体" w:hAnsi="宋体" w:eastAsia="宋体" w:cs="宋体"/>
                <w:strike w:val="0"/>
                <w:dstrike w:val="0"/>
                <w:color w:val="auto"/>
                <w:kern w:val="0"/>
                <w:sz w:val="21"/>
                <w:szCs w:val="21"/>
                <w:lang w:bidi="ar"/>
              </w:rPr>
              <w:t>4.</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响应时间：首点响应时间≤4ms，连续响应时间≤2ms，书写延迟≤20ms</w:t>
            </w:r>
          </w:p>
          <w:p w14:paraId="196DA730">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3</w:t>
            </w:r>
            <w:r>
              <w:rPr>
                <w:rFonts w:hint="eastAsia" w:ascii="宋体" w:hAnsi="宋体" w:eastAsia="宋体" w:cs="宋体"/>
                <w:strike w:val="0"/>
                <w:dstrike w:val="0"/>
                <w:color w:val="auto"/>
                <w:kern w:val="0"/>
                <w:sz w:val="21"/>
                <w:szCs w:val="21"/>
                <w:lang w:bidi="ar"/>
              </w:rPr>
              <w:t>5.</w:t>
            </w:r>
            <w:r>
              <w:rPr>
                <w:rFonts w:hint="eastAsia" w:ascii="宋体" w:hAnsi="宋体" w:eastAsia="宋体" w:cs="宋体"/>
                <w:strike w:val="0"/>
                <w:dstrike w:val="0"/>
                <w:color w:val="auto"/>
                <w:kern w:val="0"/>
                <w:sz w:val="21"/>
                <w:szCs w:val="21"/>
                <w:lang w:val="en-US" w:eastAsia="zh-CN" w:bidi="ar"/>
              </w:rPr>
              <w:t xml:space="preserve"> </w:t>
            </w:r>
            <w:r>
              <w:rPr>
                <w:rFonts w:hint="eastAsia" w:ascii="宋体" w:hAnsi="宋体" w:eastAsia="宋体" w:cs="宋体"/>
                <w:strike w:val="0"/>
                <w:dstrike w:val="0"/>
                <w:color w:val="auto"/>
                <w:kern w:val="0"/>
                <w:sz w:val="21"/>
                <w:szCs w:val="21"/>
                <w:lang w:bidi="ar"/>
              </w:rPr>
              <w:t>前置二维码：扫描整机前置二维码可获取：产品型号、产品编号、一键报装、一键报修、电子说明书、在线客服。方便客户查询整机信息以及报修、报装服务；</w:t>
            </w:r>
          </w:p>
          <w:p w14:paraId="04385C3F">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3</w:t>
            </w:r>
            <w:r>
              <w:rPr>
                <w:rFonts w:hint="eastAsia" w:ascii="宋体" w:hAnsi="宋体" w:eastAsia="宋体" w:cs="宋体"/>
                <w:strike w:val="0"/>
                <w:dstrike w:val="0"/>
                <w:color w:val="auto"/>
                <w:kern w:val="0"/>
                <w:sz w:val="21"/>
                <w:szCs w:val="21"/>
                <w:lang w:bidi="ar"/>
              </w:rPr>
              <w:t>6.</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软件锁：为防止学生课后使用/打开，支持教师通过调取软件菜单实现屏幕锁定。</w:t>
            </w:r>
          </w:p>
          <w:p w14:paraId="4C37EB35">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3</w:t>
            </w:r>
            <w:r>
              <w:rPr>
                <w:rFonts w:hint="eastAsia" w:ascii="宋体" w:hAnsi="宋体" w:eastAsia="宋体" w:cs="宋体"/>
                <w:strike w:val="0"/>
                <w:dstrike w:val="0"/>
                <w:color w:val="auto"/>
                <w:kern w:val="0"/>
                <w:sz w:val="21"/>
                <w:szCs w:val="21"/>
                <w:lang w:bidi="ar"/>
              </w:rPr>
              <w:t>7.</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U盘锁：为防止学生课后使用/打开，支持教师通过U盘对整机进行屏幕锁定和解锁。</w:t>
            </w:r>
          </w:p>
          <w:p w14:paraId="4DF2DC51">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3</w:t>
            </w:r>
            <w:r>
              <w:rPr>
                <w:rFonts w:hint="eastAsia" w:ascii="宋体" w:hAnsi="宋体" w:eastAsia="宋体" w:cs="宋体"/>
                <w:strike w:val="0"/>
                <w:dstrike w:val="0"/>
                <w:color w:val="auto"/>
                <w:kern w:val="0"/>
                <w:sz w:val="21"/>
                <w:szCs w:val="21"/>
                <w:lang w:bidi="ar"/>
              </w:rPr>
              <w:t>8.</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密码锁：为防止学生课后使用/打开，支持教师使用屏幕密码锁，可自定义解锁密码，开启后可锁定屏幕、整机按键和遥控器；</w:t>
            </w:r>
          </w:p>
          <w:p w14:paraId="14D6D353">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3</w:t>
            </w:r>
            <w:r>
              <w:rPr>
                <w:rFonts w:hint="eastAsia" w:ascii="宋体" w:hAnsi="宋体" w:eastAsia="宋体" w:cs="宋体"/>
                <w:strike w:val="0"/>
                <w:dstrike w:val="0"/>
                <w:color w:val="auto"/>
                <w:kern w:val="0"/>
                <w:sz w:val="21"/>
                <w:szCs w:val="21"/>
                <w:lang w:bidi="ar"/>
              </w:rPr>
              <w:t>9.</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权限管理：整机可对开机锁、锁屏、恢复出厂设置、一键还原插拔式电脑四个功能进行权限设置，权限管理方式有三种：NFC、人脸识别、密码；开启权限管理后，使用对应的方式解锁后进行操作；开机权限：支持设置开机锁，功能开启后，整机开机进入锁定状态，防止无权限人员随意操作；</w:t>
            </w:r>
          </w:p>
          <w:p w14:paraId="76A96D93">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4</w:t>
            </w:r>
            <w:r>
              <w:rPr>
                <w:rFonts w:hint="eastAsia" w:ascii="宋体" w:hAnsi="宋体" w:eastAsia="宋体" w:cs="宋体"/>
                <w:strike w:val="0"/>
                <w:dstrike w:val="0"/>
                <w:color w:val="auto"/>
                <w:kern w:val="0"/>
                <w:sz w:val="21"/>
                <w:szCs w:val="21"/>
                <w:lang w:val="en-US" w:eastAsia="zh-CN" w:bidi="ar"/>
              </w:rPr>
              <w:t>0</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人脸识别：整机支持人脸识别功能，可通过人脸识别功能对已锁定的屏幕进行解锁；</w:t>
            </w:r>
          </w:p>
          <w:p w14:paraId="32BB14DB">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4</w:t>
            </w:r>
            <w:r>
              <w:rPr>
                <w:rFonts w:hint="eastAsia" w:ascii="宋体" w:hAnsi="宋体" w:eastAsia="宋体" w:cs="宋体"/>
                <w:strike w:val="0"/>
                <w:dstrike w:val="0"/>
                <w:color w:val="auto"/>
                <w:kern w:val="0"/>
                <w:sz w:val="21"/>
                <w:szCs w:val="21"/>
                <w:lang w:val="en-US" w:eastAsia="zh-CN" w:bidi="ar"/>
              </w:rPr>
              <w:t>1</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NFC卡绑定：为方便教师校园卡管理，提供添加或删除用户NFC卡信息，支持自定义NFC卡名称，便于教师绑定校园一卡通，管理设备权限；</w:t>
            </w:r>
          </w:p>
          <w:p w14:paraId="42F387C9">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4</w:t>
            </w:r>
            <w:r>
              <w:rPr>
                <w:rFonts w:hint="eastAsia" w:ascii="宋体" w:hAnsi="宋体" w:eastAsia="宋体" w:cs="宋体"/>
                <w:strike w:val="0"/>
                <w:dstrike w:val="0"/>
                <w:color w:val="auto"/>
                <w:kern w:val="0"/>
                <w:sz w:val="21"/>
                <w:szCs w:val="21"/>
                <w:lang w:val="en-US" w:eastAsia="zh-CN" w:bidi="ar"/>
              </w:rPr>
              <w:t>2</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一键电脑还原：整机软件具备电脑一键还原功能，进行系统还原设置时，软件弹出确认提示窗口，不接受按键还原，防止衣角等身体碰触发生误操作；</w:t>
            </w:r>
          </w:p>
          <w:p w14:paraId="3A6A69A2">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4</w:t>
            </w:r>
            <w:r>
              <w:rPr>
                <w:rFonts w:hint="eastAsia" w:ascii="宋体" w:hAnsi="宋体" w:eastAsia="宋体" w:cs="宋体"/>
                <w:strike w:val="0"/>
                <w:dstrike w:val="0"/>
                <w:color w:val="auto"/>
                <w:kern w:val="0"/>
                <w:sz w:val="21"/>
                <w:szCs w:val="21"/>
                <w:lang w:val="en-US" w:eastAsia="zh-CN" w:bidi="ar"/>
              </w:rPr>
              <w:t>3</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息屏功能：整机具备息屏功能，可通过前置按键或者手势调取菜单关闭背光，整机仍可正常运行；在息屏状态下，可正常播放音视频文件；</w:t>
            </w:r>
          </w:p>
          <w:p w14:paraId="1A944978">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4</w:t>
            </w:r>
            <w:r>
              <w:rPr>
                <w:rFonts w:hint="eastAsia" w:ascii="宋体" w:hAnsi="宋体" w:eastAsia="宋体" w:cs="宋体"/>
                <w:strike w:val="0"/>
                <w:dstrike w:val="0"/>
                <w:color w:val="auto"/>
                <w:kern w:val="0"/>
                <w:sz w:val="21"/>
                <w:szCs w:val="21"/>
                <w:lang w:val="en-US" w:eastAsia="zh-CN" w:bidi="ar"/>
              </w:rPr>
              <w:t>4</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关屏唤醒：整机处于关屏状态时，可通过触控、物理按键不少于2种方式唤醒屏幕；</w:t>
            </w:r>
          </w:p>
          <w:p w14:paraId="2AF1B09D">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4</w:t>
            </w:r>
            <w:r>
              <w:rPr>
                <w:rFonts w:hint="eastAsia" w:ascii="宋体" w:hAnsi="宋体" w:eastAsia="宋体" w:cs="宋体"/>
                <w:strike w:val="0"/>
                <w:dstrike w:val="0"/>
                <w:color w:val="auto"/>
                <w:kern w:val="0"/>
                <w:sz w:val="21"/>
                <w:szCs w:val="21"/>
                <w:lang w:val="en-US" w:eastAsia="zh-CN" w:bidi="ar"/>
              </w:rPr>
              <w:t>5</w:t>
            </w:r>
            <w:r>
              <w:rPr>
                <w:rFonts w:hint="eastAsia" w:ascii="宋体" w:hAnsi="宋体" w:eastAsia="宋体" w:cs="宋体"/>
                <w:strike w:val="0"/>
                <w:dstrike w:val="0"/>
                <w:color w:val="auto"/>
                <w:kern w:val="0"/>
                <w:sz w:val="21"/>
                <w:szCs w:val="21"/>
                <w:lang w:bidi="ar"/>
              </w:rPr>
              <w:t>.一触亮屏：设置为关后，触控不可亮屏，可通过五指触控屏幕1s使屏幕点亮。避免息屏后因昆虫触控点亮屏幕而发生误操作。</w:t>
            </w:r>
          </w:p>
          <w:p w14:paraId="69BBCA7D">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4</w:t>
            </w:r>
            <w:r>
              <w:rPr>
                <w:rFonts w:hint="eastAsia" w:ascii="宋体" w:hAnsi="宋体" w:eastAsia="宋体" w:cs="宋体"/>
                <w:strike w:val="0"/>
                <w:dstrike w:val="0"/>
                <w:color w:val="auto"/>
                <w:kern w:val="0"/>
                <w:sz w:val="21"/>
                <w:szCs w:val="21"/>
                <w:lang w:val="en-US" w:eastAsia="zh-CN" w:bidi="ar"/>
              </w:rPr>
              <w:t>6</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二维码识别：整机软件支持调用摄像头扫描并识别二维码，无需安装第三方扫码软件；</w:t>
            </w:r>
          </w:p>
          <w:p w14:paraId="0E49C86E">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4</w:t>
            </w:r>
            <w:r>
              <w:rPr>
                <w:rFonts w:hint="eastAsia" w:ascii="宋体" w:hAnsi="宋体" w:eastAsia="宋体" w:cs="宋体"/>
                <w:strike w:val="0"/>
                <w:dstrike w:val="0"/>
                <w:color w:val="auto"/>
                <w:kern w:val="0"/>
                <w:sz w:val="21"/>
                <w:szCs w:val="21"/>
                <w:lang w:val="en-US" w:eastAsia="zh-CN" w:bidi="ar"/>
              </w:rPr>
              <w:t>7</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录制功能：整机支持在任意信号源通道、屏幕任意位置调取录制功能，并实现录制内容的自动存储；</w:t>
            </w:r>
          </w:p>
          <w:p w14:paraId="6D658CF5">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4</w:t>
            </w:r>
            <w:r>
              <w:rPr>
                <w:rFonts w:hint="eastAsia" w:ascii="宋体" w:hAnsi="宋体" w:eastAsia="宋体" w:cs="宋体"/>
                <w:strike w:val="0"/>
                <w:dstrike w:val="0"/>
                <w:color w:val="auto"/>
                <w:kern w:val="0"/>
                <w:sz w:val="21"/>
                <w:szCs w:val="21"/>
                <w:lang w:val="en-US" w:eastAsia="zh-CN" w:bidi="ar"/>
              </w:rPr>
              <w:t>8</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录屏功能：支持对大屏显示内容进行录制；</w:t>
            </w:r>
          </w:p>
          <w:p w14:paraId="07F3B283">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u w:val="none"/>
                <w:lang w:bidi="ar"/>
              </w:rPr>
            </w:pPr>
            <w:r>
              <w:rPr>
                <w:rFonts w:hint="eastAsia" w:ascii="宋体" w:hAnsi="宋体" w:cs="宋体"/>
                <w:strike w:val="0"/>
                <w:dstrike w:val="0"/>
                <w:color w:val="auto"/>
                <w:kern w:val="0"/>
                <w:sz w:val="21"/>
                <w:szCs w:val="21"/>
                <w:u w:val="none"/>
                <w:lang w:val="en-US" w:eastAsia="zh-CN" w:bidi="ar"/>
              </w:rPr>
              <w:t>4</w:t>
            </w:r>
            <w:r>
              <w:rPr>
                <w:rFonts w:hint="eastAsia" w:ascii="宋体" w:hAnsi="宋体" w:eastAsia="宋体" w:cs="宋体"/>
                <w:strike w:val="0"/>
                <w:dstrike w:val="0"/>
                <w:color w:val="auto"/>
                <w:kern w:val="0"/>
                <w:sz w:val="21"/>
                <w:szCs w:val="21"/>
                <w:u w:val="none"/>
                <w:lang w:val="en-US" w:eastAsia="zh-CN" w:bidi="ar"/>
              </w:rPr>
              <w:t>9</w:t>
            </w:r>
            <w:r>
              <w:rPr>
                <w:rFonts w:hint="eastAsia" w:ascii="宋体" w:hAnsi="宋体" w:eastAsia="宋体" w:cs="宋体"/>
                <w:strike w:val="0"/>
                <w:dstrike w:val="0"/>
                <w:color w:val="auto"/>
                <w:kern w:val="0"/>
                <w:sz w:val="21"/>
                <w:szCs w:val="21"/>
                <w:u w:val="none"/>
                <w:lang w:bidi="ar"/>
              </w:rPr>
              <w:t>.</w:t>
            </w:r>
            <w:r>
              <w:rPr>
                <w:rFonts w:hint="eastAsia" w:ascii="宋体" w:hAnsi="宋体" w:eastAsia="宋体" w:cs="宋体"/>
                <w:strike w:val="0"/>
                <w:dstrike w:val="0"/>
                <w:color w:val="auto"/>
                <w:kern w:val="0"/>
                <w:sz w:val="21"/>
                <w:szCs w:val="21"/>
                <w:u w:val="none"/>
                <w:lang w:bidi="ar"/>
              </w:rPr>
              <w:tab/>
            </w:r>
            <w:r>
              <w:rPr>
                <w:rFonts w:hint="eastAsia" w:ascii="宋体" w:hAnsi="宋体" w:eastAsia="宋体" w:cs="宋体"/>
                <w:strike w:val="0"/>
                <w:dstrike w:val="0"/>
                <w:color w:val="auto"/>
                <w:kern w:val="0"/>
                <w:sz w:val="21"/>
                <w:szCs w:val="21"/>
                <w:u w:val="none"/>
                <w:lang w:bidi="ar"/>
              </w:rPr>
              <w:t>★半屏下降：整机可通过软件快捷键实现屏幕显示画面下移，并可进行触控，方便用户操作；点击屏幕即可恢复全屏显示；</w:t>
            </w:r>
            <w:r>
              <w:rPr>
                <w:rFonts w:hint="eastAsia" w:ascii="宋体" w:hAnsi="宋体" w:eastAsia="宋体" w:cs="宋体"/>
                <w:strike w:val="0"/>
                <w:dstrike w:val="0"/>
                <w:color w:val="auto"/>
                <w:kern w:val="0"/>
                <w:sz w:val="21"/>
                <w:szCs w:val="21"/>
                <w:u w:val="none"/>
                <w:lang w:eastAsia="zh-CN" w:bidi="ar"/>
              </w:rPr>
              <w:t>（</w:t>
            </w:r>
            <w:r>
              <w:rPr>
                <w:rFonts w:hint="eastAsia" w:ascii="宋体" w:hAnsi="宋体" w:eastAsia="宋体" w:cs="宋体"/>
                <w:strike w:val="0"/>
                <w:dstrike w:val="0"/>
                <w:color w:val="auto"/>
                <w:kern w:val="0"/>
                <w:sz w:val="21"/>
                <w:szCs w:val="21"/>
                <w:u w:val="none"/>
                <w:lang w:bidi="ar"/>
              </w:rPr>
              <w:t>竞标时须提供证明材料：包括但不限于厂家证明或功能截图或国家认可的第三方检测报告)。</w:t>
            </w:r>
          </w:p>
          <w:p w14:paraId="0375906C">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50</w:t>
            </w:r>
            <w:r>
              <w:rPr>
                <w:rFonts w:hint="eastAsia" w:ascii="宋体" w:hAnsi="宋体" w:eastAsia="宋体" w:cs="宋体"/>
                <w:strike w:val="0"/>
                <w:dstrike w:val="0"/>
                <w:color w:val="auto"/>
                <w:kern w:val="0"/>
                <w:sz w:val="21"/>
                <w:szCs w:val="21"/>
                <w:lang w:bidi="ar"/>
              </w:rPr>
              <w:t>.快捷菜单：支持在任意界面下调出快捷菜单，并具备以下功能：快速返回桌面，查看并切换应用，查看运行程序，调用小工具（计算器、录屏、无线传屏等），调整声音，调整亮度。</w:t>
            </w:r>
          </w:p>
          <w:p w14:paraId="31B67B27">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5</w:t>
            </w:r>
            <w:r>
              <w:rPr>
                <w:rFonts w:hint="eastAsia" w:ascii="宋体" w:hAnsi="宋体" w:eastAsia="宋体" w:cs="宋体"/>
                <w:strike w:val="0"/>
                <w:dstrike w:val="0"/>
                <w:color w:val="auto"/>
                <w:kern w:val="0"/>
                <w:sz w:val="21"/>
                <w:szCs w:val="21"/>
                <w:lang w:val="en-US" w:eastAsia="zh-CN" w:bidi="ar"/>
              </w:rPr>
              <w:t>1</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视频展台功能：无PC 状态下，支持在安卓系统下直接启动视频展台，可进行批注、旋转及截图，且支持二分屏、四分屏，最高支持8分屏，可同时进行对比教学，可任意更换分屏画面内容；</w:t>
            </w:r>
          </w:p>
          <w:p w14:paraId="5FC29185">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5</w:t>
            </w:r>
            <w:r>
              <w:rPr>
                <w:rFonts w:hint="eastAsia" w:ascii="宋体" w:hAnsi="宋体" w:eastAsia="宋体" w:cs="宋体"/>
                <w:strike w:val="0"/>
                <w:dstrike w:val="0"/>
                <w:color w:val="auto"/>
                <w:kern w:val="0"/>
                <w:sz w:val="21"/>
                <w:szCs w:val="21"/>
                <w:lang w:val="en-US" w:eastAsia="zh-CN" w:bidi="ar"/>
              </w:rPr>
              <w:t>2</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自然显示模式：整机支持自然显示模式；开启后色彩还原度更高，教学素材显示效果更佳；</w:t>
            </w:r>
          </w:p>
          <w:p w14:paraId="58F4E4F6">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5</w:t>
            </w:r>
            <w:r>
              <w:rPr>
                <w:rFonts w:hint="eastAsia" w:ascii="宋体" w:hAnsi="宋体" w:eastAsia="宋体" w:cs="宋体"/>
                <w:strike w:val="0"/>
                <w:dstrike w:val="0"/>
                <w:color w:val="auto"/>
                <w:kern w:val="0"/>
                <w:sz w:val="21"/>
                <w:szCs w:val="21"/>
                <w:lang w:val="en-US" w:eastAsia="zh-CN" w:bidi="ar"/>
              </w:rPr>
              <w:t>3</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超解像模式：整机支持超解像模式，开启后可提升画面清晰度，教学文本显示效果更佳；</w:t>
            </w:r>
          </w:p>
          <w:p w14:paraId="261D0564">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5</w:t>
            </w:r>
            <w:r>
              <w:rPr>
                <w:rFonts w:hint="eastAsia" w:ascii="宋体" w:hAnsi="宋体" w:eastAsia="宋体" w:cs="宋体"/>
                <w:strike w:val="0"/>
                <w:dstrike w:val="0"/>
                <w:color w:val="auto"/>
                <w:kern w:val="0"/>
                <w:sz w:val="21"/>
                <w:szCs w:val="21"/>
                <w:lang w:val="en-US" w:eastAsia="zh-CN" w:bidi="ar"/>
              </w:rPr>
              <w:t>4</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低蓝光护眼模式：整机支持开启/关闭低蓝光护眼模式，开启低蓝光护眼模式后，整机会降低蓝光辐射，呵护师生视力。</w:t>
            </w:r>
          </w:p>
          <w:p w14:paraId="41E3505E">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5</w:t>
            </w:r>
            <w:r>
              <w:rPr>
                <w:rFonts w:hint="eastAsia" w:ascii="宋体" w:hAnsi="宋体" w:eastAsia="宋体" w:cs="宋体"/>
                <w:strike w:val="0"/>
                <w:dstrike w:val="0"/>
                <w:color w:val="auto"/>
                <w:kern w:val="0"/>
                <w:sz w:val="21"/>
                <w:szCs w:val="21"/>
                <w:lang w:val="en-US" w:eastAsia="zh-CN" w:bidi="ar"/>
              </w:rPr>
              <w:t>5</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白板软件：</w:t>
            </w:r>
          </w:p>
          <w:p w14:paraId="7C1888DB">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1）笔色：支持10种颜色；支持滑动调整笔迹粗细；</w:t>
            </w:r>
          </w:p>
          <w:p w14:paraId="3EAB1AE4">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3）白板书写内容可导出PNG、PDF和HMF格式；</w:t>
            </w:r>
          </w:p>
          <w:p w14:paraId="1BD83B8A">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4）白板书写支持自定义笔锋效果，支持开启/关闭该功能；</w:t>
            </w:r>
          </w:p>
          <w:p w14:paraId="3F0B3B4B">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5）图形智能识别：①支持手绘的多种图形可自动识别并转化为标准图形：圆圈、方形、三角形、箭头、梯形、平行四边；②支持对图形大小进行调整；</w:t>
            </w:r>
          </w:p>
          <w:p w14:paraId="433079C3">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highlight w:val="none"/>
                <w:lang w:bidi="ar"/>
              </w:rPr>
            </w:pPr>
            <w:r>
              <w:rPr>
                <w:rFonts w:hint="eastAsia" w:ascii="宋体" w:hAnsi="宋体" w:eastAsia="宋体" w:cs="宋体"/>
                <w:strike w:val="0"/>
                <w:dstrike w:val="0"/>
                <w:color w:val="auto"/>
                <w:kern w:val="0"/>
                <w:sz w:val="21"/>
                <w:szCs w:val="21"/>
                <w:lang w:bidi="ar"/>
              </w:rPr>
              <w:t>★6）智能表格绘制：安卓下支持智能图表绘制，通过识别矩形图形后手绘增加表格行列，表格中书写区域可根据书写内容自适应大小，表格内容与表格边界可同时选中并一并拖动；形成表格对象后可以</w:t>
            </w:r>
            <w:r>
              <w:rPr>
                <w:rFonts w:hint="eastAsia" w:ascii="宋体" w:hAnsi="宋体" w:eastAsia="宋体" w:cs="宋体"/>
                <w:strike w:val="0"/>
                <w:dstrike w:val="0"/>
                <w:color w:val="auto"/>
                <w:kern w:val="0"/>
                <w:sz w:val="21"/>
                <w:szCs w:val="21"/>
                <w:highlight w:val="none"/>
                <w:lang w:bidi="ar"/>
              </w:rPr>
              <w:t>直接点击按钮添加行或者列。并且智能图标支持删减表格中的行。</w:t>
            </w:r>
            <w:r>
              <w:rPr>
                <w:rFonts w:hint="eastAsia" w:ascii="宋体" w:hAnsi="宋体" w:eastAsia="宋体" w:cs="宋体"/>
                <w:strike w:val="0"/>
                <w:dstrike w:val="0"/>
                <w:color w:val="auto"/>
                <w:kern w:val="0"/>
                <w:sz w:val="21"/>
                <w:szCs w:val="21"/>
                <w:highlight w:val="none"/>
                <w:u w:val="none"/>
                <w:lang w:eastAsia="zh-CN" w:bidi="ar"/>
              </w:rPr>
              <w:t>（</w:t>
            </w:r>
            <w:r>
              <w:rPr>
                <w:rFonts w:hint="eastAsia" w:ascii="宋体" w:hAnsi="宋体" w:eastAsia="宋体" w:cs="宋体"/>
                <w:strike w:val="0"/>
                <w:dstrike w:val="0"/>
                <w:color w:val="auto"/>
                <w:kern w:val="0"/>
                <w:sz w:val="21"/>
                <w:szCs w:val="21"/>
                <w:highlight w:val="none"/>
                <w:u w:val="none"/>
                <w:lang w:bidi="ar"/>
              </w:rPr>
              <w:t>竞标时须提供证明材料：包括但不限于厂家证明或功能截图或国家认可的第三方检测报告)。</w:t>
            </w:r>
          </w:p>
          <w:p w14:paraId="0BB0ABCB">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7）白板内容分享：支持扫描二维码分享和邮件分享白板内容；</w:t>
            </w:r>
          </w:p>
          <w:p w14:paraId="16F79E4C">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8）换色：支持对白板中已书写笔迹和绘制图形内容的颜色进行更换；</w:t>
            </w:r>
          </w:p>
          <w:p w14:paraId="36A82A8A">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9）背景更换：支持10种背景色的选择；支持导入自定义的背景；</w:t>
            </w:r>
          </w:p>
          <w:p w14:paraId="3E0329D9">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5</w:t>
            </w:r>
            <w:r>
              <w:rPr>
                <w:rFonts w:hint="eastAsia" w:ascii="宋体" w:hAnsi="宋体" w:eastAsia="宋体" w:cs="宋体"/>
                <w:strike w:val="0"/>
                <w:dstrike w:val="0"/>
                <w:color w:val="auto"/>
                <w:kern w:val="0"/>
                <w:sz w:val="21"/>
                <w:szCs w:val="21"/>
                <w:lang w:val="en-US" w:eastAsia="zh-CN" w:bidi="ar"/>
              </w:rPr>
              <w:t>6</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白板书写支持三级触控：整机支持三级触控（细笔头、粗笔头、手掌）；细笔头（直径≤3mm）：正常书写；粗笔头（8mm≤直径≤20mm）书写时显示红色笔迹批注;无需其他任何操作， 翻转笔身即可实现粗细笔头的切换，实现不同颜色粗细的书写笔迹；手掌（直径≥30mm)平放于屏幕时可识别为板擦擦除。</w:t>
            </w:r>
          </w:p>
          <w:p w14:paraId="7AC4EEC6">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5</w:t>
            </w:r>
            <w:r>
              <w:rPr>
                <w:rFonts w:hint="eastAsia" w:ascii="宋体" w:hAnsi="宋体" w:eastAsia="宋体" w:cs="宋体"/>
                <w:strike w:val="0"/>
                <w:dstrike w:val="0"/>
                <w:color w:val="auto"/>
                <w:kern w:val="0"/>
                <w:sz w:val="21"/>
                <w:szCs w:val="21"/>
                <w:lang w:val="en-US" w:eastAsia="zh-CN" w:bidi="ar"/>
              </w:rPr>
              <w:t>7</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侧拉目录板：支持在任意通道下从屏幕一侧快速拖出书写白板；可根据需求选择书写白板的展开面积的大小；支持书写、擦除、截图功能，支持可自定义开启或关闭目录板；</w:t>
            </w:r>
          </w:p>
          <w:p w14:paraId="0495CFE2">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5</w:t>
            </w:r>
            <w:r>
              <w:rPr>
                <w:rFonts w:hint="eastAsia" w:ascii="宋体" w:hAnsi="宋体" w:eastAsia="宋体" w:cs="宋体"/>
                <w:strike w:val="0"/>
                <w:dstrike w:val="0"/>
                <w:color w:val="auto"/>
                <w:kern w:val="0"/>
                <w:sz w:val="21"/>
                <w:szCs w:val="21"/>
                <w:lang w:val="en-US" w:eastAsia="zh-CN" w:bidi="ar"/>
              </w:rPr>
              <w:t>8</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欢迎页：预置五种欢迎页模板，用户同时可自定义欢迎页，支持插入图片、视频、音频、文字，可调整字体大小、颜色以及对齐格式；</w:t>
            </w:r>
          </w:p>
          <w:p w14:paraId="7561769F">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5</w:t>
            </w:r>
            <w:r>
              <w:rPr>
                <w:rFonts w:hint="eastAsia" w:ascii="宋体" w:hAnsi="宋体" w:eastAsia="宋体" w:cs="宋体"/>
                <w:strike w:val="0"/>
                <w:dstrike w:val="0"/>
                <w:color w:val="auto"/>
                <w:kern w:val="0"/>
                <w:sz w:val="21"/>
                <w:szCs w:val="21"/>
                <w:lang w:val="en-US" w:eastAsia="zh-CN" w:bidi="ar"/>
              </w:rPr>
              <w:t>9</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签到墙：整机支持拍照签到功能，照片可进行签名并保存到整机内；签名墙可更换背景图片；签名可更改为任意颜色；签名墙支持四种展示效果。</w:t>
            </w:r>
          </w:p>
          <w:p w14:paraId="5EFA4996">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6</w:t>
            </w:r>
            <w:r>
              <w:rPr>
                <w:rFonts w:hint="eastAsia" w:ascii="宋体" w:hAnsi="宋体" w:eastAsia="宋体" w:cs="宋体"/>
                <w:strike w:val="0"/>
                <w:dstrike w:val="0"/>
                <w:color w:val="auto"/>
                <w:kern w:val="0"/>
                <w:sz w:val="21"/>
                <w:szCs w:val="21"/>
                <w:lang w:val="en-US" w:eastAsia="zh-CN" w:bidi="ar"/>
              </w:rPr>
              <w:t>0</w:t>
            </w:r>
            <w:r>
              <w:rPr>
                <w:rFonts w:hint="eastAsia" w:ascii="宋体" w:hAnsi="宋体" w:eastAsia="宋体" w:cs="宋体"/>
                <w:strike w:val="0"/>
                <w:dstrike w:val="0"/>
                <w:color w:val="auto"/>
                <w:kern w:val="0"/>
                <w:sz w:val="21"/>
                <w:szCs w:val="21"/>
                <w:lang w:bidi="ar"/>
              </w:rPr>
              <w:t>.电子说明书：整机内置电子说明书，内容包含整机基本操作说明。</w:t>
            </w:r>
          </w:p>
          <w:p w14:paraId="0FB82C7B">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6</w:t>
            </w:r>
            <w:r>
              <w:rPr>
                <w:rFonts w:hint="eastAsia" w:ascii="宋体" w:hAnsi="宋体" w:eastAsia="宋体" w:cs="宋体"/>
                <w:strike w:val="0"/>
                <w:dstrike w:val="0"/>
                <w:color w:val="auto"/>
                <w:kern w:val="0"/>
                <w:sz w:val="21"/>
                <w:szCs w:val="21"/>
                <w:lang w:val="en-US" w:eastAsia="zh-CN" w:bidi="ar"/>
              </w:rPr>
              <w:t>1</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一键自检：整机支持对系统硬盘，系统内存、触控框、PC模块、网络信息、光感系统、NFC、摄像头进行检测；若检测存在故障，则提供电话、二维码、邮箱三种保修方式，直接扫描系统提供的二维码进行在线客服问题报修。</w:t>
            </w:r>
          </w:p>
          <w:p w14:paraId="6DD147A9">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6</w:t>
            </w:r>
            <w:r>
              <w:rPr>
                <w:rFonts w:hint="eastAsia" w:ascii="宋体" w:hAnsi="宋体" w:eastAsia="宋体" w:cs="宋体"/>
                <w:strike w:val="0"/>
                <w:dstrike w:val="0"/>
                <w:color w:val="auto"/>
                <w:kern w:val="0"/>
                <w:sz w:val="21"/>
                <w:szCs w:val="21"/>
                <w:lang w:val="en-US" w:eastAsia="zh-CN" w:bidi="ar"/>
              </w:rPr>
              <w:t>2</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防撞设计：整机具备前置端子防撞、防尘模块设计，可防止侧拉绿板撞坏前置端子外接设备，可避免灰尘进入端子内部。</w:t>
            </w:r>
          </w:p>
          <w:p w14:paraId="75C28076">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6</w:t>
            </w:r>
            <w:r>
              <w:rPr>
                <w:rFonts w:hint="eastAsia" w:ascii="宋体" w:hAnsi="宋体" w:eastAsia="宋体" w:cs="宋体"/>
                <w:strike w:val="0"/>
                <w:dstrike w:val="0"/>
                <w:color w:val="auto"/>
                <w:kern w:val="0"/>
                <w:sz w:val="21"/>
                <w:szCs w:val="21"/>
                <w:lang w:val="en-US" w:eastAsia="zh-CN" w:bidi="ar"/>
              </w:rPr>
              <w:t>3</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无频闪调光：可通过直流调光将屏幕闪烁频率设置到人眼无法察觉的960Hz，消除因闪烁带来的视觉疲劳。</w:t>
            </w:r>
          </w:p>
          <w:p w14:paraId="1988E05C">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cs="宋体"/>
                <w:strike w:val="0"/>
                <w:dstrike w:val="0"/>
                <w:color w:val="auto"/>
                <w:kern w:val="0"/>
                <w:sz w:val="21"/>
                <w:szCs w:val="21"/>
                <w:lang w:val="en-US" w:eastAsia="zh-CN" w:bidi="ar"/>
              </w:rPr>
              <w:t>6</w:t>
            </w:r>
            <w:r>
              <w:rPr>
                <w:rFonts w:hint="eastAsia" w:ascii="宋体" w:hAnsi="宋体" w:eastAsia="宋体" w:cs="宋体"/>
                <w:strike w:val="0"/>
                <w:dstrike w:val="0"/>
                <w:color w:val="auto"/>
                <w:kern w:val="0"/>
                <w:sz w:val="21"/>
                <w:szCs w:val="21"/>
                <w:lang w:val="en-US" w:eastAsia="zh-CN" w:bidi="ar"/>
              </w:rPr>
              <w:t>4</w:t>
            </w:r>
            <w:r>
              <w:rPr>
                <w:rFonts w:hint="eastAsia" w:ascii="宋体" w:hAnsi="宋体" w:eastAsia="宋体" w:cs="宋体"/>
                <w:strike w:val="0"/>
                <w:dstrike w:val="0"/>
                <w:color w:val="auto"/>
                <w:kern w:val="0"/>
                <w:sz w:val="21"/>
                <w:szCs w:val="21"/>
                <w:lang w:bidi="ar"/>
              </w:rPr>
              <w:t>. 支持Miracast协议、DLNA协议和AirPlay协议，实现Android和IOS设备与大屏连接，可实现无线投屏。</w:t>
            </w:r>
          </w:p>
          <w:p w14:paraId="0D38031A">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二、内置电脑功能</w:t>
            </w:r>
          </w:p>
          <w:p w14:paraId="7F6F2F03">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1.</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为了保证交互平板产品后续可扩展性，一体机采用符合INTEL标准协议的80pin OPS接口；</w:t>
            </w:r>
          </w:p>
          <w:p w14:paraId="694BF94A">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2.</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 xml:space="preserve">处理器：Intel 酷睿I5或以上； </w:t>
            </w:r>
          </w:p>
          <w:p w14:paraId="334A9983">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3.</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内存：8G 或以上配置；硬盘：256G或以上配置；内置WiFi：IEEE 802.11n标准；内置网卡：10M/100M/1000M；</w:t>
            </w:r>
          </w:p>
          <w:p w14:paraId="0DB6BC54">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4.</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具有独立非外扩展的电脑USB接口：电脑上至少6个USB接口；</w:t>
            </w:r>
          </w:p>
          <w:p w14:paraId="02F09276">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5.</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具有视频输出接口：HDMI接口；</w:t>
            </w:r>
          </w:p>
          <w:p w14:paraId="4767004C">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6.</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具有标准PC防盗锁孔，确保电脑模块安全防盗；</w:t>
            </w:r>
          </w:p>
          <w:p w14:paraId="2248157C">
            <w:pPr>
              <w:keepNext w:val="0"/>
              <w:keepLines w:val="0"/>
              <w:pageBreakBefore w:val="0"/>
              <w:kinsoku/>
              <w:wordWrap/>
              <w:overflowPunct/>
              <w:topLinePunct w:val="0"/>
              <w:bidi w:val="0"/>
              <w:spacing w:line="440" w:lineRule="exac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7．提供正版操作系统和办公系统。</w:t>
            </w:r>
          </w:p>
          <w:p w14:paraId="1FEF4309">
            <w:pPr>
              <w:keepNext w:val="0"/>
              <w:keepLines w:val="0"/>
              <w:pageBreakBefore w:val="0"/>
              <w:kinsoku/>
              <w:wordWrap/>
              <w:overflowPunct/>
              <w:topLinePunct w:val="0"/>
              <w:bidi w:val="0"/>
              <w:spacing w:line="440" w:lineRule="exact"/>
              <w:rPr>
                <w:rFonts w:hint="eastAsia" w:ascii="宋体" w:hAnsi="宋体" w:eastAsia="宋体" w:cs="宋体"/>
                <w:b/>
                <w:bCs/>
                <w:strike w:val="0"/>
                <w:dstrike w:val="0"/>
                <w:color w:val="auto"/>
                <w:sz w:val="21"/>
                <w:szCs w:val="21"/>
              </w:rPr>
            </w:pPr>
            <w:r>
              <w:rPr>
                <w:rFonts w:hint="eastAsia" w:ascii="宋体" w:hAnsi="宋体" w:eastAsia="宋体" w:cs="宋体"/>
                <w:b/>
                <w:bCs/>
                <w:strike w:val="0"/>
                <w:dstrike w:val="0"/>
                <w:color w:val="auto"/>
                <w:sz w:val="21"/>
                <w:szCs w:val="21"/>
              </w:rPr>
              <w:t>软件部分：</w:t>
            </w:r>
          </w:p>
          <w:p w14:paraId="34CDB6B3">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一、 系统架构：</w:t>
            </w:r>
          </w:p>
          <w:p w14:paraId="79A42858">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highlight w:val="none"/>
                <w:lang w:eastAsia="zh-CN" w:bidi="ar"/>
              </w:rPr>
            </w:pP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eastAsia="zh-CN" w:bidi="ar"/>
              </w:rPr>
              <w:t>1.</w:t>
            </w:r>
            <w:r>
              <w:rPr>
                <w:rFonts w:hint="eastAsia" w:ascii="宋体" w:hAnsi="宋体" w:eastAsia="宋体" w:cs="宋体"/>
                <w:strike w:val="0"/>
                <w:dstrike w:val="0"/>
                <w:color w:val="auto"/>
                <w:kern w:val="0"/>
                <w:sz w:val="21"/>
                <w:szCs w:val="21"/>
                <w:lang w:bidi="ar"/>
              </w:rPr>
              <w:t>基于C/S架构设计，系统支持TV端（交互式触控一体机）、PC端、手机端</w:t>
            </w:r>
            <w:r>
              <w:rPr>
                <w:rFonts w:hint="eastAsia" w:ascii="宋体" w:hAnsi="宋体" w:eastAsia="宋体" w:cs="宋体"/>
                <w:strike w:val="0"/>
                <w:dstrike w:val="0"/>
                <w:color w:val="auto"/>
                <w:kern w:val="0"/>
                <w:sz w:val="21"/>
                <w:szCs w:val="21"/>
                <w:highlight w:val="none"/>
                <w:lang w:bidi="ar"/>
              </w:rPr>
              <w:t>（Android、IOS）运行，可满足普通授课、小组研讨不同场景应用需求</w:t>
            </w:r>
            <w:r>
              <w:rPr>
                <w:rFonts w:hint="eastAsia" w:ascii="宋体" w:hAnsi="宋体" w:eastAsia="宋体" w:cs="宋体"/>
                <w:strike w:val="0"/>
                <w:dstrike w:val="0"/>
                <w:color w:val="auto"/>
                <w:kern w:val="0"/>
                <w:sz w:val="21"/>
                <w:szCs w:val="21"/>
                <w:highlight w:val="none"/>
                <w:u w:val="none"/>
                <w:lang w:bidi="ar"/>
              </w:rPr>
              <w:t>。</w:t>
            </w:r>
          </w:p>
          <w:p w14:paraId="1F32F3A1">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二、 登录</w:t>
            </w:r>
          </w:p>
          <w:p w14:paraId="674D5D92">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1.</w:t>
            </w:r>
            <w:r>
              <w:rPr>
                <w:rFonts w:hint="eastAsia" w:ascii="宋体" w:hAnsi="宋体" w:eastAsia="宋体" w:cs="宋体"/>
                <w:strike w:val="0"/>
                <w:dstrike w:val="0"/>
                <w:color w:val="auto"/>
                <w:kern w:val="0"/>
                <w:sz w:val="21"/>
                <w:szCs w:val="21"/>
                <w:lang w:bidi="ar"/>
              </w:rPr>
              <w:t>支持账号密码、手机号验证码、微信扫码登录方式，方便师生快速登录；</w:t>
            </w:r>
          </w:p>
          <w:p w14:paraId="6BB33512">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2.</w:t>
            </w:r>
            <w:r>
              <w:rPr>
                <w:rFonts w:hint="eastAsia" w:ascii="宋体" w:hAnsi="宋体" w:eastAsia="宋体" w:cs="宋体"/>
                <w:strike w:val="0"/>
                <w:dstrike w:val="0"/>
                <w:color w:val="auto"/>
                <w:kern w:val="0"/>
                <w:sz w:val="21"/>
                <w:szCs w:val="21"/>
                <w:lang w:bidi="ar"/>
              </w:rPr>
              <w:t>支持系统自动登录，可一直保持登录状态，无需重复手动登录；</w:t>
            </w:r>
          </w:p>
          <w:p w14:paraId="4B72FD1C">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3.</w:t>
            </w:r>
            <w:r>
              <w:rPr>
                <w:rFonts w:hint="eastAsia" w:ascii="宋体" w:hAnsi="宋体" w:eastAsia="宋体" w:cs="宋体"/>
                <w:strike w:val="0"/>
                <w:dstrike w:val="0"/>
                <w:color w:val="auto"/>
                <w:kern w:val="0"/>
                <w:sz w:val="21"/>
                <w:szCs w:val="21"/>
                <w:lang w:bidi="ar"/>
              </w:rPr>
              <w:t>支持密码修改操作，忘记密码后可通过手机号验证码对密码进行修改。</w:t>
            </w:r>
          </w:p>
          <w:p w14:paraId="55947892">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三、个人中心</w:t>
            </w:r>
          </w:p>
          <w:p w14:paraId="2D22BF88">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1.</w:t>
            </w:r>
            <w:r>
              <w:rPr>
                <w:rFonts w:hint="eastAsia" w:ascii="宋体" w:hAnsi="宋体" w:eastAsia="宋体" w:cs="宋体"/>
                <w:strike w:val="0"/>
                <w:dstrike w:val="0"/>
                <w:color w:val="auto"/>
                <w:kern w:val="0"/>
                <w:sz w:val="21"/>
                <w:szCs w:val="21"/>
                <w:lang w:bidi="ar"/>
              </w:rPr>
              <w:t>支持修改个人头像、昵称；</w:t>
            </w:r>
          </w:p>
          <w:p w14:paraId="7FAF93EB">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2.</w:t>
            </w:r>
            <w:r>
              <w:rPr>
                <w:rFonts w:hint="eastAsia" w:ascii="宋体" w:hAnsi="宋体" w:eastAsia="宋体" w:cs="宋体"/>
                <w:strike w:val="0"/>
                <w:dstrike w:val="0"/>
                <w:color w:val="auto"/>
                <w:kern w:val="0"/>
                <w:sz w:val="21"/>
                <w:szCs w:val="21"/>
                <w:lang w:bidi="ar"/>
              </w:rPr>
              <w:t>支持修改密码、绑定手机号</w:t>
            </w:r>
          </w:p>
          <w:p w14:paraId="03720C5A">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3.</w:t>
            </w:r>
            <w:r>
              <w:rPr>
                <w:rFonts w:hint="eastAsia" w:ascii="宋体" w:hAnsi="宋体" w:eastAsia="宋体" w:cs="宋体"/>
                <w:strike w:val="0"/>
                <w:dstrike w:val="0"/>
                <w:color w:val="auto"/>
                <w:kern w:val="0"/>
                <w:sz w:val="21"/>
                <w:szCs w:val="21"/>
                <w:lang w:bidi="ar"/>
              </w:rPr>
              <w:t>支持修改绑定微信号</w:t>
            </w:r>
          </w:p>
          <w:p w14:paraId="5A198842">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四、云盘：</w:t>
            </w:r>
          </w:p>
          <w:p w14:paraId="77238D40">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1.</w:t>
            </w:r>
            <w:r>
              <w:rPr>
                <w:rFonts w:hint="eastAsia" w:ascii="宋体" w:hAnsi="宋体" w:eastAsia="宋体" w:cs="宋体"/>
                <w:strike w:val="0"/>
                <w:dstrike w:val="0"/>
                <w:color w:val="auto"/>
                <w:kern w:val="0"/>
                <w:sz w:val="21"/>
                <w:szCs w:val="21"/>
                <w:lang w:bidi="ar"/>
              </w:rPr>
              <w:t>支持打开云盘中的文件</w:t>
            </w:r>
          </w:p>
          <w:p w14:paraId="3FC55C3C">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2.</w:t>
            </w:r>
            <w:r>
              <w:rPr>
                <w:rFonts w:hint="eastAsia" w:ascii="宋体" w:hAnsi="宋体" w:eastAsia="宋体" w:cs="宋体"/>
                <w:strike w:val="0"/>
                <w:dstrike w:val="0"/>
                <w:color w:val="auto"/>
                <w:kern w:val="0"/>
                <w:sz w:val="21"/>
                <w:szCs w:val="21"/>
                <w:lang w:bidi="ar"/>
              </w:rPr>
              <w:t>支持云盘新建文件夹和上传文件</w:t>
            </w:r>
          </w:p>
          <w:p w14:paraId="1BC893E5">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五、打开文件</w:t>
            </w:r>
          </w:p>
          <w:p w14:paraId="001407DB">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1.</w:t>
            </w:r>
            <w:r>
              <w:rPr>
                <w:rFonts w:hint="eastAsia" w:ascii="宋体" w:hAnsi="宋体" w:eastAsia="宋体" w:cs="宋体"/>
                <w:strike w:val="0"/>
                <w:dstrike w:val="0"/>
                <w:color w:val="auto"/>
                <w:kern w:val="0"/>
                <w:sz w:val="21"/>
                <w:szCs w:val="21"/>
                <w:lang w:bidi="ar"/>
              </w:rPr>
              <w:t>图片格式支持：jpeg\jpg\bmp\gif\svg\png；</w:t>
            </w:r>
          </w:p>
          <w:p w14:paraId="510DBD21">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2.</w:t>
            </w:r>
            <w:r>
              <w:rPr>
                <w:rFonts w:hint="eastAsia" w:ascii="宋体" w:hAnsi="宋体" w:eastAsia="宋体" w:cs="宋体"/>
                <w:strike w:val="0"/>
                <w:dstrike w:val="0"/>
                <w:color w:val="auto"/>
                <w:kern w:val="0"/>
                <w:sz w:val="21"/>
                <w:szCs w:val="21"/>
                <w:lang w:bidi="ar"/>
              </w:rPr>
              <w:t>音频格式支持：mp3\mp2\wav\wma\m4r\m4a\ac3\aac\ogg\flac\aiff；</w:t>
            </w:r>
          </w:p>
          <w:p w14:paraId="3FD9DF53">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3.</w:t>
            </w:r>
            <w:r>
              <w:rPr>
                <w:rFonts w:hint="eastAsia" w:ascii="宋体" w:hAnsi="宋体" w:eastAsia="宋体" w:cs="宋体"/>
                <w:strike w:val="0"/>
                <w:dstrike w:val="0"/>
                <w:color w:val="auto"/>
                <w:kern w:val="0"/>
                <w:sz w:val="21"/>
                <w:szCs w:val="21"/>
                <w:lang w:bidi="ar"/>
              </w:rPr>
              <w:t>视频格式支持：mp4\avi\mpeg\mov\flv\f4v\wmv\asf\rm\rmvb\3gp\m4v\mkv；</w:t>
            </w:r>
          </w:p>
          <w:p w14:paraId="00A93F33">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六、授课工具</w:t>
            </w:r>
          </w:p>
          <w:p w14:paraId="39A9D998">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1.</w:t>
            </w:r>
            <w:r>
              <w:rPr>
                <w:rFonts w:hint="eastAsia" w:ascii="宋体" w:hAnsi="宋体" w:eastAsia="宋体" w:cs="宋体"/>
                <w:strike w:val="0"/>
                <w:dstrike w:val="0"/>
                <w:color w:val="auto"/>
                <w:kern w:val="0"/>
                <w:sz w:val="21"/>
                <w:szCs w:val="21"/>
                <w:lang w:bidi="ar"/>
              </w:rPr>
              <w:t>截图功能：（1）支持对当前应用截图、隐藏应用对桌面截图(矩形) （2）支持等比缩放、旋转、裁剪、置顶、置底、复制、删除、锁定/解锁操作（3）图完成之后，支持分享（弹出二维码）、保存到网盘</w:t>
            </w:r>
          </w:p>
          <w:p w14:paraId="135C83CD">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2.</w:t>
            </w:r>
            <w:r>
              <w:rPr>
                <w:rFonts w:hint="eastAsia" w:ascii="宋体" w:hAnsi="宋体" w:eastAsia="宋体" w:cs="宋体"/>
                <w:strike w:val="0"/>
                <w:dstrike w:val="0"/>
                <w:color w:val="auto"/>
                <w:kern w:val="0"/>
                <w:sz w:val="21"/>
                <w:szCs w:val="21"/>
                <w:lang w:bidi="ar"/>
              </w:rPr>
              <w:t>放大镜功能：（1）支持圆形、矩形两种放大区域形状选择；（2）支持对放大区域进行拖拽缩放，缩放无大小限制，支持2x、3x、4x、5x四种放大规格选择。</w:t>
            </w:r>
          </w:p>
          <w:p w14:paraId="1C6BBE4C">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3.</w:t>
            </w:r>
            <w:r>
              <w:rPr>
                <w:rFonts w:hint="eastAsia" w:ascii="宋体" w:hAnsi="宋体" w:eastAsia="宋体" w:cs="宋体"/>
                <w:strike w:val="0"/>
                <w:dstrike w:val="0"/>
                <w:color w:val="auto"/>
                <w:kern w:val="0"/>
                <w:sz w:val="21"/>
                <w:szCs w:val="21"/>
                <w:lang w:bidi="ar"/>
              </w:rPr>
              <w:t>计时器功能：（1）支持倒计时、秒表功能；（2）支持全局数据重置，可全屏、还原；（3）倒计时模式下，默认从5分钟开始，显示分、秒，可对分、秒进行增减（最大120分钟），倒计时5秒后自动隐藏功能界面，仅显示时间小窗口，窗口可拖动，倒计时至5s颜色变为红色，有声音提示；（4）秒表从0s开始，显示分、秒、毫秒，计时过程中自动进行计时功能页面隐藏，仅显示时间，支持页面自由拖拽移动;（5）倒计时和秒表的计时过程自动进行计时功能页面隐藏，仅显示时间，支持页面自由拖拽移动。（6）倒计时、秒表支持全屏显示。</w:t>
            </w:r>
          </w:p>
          <w:p w14:paraId="09AA72B9">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4.</w:t>
            </w:r>
            <w:r>
              <w:rPr>
                <w:rFonts w:hint="eastAsia" w:ascii="宋体" w:hAnsi="宋体" w:eastAsia="宋体" w:cs="宋体"/>
                <w:strike w:val="0"/>
                <w:dstrike w:val="0"/>
                <w:color w:val="auto"/>
                <w:kern w:val="0"/>
                <w:sz w:val="21"/>
                <w:szCs w:val="21"/>
                <w:lang w:bidi="ar"/>
              </w:rPr>
              <w:t>聚光灯：开灯区域形状支持圆形、矩形调节，可对开灯区域进行拖拽缩放，支持开灯、关灯功能。；</w:t>
            </w:r>
          </w:p>
          <w:p w14:paraId="47337466">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七、批注：</w:t>
            </w:r>
          </w:p>
          <w:p w14:paraId="3FB6C187">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1.</w:t>
            </w:r>
            <w:r>
              <w:rPr>
                <w:rFonts w:hint="eastAsia" w:ascii="宋体" w:hAnsi="宋体" w:eastAsia="宋体" w:cs="宋体"/>
                <w:strike w:val="0"/>
                <w:dstrike w:val="0"/>
                <w:color w:val="auto"/>
                <w:kern w:val="0"/>
                <w:sz w:val="21"/>
                <w:szCs w:val="21"/>
                <w:lang w:bidi="ar"/>
              </w:rPr>
              <w:t>支持红、浅红、黑、白、黄、橘黄、蓝、绿8种固定颜色可选，并可以自定义画笔颜色，支持细、中、粗三种粗细可选，具有笔锋效果。</w:t>
            </w:r>
          </w:p>
          <w:p w14:paraId="236AA943">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2.</w:t>
            </w:r>
            <w:r>
              <w:rPr>
                <w:rFonts w:hint="eastAsia" w:ascii="宋体" w:hAnsi="宋体" w:eastAsia="宋体" w:cs="宋体"/>
                <w:strike w:val="0"/>
                <w:dstrike w:val="0"/>
                <w:color w:val="auto"/>
                <w:kern w:val="0"/>
                <w:sz w:val="21"/>
                <w:szCs w:val="21"/>
                <w:lang w:bidi="ar"/>
              </w:rPr>
              <w:t>笔迹被选中后，支持对笔迹进行移动、等比例缩放、360°旋转、颜色更换、复制、删除操作；</w:t>
            </w:r>
          </w:p>
          <w:p w14:paraId="6896C8AD">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3.</w:t>
            </w:r>
            <w:r>
              <w:rPr>
                <w:rFonts w:hint="eastAsia" w:ascii="宋体" w:hAnsi="宋体" w:eastAsia="宋体" w:cs="宋体"/>
                <w:strike w:val="0"/>
                <w:dstrike w:val="0"/>
                <w:color w:val="auto"/>
                <w:kern w:val="0"/>
                <w:sz w:val="21"/>
                <w:szCs w:val="21"/>
                <w:lang w:bidi="ar"/>
              </w:rPr>
              <w:t>橡皮支持擦笔迹、清屏、手势擦除。橡皮状态下默认橡皮局部擦除， 再次点击可选择清屏，可随时用手掌进行手势擦除，根据手与大屏接触面积调整橡皮大小；</w:t>
            </w:r>
          </w:p>
          <w:p w14:paraId="2195E32A">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4.</w:t>
            </w:r>
            <w:r>
              <w:rPr>
                <w:rFonts w:hint="eastAsia" w:ascii="宋体" w:hAnsi="宋体" w:eastAsia="宋体" w:cs="宋体"/>
                <w:strike w:val="0"/>
                <w:dstrike w:val="0"/>
                <w:color w:val="auto"/>
                <w:kern w:val="0"/>
                <w:sz w:val="21"/>
                <w:szCs w:val="21"/>
                <w:lang w:bidi="ar"/>
              </w:rPr>
              <w:t>支持撤消上一步操作，支持一键擦除：擦除所有笔迹</w:t>
            </w:r>
          </w:p>
          <w:p w14:paraId="653E5E3B">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5.</w:t>
            </w:r>
            <w:r>
              <w:rPr>
                <w:rFonts w:hint="eastAsia" w:ascii="宋体" w:hAnsi="宋体" w:eastAsia="宋体" w:cs="宋体"/>
                <w:strike w:val="0"/>
                <w:dstrike w:val="0"/>
                <w:color w:val="auto"/>
                <w:kern w:val="0"/>
                <w:sz w:val="21"/>
                <w:szCs w:val="21"/>
                <w:lang w:bidi="ar"/>
              </w:rPr>
              <w:t>支持分享：点击分享弹出二维码，微信/APP可以扫码识别下载图片</w:t>
            </w:r>
          </w:p>
          <w:p w14:paraId="27B94F8C">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6.</w:t>
            </w:r>
            <w:r>
              <w:rPr>
                <w:rFonts w:hint="eastAsia" w:ascii="宋体" w:hAnsi="宋体" w:eastAsia="宋体" w:cs="宋体"/>
                <w:strike w:val="0"/>
                <w:dstrike w:val="0"/>
                <w:color w:val="auto"/>
                <w:kern w:val="0"/>
                <w:sz w:val="21"/>
                <w:szCs w:val="21"/>
                <w:lang w:bidi="ar"/>
              </w:rPr>
              <w:t>支持保存云端：保存到个人云盘默认目录</w:t>
            </w:r>
          </w:p>
          <w:p w14:paraId="014CFB15">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7.</w:t>
            </w:r>
            <w:r>
              <w:rPr>
                <w:rFonts w:hint="eastAsia" w:ascii="宋体" w:hAnsi="宋体" w:eastAsia="宋体" w:cs="宋体"/>
                <w:strike w:val="0"/>
                <w:dstrike w:val="0"/>
                <w:color w:val="auto"/>
                <w:kern w:val="0"/>
                <w:sz w:val="21"/>
                <w:szCs w:val="21"/>
                <w:lang w:bidi="ar"/>
              </w:rPr>
              <w:t>支持保存本地：保存到本地指定目录</w:t>
            </w:r>
          </w:p>
          <w:p w14:paraId="187081C3">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8.</w:t>
            </w:r>
            <w:r>
              <w:rPr>
                <w:rFonts w:hint="eastAsia" w:ascii="宋体" w:hAnsi="宋体" w:eastAsia="宋体" w:cs="宋体"/>
                <w:strike w:val="0"/>
                <w:dstrike w:val="0"/>
                <w:color w:val="auto"/>
                <w:kern w:val="0"/>
                <w:sz w:val="21"/>
                <w:szCs w:val="21"/>
                <w:lang w:bidi="ar"/>
              </w:rPr>
              <w:t>支持协作：点击协作，教师大屏进入协作批注模式下，只保留画笔、橡皮、保存、关闭按钮。小组屏会自动进入协作批注界面，只有画笔、橡皮功能，不能关闭</w:t>
            </w:r>
          </w:p>
          <w:p w14:paraId="18A18A00">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八、白板</w:t>
            </w:r>
          </w:p>
          <w:p w14:paraId="12CC839F">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1.</w:t>
            </w:r>
            <w:r>
              <w:rPr>
                <w:rFonts w:hint="eastAsia" w:ascii="宋体" w:hAnsi="宋体" w:eastAsia="宋体" w:cs="宋体"/>
                <w:strike w:val="0"/>
                <w:dstrike w:val="0"/>
                <w:color w:val="auto"/>
                <w:kern w:val="0"/>
                <w:sz w:val="21"/>
                <w:szCs w:val="21"/>
                <w:lang w:bidi="ar"/>
              </w:rPr>
              <w:t>支持红、浅红、黑、白、黄、橘黄、蓝、绿8种固定颜色可选，并可以自定义画笔颜色，支持细、中、粗三种粗细可选，具有笔锋效果。</w:t>
            </w:r>
          </w:p>
          <w:p w14:paraId="762477F6">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画笔状态下默认为红色、细 </w:t>
            </w:r>
          </w:p>
          <w:p w14:paraId="6CA44BE9">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2.</w:t>
            </w:r>
            <w:r>
              <w:rPr>
                <w:rFonts w:hint="eastAsia" w:ascii="宋体" w:hAnsi="宋体" w:eastAsia="宋体" w:cs="宋体"/>
                <w:strike w:val="0"/>
                <w:dstrike w:val="0"/>
                <w:color w:val="auto"/>
                <w:kern w:val="0"/>
                <w:sz w:val="21"/>
                <w:szCs w:val="21"/>
                <w:lang w:bidi="ar"/>
              </w:rPr>
              <w:t>笔迹被选中后，支持对笔迹进行移动、等比例缩放、360°旋转、颜色更换、复制、删除操作；</w:t>
            </w:r>
          </w:p>
          <w:p w14:paraId="35D8440E">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3.</w:t>
            </w:r>
            <w:r>
              <w:rPr>
                <w:rFonts w:hint="eastAsia" w:ascii="宋体" w:hAnsi="宋体" w:eastAsia="宋体" w:cs="宋体"/>
                <w:strike w:val="0"/>
                <w:dstrike w:val="0"/>
                <w:color w:val="auto"/>
                <w:kern w:val="0"/>
                <w:sz w:val="21"/>
                <w:szCs w:val="21"/>
                <w:lang w:bidi="ar"/>
              </w:rPr>
              <w:t>支持橡皮：橡皮支持擦笔迹、清屏、手势擦除。橡皮状态下默认橡皮局部擦除，再次点击可选择清屏，可随时用手掌进行手势擦除，根据手与大屏接触面积调整橡皮大小；</w:t>
            </w:r>
          </w:p>
          <w:p w14:paraId="05443744">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4.</w:t>
            </w:r>
            <w:r>
              <w:rPr>
                <w:rFonts w:hint="eastAsia" w:ascii="宋体" w:hAnsi="宋体" w:eastAsia="宋体" w:cs="宋体"/>
                <w:strike w:val="0"/>
                <w:dstrike w:val="0"/>
                <w:color w:val="auto"/>
                <w:kern w:val="0"/>
                <w:sz w:val="21"/>
                <w:szCs w:val="21"/>
                <w:lang w:bidi="ar"/>
              </w:rPr>
              <w:t>支持设置黑板背景：更换黑板背景</w:t>
            </w:r>
          </w:p>
          <w:p w14:paraId="459B30F5">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5.</w:t>
            </w:r>
            <w:r>
              <w:rPr>
                <w:rFonts w:hint="eastAsia" w:ascii="宋体" w:hAnsi="宋体" w:eastAsia="宋体" w:cs="宋体"/>
                <w:strike w:val="0"/>
                <w:dstrike w:val="0"/>
                <w:color w:val="auto"/>
                <w:kern w:val="0"/>
                <w:sz w:val="21"/>
                <w:szCs w:val="21"/>
                <w:lang w:bidi="ar"/>
              </w:rPr>
              <w:t>支持撤消：撤消上一步操作，最多100步；</w:t>
            </w:r>
          </w:p>
          <w:p w14:paraId="38DBE315">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6.</w:t>
            </w:r>
            <w:r>
              <w:rPr>
                <w:rFonts w:hint="eastAsia" w:ascii="宋体" w:hAnsi="宋体" w:eastAsia="宋体" w:cs="宋体"/>
                <w:strike w:val="0"/>
                <w:dstrike w:val="0"/>
                <w:color w:val="auto"/>
                <w:kern w:val="0"/>
                <w:sz w:val="21"/>
                <w:szCs w:val="21"/>
                <w:lang w:bidi="ar"/>
              </w:rPr>
              <w:t>支持一键擦除：擦除所有笔迹</w:t>
            </w:r>
          </w:p>
          <w:p w14:paraId="421F4F64">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7.</w:t>
            </w:r>
            <w:r>
              <w:rPr>
                <w:rFonts w:hint="eastAsia" w:ascii="宋体" w:hAnsi="宋体" w:eastAsia="宋体" w:cs="宋体"/>
                <w:strike w:val="0"/>
                <w:dstrike w:val="0"/>
                <w:color w:val="auto"/>
                <w:kern w:val="0"/>
                <w:sz w:val="21"/>
                <w:szCs w:val="21"/>
                <w:lang w:bidi="ar"/>
              </w:rPr>
              <w:t>支持分享：点击分享弹出二维码，APP可以扫码识别</w:t>
            </w:r>
          </w:p>
          <w:p w14:paraId="2A5AA75E">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8.</w:t>
            </w:r>
            <w:r>
              <w:rPr>
                <w:rFonts w:hint="eastAsia" w:ascii="宋体" w:hAnsi="宋体" w:eastAsia="宋体" w:cs="宋体"/>
                <w:strike w:val="0"/>
                <w:dstrike w:val="0"/>
                <w:color w:val="auto"/>
                <w:kern w:val="0"/>
                <w:sz w:val="21"/>
                <w:szCs w:val="21"/>
                <w:lang w:bidi="ar"/>
              </w:rPr>
              <w:t>支持保存云端：保存到个人云盘中默认路径</w:t>
            </w:r>
          </w:p>
          <w:p w14:paraId="7FA9DBF0">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9.</w:t>
            </w:r>
            <w:r>
              <w:rPr>
                <w:rFonts w:hint="eastAsia" w:ascii="宋体" w:hAnsi="宋体" w:eastAsia="宋体" w:cs="宋体"/>
                <w:strike w:val="0"/>
                <w:dstrike w:val="0"/>
                <w:color w:val="auto"/>
                <w:kern w:val="0"/>
                <w:sz w:val="21"/>
                <w:szCs w:val="21"/>
                <w:lang w:bidi="ar"/>
              </w:rPr>
              <w:t>支持保存本地：保存到指定位置</w:t>
            </w:r>
          </w:p>
          <w:p w14:paraId="621EF998">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1</w:t>
            </w:r>
            <w:r>
              <w:rPr>
                <w:rFonts w:hint="eastAsia" w:ascii="宋体" w:hAnsi="宋体" w:eastAsia="宋体" w:cs="宋体"/>
                <w:strike w:val="0"/>
                <w:dstrike w:val="0"/>
                <w:color w:val="auto"/>
                <w:kern w:val="0"/>
                <w:sz w:val="21"/>
                <w:szCs w:val="21"/>
                <w:lang w:eastAsia="zh-CN" w:bidi="ar"/>
              </w:rPr>
              <w:t>0.</w:t>
            </w:r>
            <w:r>
              <w:rPr>
                <w:rFonts w:hint="eastAsia" w:ascii="宋体" w:hAnsi="宋体" w:eastAsia="宋体" w:cs="宋体"/>
                <w:strike w:val="0"/>
                <w:dstrike w:val="0"/>
                <w:color w:val="auto"/>
                <w:kern w:val="0"/>
                <w:sz w:val="21"/>
                <w:szCs w:val="21"/>
                <w:lang w:bidi="ar"/>
              </w:rPr>
              <w:t>支持加减页面</w:t>
            </w:r>
          </w:p>
          <w:p w14:paraId="56C7636C">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1</w:t>
            </w:r>
            <w:r>
              <w:rPr>
                <w:rFonts w:hint="eastAsia" w:ascii="宋体" w:hAnsi="宋体" w:eastAsia="宋体" w:cs="宋体"/>
                <w:strike w:val="0"/>
                <w:dstrike w:val="0"/>
                <w:color w:val="auto"/>
                <w:kern w:val="0"/>
                <w:sz w:val="21"/>
                <w:szCs w:val="21"/>
                <w:lang w:eastAsia="zh-CN" w:bidi="ar"/>
              </w:rPr>
              <w:t>1.</w:t>
            </w:r>
            <w:r>
              <w:rPr>
                <w:rFonts w:hint="eastAsia" w:ascii="宋体" w:hAnsi="宋体" w:eastAsia="宋体" w:cs="宋体"/>
                <w:strike w:val="0"/>
                <w:dstrike w:val="0"/>
                <w:color w:val="auto"/>
                <w:kern w:val="0"/>
                <w:sz w:val="21"/>
                <w:szCs w:val="21"/>
                <w:lang w:bidi="ar"/>
              </w:rPr>
              <w:t>支持上下翻页</w:t>
            </w:r>
          </w:p>
          <w:p w14:paraId="267D2B61">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1</w:t>
            </w:r>
            <w:r>
              <w:rPr>
                <w:rFonts w:hint="eastAsia" w:ascii="宋体" w:hAnsi="宋体" w:eastAsia="宋体" w:cs="宋体"/>
                <w:strike w:val="0"/>
                <w:dstrike w:val="0"/>
                <w:color w:val="auto"/>
                <w:kern w:val="0"/>
                <w:sz w:val="21"/>
                <w:szCs w:val="21"/>
                <w:lang w:eastAsia="zh-CN" w:bidi="ar"/>
              </w:rPr>
              <w:t>2.</w:t>
            </w:r>
            <w:r>
              <w:rPr>
                <w:rFonts w:hint="eastAsia" w:ascii="宋体" w:hAnsi="宋体" w:eastAsia="宋体" w:cs="宋体"/>
                <w:strike w:val="0"/>
                <w:dstrike w:val="0"/>
                <w:color w:val="auto"/>
                <w:kern w:val="0"/>
                <w:sz w:val="21"/>
                <w:szCs w:val="21"/>
                <w:lang w:bidi="ar"/>
              </w:rPr>
              <w:t>致辞协作：点击协作，教师大屏协作白板界面，小组屏会自动进入协作白板界面，画笔、橡皮、保存、关闭按钮，只有教师屏可以翻页、+-页、保存。</w:t>
            </w:r>
          </w:p>
          <w:p w14:paraId="2FBD59C3">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1</w:t>
            </w:r>
            <w:r>
              <w:rPr>
                <w:rFonts w:hint="eastAsia" w:ascii="宋体" w:hAnsi="宋体" w:eastAsia="宋体" w:cs="宋体"/>
                <w:strike w:val="0"/>
                <w:dstrike w:val="0"/>
                <w:color w:val="auto"/>
                <w:kern w:val="0"/>
                <w:sz w:val="21"/>
                <w:szCs w:val="21"/>
                <w:lang w:eastAsia="zh-CN" w:bidi="ar"/>
              </w:rPr>
              <w:t>3.</w:t>
            </w:r>
            <w:r>
              <w:rPr>
                <w:rFonts w:hint="eastAsia" w:ascii="宋体" w:hAnsi="宋体" w:eastAsia="宋体" w:cs="宋体"/>
                <w:strike w:val="0"/>
                <w:dstrike w:val="0"/>
                <w:color w:val="auto"/>
                <w:kern w:val="0"/>
                <w:sz w:val="21"/>
                <w:szCs w:val="21"/>
                <w:lang w:bidi="ar"/>
              </w:rPr>
              <w:t>支持联动：如果双屏模式激活，且教师端通过hdmi关联了主屏和扩展屏，点击联动按钮，可以实现白板联动，即主屏播放白板的第一页，扩展屏播放白板的第二页，只有扩展屏中的白板可以加页。</w:t>
            </w:r>
          </w:p>
          <w:p w14:paraId="56527556">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九、激活控制</w:t>
            </w:r>
          </w:p>
          <w:p w14:paraId="7E8A190B">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1.</w:t>
            </w:r>
            <w:r>
              <w:rPr>
                <w:rFonts w:hint="eastAsia" w:ascii="宋体" w:hAnsi="宋体" w:eastAsia="宋体" w:cs="宋体"/>
                <w:strike w:val="0"/>
                <w:dstrike w:val="0"/>
                <w:color w:val="auto"/>
                <w:kern w:val="0"/>
                <w:sz w:val="21"/>
                <w:szCs w:val="21"/>
                <w:lang w:bidi="ar"/>
              </w:rPr>
              <w:t>支持通过激活码激活双屏/研讨功能。激活码由16位数字、子母组成，区分大小写</w:t>
            </w:r>
          </w:p>
          <w:p w14:paraId="5764EA08">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激活码数量：10万级别；激活码可以单个生成，可以批量生成；激活码为永久激活；激活码后台需记录信息包括：激活码、用户名称、生成时间、绑定时间、机器码、是否已经使用</w:t>
            </w:r>
          </w:p>
          <w:p w14:paraId="40279698">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十、屏幕部署</w:t>
            </w:r>
          </w:p>
          <w:p w14:paraId="4EF5792A">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1.</w:t>
            </w:r>
            <w:r>
              <w:rPr>
                <w:rFonts w:hint="eastAsia" w:ascii="宋体" w:hAnsi="宋体" w:eastAsia="宋体" w:cs="宋体"/>
                <w:strike w:val="0"/>
                <w:dstrike w:val="0"/>
                <w:color w:val="auto"/>
                <w:kern w:val="0"/>
                <w:sz w:val="21"/>
                <w:szCs w:val="21"/>
                <w:lang w:bidi="ar"/>
              </w:rPr>
              <w:t>支持教师屏端组群：教师大屏可以创建群组，可以搜索搜索显示本空间内的设备列表，在设备列表中选中某设备，对应副屏会亮起“已选中”字样，主屏端进入设备定义完成大屏类型和命名后，设备列表显示此设备已被选中，点击完成后显示进入群组。</w:t>
            </w:r>
          </w:p>
          <w:p w14:paraId="4184833B">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2.</w:t>
            </w:r>
            <w:r>
              <w:rPr>
                <w:rFonts w:hint="eastAsia" w:ascii="宋体" w:hAnsi="宋体" w:eastAsia="宋体" w:cs="宋体"/>
                <w:strike w:val="0"/>
                <w:dstrike w:val="0"/>
                <w:color w:val="auto"/>
                <w:kern w:val="0"/>
                <w:sz w:val="21"/>
                <w:szCs w:val="21"/>
                <w:lang w:bidi="ar"/>
              </w:rPr>
              <w:t>支持教师大屏解散群组，选择添加/删除空间内的设备。</w:t>
            </w:r>
          </w:p>
          <w:p w14:paraId="0B1FC2AD">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3.</w:t>
            </w:r>
            <w:r>
              <w:rPr>
                <w:rFonts w:hint="eastAsia" w:ascii="宋体" w:hAnsi="宋体" w:eastAsia="宋体" w:cs="宋体"/>
                <w:strike w:val="0"/>
                <w:dstrike w:val="0"/>
                <w:color w:val="auto"/>
                <w:kern w:val="0"/>
                <w:sz w:val="21"/>
                <w:szCs w:val="21"/>
                <w:lang w:bidi="ar"/>
              </w:rPr>
              <w:t>支持小组屏端大屏主动加入群组：教师屏可以生成群组码，小组屏输入群组码加入群组时可以编辑小组屏名称，点击完成后显示进入群组。</w:t>
            </w:r>
          </w:p>
          <w:p w14:paraId="56EB7A6B">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十一、可视化建模</w:t>
            </w:r>
          </w:p>
          <w:p w14:paraId="3A8623BD">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1.支持教师屏空间建模，支持将各设备拖拽到对应的空间位置上，完成空间建模，点击编辑按钮可以对设备进行命名</w:t>
            </w:r>
          </w:p>
          <w:p w14:paraId="3585941D">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2.支持屏幕对号，通过一键检测将空间建模命名信息推送给小组屏，对应小组屏亮命名信息。</w:t>
            </w:r>
          </w:p>
          <w:p w14:paraId="04E605F2">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十二、一键关机</w:t>
            </w:r>
          </w:p>
          <w:p w14:paraId="129FE6A5">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1.</w:t>
            </w:r>
            <w:r>
              <w:rPr>
                <w:rFonts w:hint="eastAsia" w:ascii="宋体" w:hAnsi="宋体" w:eastAsia="宋体" w:cs="宋体"/>
                <w:strike w:val="0"/>
                <w:dstrike w:val="0"/>
                <w:color w:val="auto"/>
                <w:kern w:val="0"/>
                <w:sz w:val="21"/>
                <w:szCs w:val="21"/>
                <w:lang w:bidi="ar"/>
              </w:rPr>
              <w:t xml:space="preserve"> 支持教师屏一键关机所有小组屏</w:t>
            </w:r>
          </w:p>
          <w:p w14:paraId="11AA7C71">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十三、多屏互动</w:t>
            </w:r>
          </w:p>
          <w:p w14:paraId="50D11302">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1.</w:t>
            </w:r>
            <w:r>
              <w:rPr>
                <w:rFonts w:hint="eastAsia" w:ascii="宋体" w:hAnsi="宋体" w:eastAsia="宋体" w:cs="宋体"/>
                <w:strike w:val="0"/>
                <w:dstrike w:val="0"/>
                <w:color w:val="auto"/>
                <w:kern w:val="0"/>
                <w:sz w:val="21"/>
                <w:szCs w:val="21"/>
                <w:lang w:bidi="ar"/>
              </w:rPr>
              <w:t>支持手机传大屏：支持教师将手机画面投至大屏，在大屏上原始比例全屏显示；支持手机横屏并将大屏端画面镜像旋转横屏，铺满大屏屏幕显示；可接受手机镜像传屏同时接受声音；支持将文件投至大屏端：手机端可以把本地中的图片、视频、音频、文件推送至大屏；支持手机将摄像头画面实时传输至大屏端显示。手机端摄像头画面动态变化，大屏端画面同步变化；单个大屏支持最多4个个手机同时投屏。</w:t>
            </w:r>
          </w:p>
          <w:p w14:paraId="0642B7D5">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2.</w:t>
            </w:r>
            <w:r>
              <w:rPr>
                <w:rFonts w:hint="eastAsia" w:ascii="宋体" w:hAnsi="宋体" w:eastAsia="宋体" w:cs="宋体"/>
                <w:strike w:val="0"/>
                <w:dstrike w:val="0"/>
                <w:color w:val="auto"/>
                <w:kern w:val="0"/>
                <w:sz w:val="21"/>
                <w:szCs w:val="21"/>
                <w:lang w:bidi="ar"/>
              </w:rPr>
              <w:t>支持大屏传手机：支持将大屏端画面实时传输至手机端显示。大屏端画面变化，手机端则相应同步切换界面。手机端可以点击画面，并将操控指令传输至大屏，大屏发生相应的动作；支持根据网络情况提供最大的分辨率1080P；</w:t>
            </w:r>
          </w:p>
          <w:p w14:paraId="729A8DE3">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3.</w:t>
            </w:r>
            <w:r>
              <w:rPr>
                <w:rFonts w:hint="eastAsia" w:ascii="宋体" w:hAnsi="宋体" w:eastAsia="宋体" w:cs="宋体"/>
                <w:strike w:val="0"/>
                <w:dstrike w:val="0"/>
                <w:color w:val="auto"/>
                <w:kern w:val="0"/>
                <w:sz w:val="21"/>
                <w:szCs w:val="21"/>
                <w:lang w:bidi="ar"/>
              </w:rPr>
              <w:t>支持移动授课：教师端大屏正在播放课件，教师手机打开移动授课，可以暂停/播放课件上下翻页课件；支持手机单控制大屏音量大小</w:t>
            </w:r>
          </w:p>
          <w:p w14:paraId="48826D11">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4.</w:t>
            </w:r>
            <w:r>
              <w:rPr>
                <w:rFonts w:hint="eastAsia" w:ascii="宋体" w:hAnsi="宋体" w:eastAsia="宋体" w:cs="宋体"/>
                <w:strike w:val="0"/>
                <w:dstrike w:val="0"/>
                <w:color w:val="auto"/>
                <w:kern w:val="0"/>
                <w:sz w:val="21"/>
                <w:szCs w:val="21"/>
                <w:lang w:bidi="ar"/>
              </w:rPr>
              <w:t>支持PC传大屏：支持PC将屏幕投放到大屏端，支持传屏幕同时接收声音播放支持PC将文件投放至大屏端；支持PC将本地文件传送至大屏端传屏之后，教师大屏可以回控PC，PPT播放时，支持批注跟随</w:t>
            </w:r>
          </w:p>
          <w:p w14:paraId="3DFBE310">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十四、小组研讨</w:t>
            </w:r>
          </w:p>
          <w:p w14:paraId="37A95058">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1.</w:t>
            </w:r>
            <w:r>
              <w:rPr>
                <w:rFonts w:hint="eastAsia" w:ascii="宋体" w:hAnsi="宋体" w:eastAsia="宋体" w:cs="宋体"/>
                <w:strike w:val="0"/>
                <w:dstrike w:val="0"/>
                <w:color w:val="auto"/>
                <w:kern w:val="0"/>
                <w:sz w:val="21"/>
                <w:szCs w:val="21"/>
                <w:lang w:bidi="ar"/>
              </w:rPr>
              <w:t>支持调取：教师屏端可以选择各小组屏的画面进行显示，并支持将调取的画面同步广播到各个小组屏。显示的格式包括：各个小组屏的小画面预览、某个小组屏在主屏的全屏显示（双屏的教师屏端显示）、小组屏的二分屏显示、小组屏的四分显示、各个小组屏窗口大小可调整的显示（可以放大至全屏）教师屏可以回控小组屏。根据网络情况提供最大的分辨率4K。单个教师大屏支持调取最多4个小组屏。两个教师大屏支持调取最多8个小组屏</w:t>
            </w:r>
          </w:p>
          <w:p w14:paraId="460C6931">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2.</w:t>
            </w:r>
            <w:r>
              <w:rPr>
                <w:rFonts w:hint="eastAsia" w:ascii="宋体" w:hAnsi="宋体" w:eastAsia="宋体" w:cs="宋体"/>
                <w:strike w:val="0"/>
                <w:dstrike w:val="0"/>
                <w:color w:val="auto"/>
                <w:kern w:val="0"/>
                <w:sz w:val="21"/>
                <w:szCs w:val="21"/>
                <w:lang w:bidi="ar"/>
              </w:rPr>
              <w:t>支持广播：教师屏点击广播，可以选择将屏幕/ /文件一键广播到小组屏；教师屏可以结束广播。根据网络情况提供最大的分辨率4K。双屏激活的调价下，支持将主屏或者小组屏广播至小组屏。</w:t>
            </w:r>
          </w:p>
          <w:p w14:paraId="2776C6D3">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十五、双屏</w:t>
            </w:r>
          </w:p>
          <w:p w14:paraId="52088AFA">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1.</w:t>
            </w:r>
            <w:r>
              <w:rPr>
                <w:rFonts w:hint="eastAsia" w:ascii="宋体" w:hAnsi="宋体" w:eastAsia="宋体" w:cs="宋体"/>
                <w:strike w:val="0"/>
                <w:dstrike w:val="0"/>
                <w:color w:val="auto"/>
                <w:kern w:val="0"/>
                <w:sz w:val="21"/>
                <w:szCs w:val="21"/>
                <w:lang w:bidi="ar"/>
              </w:rPr>
              <w:t>支持双屏显示：教学时，原来由一个一体机显示的画面，现由两个一体机共同来显示；两台一体机左右排列，左侧一体机显示画面的左半部分，右侧一体机显示画面的右半部分，两个一体机合作显示OPS教学的整个画面；</w:t>
            </w:r>
          </w:p>
          <w:p w14:paraId="169D6A8D">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两台一体机的触控可按一个画面的正常触控来操作（即在触控上同样支持双拼协作显示）；</w:t>
            </w:r>
          </w:p>
          <w:p w14:paraId="0E3F0FB3">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2.</w:t>
            </w:r>
            <w:r>
              <w:rPr>
                <w:rFonts w:hint="eastAsia" w:ascii="宋体" w:hAnsi="宋体" w:eastAsia="宋体" w:cs="宋体"/>
                <w:strike w:val="0"/>
                <w:dstrike w:val="0"/>
                <w:color w:val="auto"/>
                <w:kern w:val="0"/>
                <w:sz w:val="21"/>
                <w:szCs w:val="21"/>
                <w:lang w:bidi="ar"/>
              </w:rPr>
              <w:t>支持双屏同步显示：两台一体机左右排列，显示同样的内容，对一台一体机的操控可以在两台一体机上同步显示； 两台一体机的触控可按原一体机的触控来操作（即触控上一台一体机作用时，需要在另一台一体机上显示同样的效果）；实现两个一体机的同样显示、操控。用户可进行同屏显示的开启和关闭；</w:t>
            </w:r>
          </w:p>
          <w:p w14:paraId="4A8626C1">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3.</w:t>
            </w:r>
            <w:r>
              <w:rPr>
                <w:rFonts w:hint="eastAsia" w:ascii="宋体" w:hAnsi="宋体" w:eastAsia="宋体" w:cs="宋体"/>
                <w:strike w:val="0"/>
                <w:dstrike w:val="0"/>
                <w:color w:val="auto"/>
                <w:kern w:val="0"/>
                <w:sz w:val="21"/>
                <w:szCs w:val="21"/>
                <w:lang w:bidi="ar"/>
              </w:rPr>
              <w:t>支持PPT联动：支持在PPT播放的过程中，可以一屏播放PPT当前页，另一屏显示PPT上一页的内容，当PPT播放到下一页/切换到上一页后，显示上一页的屏幕内容会自动跟随变化；PPT打开的初始状态是左屏是第一页，右屏是第二页；翻页后保持右侧的比左侧的多一页；选择双屏交换后则为左侧比右侧的多一页；翻页到最后一页再向下翻页时可以循环回到第一页再重新开始。用户可进行PPT联动的开启和关闭；</w:t>
            </w:r>
          </w:p>
          <w:p w14:paraId="1ED9B495">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4.</w:t>
            </w:r>
            <w:r>
              <w:rPr>
                <w:rFonts w:hint="eastAsia" w:ascii="宋体" w:hAnsi="宋体" w:eastAsia="宋体" w:cs="宋体"/>
                <w:strike w:val="0"/>
                <w:dstrike w:val="0"/>
                <w:color w:val="auto"/>
                <w:kern w:val="0"/>
                <w:sz w:val="21"/>
                <w:szCs w:val="21"/>
                <w:lang w:bidi="ar"/>
              </w:rPr>
              <w:t>支持屏幕穿越：支持可以将文档从一个屏幕直接拖入到另一个屏幕中显示；支持的文档有：视频，音频，图片，PPT，PDF，WORD，EXCEL文档；</w:t>
            </w:r>
          </w:p>
          <w:p w14:paraId="2340CB6E">
            <w:pPr>
              <w:keepNext w:val="0"/>
              <w:keepLines w:val="0"/>
              <w:pageBreakBefore w:val="0"/>
              <w:widowControl/>
              <w:kinsoku/>
              <w:wordWrap/>
              <w:overflowPunct/>
              <w:topLinePunct w:val="0"/>
              <w:bidi w:val="0"/>
              <w:spacing w:line="440" w:lineRule="exact"/>
              <w:jc w:val="left"/>
              <w:rPr>
                <w:rFonts w:hint="eastAsia" w:ascii="宋体" w:hAnsi="宋体" w:eastAsia="宋体" w:cs="宋体"/>
                <w:bCs/>
                <w:color w:val="auto"/>
                <w:sz w:val="21"/>
                <w:szCs w:val="21"/>
                <w:shd w:val="clear" w:color="auto" w:fill="FFFFFF"/>
              </w:rPr>
            </w:pPr>
            <w:r>
              <w:rPr>
                <w:rFonts w:hint="eastAsia" w:ascii="宋体" w:hAnsi="宋体" w:eastAsia="宋体" w:cs="宋体"/>
                <w:strike w:val="0"/>
                <w:dstrike w:val="0"/>
                <w:color w:val="auto"/>
                <w:kern w:val="0"/>
                <w:sz w:val="21"/>
                <w:szCs w:val="21"/>
                <w:lang w:eastAsia="zh-CN" w:bidi="ar"/>
              </w:rPr>
              <w:t>5.</w:t>
            </w:r>
            <w:r>
              <w:rPr>
                <w:rFonts w:hint="eastAsia" w:ascii="宋体" w:hAnsi="宋体" w:eastAsia="宋体" w:cs="宋体"/>
                <w:strike w:val="0"/>
                <w:dstrike w:val="0"/>
                <w:color w:val="auto"/>
                <w:kern w:val="0"/>
                <w:sz w:val="21"/>
                <w:szCs w:val="21"/>
                <w:lang w:bidi="ar"/>
              </w:rPr>
              <w:t>支持屏幕互换：支持快速的进行左右两个屏幕中显示内容的互相替换；</w:t>
            </w:r>
          </w:p>
        </w:tc>
      </w:tr>
      <w:tr w14:paraId="2FD2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8C000A9">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Cs/>
                <w:color w:val="auto"/>
                <w:sz w:val="21"/>
                <w:szCs w:val="21"/>
                <w:lang w:val="en-US" w:eastAsia="zh-CN" w:bidi="ar"/>
              </w:rPr>
            </w:pPr>
            <w:r>
              <w:rPr>
                <w:rFonts w:hint="eastAsia" w:ascii="宋体" w:hAnsi="宋体" w:eastAsia="宋体" w:cs="宋体"/>
                <w:b w:val="0"/>
                <w:bCs/>
                <w:color w:val="auto"/>
                <w:kern w:val="0"/>
                <w:sz w:val="21"/>
                <w:szCs w:val="21"/>
                <w:lang w:val="en-US" w:eastAsia="zh-CN"/>
              </w:rPr>
              <w:t>40</w:t>
            </w:r>
          </w:p>
        </w:tc>
        <w:tc>
          <w:tcPr>
            <w:tcW w:w="1215" w:type="dxa"/>
            <w:noWrap w:val="0"/>
            <w:vAlign w:val="center"/>
          </w:tcPr>
          <w:p w14:paraId="0B4BD13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rPr>
              <w:t>移动推车</w:t>
            </w:r>
          </w:p>
        </w:tc>
        <w:tc>
          <w:tcPr>
            <w:tcW w:w="804" w:type="dxa"/>
            <w:noWrap w:val="0"/>
            <w:vAlign w:val="center"/>
          </w:tcPr>
          <w:p w14:paraId="518E546E">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color w:val="auto"/>
                <w:kern w:val="0"/>
                <w:sz w:val="21"/>
                <w:szCs w:val="21"/>
                <w:lang w:val="en-US" w:eastAsia="zh-CN"/>
              </w:rPr>
              <w:t>套</w:t>
            </w:r>
          </w:p>
        </w:tc>
        <w:tc>
          <w:tcPr>
            <w:tcW w:w="765" w:type="dxa"/>
            <w:gridSpan w:val="2"/>
            <w:noWrap w:val="0"/>
            <w:vAlign w:val="center"/>
          </w:tcPr>
          <w:p w14:paraId="218FA044">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val="0"/>
                <w:bCs/>
                <w:color w:val="auto"/>
                <w:kern w:val="0"/>
                <w:sz w:val="21"/>
                <w:szCs w:val="21"/>
                <w:lang w:val="en-US" w:eastAsia="zh-CN"/>
              </w:rPr>
              <w:t>1</w:t>
            </w:r>
          </w:p>
        </w:tc>
        <w:tc>
          <w:tcPr>
            <w:tcW w:w="6351" w:type="dxa"/>
            <w:noWrap w:val="0"/>
            <w:vAlign w:val="center"/>
          </w:tcPr>
          <w:p w14:paraId="37AFEBA7">
            <w:pPr>
              <w:keepNext w:val="0"/>
              <w:keepLines w:val="0"/>
              <w:pageBreakBefore w:val="0"/>
              <w:kinsoku/>
              <w:wordWrap/>
              <w:overflowPunct/>
              <w:topLinePunct w:val="0"/>
              <w:bidi w:val="0"/>
              <w:snapToGrid w:val="0"/>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1.</w:t>
            </w:r>
            <w:r>
              <w:rPr>
                <w:rFonts w:hint="eastAsia" w:ascii="宋体" w:hAnsi="宋体" w:eastAsia="宋体" w:cs="宋体"/>
                <w:color w:val="auto"/>
                <w:kern w:val="0"/>
                <w:sz w:val="21"/>
                <w:szCs w:val="21"/>
              </w:rPr>
              <w:t>结构部分：</w:t>
            </w:r>
          </w:p>
          <w:p w14:paraId="2F4D822E">
            <w:pPr>
              <w:keepNext w:val="0"/>
              <w:keepLines w:val="0"/>
              <w:pageBreakBefore w:val="0"/>
              <w:kinsoku/>
              <w:wordWrap/>
              <w:overflowPunct/>
              <w:topLinePunct w:val="0"/>
              <w:bidi w:val="0"/>
              <w:snapToGrid w:val="0"/>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50≥净重≥18 kg</w:t>
            </w:r>
          </w:p>
          <w:p w14:paraId="7BBAB64D">
            <w:pPr>
              <w:keepNext w:val="0"/>
              <w:keepLines w:val="0"/>
              <w:pageBreakBefore w:val="0"/>
              <w:kinsoku/>
              <w:wordWrap/>
              <w:overflowPunct/>
              <w:topLinePunct w:val="0"/>
              <w:bidi w:val="0"/>
              <w:snapToGrid w:val="0"/>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最大承重≥100kg</w:t>
            </w:r>
            <w:r>
              <w:rPr>
                <w:rFonts w:hint="eastAsia" w:ascii="宋体" w:hAnsi="宋体" w:eastAsia="宋体" w:cs="宋体"/>
                <w:color w:val="auto"/>
                <w:kern w:val="0"/>
                <w:sz w:val="21"/>
                <w:szCs w:val="21"/>
              </w:rPr>
              <w:tab/>
            </w:r>
          </w:p>
          <w:p w14:paraId="1AC13EE6">
            <w:pPr>
              <w:keepNext w:val="0"/>
              <w:keepLines w:val="0"/>
              <w:pageBreakBefore w:val="0"/>
              <w:kinsoku/>
              <w:wordWrap/>
              <w:overflowPunct/>
              <w:topLinePunct w:val="0"/>
              <w:bidi w:val="0"/>
              <w:snapToGrid w:val="0"/>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可承载机型尺寸：65-86英寸</w:t>
            </w:r>
          </w:p>
          <w:p w14:paraId="6EF86BDC">
            <w:pPr>
              <w:keepNext w:val="0"/>
              <w:keepLines w:val="0"/>
              <w:pageBreakBefore w:val="0"/>
              <w:kinsoku/>
              <w:wordWrap/>
              <w:overflowPunct/>
              <w:topLinePunct w:val="0"/>
              <w:bidi w:val="0"/>
              <w:snapToGrid w:val="0"/>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脚轮尺寸≥2英寸</w:t>
            </w:r>
          </w:p>
          <w:p w14:paraId="6FECC2D6">
            <w:pPr>
              <w:keepNext w:val="0"/>
              <w:keepLines w:val="0"/>
              <w:pageBreakBefore w:val="0"/>
              <w:kinsoku/>
              <w:wordWrap/>
              <w:overflowPunct/>
              <w:topLinePunct w:val="0"/>
              <w:bidi w:val="0"/>
              <w:snapToGrid w:val="0"/>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是否静音：静音轮</w:t>
            </w:r>
          </w:p>
          <w:p w14:paraId="2F9B7E3A">
            <w:pPr>
              <w:keepNext w:val="0"/>
              <w:keepLines w:val="0"/>
              <w:pageBreakBefore w:val="0"/>
              <w:kinsoku/>
              <w:wordWrap/>
              <w:overflowPunct/>
              <w:topLinePunct w:val="0"/>
              <w:bidi w:val="0"/>
              <w:snapToGrid w:val="0"/>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2.</w:t>
            </w:r>
            <w:r>
              <w:rPr>
                <w:rFonts w:hint="eastAsia" w:ascii="宋体" w:hAnsi="宋体" w:eastAsia="宋体" w:cs="宋体"/>
                <w:color w:val="auto"/>
                <w:kern w:val="0"/>
                <w:sz w:val="21"/>
                <w:szCs w:val="21"/>
              </w:rPr>
              <w:t>环境因素</w:t>
            </w:r>
          </w:p>
          <w:p w14:paraId="7D715802">
            <w:pPr>
              <w:keepNext w:val="0"/>
              <w:keepLines w:val="0"/>
              <w:pageBreakBefore w:val="0"/>
              <w:kinsoku/>
              <w:wordWrap/>
              <w:overflowPunct/>
              <w:topLinePunct w:val="0"/>
              <w:bidi w:val="0"/>
              <w:snapToGrid w:val="0"/>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操作温度：0℃～40℃</w:t>
            </w:r>
          </w:p>
          <w:p w14:paraId="1DB07383">
            <w:pPr>
              <w:keepNext w:val="0"/>
              <w:keepLines w:val="0"/>
              <w:pageBreakBefore w:val="0"/>
              <w:kinsoku/>
              <w:wordWrap/>
              <w:overflowPunct/>
              <w:topLinePunct w:val="0"/>
              <w:bidi w:val="0"/>
              <w:snapToGrid w:val="0"/>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操作湿度:  10%～90%RH</w:t>
            </w:r>
          </w:p>
          <w:p w14:paraId="763000A1">
            <w:pPr>
              <w:keepNext w:val="0"/>
              <w:keepLines w:val="0"/>
              <w:pageBreakBefore w:val="0"/>
              <w:kinsoku/>
              <w:wordWrap/>
              <w:overflowPunct/>
              <w:topLinePunct w:val="0"/>
              <w:bidi w:val="0"/>
              <w:snapToGrid w:val="0"/>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存储温度:  -20℃～60℃</w:t>
            </w:r>
          </w:p>
          <w:p w14:paraId="475A6AD6">
            <w:pPr>
              <w:keepNext w:val="0"/>
              <w:keepLines w:val="0"/>
              <w:pageBreakBefore w:val="0"/>
              <w:kinsoku/>
              <w:wordWrap/>
              <w:overflowPunct/>
              <w:topLinePunct w:val="0"/>
              <w:bidi w:val="0"/>
              <w:spacing w:line="44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3.</w:t>
            </w:r>
            <w:r>
              <w:rPr>
                <w:rFonts w:hint="eastAsia" w:ascii="宋体" w:hAnsi="宋体" w:eastAsia="宋体" w:cs="宋体"/>
                <w:color w:val="auto"/>
                <w:kern w:val="0"/>
                <w:sz w:val="21"/>
                <w:szCs w:val="21"/>
              </w:rPr>
              <w:t xml:space="preserve">存储湿度:  </w:t>
            </w:r>
          </w:p>
          <w:p w14:paraId="24CB8A39">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color w:val="auto"/>
                <w:kern w:val="0"/>
                <w:sz w:val="21"/>
                <w:szCs w:val="21"/>
              </w:rPr>
              <w:t>10%～90%RH</w:t>
            </w:r>
          </w:p>
        </w:tc>
      </w:tr>
      <w:tr w14:paraId="1CFC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5" w:type="dxa"/>
            <w:gridSpan w:val="6"/>
            <w:noWrap w:val="0"/>
            <w:vAlign w:val="top"/>
          </w:tcPr>
          <w:p w14:paraId="02391FE1">
            <w:pPr>
              <w:pStyle w:val="46"/>
              <w:keepNext w:val="0"/>
              <w:keepLines w:val="0"/>
              <w:pageBreakBefore w:val="0"/>
              <w:kinsoku/>
              <w:wordWrap/>
              <w:overflowPunct/>
              <w:topLinePunct w:val="0"/>
              <w:bidi w:val="0"/>
              <w:spacing w:line="440" w:lineRule="exact"/>
              <w:ind w:left="0" w:leftChars="0" w:firstLine="0" w:firstLineChars="0"/>
              <w:rPr>
                <w:rFonts w:hint="eastAsia" w:ascii="宋体" w:hAnsi="宋体" w:eastAsia="宋体" w:cs="宋体"/>
                <w:bCs/>
                <w:color w:val="auto"/>
                <w:sz w:val="21"/>
                <w:szCs w:val="21"/>
                <w:shd w:val="clear" w:color="auto" w:fill="FFFFFF"/>
                <w:lang w:val="en-US" w:eastAsia="zh-CN"/>
              </w:rPr>
            </w:pPr>
            <w:r>
              <w:rPr>
                <w:rFonts w:hint="eastAsia" w:ascii="宋体" w:hAnsi="宋体" w:eastAsia="宋体" w:cs="宋体"/>
                <w:b/>
                <w:bCs w:val="0"/>
                <w:color w:val="auto"/>
                <w:sz w:val="21"/>
                <w:szCs w:val="21"/>
                <w:shd w:val="clear" w:color="auto" w:fill="FFFFFF"/>
                <w:lang w:val="en-US" w:eastAsia="zh-CN"/>
              </w:rPr>
              <w:t>（</w:t>
            </w:r>
            <w:r>
              <w:rPr>
                <w:rFonts w:hint="eastAsia" w:hAnsi="宋体" w:cs="宋体"/>
                <w:b/>
                <w:bCs w:val="0"/>
                <w:color w:val="auto"/>
                <w:sz w:val="21"/>
                <w:szCs w:val="21"/>
                <w:shd w:val="clear" w:color="auto" w:fill="FFFFFF"/>
                <w:lang w:val="en-US" w:eastAsia="zh-CN"/>
              </w:rPr>
              <w:t>十</w:t>
            </w:r>
            <w:r>
              <w:rPr>
                <w:rFonts w:hint="eastAsia" w:ascii="宋体" w:hAnsi="宋体" w:eastAsia="宋体" w:cs="宋体"/>
                <w:b/>
                <w:bCs w:val="0"/>
                <w:color w:val="auto"/>
                <w:sz w:val="21"/>
                <w:szCs w:val="21"/>
                <w:shd w:val="clear" w:color="auto" w:fill="FFFFFF"/>
                <w:lang w:val="en-US" w:eastAsia="zh-CN"/>
              </w:rPr>
              <w:t>）心理健康</w:t>
            </w:r>
          </w:p>
        </w:tc>
      </w:tr>
      <w:tr w14:paraId="49F9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2DF7A1F">
            <w:pPr>
              <w:pStyle w:val="46"/>
              <w:keepNext w:val="0"/>
              <w:keepLines w:val="0"/>
              <w:pageBreakBefore w:val="0"/>
              <w:kinsoku/>
              <w:wordWrap/>
              <w:overflowPunct/>
              <w:topLinePunct w:val="0"/>
              <w:bidi w:val="0"/>
              <w:spacing w:line="440" w:lineRule="exact"/>
              <w:ind w:firstLine="0" w:firstLineChars="0"/>
              <w:jc w:val="center"/>
              <w:rPr>
                <w:rFonts w:hint="eastAsia" w:ascii="宋体" w:hAnsi="宋体" w:eastAsia="宋体" w:cs="宋体"/>
                <w:b w:val="0"/>
                <w:bCs/>
                <w:color w:val="auto"/>
                <w:kern w:val="0"/>
                <w:sz w:val="21"/>
                <w:szCs w:val="21"/>
                <w:lang w:val="en-US" w:eastAsia="zh-CN" w:bidi="ar-SA"/>
              </w:rPr>
            </w:pPr>
            <w:r>
              <w:rPr>
                <w:rFonts w:hint="eastAsia" w:ascii="宋体" w:hAnsi="宋体" w:eastAsia="宋体" w:cs="宋体"/>
                <w:bCs/>
                <w:color w:val="auto"/>
                <w:sz w:val="21"/>
                <w:szCs w:val="21"/>
              </w:rPr>
              <w:t>序号</w:t>
            </w:r>
          </w:p>
        </w:tc>
        <w:tc>
          <w:tcPr>
            <w:tcW w:w="1215" w:type="dxa"/>
            <w:noWrap w:val="0"/>
            <w:vAlign w:val="center"/>
          </w:tcPr>
          <w:p w14:paraId="4CD584B8">
            <w:pPr>
              <w:pStyle w:val="46"/>
              <w:keepNext w:val="0"/>
              <w:keepLines w:val="0"/>
              <w:pageBreakBefore w:val="0"/>
              <w:kinsoku/>
              <w:wordWrap/>
              <w:overflowPunct/>
              <w:topLinePunct w:val="0"/>
              <w:bidi w:val="0"/>
              <w:spacing w:line="440" w:lineRule="exact"/>
              <w:ind w:firstLine="0" w:firstLineChars="0"/>
              <w:jc w:val="center"/>
              <w:rPr>
                <w:rFonts w:hint="eastAsia" w:ascii="宋体" w:hAnsi="宋体" w:eastAsia="宋体" w:cs="宋体"/>
                <w:b/>
                <w:color w:val="auto"/>
                <w:sz w:val="21"/>
                <w:szCs w:val="21"/>
                <w:lang w:val="en-US" w:eastAsia="zh-CN" w:bidi="ar-SA"/>
              </w:rPr>
            </w:pPr>
            <w:r>
              <w:rPr>
                <w:rFonts w:hint="eastAsia" w:ascii="宋体" w:hAnsi="宋体" w:eastAsia="宋体" w:cs="宋体"/>
                <w:bCs/>
                <w:color w:val="auto"/>
                <w:sz w:val="21"/>
                <w:szCs w:val="21"/>
              </w:rPr>
              <w:t>货物名称</w:t>
            </w:r>
          </w:p>
        </w:tc>
        <w:tc>
          <w:tcPr>
            <w:tcW w:w="804" w:type="dxa"/>
            <w:noWrap w:val="0"/>
            <w:vAlign w:val="center"/>
          </w:tcPr>
          <w:p w14:paraId="44286FB2">
            <w:pPr>
              <w:pStyle w:val="46"/>
              <w:keepNext w:val="0"/>
              <w:keepLines w:val="0"/>
              <w:pageBreakBefore w:val="0"/>
              <w:kinsoku/>
              <w:wordWrap/>
              <w:overflowPunct/>
              <w:topLinePunct w:val="0"/>
              <w:bidi w:val="0"/>
              <w:spacing w:line="440" w:lineRule="exact"/>
              <w:ind w:firstLine="0" w:firstLineChars="0"/>
              <w:jc w:val="center"/>
              <w:rPr>
                <w:rFonts w:hint="eastAsia" w:ascii="宋体" w:hAnsi="宋体" w:eastAsia="宋体" w:cs="宋体"/>
                <w:b w:val="0"/>
                <w:bCs/>
                <w:color w:val="auto"/>
                <w:kern w:val="0"/>
                <w:sz w:val="21"/>
                <w:szCs w:val="21"/>
                <w:lang w:val="en-US" w:eastAsia="zh-CN" w:bidi="ar-SA"/>
              </w:rPr>
            </w:pPr>
            <w:r>
              <w:rPr>
                <w:rFonts w:hint="eastAsia" w:ascii="宋体" w:hAnsi="宋体" w:eastAsia="宋体" w:cs="宋体"/>
                <w:bCs/>
                <w:color w:val="auto"/>
                <w:sz w:val="21"/>
                <w:szCs w:val="21"/>
              </w:rPr>
              <w:t>单位</w:t>
            </w:r>
          </w:p>
        </w:tc>
        <w:tc>
          <w:tcPr>
            <w:tcW w:w="765" w:type="dxa"/>
            <w:gridSpan w:val="2"/>
            <w:noWrap w:val="0"/>
            <w:vAlign w:val="center"/>
          </w:tcPr>
          <w:p w14:paraId="4E9FF164">
            <w:pPr>
              <w:pStyle w:val="46"/>
              <w:keepNext w:val="0"/>
              <w:keepLines w:val="0"/>
              <w:pageBreakBefore w:val="0"/>
              <w:kinsoku/>
              <w:wordWrap/>
              <w:overflowPunct/>
              <w:topLinePunct w:val="0"/>
              <w:bidi w:val="0"/>
              <w:spacing w:line="440" w:lineRule="exact"/>
              <w:ind w:firstLine="0" w:firstLineChars="0"/>
              <w:jc w:val="center"/>
              <w:rPr>
                <w:rFonts w:hint="eastAsia" w:ascii="宋体" w:hAnsi="宋体" w:eastAsia="宋体" w:cs="宋体"/>
                <w:b w:val="0"/>
                <w:bCs/>
                <w:color w:val="auto"/>
                <w:kern w:val="0"/>
                <w:sz w:val="21"/>
                <w:szCs w:val="21"/>
                <w:lang w:val="en-US" w:eastAsia="zh-CN" w:bidi="ar-SA"/>
              </w:rPr>
            </w:pPr>
            <w:r>
              <w:rPr>
                <w:rFonts w:hint="eastAsia" w:ascii="宋体" w:hAnsi="宋体" w:eastAsia="宋体" w:cs="宋体"/>
                <w:bCs/>
                <w:color w:val="auto"/>
                <w:sz w:val="21"/>
                <w:szCs w:val="21"/>
              </w:rPr>
              <w:t>数量</w:t>
            </w:r>
          </w:p>
        </w:tc>
        <w:tc>
          <w:tcPr>
            <w:tcW w:w="6351" w:type="dxa"/>
            <w:noWrap w:val="0"/>
            <w:vAlign w:val="center"/>
          </w:tcPr>
          <w:p w14:paraId="0EE354A0">
            <w:pPr>
              <w:pStyle w:val="46"/>
              <w:keepNext w:val="0"/>
              <w:keepLines w:val="0"/>
              <w:pageBreakBefore w:val="0"/>
              <w:kinsoku/>
              <w:wordWrap/>
              <w:overflowPunct/>
              <w:topLinePunct w:val="0"/>
              <w:bidi w:val="0"/>
              <w:spacing w:line="440" w:lineRule="exact"/>
              <w:ind w:firstLine="308" w:firstLineChars="147"/>
              <w:jc w:val="center"/>
              <w:rPr>
                <w:rFonts w:hint="eastAsia" w:ascii="宋体" w:hAnsi="宋体" w:eastAsia="宋体" w:cs="宋体"/>
                <w:bCs/>
                <w:color w:val="auto"/>
                <w:sz w:val="21"/>
                <w:szCs w:val="21"/>
                <w:shd w:val="clear" w:color="auto" w:fill="FFFFFF"/>
                <w:lang w:val="en-US" w:eastAsia="zh-CN" w:bidi="ar-SA"/>
              </w:rPr>
            </w:pPr>
            <w:r>
              <w:rPr>
                <w:rFonts w:hint="eastAsia" w:ascii="宋体" w:hAnsi="宋体" w:eastAsia="宋体" w:cs="宋体"/>
                <w:bCs/>
                <w:color w:val="auto"/>
                <w:sz w:val="21"/>
                <w:szCs w:val="21"/>
              </w:rPr>
              <w:t>技术参数、规格及要求</w:t>
            </w:r>
          </w:p>
        </w:tc>
      </w:tr>
      <w:tr w14:paraId="0241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FFE67B5">
            <w:pPr>
              <w:pStyle w:val="46"/>
              <w:keepNext w:val="0"/>
              <w:keepLines w:val="0"/>
              <w:pageBreakBefore w:val="0"/>
              <w:kinsoku/>
              <w:wordWrap/>
              <w:overflowPunct/>
              <w:topLinePunct w:val="0"/>
              <w:bidi w:val="0"/>
              <w:spacing w:line="440" w:lineRule="exact"/>
              <w:ind w:firstLine="0" w:firstLineChars="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w:t>
            </w:r>
          </w:p>
        </w:tc>
        <w:tc>
          <w:tcPr>
            <w:tcW w:w="1215" w:type="dxa"/>
            <w:noWrap w:val="0"/>
            <w:vAlign w:val="center"/>
          </w:tcPr>
          <w:p w14:paraId="526E597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rPr>
            </w:pPr>
            <w:r>
              <w:rPr>
                <w:rFonts w:hint="eastAsia" w:ascii="宋体" w:hAnsi="宋体" w:eastAsia="宋体" w:cs="宋体"/>
                <w:i w:val="0"/>
                <w:iCs w:val="0"/>
                <w:color w:val="auto"/>
                <w:kern w:val="0"/>
                <w:sz w:val="21"/>
                <w:szCs w:val="21"/>
                <w:u w:val="none"/>
                <w:lang w:val="en-US" w:eastAsia="zh-CN" w:bidi="ar"/>
              </w:rPr>
              <w:t>心理健康自助仪</w:t>
            </w:r>
          </w:p>
        </w:tc>
        <w:tc>
          <w:tcPr>
            <w:tcW w:w="804" w:type="dxa"/>
            <w:noWrap w:val="0"/>
            <w:vAlign w:val="center"/>
          </w:tcPr>
          <w:p w14:paraId="492E9AA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rPr>
            </w:pPr>
            <w:r>
              <w:rPr>
                <w:rFonts w:hint="eastAsia" w:ascii="宋体" w:hAnsi="宋体" w:eastAsia="宋体" w:cs="宋体"/>
                <w:i w:val="0"/>
                <w:iCs w:val="0"/>
                <w:color w:val="auto"/>
                <w:kern w:val="0"/>
                <w:sz w:val="21"/>
                <w:szCs w:val="21"/>
                <w:u w:val="none"/>
                <w:lang w:val="en-US" w:eastAsia="zh-CN" w:bidi="ar"/>
              </w:rPr>
              <w:t>套</w:t>
            </w:r>
          </w:p>
        </w:tc>
        <w:tc>
          <w:tcPr>
            <w:tcW w:w="765" w:type="dxa"/>
            <w:gridSpan w:val="2"/>
            <w:noWrap w:val="0"/>
            <w:vAlign w:val="center"/>
          </w:tcPr>
          <w:p w14:paraId="352B02C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w:t>
            </w:r>
          </w:p>
        </w:tc>
        <w:tc>
          <w:tcPr>
            <w:tcW w:w="6351" w:type="dxa"/>
            <w:noWrap w:val="0"/>
            <w:vAlign w:val="center"/>
          </w:tcPr>
          <w:p w14:paraId="2FD98120">
            <w:pPr>
              <w:keepNext w:val="0"/>
              <w:keepLines w:val="0"/>
              <w:pageBreakBefore w:val="0"/>
              <w:widowControl/>
              <w:numPr>
                <w:ilvl w:val="0"/>
                <w:numId w:val="8"/>
              </w:numPr>
              <w:kinsoku/>
              <w:wordWrap/>
              <w:overflowPunct/>
              <w:topLinePunct w:val="0"/>
              <w:bidi w:val="0"/>
              <w:spacing w:line="440" w:lineRule="exact"/>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功能要求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1.整体系统包含12大模块，功能模块技术参数集成：心理科普、心理悦读、心理影视、心理图库、能力训练、趣味测试、心语心声、心理FM、咨询辅导、放松减压、心理互动、机构介绍等系统模块。</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2.心理科普：心理百科、心理学专业名词解释、心理学效应简介、心理学实验介绍。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3.心理悦读：包含心理学经典书籍、自我成长、励志美文、情绪调节、心理故事、人际交往等内容。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4.心理影视包含经典电影赏析、名师课程视频、放松视频、科普视频、其它视频等内容。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5.心理图库包含测试图片、似动图片、双关图片、错觉图片、奇异图片、视觉后象，其它图片等。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6.能力训练：包含记忆游戏、想象力游戏、感知力游戏、反应能力游戏、推理策略类游戏，不少于五类专业心理游戏。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7.心语心声包含有声读物、山林音乐、有声读物、山林音乐、沉思音乐、放松音乐、灵感音乐、α波音乐、情境音乐、清晰音乐、冥思音乐</w:t>
            </w:r>
            <w:r>
              <w:rPr>
                <w:rFonts w:hint="eastAsia" w:ascii="宋体" w:hAnsi="宋体" w:eastAsia="宋体" w:cs="宋体"/>
                <w:i w:val="0"/>
                <w:iCs w:val="0"/>
                <w:color w:val="auto"/>
                <w:kern w:val="0"/>
                <w:sz w:val="21"/>
                <w:szCs w:val="21"/>
                <w:highlight w:val="none"/>
                <w:u w:val="none"/>
                <w:lang w:val="en-US" w:eastAsia="zh-CN" w:bidi="ar"/>
              </w:rPr>
              <w:t>、其他音乐等音频。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eastAsia="宋体" w:cs="宋体"/>
                <w:i w:val="0"/>
                <w:iCs w:val="0"/>
                <w:strike w:val="0"/>
                <w:dstrike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心理课堂包含小学、初中、高中、大学等心理课堂资料。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9.放松减</w:t>
            </w:r>
            <w:r>
              <w:rPr>
                <w:rFonts w:hint="eastAsia" w:ascii="宋体" w:hAnsi="宋体" w:eastAsia="宋体" w:cs="宋体"/>
                <w:i w:val="0"/>
                <w:iCs w:val="0"/>
                <w:color w:val="auto"/>
                <w:kern w:val="0"/>
                <w:sz w:val="21"/>
                <w:szCs w:val="21"/>
                <w:highlight w:val="none"/>
                <w:u w:val="none"/>
                <w:lang w:val="en-US" w:eastAsia="zh-CN" w:bidi="ar"/>
              </w:rPr>
              <w:t>压包含沉思法、呼吸调整训练、肌肉放松训练、渐进式、放松训练。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10.心理互动：支持各类型心理互动训练游戏。</w:t>
            </w:r>
          </w:p>
          <w:p w14:paraId="088554F2">
            <w:pPr>
              <w:keepNext w:val="0"/>
              <w:keepLines w:val="0"/>
              <w:pageBreakBefore w:val="0"/>
              <w:widowControl/>
              <w:numPr>
                <w:ilvl w:val="0"/>
                <w:numId w:val="0"/>
              </w:numPr>
              <w:kinsoku/>
              <w:wordWrap/>
              <w:overflowPunct/>
              <w:topLinePunct w:val="0"/>
              <w:bidi w:val="0"/>
              <w:spacing w:line="440" w:lineRule="exact"/>
              <w:jc w:val="left"/>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11.心理FM：不少于成长、</w:t>
            </w:r>
            <w:r>
              <w:rPr>
                <w:rFonts w:hint="eastAsia" w:ascii="宋体" w:hAnsi="宋体" w:eastAsia="宋体" w:cs="宋体"/>
                <w:i w:val="0"/>
                <w:iCs w:val="0"/>
                <w:color w:val="auto"/>
                <w:kern w:val="0"/>
                <w:sz w:val="21"/>
                <w:szCs w:val="21"/>
                <w:u w:val="none"/>
                <w:lang w:val="en-US" w:eastAsia="zh-CN" w:bidi="ar"/>
              </w:rPr>
              <w:t>关系、减压、情绪等系统自带的四大类表。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12.咨询辅导：包含经典案例、自助方案，咨询预约等。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13.各模块下支持无限添加二级栏目，文章无限扩充，支持视频，文章、图片、音频等格式的添加。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14.分前后台账号分级管理，管理账号可根据自己的情况设置，安全可靠;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15.趣味测试包含性格测试、社交测试、智商测试、健康测试、其他测试，不少于五类趣味测试。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16.心理测验：支持心理健康、认知诊断、一般人格、生活适应行为、自我调节能力、基本能力倾向测验等测评内容。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17.机构简介：支持定制版，根据用户提供的资料设置用户单位简介。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二、配置要求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内嵌式一体机一台：显示尺寸≥32英寸，分辨率≥1920(H)×1080（V），触摸类型≥10点触摸，运行内存≥4G，存储内存≥32G。</w:t>
            </w:r>
          </w:p>
        </w:tc>
      </w:tr>
      <w:tr w14:paraId="04B7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22B41D4">
            <w:pPr>
              <w:pStyle w:val="46"/>
              <w:keepNext w:val="0"/>
              <w:keepLines w:val="0"/>
              <w:pageBreakBefore w:val="0"/>
              <w:kinsoku/>
              <w:wordWrap/>
              <w:overflowPunct/>
              <w:topLinePunct w:val="0"/>
              <w:bidi w:val="0"/>
              <w:spacing w:line="440" w:lineRule="exact"/>
              <w:ind w:firstLine="0" w:firstLineChars="0"/>
              <w:jc w:val="center"/>
              <w:rPr>
                <w:rFonts w:hint="default" w:ascii="宋体" w:hAnsi="宋体" w:eastAsia="宋体" w:cs="宋体"/>
                <w:bCs/>
                <w:color w:val="auto"/>
                <w:sz w:val="21"/>
                <w:szCs w:val="21"/>
                <w:lang w:val="en-US" w:eastAsia="zh-CN"/>
              </w:rPr>
            </w:pPr>
            <w:r>
              <w:rPr>
                <w:rFonts w:hint="eastAsia" w:hAnsi="宋体" w:cs="宋体"/>
                <w:bCs/>
                <w:color w:val="auto"/>
                <w:sz w:val="21"/>
                <w:szCs w:val="21"/>
                <w:lang w:val="en-US" w:eastAsia="zh-CN"/>
              </w:rPr>
              <w:t>2</w:t>
            </w:r>
          </w:p>
        </w:tc>
        <w:tc>
          <w:tcPr>
            <w:tcW w:w="1215" w:type="dxa"/>
            <w:noWrap w:val="0"/>
            <w:vAlign w:val="center"/>
          </w:tcPr>
          <w:p w14:paraId="2CA08F4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心理挂图</w:t>
            </w:r>
          </w:p>
        </w:tc>
        <w:tc>
          <w:tcPr>
            <w:tcW w:w="804" w:type="dxa"/>
            <w:noWrap w:val="0"/>
            <w:vAlign w:val="center"/>
          </w:tcPr>
          <w:p w14:paraId="553E693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幅</w:t>
            </w:r>
          </w:p>
        </w:tc>
        <w:tc>
          <w:tcPr>
            <w:tcW w:w="765" w:type="dxa"/>
            <w:gridSpan w:val="2"/>
            <w:noWrap w:val="0"/>
            <w:vAlign w:val="center"/>
          </w:tcPr>
          <w:p w14:paraId="3227AA3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w:t>
            </w:r>
          </w:p>
        </w:tc>
        <w:tc>
          <w:tcPr>
            <w:tcW w:w="6351" w:type="dxa"/>
            <w:noWrap w:val="0"/>
            <w:vAlign w:val="center"/>
          </w:tcPr>
          <w:p w14:paraId="6EB429AB">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材质：KT版材质，不起泡，平整度高，环保；</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尺寸为：40cmX60cm；包小金边，厚度为3mm。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主要有心理知识类，心理放松类，心理暗示类，心理漫画类，心理错觉类，艺术风景类等多个种类；可根据实际需要选择相应种类，可提供图案供参考筛选。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是一种具有装修特点的心理学工具，主要适用于教学，心理环境装饰及心理咨询氛围的营造等。</w:t>
            </w:r>
          </w:p>
        </w:tc>
      </w:tr>
      <w:tr w14:paraId="43C9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A8C1358">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 w:val="0"/>
                <w:bCs/>
                <w:color w:val="auto"/>
                <w:kern w:val="0"/>
                <w:sz w:val="21"/>
                <w:szCs w:val="21"/>
                <w:lang w:val="en-US" w:eastAsia="zh-CN"/>
              </w:rPr>
            </w:pPr>
            <w:r>
              <w:rPr>
                <w:rFonts w:hint="eastAsia" w:hAnsi="宋体" w:cs="宋体"/>
                <w:b w:val="0"/>
                <w:bCs/>
                <w:color w:val="auto"/>
                <w:kern w:val="0"/>
                <w:sz w:val="21"/>
                <w:szCs w:val="21"/>
                <w:lang w:val="en-US" w:eastAsia="zh-CN"/>
              </w:rPr>
              <w:t>3</w:t>
            </w:r>
          </w:p>
        </w:tc>
        <w:tc>
          <w:tcPr>
            <w:tcW w:w="1215" w:type="dxa"/>
            <w:noWrap w:val="0"/>
            <w:vAlign w:val="center"/>
          </w:tcPr>
          <w:p w14:paraId="6B1F92D9">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
                <w:color w:val="auto"/>
                <w:sz w:val="21"/>
                <w:szCs w:val="21"/>
              </w:rPr>
            </w:pPr>
            <w:r>
              <w:rPr>
                <w:rFonts w:hint="eastAsia" w:ascii="宋体" w:hAnsi="宋体" w:eastAsia="宋体" w:cs="宋体"/>
                <w:b w:val="0"/>
                <w:bCs/>
                <w:color w:val="auto"/>
                <w:sz w:val="21"/>
                <w:szCs w:val="21"/>
              </w:rPr>
              <w:t>生物反馈放松椅</w:t>
            </w:r>
          </w:p>
        </w:tc>
        <w:tc>
          <w:tcPr>
            <w:tcW w:w="804" w:type="dxa"/>
            <w:noWrap w:val="0"/>
            <w:vAlign w:val="center"/>
          </w:tcPr>
          <w:p w14:paraId="3D538367">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套</w:t>
            </w:r>
          </w:p>
        </w:tc>
        <w:tc>
          <w:tcPr>
            <w:tcW w:w="765" w:type="dxa"/>
            <w:gridSpan w:val="2"/>
            <w:noWrap w:val="0"/>
            <w:vAlign w:val="center"/>
          </w:tcPr>
          <w:p w14:paraId="44E8CD53">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w:t>
            </w:r>
          </w:p>
        </w:tc>
        <w:tc>
          <w:tcPr>
            <w:tcW w:w="6351" w:type="dxa"/>
            <w:noWrap w:val="0"/>
            <w:vAlign w:val="center"/>
          </w:tcPr>
          <w:p w14:paraId="7CD5B2B3">
            <w:pPr>
              <w:keepNext w:val="0"/>
              <w:keepLines w:val="0"/>
              <w:pageBreakBefore w:val="0"/>
              <w:widowControl/>
              <w:kinsoku/>
              <w:wordWrap/>
              <w:overflowPunct/>
              <w:topLinePunct w:val="0"/>
              <w:bidi w:val="0"/>
              <w:spacing w:line="440" w:lineRule="exact"/>
              <w:jc w:val="left"/>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一、功能要求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专业的六大调养方案，搭配反射式脑波牵引灯达到最好的诱发α脑波效果，采用PWM技术，根据人的放松状态，主动引导检测，反馈自适应调节，达到更好放松状态，与舒缓的心理学音乐一起构成您的私人减压专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2.系统包含：呼吸训练、恢复调养、全身放松、睡眠模式、健康检测等10大模块。健康检测时实时展示脉搏波。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3.★健康检测可显示用户心率、稳定指数、抗压能力、自主神径、脉搏波、HRV波形、检测倒计时，检测完成后显示检测结果。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4.侧边工具栏可以进行开关机、靠背升降、小腿升降、音量大小、体感强弱、热疗、气囊按摩、足疗、暂停等功能按键，显示椅子、传感器、多媒体连接状态。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调养中心包含但不限于肌肉放松、想象放松、精力恢复、消除焦虑、深度减压、崔眠释压、身心合一训练项目，每个项目均可选男声、女声引导语。（竞标时须提供证明材料：包括但不限于厂家证明或功能截图或国家认可的第三方检测报告)。</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6.自主调养可以自由选择按摩模式进行调养放松。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7.图表管理可通过用户名检索某用户的图表，也可查看全部。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8.报告列表检测列表可以显示检测时间、用户名、真实姓名、检测项目、报告有效性内容。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检测报告包含用户基本信息（用户名、性别、年龄等信息），检测日期、训练时长、平均心率、时域指标、频域指标、直方图、散点图、平衡图、疲劳指数、压力指数、情绪指数、稳定指数、评价与建议等。检测报告可以导出PDF文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10.用户管理功能，可自行注册用户信息，可添加用户。</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11.红外热疗：皮垫下内置红外热疗发生装置，人性化设计，温暖舒适利于身心放松，同时可促进血液循环和微循环。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12.智能操控，系统提供控制手柄与软件系统对放松舱进行控制管理，可以同时使用也可独立使用任意方式管理控制放松舱。让用户在解放双手的状态下享受便捷的操控体验，交互性显著提升。</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13.太空舱结构外形，塑胶及皮革组合；零重力放松训练模式；背部腿部角度调节功能。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14.采用智能机芯，全身多达18组按摩气囊，配合足底按摩滚轮、腰部红外加热垫，提供温暖、舒适、手法多样、力度精准的按摩放松体验。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15.智能联动：调养中心每个子项目针对太空舱按摩程序、脑波灯牵引程序均需实现科学封装，在软件系统中一键进入任一调养项目，太空舱随即联动动作，自动展开姿态调整、音乐播放、脑波牵引等工作。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二、配置要求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1.尺寸：≥1350mm*750mm*1130mm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2.音乐单元：肩部内置两个3W全频高保真喇叭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3.体感单元：50W体感振动单元</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4.电压：220V</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5.整机功耗：200W</w:t>
            </w:r>
          </w:p>
        </w:tc>
      </w:tr>
      <w:tr w14:paraId="3689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AFE8665">
            <w:pPr>
              <w:pStyle w:val="46"/>
              <w:keepNext w:val="0"/>
              <w:keepLines w:val="0"/>
              <w:pageBreakBefore w:val="0"/>
              <w:kinsoku/>
              <w:wordWrap/>
              <w:overflowPunct/>
              <w:topLinePunct w:val="0"/>
              <w:bidi w:val="0"/>
              <w:spacing w:line="440" w:lineRule="exact"/>
              <w:ind w:left="0" w:leftChars="0" w:firstLine="0" w:firstLineChars="0"/>
              <w:jc w:val="center"/>
              <w:rPr>
                <w:rFonts w:hint="default" w:ascii="宋体" w:hAnsi="宋体" w:eastAsia="宋体" w:cs="宋体"/>
                <w:b w:val="0"/>
                <w:bCs/>
                <w:color w:val="auto"/>
                <w:kern w:val="0"/>
                <w:sz w:val="21"/>
                <w:szCs w:val="21"/>
                <w:highlight w:val="none"/>
                <w:lang w:val="en-US" w:eastAsia="zh-CN"/>
              </w:rPr>
            </w:pPr>
            <w:r>
              <w:rPr>
                <w:rFonts w:hint="eastAsia" w:hAnsi="宋体" w:cs="宋体"/>
                <w:b w:val="0"/>
                <w:bCs/>
                <w:color w:val="auto"/>
                <w:kern w:val="0"/>
                <w:sz w:val="21"/>
                <w:szCs w:val="21"/>
                <w:highlight w:val="none"/>
                <w:lang w:val="en-US" w:eastAsia="zh-CN"/>
              </w:rPr>
              <w:t>4</w:t>
            </w:r>
          </w:p>
        </w:tc>
        <w:tc>
          <w:tcPr>
            <w:tcW w:w="1215" w:type="dxa"/>
            <w:noWrap w:val="0"/>
            <w:vAlign w:val="center"/>
          </w:tcPr>
          <w:p w14:paraId="32058A2F">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仿真宣泄套装录音+发声款</w:t>
            </w:r>
          </w:p>
        </w:tc>
        <w:tc>
          <w:tcPr>
            <w:tcW w:w="804" w:type="dxa"/>
            <w:noWrap w:val="0"/>
            <w:vAlign w:val="center"/>
          </w:tcPr>
          <w:p w14:paraId="3C76BC8E">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套</w:t>
            </w:r>
          </w:p>
        </w:tc>
        <w:tc>
          <w:tcPr>
            <w:tcW w:w="765" w:type="dxa"/>
            <w:gridSpan w:val="2"/>
            <w:noWrap w:val="0"/>
            <w:vAlign w:val="center"/>
          </w:tcPr>
          <w:p w14:paraId="6B954770">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w:t>
            </w:r>
          </w:p>
        </w:tc>
        <w:tc>
          <w:tcPr>
            <w:tcW w:w="6351" w:type="dxa"/>
            <w:noWrap w:val="0"/>
            <w:vAlign w:val="center"/>
          </w:tcPr>
          <w:p w14:paraId="5EDA63FE">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产品组成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1.仿真宣泄人1个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2.立式宣泄球1个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3.宣泄棒2根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4.摔打宣泄球4个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5.宣泄挂图2副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6.惨叫鸡1个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产品详情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仿真宣泄人：产品尺寸：175cm。形象逼真，使用高密度发泡海绵为填充物。击打手感好，光滑强度高。有定制着装卫衣，产品通电后无需打开操作电源开关，通过直接多触点震动芯片感应即可启动机器进入工作状态中。</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a.远程语音采集传感器：录音超高灵敏度1米内可录制，内置语音储存芯片，内存无限扩充可满足录音无限录制通过击打进行播放，可存储，可删除。</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b.头部为仿真人设计，宣泄人手臂采用活动设计，可以自由调整任何手臂姿势，手指采用五指分开设计，可握拳，可出掌，增强趣味性。增强了仿真性及趣味性。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C.趣味击打发声版宣泄人，利用安全5V低电压震动系统，能够在极低的震动下做出响应，来访者在击打的时候可以随机发出至少20句不同的语句，包括至少三种声音：男声、女声、机器声，增加击打趣味性在进行体力宣泄的时候开怀大笑。转移来访者的注意力，将心中不悦的情绪最大程度释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d.内置录音版，至少包含4种模式：男声模式、女声模式、机器声模式、录音模式。录音声音系统支持来访者自定义录音进行5-20秒的时间录制系统进行保持，来访者通过录音播放来进行切换。</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e.语音录制功能，可根据来访者内心世界，可以通过言语录制N种不同声音进行宣泄击打，使来访者更有效得到身心的发泄，支持语音自我录制功能，录音及储存功能为同一操作键，可以达到边录制边储存边使用的功能。</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f.充电模式包含但不限于： USB和插座两种充电模式，方便来访者随时使用操作。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g.宣泄人底座：采用金属材质，罐沙固定。外层喷塑处理，圆形设计，大气美观。长：55CM，高：20CM。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立式宣泄球：拳击球表面采用高级亚光PU皮，提高了击打触感，色彩醒目靓丽。调节阀：表面采用塑料包裹根据个人情况进行高度调节。底座圆形小圆盘：底座与反弹之间使用的固定圆形小盘，可还是水桶与主杆之间加紧密连接、稳定性进一步提高。底座：直径约44cm，高度约12cm的塑胶料底座；高度：产品可调节高度126-150cm；配送：打气筒；重量：加上包装盒约4kg，去掉包装约3kg；适合人士身高：1.20—1.85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(3)宣泄棒：安全环保，外套绒布印有“心理宣泄棒”字样，手感极佳，长75CM。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(4)摔打宣泄球：材质：采用高档加厚pvc材质，圆形球体加“羊角”形手柄设计，方便抓握；内部充气设计，不伤手。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(5)宣泄挂图：高清环保相纸，颜色清晰，永不退色。尺寸为40cm*60cm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(6)惨叫鸡：材质：搪胶；规格：9*42cm；使用：挤压鸡的肚子会发出叫声</w:t>
            </w:r>
            <w:r>
              <w:rPr>
                <w:rFonts w:hint="eastAsia" w:ascii="宋体" w:hAnsi="宋体" w:cs="宋体"/>
                <w:i w:val="0"/>
                <w:iCs w:val="0"/>
                <w:color w:val="auto"/>
                <w:kern w:val="0"/>
                <w:sz w:val="21"/>
                <w:szCs w:val="21"/>
                <w:u w:val="none"/>
                <w:lang w:val="en-US" w:eastAsia="zh-CN" w:bidi="ar"/>
              </w:rPr>
              <w:t>。</w:t>
            </w:r>
          </w:p>
        </w:tc>
      </w:tr>
      <w:tr w14:paraId="56CF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41F3B5C">
            <w:pPr>
              <w:pStyle w:val="46"/>
              <w:keepNext w:val="0"/>
              <w:keepLines w:val="0"/>
              <w:pageBreakBefore w:val="0"/>
              <w:kinsoku/>
              <w:wordWrap/>
              <w:overflowPunct/>
              <w:topLinePunct w:val="0"/>
              <w:bidi w:val="0"/>
              <w:spacing w:line="440" w:lineRule="exact"/>
              <w:ind w:left="0" w:leftChars="0" w:firstLine="0" w:firstLineChars="0"/>
              <w:jc w:val="center"/>
              <w:rPr>
                <w:rFonts w:hint="default" w:ascii="宋体" w:hAnsi="宋体" w:eastAsia="宋体" w:cs="宋体"/>
                <w:b w:val="0"/>
                <w:bCs/>
                <w:color w:val="auto"/>
                <w:kern w:val="0"/>
                <w:sz w:val="21"/>
                <w:szCs w:val="21"/>
                <w:lang w:val="en-US" w:eastAsia="zh-CN"/>
              </w:rPr>
            </w:pPr>
            <w:r>
              <w:rPr>
                <w:rFonts w:hint="eastAsia" w:hAnsi="宋体" w:cs="宋体"/>
                <w:b w:val="0"/>
                <w:bCs/>
                <w:color w:val="auto"/>
                <w:kern w:val="0"/>
                <w:sz w:val="21"/>
                <w:szCs w:val="21"/>
                <w:lang w:val="en-US" w:eastAsia="zh-CN"/>
              </w:rPr>
              <w:t>5</w:t>
            </w:r>
          </w:p>
        </w:tc>
        <w:tc>
          <w:tcPr>
            <w:tcW w:w="1215" w:type="dxa"/>
            <w:noWrap w:val="0"/>
            <w:vAlign w:val="center"/>
          </w:tcPr>
          <w:p w14:paraId="660756E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团体心理活动箱</w:t>
            </w:r>
          </w:p>
        </w:tc>
        <w:tc>
          <w:tcPr>
            <w:tcW w:w="804" w:type="dxa"/>
            <w:noWrap w:val="0"/>
            <w:vAlign w:val="center"/>
          </w:tcPr>
          <w:p w14:paraId="20E23FC8">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套</w:t>
            </w:r>
          </w:p>
        </w:tc>
        <w:tc>
          <w:tcPr>
            <w:tcW w:w="765" w:type="dxa"/>
            <w:gridSpan w:val="2"/>
            <w:noWrap w:val="0"/>
            <w:vAlign w:val="center"/>
          </w:tcPr>
          <w:p w14:paraId="32D2352E">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w:t>
            </w:r>
          </w:p>
        </w:tc>
        <w:tc>
          <w:tcPr>
            <w:tcW w:w="6351" w:type="dxa"/>
            <w:noWrap w:val="0"/>
            <w:vAlign w:val="center"/>
          </w:tcPr>
          <w:p w14:paraId="2A85D8A0">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一、功能要求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1.心理成长训练不少于环境适应篇、沟通交往篇、竞争合作篇、自我意识篇、创新实践篇、意志责任篇、学习管理篇、心灵成长篇等八大主题。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2.通过团体游戏活动提高人际交往能力，形成正确的自我意识，改善和调节情绪并掌握有效的应对方式。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3.活动方案手册包括活动目的、活动形式、活动时间、活动场地、活动准备、活动程序及注意事项，活动评价等具体说明，适用于50人左右的团体训练，也适用于若干人的小组。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4.室外心理拓展活动道具，包括了盲人旅行、汉诺塔，雷阵、无敌风火轮、“啄木鸟”行动、同心协力、变形虫、走进绳圈、传染情绪等。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5.盲人旅行：①感受信任与被信任、爱与被爱的幸福快乐②打破隔阂，解决冲突③培养队员勇于尝试的精神④让学员理解自助与他助，增强团队相互协作的精神。</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6.雷阵：①培养胆大心细的工作作风②打造团队分工与合作意识③培养队员岗位职责意识④突破思维定式，培养勇于开拓，敢于创新的境界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7.无敌风火轮：①建立信任，提升团队合作意识②塑造团队成员彼此之间的配合能力。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啄木鸟行动：①通过分析造成输赢的原因，激发学生“再做一次，会做得更好“的主动性②让学生在合作中体验竞争，在竞争中学会合作③让学生明确强化团队合作可以提高效率，改变思维方式可以产生质的飞跃的道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9.同心协力：①培养团队里有效沟通的能力②提升团队执行力③培养团队高效的领导力和组织力。</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10.变形虫：①增强学生之间团队合作的能力，学习团队中解决问题的办法。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11.传染情绪：①建立信任，提升团队合作意识②体验快乐情绪，学会接受快乐的感染和把快乐感染给别人。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二、配置要求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1.尺寸：≥940mm*560mm*380mm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2.构成：航空箱、团体活动道具、活动方案手册、教案四部分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3.配套：用于存放小部件的收纳袋等，便于存放各类道具；包含活动所需的全部道具（除特殊道具外：如生鸡蛋）；所配置道具大多可重复利用，避免浪费；不仅适用于本活动方案，也适应于自主设计活动方案。</w:t>
            </w:r>
          </w:p>
        </w:tc>
      </w:tr>
      <w:tr w14:paraId="431F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2AE644C">
            <w:pPr>
              <w:pStyle w:val="46"/>
              <w:keepNext w:val="0"/>
              <w:keepLines w:val="0"/>
              <w:pageBreakBefore w:val="0"/>
              <w:kinsoku/>
              <w:wordWrap/>
              <w:overflowPunct/>
              <w:topLinePunct w:val="0"/>
              <w:bidi w:val="0"/>
              <w:spacing w:line="440" w:lineRule="exact"/>
              <w:ind w:left="0" w:leftChars="0" w:firstLine="0" w:firstLineChars="0"/>
              <w:jc w:val="center"/>
              <w:rPr>
                <w:rFonts w:hint="default" w:ascii="宋体" w:hAnsi="宋体" w:eastAsia="宋体" w:cs="宋体"/>
                <w:b w:val="0"/>
                <w:bCs/>
                <w:color w:val="auto"/>
                <w:kern w:val="0"/>
                <w:sz w:val="21"/>
                <w:szCs w:val="21"/>
                <w:lang w:val="en-US" w:eastAsia="zh-CN"/>
              </w:rPr>
            </w:pPr>
            <w:r>
              <w:rPr>
                <w:rFonts w:hint="eastAsia" w:hAnsi="宋体" w:cs="宋体"/>
                <w:b w:val="0"/>
                <w:bCs/>
                <w:color w:val="auto"/>
                <w:kern w:val="0"/>
                <w:sz w:val="21"/>
                <w:szCs w:val="21"/>
                <w:lang w:val="en-US" w:eastAsia="zh-CN"/>
              </w:rPr>
              <w:t>6</w:t>
            </w:r>
          </w:p>
        </w:tc>
        <w:tc>
          <w:tcPr>
            <w:tcW w:w="1215" w:type="dxa"/>
            <w:noWrap w:val="0"/>
            <w:vAlign w:val="center"/>
          </w:tcPr>
          <w:p w14:paraId="4856521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团体活动教具箱室外版</w:t>
            </w:r>
          </w:p>
        </w:tc>
        <w:tc>
          <w:tcPr>
            <w:tcW w:w="804" w:type="dxa"/>
            <w:noWrap w:val="0"/>
            <w:vAlign w:val="center"/>
          </w:tcPr>
          <w:p w14:paraId="0CD69968">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套</w:t>
            </w:r>
          </w:p>
        </w:tc>
        <w:tc>
          <w:tcPr>
            <w:tcW w:w="765" w:type="dxa"/>
            <w:gridSpan w:val="2"/>
            <w:noWrap w:val="0"/>
            <w:vAlign w:val="center"/>
          </w:tcPr>
          <w:p w14:paraId="05A642AA">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w:t>
            </w:r>
          </w:p>
        </w:tc>
        <w:tc>
          <w:tcPr>
            <w:tcW w:w="6351" w:type="dxa"/>
            <w:noWrap w:val="0"/>
            <w:vAlign w:val="center"/>
          </w:tcPr>
          <w:p w14:paraId="52AB5BDF">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一、产品概述：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团体心理游戏，是心理工作最重要的内容之一，因为它可以通过游戏来释放人们的创造力、内在感觉和记忆，并将它们带到外在现实，运用在学校、企业等各种团队。相关的指导手册、活动器材及相关培训等，都是开展工作的必须工具。为了满足广大心理老师的这一需求，方便团体心理游戏训练有声有色的开展，研发人员结合团体心理游戏，精心研发了此款团体心理游戏工具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二、素质拓展活动列表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1.有轨电车2.相依为命3.突破雷阵4.穿越电网5.盗梦空间6.能量传输7.无敌风火轮8.同心鼓9.兄弟连10.齐眉棍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三、产品特点：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1.拉杆手提箱:携手提箱更好的方便老师在室内外，开展团体活动；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2.团体活动器材:基本包含活动所需的全部道具（除特殊仪器外）；所配置道具大多可重复利用，避免浪费。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3.活动方案手册：提供10个活动的完整方案，包括活动目的、活动形式、活动时间、活动场地、活动准备、活动程序及注意事项等具体说明，同时配备10款游戏视频案例，便于老师开展团体拓展活动。</w:t>
            </w:r>
          </w:p>
        </w:tc>
      </w:tr>
      <w:tr w14:paraId="04F2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947F56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val="0"/>
                <w:i w:val="0"/>
                <w:color w:val="auto"/>
                <w:kern w:val="0"/>
                <w:sz w:val="21"/>
                <w:szCs w:val="21"/>
                <w:u w:val="none"/>
                <w:lang w:val="en-US" w:eastAsia="zh-CN" w:bidi="ar"/>
              </w:rPr>
              <w:t>46</w:t>
            </w:r>
          </w:p>
        </w:tc>
        <w:tc>
          <w:tcPr>
            <w:tcW w:w="1215" w:type="dxa"/>
            <w:noWrap w:val="0"/>
            <w:vAlign w:val="center"/>
          </w:tcPr>
          <w:p w14:paraId="455DDAD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color w:val="auto"/>
                <w:sz w:val="21"/>
                <w:szCs w:val="21"/>
              </w:rPr>
            </w:pPr>
            <w:r>
              <w:rPr>
                <w:rFonts w:hint="eastAsia" w:ascii="宋体" w:hAnsi="宋体" w:eastAsia="宋体" w:cs="宋体"/>
                <w:i w:val="0"/>
                <w:iCs w:val="0"/>
                <w:color w:val="auto"/>
                <w:kern w:val="0"/>
                <w:sz w:val="21"/>
                <w:szCs w:val="21"/>
                <w:u w:val="none"/>
                <w:lang w:val="en-US" w:eastAsia="zh-CN" w:bidi="ar"/>
              </w:rPr>
              <w:t>录像机</w:t>
            </w:r>
          </w:p>
        </w:tc>
        <w:tc>
          <w:tcPr>
            <w:tcW w:w="804" w:type="dxa"/>
            <w:noWrap w:val="0"/>
            <w:vAlign w:val="center"/>
          </w:tcPr>
          <w:p w14:paraId="49D1693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77A264E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val="0"/>
                <w:i w:val="0"/>
                <w:color w:val="auto"/>
                <w:kern w:val="0"/>
                <w:sz w:val="21"/>
                <w:szCs w:val="21"/>
                <w:u w:val="none"/>
                <w:lang w:val="en-US" w:eastAsia="zh-CN" w:bidi="ar"/>
              </w:rPr>
              <w:t>1</w:t>
            </w:r>
          </w:p>
        </w:tc>
        <w:tc>
          <w:tcPr>
            <w:tcW w:w="6351" w:type="dxa"/>
            <w:noWrap w:val="0"/>
            <w:vAlign w:val="center"/>
          </w:tcPr>
          <w:p w14:paraId="2DE7B4FB">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闪存式DV：</w:t>
            </w:r>
          </w:p>
          <w:p w14:paraId="7555EBD2">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光学变焦倍数：30倍</w:t>
            </w:r>
          </w:p>
          <w:p w14:paraId="485AA42E">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屏幕尺寸：3英寸</w:t>
            </w:r>
          </w:p>
          <w:p w14:paraId="0265FD79">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数码像素：201-300万</w:t>
            </w:r>
          </w:p>
          <w:p w14:paraId="777D2726">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重量：151g(含)-200g(含)</w:t>
            </w:r>
          </w:p>
          <w:p w14:paraId="177CD96D">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附加功能：支持WIFI、防抖性能、五轴防抖</w:t>
            </w:r>
          </w:p>
          <w:p w14:paraId="4391356E">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传感器尺寸：1/5.8英寸</w:t>
            </w:r>
          </w:p>
          <w:p w14:paraId="185175FD">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bCs/>
                <w:color w:val="auto"/>
                <w:sz w:val="21"/>
                <w:szCs w:val="21"/>
                <w:shd w:val="clear" w:color="auto" w:fill="FFFFFF"/>
              </w:rPr>
            </w:pPr>
            <w:r>
              <w:rPr>
                <w:rFonts w:hint="eastAsia" w:ascii="宋体" w:hAnsi="宋体" w:eastAsia="宋体" w:cs="宋体"/>
                <w:i w:val="0"/>
                <w:iCs w:val="0"/>
                <w:color w:val="auto"/>
                <w:kern w:val="0"/>
                <w:sz w:val="21"/>
                <w:szCs w:val="21"/>
                <w:u w:val="none"/>
                <w:lang w:val="en-US" w:eastAsia="zh-CN" w:bidi="ar"/>
              </w:rPr>
              <w:t>感光元件：CMOS</w:t>
            </w:r>
          </w:p>
        </w:tc>
      </w:tr>
      <w:tr w14:paraId="1EB7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BF56758">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47</w:t>
            </w:r>
          </w:p>
        </w:tc>
        <w:tc>
          <w:tcPr>
            <w:tcW w:w="1215" w:type="dxa"/>
            <w:noWrap w:val="0"/>
            <w:vAlign w:val="center"/>
          </w:tcPr>
          <w:p w14:paraId="1123309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移动式交互式一体机</w:t>
            </w:r>
          </w:p>
        </w:tc>
        <w:tc>
          <w:tcPr>
            <w:tcW w:w="804" w:type="dxa"/>
            <w:noWrap w:val="0"/>
            <w:vAlign w:val="center"/>
          </w:tcPr>
          <w:p w14:paraId="3F9E7874">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台</w:t>
            </w:r>
          </w:p>
        </w:tc>
        <w:tc>
          <w:tcPr>
            <w:tcW w:w="765" w:type="dxa"/>
            <w:gridSpan w:val="2"/>
            <w:noWrap w:val="0"/>
            <w:vAlign w:val="center"/>
          </w:tcPr>
          <w:p w14:paraId="6446FB1D">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val="0"/>
                <w:i w:val="0"/>
                <w:color w:val="auto"/>
                <w:kern w:val="0"/>
                <w:sz w:val="21"/>
                <w:szCs w:val="21"/>
                <w:u w:val="none"/>
                <w:lang w:val="en-US" w:eastAsia="zh-CN" w:bidi="ar"/>
              </w:rPr>
              <w:t>1</w:t>
            </w:r>
          </w:p>
        </w:tc>
        <w:tc>
          <w:tcPr>
            <w:tcW w:w="6351" w:type="dxa"/>
            <w:noWrap w:val="0"/>
            <w:vAlign w:val="top"/>
          </w:tcPr>
          <w:p w14:paraId="10FB29DB">
            <w:pPr>
              <w:keepNext w:val="0"/>
              <w:keepLines w:val="0"/>
              <w:pageBreakBefore w:val="0"/>
              <w:widowControl/>
              <w:kinsoku/>
              <w:wordWrap/>
              <w:overflowPunct/>
              <w:topLinePunct w:val="0"/>
              <w:bidi w:val="0"/>
              <w:spacing w:line="440" w:lineRule="exact"/>
              <w:jc w:val="left"/>
              <w:rPr>
                <w:rFonts w:hint="eastAsia" w:ascii="宋体" w:hAnsi="宋体" w:eastAsia="宋体" w:cs="宋体"/>
                <w:b/>
                <w:bCs/>
                <w:strike w:val="0"/>
                <w:dstrike w:val="0"/>
                <w:color w:val="auto"/>
                <w:kern w:val="0"/>
                <w:sz w:val="21"/>
                <w:szCs w:val="21"/>
                <w:lang w:bidi="ar"/>
              </w:rPr>
            </w:pPr>
            <w:r>
              <w:rPr>
                <w:rFonts w:hint="eastAsia" w:ascii="宋体" w:hAnsi="宋体" w:eastAsia="宋体" w:cs="宋体"/>
                <w:b/>
                <w:bCs/>
                <w:strike w:val="0"/>
                <w:dstrike w:val="0"/>
                <w:color w:val="auto"/>
                <w:kern w:val="0"/>
                <w:sz w:val="21"/>
                <w:szCs w:val="21"/>
                <w:lang w:bidi="ar"/>
              </w:rPr>
              <w:t>一、显示模块及整机性能要求</w:t>
            </w:r>
            <w:r>
              <w:rPr>
                <w:rFonts w:hint="eastAsia" w:ascii="宋体" w:hAnsi="宋体" w:eastAsia="宋体" w:cs="宋体"/>
                <w:b/>
                <w:bCs/>
                <w:strike w:val="0"/>
                <w:dstrike w:val="0"/>
                <w:color w:val="auto"/>
                <w:kern w:val="0"/>
                <w:sz w:val="21"/>
                <w:szCs w:val="21"/>
                <w:lang w:bidi="ar"/>
              </w:rPr>
              <w:tab/>
            </w:r>
          </w:p>
          <w:p w14:paraId="3B92AF97">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1.液晶屏显示尺寸：≥86英寸；LED背光源；DLED；显示比例：16:9；水平可视角度：≥178°；图像分辨率：≥3840×2160 ；灰阶等级：≥256级, 液晶屏达到A级标准。</w:t>
            </w:r>
          </w:p>
          <w:p w14:paraId="327017DA">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2.全贴合触控显示模组：采用全贴合工艺，书写无悬空感，触控无偏移，侧视无重影。</w:t>
            </w:r>
          </w:p>
          <w:p w14:paraId="1F9E664B">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3.抗光强度：在照度400Klux环境下正常工作；</w:t>
            </w:r>
          </w:p>
          <w:p w14:paraId="6A4DF46C">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4.采用红外触控技术。在Android、Windows系统双系统下均支持20点触控，支持多人同时书写和擦除。</w:t>
            </w:r>
          </w:p>
          <w:p w14:paraId="45792E60">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触摸分辨率：32768*32768</w:t>
            </w:r>
          </w:p>
          <w:p w14:paraId="3147F771">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定位精度：±0.1mm</w:t>
            </w:r>
          </w:p>
          <w:p w14:paraId="31A3CB0E">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最小触摸物体直径≥2mm</w:t>
            </w:r>
          </w:p>
          <w:p w14:paraId="644267F1">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整机屏幕触摸有效识别高度不超过2.5mm，即触摸物体距离玻璃外表面高度不超过2.5mm时，触摸屏识别为点击操作。</w:t>
            </w:r>
          </w:p>
          <w:p w14:paraId="3C9379E5">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书写保障：屏幕任何位置被手、A4大小书本等较大物体遮挡或某一条触摸边框完全失灵，仍可以正常书写、操作；</w:t>
            </w:r>
          </w:p>
          <w:p w14:paraId="6A369DD0">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触摸框通道切换速度：触摸框切换到内部通道后在1s内达到可触摸状态。触摸框切换到外部通道后在3s内达到可触摸状态。</w:t>
            </w:r>
          </w:p>
          <w:p w14:paraId="6FCE343F">
            <w:pPr>
              <w:keepNext w:val="0"/>
              <w:keepLines w:val="0"/>
              <w:pageBreakBefore w:val="0"/>
              <w:widowControl/>
              <w:numPr>
                <w:ilvl w:val="0"/>
                <w:numId w:val="9"/>
              </w:numPr>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设备自带安卓操作系统，安卓版本Android 9.0</w:t>
            </w:r>
            <w:r>
              <w:rPr>
                <w:rFonts w:hint="eastAsia" w:ascii="宋体" w:hAnsi="宋体" w:eastAsia="宋体" w:cs="宋体"/>
                <w:strike w:val="0"/>
                <w:dstrike w:val="0"/>
                <w:color w:val="auto"/>
                <w:kern w:val="0"/>
                <w:sz w:val="21"/>
                <w:szCs w:val="21"/>
                <w:lang w:val="en-US" w:eastAsia="zh-CN" w:bidi="ar"/>
              </w:rPr>
              <w:t>及以上</w:t>
            </w:r>
            <w:r>
              <w:rPr>
                <w:rFonts w:hint="eastAsia" w:ascii="宋体" w:hAnsi="宋体" w:eastAsia="宋体" w:cs="宋体"/>
                <w:strike w:val="0"/>
                <w:dstrike w:val="0"/>
                <w:color w:val="auto"/>
                <w:kern w:val="0"/>
                <w:sz w:val="21"/>
                <w:szCs w:val="21"/>
                <w:lang w:bidi="ar"/>
              </w:rPr>
              <w:t xml:space="preserve"> ；与可插拔式电脑系统形成双系统；4核CPU、2核GPU、4核协处理器，共计10 核；RAM≥2G，ROM≥8G；</w:t>
            </w:r>
          </w:p>
          <w:p w14:paraId="44E2D895">
            <w:pPr>
              <w:keepNext w:val="0"/>
              <w:keepLines w:val="0"/>
              <w:pageBreakBefore w:val="0"/>
              <w:widowControl/>
              <w:numPr>
                <w:ilvl w:val="0"/>
                <w:numId w:val="0"/>
              </w:numPr>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6.★低蓝光护眼灯：整机使用低蓝光护眼LED灯。</w:t>
            </w:r>
          </w:p>
          <w:p w14:paraId="2B2DE457">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7.对比度≥4000:1</w:t>
            </w:r>
          </w:p>
          <w:p w14:paraId="244437E9">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色域覆盖率（NTSC）≥90%</w:t>
            </w:r>
          </w:p>
          <w:p w14:paraId="089964D5">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整机待机状态下节能≥99.8%</w:t>
            </w:r>
          </w:p>
          <w:p w14:paraId="288EC923">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亮度均匀性≥90%</w:t>
            </w:r>
          </w:p>
          <w:p w14:paraId="2227015C">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亮度≥500cd/㎡</w:t>
            </w:r>
          </w:p>
          <w:p w14:paraId="02123FDD">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8.</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高清编解码：整机产品支持纯硬件高清解码技术，支持H.265 解码（高效视频编码(HighEfficiency Video Coding)）；支持 4K(3840×2160)超高清视频；；</w:t>
            </w:r>
          </w:p>
          <w:p w14:paraId="3096E2AC">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9.扬声器：整机内置2.0声道扬声器，功率15W*2。</w:t>
            </w:r>
          </w:p>
          <w:p w14:paraId="7546E551">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10.</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音效：支持DTS音效解码，支持开启/关闭DTS音效，营造沉浸式生动教学氛围。</w:t>
            </w:r>
          </w:p>
          <w:p w14:paraId="0456FD86">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11.</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内置摄像头：内置1100万像素摄像头，对角线120°，水平视场角≥95°。</w:t>
            </w:r>
          </w:p>
          <w:p w14:paraId="0E036DA9">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12.</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★内置麦克风：内置四路麦克风阵列，支持8M拾音，方便对课堂音频进行采集。</w:t>
            </w:r>
          </w:p>
          <w:p w14:paraId="2CBE428B">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13.</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★整机本身支持扩音功能，无需外接音响，任意无线麦克风均可通过大屏扩音，延时小于30ms 。</w:t>
            </w:r>
          </w:p>
          <w:p w14:paraId="2BA44A25">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14.</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前置接口：为方便教师使用，具备至少前置一路USB2.0，两路USB3.0，一路全功能Type-C，USB 接口和Type-C支持在Windows和Android 系统下被读取，即插即用。</w:t>
            </w:r>
          </w:p>
          <w:p w14:paraId="01D4ECE2">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15.</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 xml:space="preserve">USB模式：为方便教学，每个USB接口（含Type-C）均支持以下三种模式：安卓 USB、电脑 USB、智能USB；教师可根据具体教学需求将前置USB自定义成以上三种模式中的任意一种； </w:t>
            </w:r>
          </w:p>
          <w:p w14:paraId="58E488B1">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16.</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Type-C接口：Type-C支持传屏（音视频信号输入），支持高速文件传输，兼容手机充电，可搭配扩展坞兼容各类特殊接口，支持各种外设。</w:t>
            </w:r>
          </w:p>
          <w:p w14:paraId="030840A9">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17.</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侧置接口：为方便教师使用，整机提供侧置1路touch USB，1路USB2.0，1路HDMI输入， 1路SPDIF输出，1路耳机输出，1路网口，1路串口（RS232）。</w:t>
            </w:r>
          </w:p>
          <w:p w14:paraId="2256CAA0">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18.前置按键：为方便教学，前置物理按键≤1个，前置一个物理按键，支持调取中控菜单，支持锁定/解锁屏幕、支持一体机开机、支持一体机待机、支持电脑开/关机。</w:t>
            </w:r>
          </w:p>
          <w:p w14:paraId="79079B65">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19.</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WiFi和蓝牙：内置 2.4G/5G双频WiFi，支持WiFi 上网和建立热点，支持蓝牙5.1；</w:t>
            </w:r>
          </w:p>
          <w:p w14:paraId="2D1B3991">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20.</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信号指示灯：整机前置OPS电脑和整机信号指示灯，可通过指示灯的颜色判断OPS电脑或整机的工作状态；</w:t>
            </w:r>
          </w:p>
          <w:p w14:paraId="6BC3DD42">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21.</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软控菜单：支持在任意信号源通道任意屏幕位置五指调取软控菜单，菜单包含：安卓、信号源、半屏显示、息屏、待机、电脑开关、健康护眼、音量加减、设置、返回、更多；其中，更多菜单中包含：上一级、锁屏、截图、冻结、批注、视频展台、白板、计时器、放大镜、任务视窗，更多菜单中的功能可进行自定义替换，其中包含：无线显示、蓝牙音乐、聚光灯、计算器、倒计日；软控菜单无需手动关闭，可自动隐藏。</w:t>
            </w:r>
          </w:p>
          <w:p w14:paraId="3B5C0126">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22.</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工具菜单：为方便走动式教学，支持在任意通道下通过两指快速调出工具菜单，菜单包含：上一级、锁屏、截图、冻结、批注、视频展台、白板、计时器、放大镜、任务视窗、可编辑选择的功能有：无线显示、蓝牙音乐、聚光灯、计算器、倒计日；软控菜单无操作自动隐藏，无需手动关闭。</w:t>
            </w:r>
          </w:p>
          <w:p w14:paraId="02A2B900">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23.</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一网通：在Windows系统下接入有线或无线网络，Android系统也能实现上网；反之，Android系统实现上网，Windows系统同时也能实现上网。</w:t>
            </w:r>
          </w:p>
          <w:p w14:paraId="1420B680">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24.</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响应时间：首点响应时间≤4ms，连续响应时间≤2ms，书写延迟≤20ms</w:t>
            </w:r>
          </w:p>
          <w:p w14:paraId="34F2C8D0">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25.</w:t>
            </w:r>
            <w:r>
              <w:rPr>
                <w:rFonts w:hint="eastAsia" w:ascii="宋体" w:hAnsi="宋体" w:eastAsia="宋体" w:cs="宋体"/>
                <w:strike w:val="0"/>
                <w:dstrike w:val="0"/>
                <w:color w:val="auto"/>
                <w:kern w:val="0"/>
                <w:sz w:val="21"/>
                <w:szCs w:val="21"/>
                <w:lang w:val="en-US" w:eastAsia="zh-CN" w:bidi="ar"/>
              </w:rPr>
              <w:t xml:space="preserve"> </w:t>
            </w:r>
            <w:r>
              <w:rPr>
                <w:rFonts w:hint="eastAsia" w:ascii="宋体" w:hAnsi="宋体" w:eastAsia="宋体" w:cs="宋体"/>
                <w:strike w:val="0"/>
                <w:dstrike w:val="0"/>
                <w:color w:val="auto"/>
                <w:kern w:val="0"/>
                <w:sz w:val="21"/>
                <w:szCs w:val="21"/>
                <w:lang w:bidi="ar"/>
              </w:rPr>
              <w:t>前置二维码：扫描整机前置二维码可获取：产品型号、产品编号、一键报装、一键报修、电子说明书、在线客服。方便客户查询整机信息以及报修、报装服务；</w:t>
            </w:r>
          </w:p>
          <w:p w14:paraId="025178A7">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26.</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软件锁：为防止学生课后使用/打开，支持教师通过调取软件菜单实现屏幕锁定。</w:t>
            </w:r>
          </w:p>
          <w:p w14:paraId="1C9CDEB4">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27.</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U盘锁：为防止学生课后使用/打开，支持教师通过U盘对整机进行屏幕锁定和解锁。</w:t>
            </w:r>
          </w:p>
          <w:p w14:paraId="36222DC2">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28.</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密码锁：为防止学生课后使用/打开，支持教师使用屏幕密码锁，可自定义解锁密码，开启后可锁定屏幕、整机按键和遥控器；</w:t>
            </w:r>
          </w:p>
          <w:p w14:paraId="1985ED89">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29.</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权限管理：整机可对开机锁、锁屏、恢复出厂设置、一键还原插拔式电脑四个功能进行权限设置，权限管理方式有三种：NFC、人脸识别、密码；开启权限管理后，使用对应的方式解锁后进行操作；开机权限：支持设置开机锁，功能开启后，整机开机进入锁定状态，防止无权限人员随意操作；</w:t>
            </w:r>
          </w:p>
          <w:p w14:paraId="2E4EBCB0">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3</w:t>
            </w:r>
            <w:r>
              <w:rPr>
                <w:rFonts w:hint="eastAsia" w:ascii="宋体" w:hAnsi="宋体" w:eastAsia="宋体" w:cs="宋体"/>
                <w:strike w:val="0"/>
                <w:dstrike w:val="0"/>
                <w:color w:val="auto"/>
                <w:kern w:val="0"/>
                <w:sz w:val="21"/>
                <w:szCs w:val="21"/>
                <w:lang w:val="en-US" w:eastAsia="zh-CN" w:bidi="ar"/>
              </w:rPr>
              <w:t>0</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人脸识别：整机支持人脸识别功能，可通过人脸识别功能对已锁定的屏幕进行解锁；</w:t>
            </w:r>
          </w:p>
          <w:p w14:paraId="656FA328">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3</w:t>
            </w:r>
            <w:r>
              <w:rPr>
                <w:rFonts w:hint="eastAsia" w:ascii="宋体" w:hAnsi="宋体" w:eastAsia="宋体" w:cs="宋体"/>
                <w:strike w:val="0"/>
                <w:dstrike w:val="0"/>
                <w:color w:val="auto"/>
                <w:kern w:val="0"/>
                <w:sz w:val="21"/>
                <w:szCs w:val="21"/>
                <w:lang w:val="en-US" w:eastAsia="zh-CN" w:bidi="ar"/>
              </w:rPr>
              <w:t>1</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NFC卡绑定：为方便教师校园卡管理，提供添加或删除用户NFC卡信息，支持自定义NFC卡名称，便于教师绑定校园一卡通，管理设备权限；</w:t>
            </w:r>
          </w:p>
          <w:p w14:paraId="372EA056">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3</w:t>
            </w:r>
            <w:r>
              <w:rPr>
                <w:rFonts w:hint="eastAsia" w:ascii="宋体" w:hAnsi="宋体" w:eastAsia="宋体" w:cs="宋体"/>
                <w:strike w:val="0"/>
                <w:dstrike w:val="0"/>
                <w:color w:val="auto"/>
                <w:kern w:val="0"/>
                <w:sz w:val="21"/>
                <w:szCs w:val="21"/>
                <w:lang w:val="en-US" w:eastAsia="zh-CN" w:bidi="ar"/>
              </w:rPr>
              <w:t>2</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一键电脑还原：整机软件具备电脑一键还原功能，进行系统还原设置时，软件弹出确认提示窗口，不接受按键还原，防止衣角等身体碰触发生误操作；</w:t>
            </w:r>
          </w:p>
          <w:p w14:paraId="6C4AADD0">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3</w:t>
            </w:r>
            <w:r>
              <w:rPr>
                <w:rFonts w:hint="eastAsia" w:ascii="宋体" w:hAnsi="宋体" w:eastAsia="宋体" w:cs="宋体"/>
                <w:strike w:val="0"/>
                <w:dstrike w:val="0"/>
                <w:color w:val="auto"/>
                <w:kern w:val="0"/>
                <w:sz w:val="21"/>
                <w:szCs w:val="21"/>
                <w:lang w:val="en-US" w:eastAsia="zh-CN" w:bidi="ar"/>
              </w:rPr>
              <w:t>3</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息屏功能：整机具备息屏功能，可通过前置按键或者手势调取菜单关闭背光，整机仍可正常运行；在息屏状态下，可正常播放音视频文件；</w:t>
            </w:r>
          </w:p>
          <w:p w14:paraId="000EA726">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3</w:t>
            </w:r>
            <w:r>
              <w:rPr>
                <w:rFonts w:hint="eastAsia" w:ascii="宋体" w:hAnsi="宋体" w:eastAsia="宋体" w:cs="宋体"/>
                <w:strike w:val="0"/>
                <w:dstrike w:val="0"/>
                <w:color w:val="auto"/>
                <w:kern w:val="0"/>
                <w:sz w:val="21"/>
                <w:szCs w:val="21"/>
                <w:lang w:val="en-US" w:eastAsia="zh-CN" w:bidi="ar"/>
              </w:rPr>
              <w:t>4</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关屏唤醒：整机处于关屏状态时，可通过触控、物理按键不少于2种方式唤醒屏幕；</w:t>
            </w:r>
          </w:p>
          <w:p w14:paraId="4C564AF7">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3</w:t>
            </w:r>
            <w:r>
              <w:rPr>
                <w:rFonts w:hint="eastAsia" w:ascii="宋体" w:hAnsi="宋体" w:eastAsia="宋体" w:cs="宋体"/>
                <w:strike w:val="0"/>
                <w:dstrike w:val="0"/>
                <w:color w:val="auto"/>
                <w:kern w:val="0"/>
                <w:sz w:val="21"/>
                <w:szCs w:val="21"/>
                <w:lang w:val="en-US" w:eastAsia="zh-CN" w:bidi="ar"/>
              </w:rPr>
              <w:t>5</w:t>
            </w:r>
            <w:r>
              <w:rPr>
                <w:rFonts w:hint="eastAsia" w:ascii="宋体" w:hAnsi="宋体" w:eastAsia="宋体" w:cs="宋体"/>
                <w:strike w:val="0"/>
                <w:dstrike w:val="0"/>
                <w:color w:val="auto"/>
                <w:kern w:val="0"/>
                <w:sz w:val="21"/>
                <w:szCs w:val="21"/>
                <w:lang w:bidi="ar"/>
              </w:rPr>
              <w:t>.一触亮屏：设置为关后，触控不可亮屏，可通过五指触控屏幕1s使屏幕点亮。避免息屏后因昆虫触控点亮屏幕而发生误操作。</w:t>
            </w:r>
          </w:p>
          <w:p w14:paraId="73288F4F">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3</w:t>
            </w:r>
            <w:r>
              <w:rPr>
                <w:rFonts w:hint="eastAsia" w:ascii="宋体" w:hAnsi="宋体" w:eastAsia="宋体" w:cs="宋体"/>
                <w:strike w:val="0"/>
                <w:dstrike w:val="0"/>
                <w:color w:val="auto"/>
                <w:kern w:val="0"/>
                <w:sz w:val="21"/>
                <w:szCs w:val="21"/>
                <w:lang w:val="en-US" w:eastAsia="zh-CN" w:bidi="ar"/>
              </w:rPr>
              <w:t>6</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二维码识别：整机软件支持调用摄像头扫描并识别二维码，无需安装第三方扫码软件；</w:t>
            </w:r>
          </w:p>
          <w:p w14:paraId="2AEBAE39">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3</w:t>
            </w:r>
            <w:r>
              <w:rPr>
                <w:rFonts w:hint="eastAsia" w:ascii="宋体" w:hAnsi="宋体" w:eastAsia="宋体" w:cs="宋体"/>
                <w:strike w:val="0"/>
                <w:dstrike w:val="0"/>
                <w:color w:val="auto"/>
                <w:kern w:val="0"/>
                <w:sz w:val="21"/>
                <w:szCs w:val="21"/>
                <w:lang w:val="en-US" w:eastAsia="zh-CN" w:bidi="ar"/>
              </w:rPr>
              <w:t>7</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录制功能：整机支持在任意信号源通道、屏幕任意位置调取录制功能，并实现录制内容的自动存储；</w:t>
            </w:r>
          </w:p>
          <w:p w14:paraId="3E850AF4">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3</w:t>
            </w:r>
            <w:r>
              <w:rPr>
                <w:rFonts w:hint="eastAsia" w:ascii="宋体" w:hAnsi="宋体" w:eastAsia="宋体" w:cs="宋体"/>
                <w:strike w:val="0"/>
                <w:dstrike w:val="0"/>
                <w:color w:val="auto"/>
                <w:kern w:val="0"/>
                <w:sz w:val="21"/>
                <w:szCs w:val="21"/>
                <w:lang w:val="en-US" w:eastAsia="zh-CN" w:bidi="ar"/>
              </w:rPr>
              <w:t>8</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录屏功能：支持对大屏显示内容进行录制；</w:t>
            </w:r>
          </w:p>
          <w:p w14:paraId="46BDE2E7">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u w:val="none"/>
                <w:lang w:bidi="ar"/>
              </w:rPr>
            </w:pPr>
            <w:r>
              <w:rPr>
                <w:rFonts w:hint="eastAsia" w:ascii="宋体" w:hAnsi="宋体" w:eastAsia="宋体" w:cs="宋体"/>
                <w:strike w:val="0"/>
                <w:dstrike w:val="0"/>
                <w:color w:val="auto"/>
                <w:kern w:val="0"/>
                <w:sz w:val="21"/>
                <w:szCs w:val="21"/>
                <w:u w:val="none"/>
                <w:lang w:val="en-US" w:eastAsia="zh-CN" w:bidi="ar"/>
              </w:rPr>
              <w:t>39</w:t>
            </w:r>
            <w:r>
              <w:rPr>
                <w:rFonts w:hint="eastAsia" w:ascii="宋体" w:hAnsi="宋体" w:eastAsia="宋体" w:cs="宋体"/>
                <w:strike w:val="0"/>
                <w:dstrike w:val="0"/>
                <w:color w:val="auto"/>
                <w:kern w:val="0"/>
                <w:sz w:val="21"/>
                <w:szCs w:val="21"/>
                <w:u w:val="none"/>
                <w:lang w:bidi="ar"/>
              </w:rPr>
              <w:t>.</w:t>
            </w:r>
            <w:r>
              <w:rPr>
                <w:rFonts w:hint="eastAsia" w:ascii="宋体" w:hAnsi="宋体" w:eastAsia="宋体" w:cs="宋体"/>
                <w:strike w:val="0"/>
                <w:dstrike w:val="0"/>
                <w:color w:val="auto"/>
                <w:kern w:val="0"/>
                <w:sz w:val="21"/>
                <w:szCs w:val="21"/>
                <w:u w:val="none"/>
                <w:lang w:bidi="ar"/>
              </w:rPr>
              <w:tab/>
            </w:r>
            <w:r>
              <w:rPr>
                <w:rFonts w:hint="eastAsia" w:ascii="宋体" w:hAnsi="宋体" w:eastAsia="宋体" w:cs="宋体"/>
                <w:strike w:val="0"/>
                <w:dstrike w:val="0"/>
                <w:color w:val="auto"/>
                <w:kern w:val="0"/>
                <w:sz w:val="21"/>
                <w:szCs w:val="21"/>
                <w:u w:val="none"/>
                <w:lang w:bidi="ar"/>
              </w:rPr>
              <w:t>★半屏下降：整机可通过软件快捷键实现屏幕显示画面下移，并可进行触控，方便用户操作；点击屏幕即可恢复全屏显示；</w:t>
            </w:r>
          </w:p>
          <w:p w14:paraId="012E0436">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val="en-US" w:eastAsia="zh-CN" w:bidi="ar"/>
              </w:rPr>
              <w:t>4</w:t>
            </w:r>
            <w:r>
              <w:rPr>
                <w:rFonts w:hint="eastAsia" w:ascii="宋体" w:hAnsi="宋体" w:cs="宋体"/>
                <w:strike w:val="0"/>
                <w:dstrike w:val="0"/>
                <w:color w:val="auto"/>
                <w:kern w:val="0"/>
                <w:sz w:val="21"/>
                <w:szCs w:val="21"/>
                <w:lang w:val="en-US" w:eastAsia="zh-CN" w:bidi="ar"/>
              </w:rPr>
              <w:t>0</w:t>
            </w:r>
            <w:r>
              <w:rPr>
                <w:rFonts w:hint="eastAsia" w:ascii="宋体" w:hAnsi="宋体" w:eastAsia="宋体" w:cs="宋体"/>
                <w:strike w:val="0"/>
                <w:dstrike w:val="0"/>
                <w:color w:val="auto"/>
                <w:kern w:val="0"/>
                <w:sz w:val="21"/>
                <w:szCs w:val="21"/>
                <w:lang w:bidi="ar"/>
              </w:rPr>
              <w:t>.快捷菜单：支持在任意界面下调出快捷菜单，并具备以下功能：快速返回桌面，查看并切换应用，查看运行程序，调用小工具（计算器、录屏、无线传屏等），调整声音，调整亮度。</w:t>
            </w:r>
          </w:p>
          <w:p w14:paraId="15AA937B">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4</w:t>
            </w:r>
            <w:r>
              <w:rPr>
                <w:rFonts w:hint="eastAsia" w:ascii="宋体" w:hAnsi="宋体" w:eastAsia="宋体" w:cs="宋体"/>
                <w:strike w:val="0"/>
                <w:dstrike w:val="0"/>
                <w:color w:val="auto"/>
                <w:kern w:val="0"/>
                <w:sz w:val="21"/>
                <w:szCs w:val="21"/>
                <w:lang w:val="en-US" w:eastAsia="zh-CN" w:bidi="ar"/>
              </w:rPr>
              <w:t>1</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视频展台功能：无PC 状态下，支持在安卓系统下直接启动视频展台，可进行批注、旋转及截图，且支持二分屏、四分屏，最高支持8分屏，可同时进行对比教学，可任意更换分屏画面内容；</w:t>
            </w:r>
          </w:p>
          <w:p w14:paraId="703CE864">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val="en-US" w:eastAsia="zh-CN" w:bidi="ar"/>
              </w:rPr>
              <w:t>42</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自然显示模式：整机支持自然显示模式；开启后色彩还原度更高，教学素材显示效果更佳；</w:t>
            </w:r>
          </w:p>
          <w:p w14:paraId="12863ECB">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val="en-US" w:eastAsia="zh-CN" w:bidi="ar"/>
              </w:rPr>
              <w:t>43</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超解像模式：整机支持超解像模式，开启后可提升画面清晰度，教学文本显示效果更佳；</w:t>
            </w:r>
          </w:p>
          <w:p w14:paraId="2CAA909A">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val="en-US" w:eastAsia="zh-CN" w:bidi="ar"/>
              </w:rPr>
              <w:t>44</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低蓝光护眼模式：整机支持开启/关闭低蓝光护眼模式，开启低蓝光护眼模式后，整机会降低蓝光辐射，呵护师生视力。</w:t>
            </w:r>
          </w:p>
          <w:p w14:paraId="359DB30A">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val="en-US" w:eastAsia="zh-CN" w:bidi="ar"/>
              </w:rPr>
              <w:t>45</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白板软件：</w:t>
            </w:r>
          </w:p>
          <w:p w14:paraId="504E1A07">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1）笔色：支持10种颜色；支持滑动调整笔迹粗细；</w:t>
            </w:r>
          </w:p>
          <w:p w14:paraId="416AE1F2">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3）白板书写内容可导出PNG、PDF和HMF格式；</w:t>
            </w:r>
          </w:p>
          <w:p w14:paraId="6B5DDB4C">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4）白板书写支持自定义笔锋效果，支持开启/关闭该功能；</w:t>
            </w:r>
          </w:p>
          <w:p w14:paraId="122F6EDF">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5）图形智能识别：①支持手绘的多种图形可自动识别并转化为标准图形：圆圈、方形、三角形、箭头、梯形、平行四边；②支持对图形大小进行调整；</w:t>
            </w:r>
          </w:p>
          <w:p w14:paraId="0CA891F2">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6）智能表格绘制：安卓下支持智能图表绘制，通过识别矩形图形后手绘增加表格行列，表格中书写区域可根据书写内容自适应大小，表格内容与表格边界可同时选中并一并拖动；形成表格对象后可以直接点击按钮添加行或者列。并且智能图标支持删减表格中的行。</w:t>
            </w:r>
          </w:p>
          <w:p w14:paraId="592E17F5">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7）白板内容分享：支持扫描二维码分享和邮件分享白板内容；</w:t>
            </w:r>
          </w:p>
          <w:p w14:paraId="19226E1A">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8）换色：支持对白板中已书写笔迹和绘制图形内容的颜色进行更换；</w:t>
            </w:r>
          </w:p>
          <w:p w14:paraId="5E79148C">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9）背景更换：支持10种背景色的选择；支持导入自定义的背景；</w:t>
            </w:r>
          </w:p>
          <w:p w14:paraId="7E9F116E">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4</w:t>
            </w:r>
            <w:r>
              <w:rPr>
                <w:rFonts w:hint="eastAsia" w:ascii="宋体" w:hAnsi="宋体" w:eastAsia="宋体" w:cs="宋体"/>
                <w:strike w:val="0"/>
                <w:dstrike w:val="0"/>
                <w:color w:val="auto"/>
                <w:kern w:val="0"/>
                <w:sz w:val="21"/>
                <w:szCs w:val="21"/>
                <w:lang w:val="en-US" w:eastAsia="zh-CN" w:bidi="ar"/>
              </w:rPr>
              <w:t>6</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白板书写支持三级触控：整机支持三级触控（细笔头、粗笔头、手掌）；细笔头（直径≤3mm）：正常书写；粗笔头（8mm≤直径≤20mm）书写时显示红色笔迹批注;无需其他任何操作， 翻转笔身即可实现粗细笔头的切换，实现不同颜色粗细的书写笔迹；手掌（直径≥30mm)平放于屏幕时可识别为板擦擦除。</w:t>
            </w:r>
          </w:p>
          <w:p w14:paraId="5DDF524A">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4</w:t>
            </w:r>
            <w:r>
              <w:rPr>
                <w:rFonts w:hint="eastAsia" w:ascii="宋体" w:hAnsi="宋体" w:eastAsia="宋体" w:cs="宋体"/>
                <w:strike w:val="0"/>
                <w:dstrike w:val="0"/>
                <w:color w:val="auto"/>
                <w:kern w:val="0"/>
                <w:sz w:val="21"/>
                <w:szCs w:val="21"/>
                <w:lang w:val="en-US" w:eastAsia="zh-CN" w:bidi="ar"/>
              </w:rPr>
              <w:t>7</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侧拉目录板：支持在任意通道下从屏幕一侧快速拖出书写白板；可根据需求选择书写白板的展开面积的大小；支持书写、擦除、截图功能，支持可自定义开启或关闭目录板；</w:t>
            </w:r>
          </w:p>
          <w:p w14:paraId="048E42A1">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4</w:t>
            </w:r>
            <w:r>
              <w:rPr>
                <w:rFonts w:hint="eastAsia" w:ascii="宋体" w:hAnsi="宋体" w:eastAsia="宋体" w:cs="宋体"/>
                <w:strike w:val="0"/>
                <w:dstrike w:val="0"/>
                <w:color w:val="auto"/>
                <w:kern w:val="0"/>
                <w:sz w:val="21"/>
                <w:szCs w:val="21"/>
                <w:lang w:val="en-US" w:eastAsia="zh-CN" w:bidi="ar"/>
              </w:rPr>
              <w:t>8</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欢迎页：预置五种欢迎页模板，用户同时可自定义欢迎页，支持插入图片、视频、音频、文字，可调整字体大小、颜色以及对齐格式；</w:t>
            </w:r>
          </w:p>
          <w:p w14:paraId="7E6C6E68">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val="en-US" w:eastAsia="zh-CN" w:bidi="ar"/>
              </w:rPr>
              <w:t>49</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签到墙：整机支持拍照签到功能，照片可进行签名并保存到整机内；签名墙可更换背景图片；签名可更改为任意颜色；签名墙支持四种展示效果。</w:t>
            </w:r>
          </w:p>
          <w:p w14:paraId="41024A4E">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5</w:t>
            </w:r>
            <w:r>
              <w:rPr>
                <w:rFonts w:hint="eastAsia" w:ascii="宋体" w:hAnsi="宋体" w:eastAsia="宋体" w:cs="宋体"/>
                <w:strike w:val="0"/>
                <w:dstrike w:val="0"/>
                <w:color w:val="auto"/>
                <w:kern w:val="0"/>
                <w:sz w:val="21"/>
                <w:szCs w:val="21"/>
                <w:lang w:val="en-US" w:eastAsia="zh-CN" w:bidi="ar"/>
              </w:rPr>
              <w:t>0</w:t>
            </w:r>
            <w:r>
              <w:rPr>
                <w:rFonts w:hint="eastAsia" w:ascii="宋体" w:hAnsi="宋体" w:eastAsia="宋体" w:cs="宋体"/>
                <w:strike w:val="0"/>
                <w:dstrike w:val="0"/>
                <w:color w:val="auto"/>
                <w:kern w:val="0"/>
                <w:sz w:val="21"/>
                <w:szCs w:val="21"/>
                <w:lang w:bidi="ar"/>
              </w:rPr>
              <w:t>.电子说明书：整机内置电子说明书，内容包含整机基本操作说明。</w:t>
            </w:r>
          </w:p>
          <w:p w14:paraId="75873212">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5</w:t>
            </w:r>
            <w:r>
              <w:rPr>
                <w:rFonts w:hint="eastAsia" w:ascii="宋体" w:hAnsi="宋体" w:eastAsia="宋体" w:cs="宋体"/>
                <w:strike w:val="0"/>
                <w:dstrike w:val="0"/>
                <w:color w:val="auto"/>
                <w:kern w:val="0"/>
                <w:sz w:val="21"/>
                <w:szCs w:val="21"/>
                <w:lang w:val="en-US" w:eastAsia="zh-CN" w:bidi="ar"/>
              </w:rPr>
              <w:t>1</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一键自检：整机支持对系统硬盘，系统内存、触控框、PC模块、网络信息、光感系统、NFC、摄像头进行检测；若检测存在故障，则提供电话、二维码、邮箱三种保修方式，直接扫描系统提供的二维码进行在线客服问题报修。</w:t>
            </w:r>
          </w:p>
          <w:p w14:paraId="41733288">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5</w:t>
            </w:r>
            <w:r>
              <w:rPr>
                <w:rFonts w:hint="eastAsia" w:ascii="宋体" w:hAnsi="宋体" w:eastAsia="宋体" w:cs="宋体"/>
                <w:strike w:val="0"/>
                <w:dstrike w:val="0"/>
                <w:color w:val="auto"/>
                <w:kern w:val="0"/>
                <w:sz w:val="21"/>
                <w:szCs w:val="21"/>
                <w:lang w:val="en-US" w:eastAsia="zh-CN" w:bidi="ar"/>
              </w:rPr>
              <w:t>2</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防撞设计：整机具备前置端子防撞、防尘模块设计，可防止侧拉绿板撞坏前置端子外接设备，可避免灰尘进入端子内部。</w:t>
            </w:r>
          </w:p>
          <w:p w14:paraId="378F1905">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5</w:t>
            </w:r>
            <w:r>
              <w:rPr>
                <w:rFonts w:hint="eastAsia" w:ascii="宋体" w:hAnsi="宋体" w:eastAsia="宋体" w:cs="宋体"/>
                <w:strike w:val="0"/>
                <w:dstrike w:val="0"/>
                <w:color w:val="auto"/>
                <w:kern w:val="0"/>
                <w:sz w:val="21"/>
                <w:szCs w:val="21"/>
                <w:lang w:val="en-US" w:eastAsia="zh-CN" w:bidi="ar"/>
              </w:rPr>
              <w:t>3</w:t>
            </w: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无频闪调光：可通过直流调光将屏幕闪烁频率设置到人眼无法察觉的960Hz，消除因闪烁带来的视觉疲劳。</w:t>
            </w:r>
          </w:p>
          <w:p w14:paraId="0AB85F71">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5</w:t>
            </w:r>
            <w:r>
              <w:rPr>
                <w:rFonts w:hint="eastAsia" w:ascii="宋体" w:hAnsi="宋体" w:eastAsia="宋体" w:cs="宋体"/>
                <w:strike w:val="0"/>
                <w:dstrike w:val="0"/>
                <w:color w:val="auto"/>
                <w:kern w:val="0"/>
                <w:sz w:val="21"/>
                <w:szCs w:val="21"/>
                <w:lang w:val="en-US" w:eastAsia="zh-CN" w:bidi="ar"/>
              </w:rPr>
              <w:t>4</w:t>
            </w:r>
            <w:r>
              <w:rPr>
                <w:rFonts w:hint="eastAsia" w:ascii="宋体" w:hAnsi="宋体" w:eastAsia="宋体" w:cs="宋体"/>
                <w:strike w:val="0"/>
                <w:dstrike w:val="0"/>
                <w:color w:val="auto"/>
                <w:kern w:val="0"/>
                <w:sz w:val="21"/>
                <w:szCs w:val="21"/>
                <w:lang w:bidi="ar"/>
              </w:rPr>
              <w:t>. 支持Miracast协议、DLNA协议和AirPlay协议，实现Android和IOS设备与大屏连接，可实现无线投屏。</w:t>
            </w:r>
          </w:p>
          <w:p w14:paraId="78069E48">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二、内置电脑功能</w:t>
            </w:r>
          </w:p>
          <w:p w14:paraId="1BC27ED0">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1.</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为了保证交互平板产品后续可扩展性，一体机采用符合INTEL标准协议的80pin OPS接口；</w:t>
            </w:r>
          </w:p>
          <w:p w14:paraId="0BFBAEAF">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2.</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 xml:space="preserve">处理器：Intel 酷睿I5或以上； </w:t>
            </w:r>
          </w:p>
          <w:p w14:paraId="66A1F83A">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3.</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内存：8G 或以上配置；硬盘：256G或以上配置；内置WiFi：IEEE 802.11n标准；内置网卡：10M/100M/1000M；</w:t>
            </w:r>
          </w:p>
          <w:p w14:paraId="73B2B09C">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4.</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具有独立非外扩展的电脑USB接口：电脑上至少6个USB接口；</w:t>
            </w:r>
          </w:p>
          <w:p w14:paraId="13280AA6">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5.</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具有视频输出接口：HDMI接口；</w:t>
            </w:r>
          </w:p>
          <w:p w14:paraId="122CF132">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6.</w:t>
            </w:r>
            <w:r>
              <w:rPr>
                <w:rFonts w:hint="eastAsia" w:ascii="宋体" w:hAnsi="宋体" w:eastAsia="宋体" w:cs="宋体"/>
                <w:strike w:val="0"/>
                <w:dstrike w:val="0"/>
                <w:color w:val="auto"/>
                <w:kern w:val="0"/>
                <w:sz w:val="21"/>
                <w:szCs w:val="21"/>
                <w:lang w:bidi="ar"/>
              </w:rPr>
              <w:tab/>
            </w:r>
            <w:r>
              <w:rPr>
                <w:rFonts w:hint="eastAsia" w:ascii="宋体" w:hAnsi="宋体" w:eastAsia="宋体" w:cs="宋体"/>
                <w:strike w:val="0"/>
                <w:dstrike w:val="0"/>
                <w:color w:val="auto"/>
                <w:kern w:val="0"/>
                <w:sz w:val="21"/>
                <w:szCs w:val="21"/>
                <w:lang w:bidi="ar"/>
              </w:rPr>
              <w:t>具有标准PC防盗锁孔，确保电脑模块安全防盗；</w:t>
            </w:r>
          </w:p>
          <w:p w14:paraId="2096E38B">
            <w:pPr>
              <w:keepNext w:val="0"/>
              <w:keepLines w:val="0"/>
              <w:pageBreakBefore w:val="0"/>
              <w:kinsoku/>
              <w:wordWrap/>
              <w:overflowPunct/>
              <w:topLinePunct w:val="0"/>
              <w:bidi w:val="0"/>
              <w:spacing w:line="440" w:lineRule="exact"/>
              <w:rPr>
                <w:rFonts w:hint="eastAsia" w:ascii="宋体" w:hAnsi="宋体" w:eastAsia="宋体" w:cs="宋体"/>
                <w:strike w:val="0"/>
                <w:dstrike w:val="0"/>
                <w:color w:val="auto"/>
                <w:kern w:val="0"/>
                <w:sz w:val="21"/>
                <w:szCs w:val="21"/>
                <w:lang w:bidi="ar"/>
              </w:rPr>
            </w:pPr>
            <w:r>
              <w:rPr>
                <w:rFonts w:hint="eastAsia" w:ascii="宋体" w:hAnsi="宋体" w:eastAsia="宋体" w:cs="宋体"/>
                <w:strike w:val="0"/>
                <w:dstrike w:val="0"/>
                <w:color w:val="auto"/>
                <w:kern w:val="0"/>
                <w:sz w:val="21"/>
                <w:szCs w:val="21"/>
                <w:lang w:bidi="ar"/>
              </w:rPr>
              <w:t>7．提供正版操作系统和办公系统。</w:t>
            </w:r>
          </w:p>
          <w:p w14:paraId="10D8B07E">
            <w:pPr>
              <w:keepNext w:val="0"/>
              <w:keepLines w:val="0"/>
              <w:pageBreakBefore w:val="0"/>
              <w:kinsoku/>
              <w:wordWrap/>
              <w:overflowPunct/>
              <w:topLinePunct w:val="0"/>
              <w:bidi w:val="0"/>
              <w:spacing w:line="440" w:lineRule="exact"/>
              <w:rPr>
                <w:rFonts w:hint="eastAsia" w:ascii="宋体" w:hAnsi="宋体" w:eastAsia="宋体" w:cs="宋体"/>
                <w:b/>
                <w:bCs/>
                <w:strike w:val="0"/>
                <w:dstrike w:val="0"/>
                <w:color w:val="auto"/>
                <w:sz w:val="21"/>
                <w:szCs w:val="21"/>
              </w:rPr>
            </w:pPr>
            <w:r>
              <w:rPr>
                <w:rFonts w:hint="eastAsia" w:ascii="宋体" w:hAnsi="宋体" w:eastAsia="宋体" w:cs="宋体"/>
                <w:b/>
                <w:bCs/>
                <w:strike w:val="0"/>
                <w:dstrike w:val="0"/>
                <w:color w:val="auto"/>
                <w:sz w:val="21"/>
                <w:szCs w:val="21"/>
              </w:rPr>
              <w:t>软件部分：</w:t>
            </w:r>
          </w:p>
          <w:p w14:paraId="124AF81E">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一、 系统架构：</w:t>
            </w:r>
          </w:p>
          <w:p w14:paraId="1C323EDB">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w:t>
            </w:r>
            <w:r>
              <w:rPr>
                <w:rFonts w:hint="eastAsia" w:ascii="宋体" w:hAnsi="宋体" w:eastAsia="宋体" w:cs="宋体"/>
                <w:strike w:val="0"/>
                <w:dstrike w:val="0"/>
                <w:color w:val="auto"/>
                <w:kern w:val="0"/>
                <w:sz w:val="21"/>
                <w:szCs w:val="21"/>
                <w:lang w:eastAsia="zh-CN" w:bidi="ar"/>
              </w:rPr>
              <w:t>1.</w:t>
            </w:r>
            <w:r>
              <w:rPr>
                <w:rFonts w:hint="eastAsia" w:ascii="宋体" w:hAnsi="宋体" w:eastAsia="宋体" w:cs="宋体"/>
                <w:strike w:val="0"/>
                <w:dstrike w:val="0"/>
                <w:color w:val="auto"/>
                <w:kern w:val="0"/>
                <w:sz w:val="21"/>
                <w:szCs w:val="21"/>
                <w:lang w:bidi="ar"/>
              </w:rPr>
              <w:t>基于C/S架构设计，系统支持TV端（交互式触控一体机）、PC端、手机端（Android、IOS）运行，可满足普通授课、小组研讨不同场景应用需求；</w:t>
            </w:r>
          </w:p>
          <w:p w14:paraId="20102C02">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二、 登录</w:t>
            </w:r>
          </w:p>
          <w:p w14:paraId="311E2D3D">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1.</w:t>
            </w:r>
            <w:r>
              <w:rPr>
                <w:rFonts w:hint="eastAsia" w:ascii="宋体" w:hAnsi="宋体" w:eastAsia="宋体" w:cs="宋体"/>
                <w:strike w:val="0"/>
                <w:dstrike w:val="0"/>
                <w:color w:val="auto"/>
                <w:kern w:val="0"/>
                <w:sz w:val="21"/>
                <w:szCs w:val="21"/>
                <w:lang w:bidi="ar"/>
              </w:rPr>
              <w:t>支持账号密码、手机号验证码、微信扫码登录方式，方便师生快速登录；</w:t>
            </w:r>
          </w:p>
          <w:p w14:paraId="6C2F9C89">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2.</w:t>
            </w:r>
            <w:r>
              <w:rPr>
                <w:rFonts w:hint="eastAsia" w:ascii="宋体" w:hAnsi="宋体" w:eastAsia="宋体" w:cs="宋体"/>
                <w:strike w:val="0"/>
                <w:dstrike w:val="0"/>
                <w:color w:val="auto"/>
                <w:kern w:val="0"/>
                <w:sz w:val="21"/>
                <w:szCs w:val="21"/>
                <w:lang w:bidi="ar"/>
              </w:rPr>
              <w:t>支持系统自动登录，可一直保持登录状态，无需重复手动登录；</w:t>
            </w:r>
          </w:p>
          <w:p w14:paraId="79E66229">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3.</w:t>
            </w:r>
            <w:r>
              <w:rPr>
                <w:rFonts w:hint="eastAsia" w:ascii="宋体" w:hAnsi="宋体" w:eastAsia="宋体" w:cs="宋体"/>
                <w:strike w:val="0"/>
                <w:dstrike w:val="0"/>
                <w:color w:val="auto"/>
                <w:kern w:val="0"/>
                <w:sz w:val="21"/>
                <w:szCs w:val="21"/>
                <w:lang w:bidi="ar"/>
              </w:rPr>
              <w:t>支持密码修改操作，忘记密码后可通过手机号验证码对密码进行修改。</w:t>
            </w:r>
          </w:p>
          <w:p w14:paraId="36DAFC2B">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三、个人中心</w:t>
            </w:r>
          </w:p>
          <w:p w14:paraId="3B241986">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1.</w:t>
            </w:r>
            <w:r>
              <w:rPr>
                <w:rFonts w:hint="eastAsia" w:ascii="宋体" w:hAnsi="宋体" w:eastAsia="宋体" w:cs="宋体"/>
                <w:strike w:val="0"/>
                <w:dstrike w:val="0"/>
                <w:color w:val="auto"/>
                <w:kern w:val="0"/>
                <w:sz w:val="21"/>
                <w:szCs w:val="21"/>
                <w:lang w:bidi="ar"/>
              </w:rPr>
              <w:t>支持修改个人头像、昵称；</w:t>
            </w:r>
          </w:p>
          <w:p w14:paraId="67FD7E1F">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2.</w:t>
            </w:r>
            <w:r>
              <w:rPr>
                <w:rFonts w:hint="eastAsia" w:ascii="宋体" w:hAnsi="宋体" w:eastAsia="宋体" w:cs="宋体"/>
                <w:strike w:val="0"/>
                <w:dstrike w:val="0"/>
                <w:color w:val="auto"/>
                <w:kern w:val="0"/>
                <w:sz w:val="21"/>
                <w:szCs w:val="21"/>
                <w:lang w:bidi="ar"/>
              </w:rPr>
              <w:t>支持修改密码、绑定手机号</w:t>
            </w:r>
          </w:p>
          <w:p w14:paraId="10C57D7C">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3.</w:t>
            </w:r>
            <w:r>
              <w:rPr>
                <w:rFonts w:hint="eastAsia" w:ascii="宋体" w:hAnsi="宋体" w:eastAsia="宋体" w:cs="宋体"/>
                <w:strike w:val="0"/>
                <w:dstrike w:val="0"/>
                <w:color w:val="auto"/>
                <w:kern w:val="0"/>
                <w:sz w:val="21"/>
                <w:szCs w:val="21"/>
                <w:lang w:bidi="ar"/>
              </w:rPr>
              <w:t>支持修改绑定微信号</w:t>
            </w:r>
          </w:p>
          <w:p w14:paraId="03BD3150">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四、云盘：</w:t>
            </w:r>
          </w:p>
          <w:p w14:paraId="78CE1D4F">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1.</w:t>
            </w:r>
            <w:r>
              <w:rPr>
                <w:rFonts w:hint="eastAsia" w:ascii="宋体" w:hAnsi="宋体" w:eastAsia="宋体" w:cs="宋体"/>
                <w:strike w:val="0"/>
                <w:dstrike w:val="0"/>
                <w:color w:val="auto"/>
                <w:kern w:val="0"/>
                <w:sz w:val="21"/>
                <w:szCs w:val="21"/>
                <w:lang w:bidi="ar"/>
              </w:rPr>
              <w:t>支持打开云盘中的文件</w:t>
            </w:r>
          </w:p>
          <w:p w14:paraId="0A153EC5">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2.</w:t>
            </w:r>
            <w:r>
              <w:rPr>
                <w:rFonts w:hint="eastAsia" w:ascii="宋体" w:hAnsi="宋体" w:eastAsia="宋体" w:cs="宋体"/>
                <w:strike w:val="0"/>
                <w:dstrike w:val="0"/>
                <w:color w:val="auto"/>
                <w:kern w:val="0"/>
                <w:sz w:val="21"/>
                <w:szCs w:val="21"/>
                <w:lang w:bidi="ar"/>
              </w:rPr>
              <w:t>支持云盘新建文件夹和上传文件</w:t>
            </w:r>
          </w:p>
          <w:p w14:paraId="2F7EFB91">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五、打开文件</w:t>
            </w:r>
          </w:p>
          <w:p w14:paraId="1473D599">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1.</w:t>
            </w:r>
            <w:r>
              <w:rPr>
                <w:rFonts w:hint="eastAsia" w:ascii="宋体" w:hAnsi="宋体" w:eastAsia="宋体" w:cs="宋体"/>
                <w:strike w:val="0"/>
                <w:dstrike w:val="0"/>
                <w:color w:val="auto"/>
                <w:kern w:val="0"/>
                <w:sz w:val="21"/>
                <w:szCs w:val="21"/>
                <w:lang w:bidi="ar"/>
              </w:rPr>
              <w:t>图片格式支持：jpeg\jpg\bmp\gif\svg\png；</w:t>
            </w:r>
          </w:p>
          <w:p w14:paraId="73B19A21">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2.</w:t>
            </w:r>
            <w:r>
              <w:rPr>
                <w:rFonts w:hint="eastAsia" w:ascii="宋体" w:hAnsi="宋体" w:eastAsia="宋体" w:cs="宋体"/>
                <w:strike w:val="0"/>
                <w:dstrike w:val="0"/>
                <w:color w:val="auto"/>
                <w:kern w:val="0"/>
                <w:sz w:val="21"/>
                <w:szCs w:val="21"/>
                <w:lang w:bidi="ar"/>
              </w:rPr>
              <w:t>音频格式支持：mp3\mp2\wav\wma\m4r\m4a\ac3\aac\ogg\flac\aiff；</w:t>
            </w:r>
          </w:p>
          <w:p w14:paraId="7F2879C9">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3.</w:t>
            </w:r>
            <w:r>
              <w:rPr>
                <w:rFonts w:hint="eastAsia" w:ascii="宋体" w:hAnsi="宋体" w:eastAsia="宋体" w:cs="宋体"/>
                <w:strike w:val="0"/>
                <w:dstrike w:val="0"/>
                <w:color w:val="auto"/>
                <w:kern w:val="0"/>
                <w:sz w:val="21"/>
                <w:szCs w:val="21"/>
                <w:lang w:bidi="ar"/>
              </w:rPr>
              <w:t>视频格式支持：mp4\avi\mpeg\mov\flv\f4v\wmv\asf\rm\rmvb\3gp\m4v\mkv；</w:t>
            </w:r>
          </w:p>
          <w:p w14:paraId="5A77F553">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六、授课工具</w:t>
            </w:r>
          </w:p>
          <w:p w14:paraId="2A6C0CE5">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1.</w:t>
            </w:r>
            <w:r>
              <w:rPr>
                <w:rFonts w:hint="eastAsia" w:ascii="宋体" w:hAnsi="宋体" w:eastAsia="宋体" w:cs="宋体"/>
                <w:strike w:val="0"/>
                <w:dstrike w:val="0"/>
                <w:color w:val="auto"/>
                <w:kern w:val="0"/>
                <w:sz w:val="21"/>
                <w:szCs w:val="21"/>
                <w:lang w:bidi="ar"/>
              </w:rPr>
              <w:t>截图功能：（1）支持对当前应用截图、隐藏应用对桌面截图(矩形) （2）支持等比缩放、旋转、裁剪、置顶、置底、复制、删除、锁定/解锁操作（3）图完成之后，支持分享（弹出二维码）、保存到网盘</w:t>
            </w:r>
          </w:p>
          <w:p w14:paraId="68A28707">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2.</w:t>
            </w:r>
            <w:r>
              <w:rPr>
                <w:rFonts w:hint="eastAsia" w:ascii="宋体" w:hAnsi="宋体" w:eastAsia="宋体" w:cs="宋体"/>
                <w:strike w:val="0"/>
                <w:dstrike w:val="0"/>
                <w:color w:val="auto"/>
                <w:kern w:val="0"/>
                <w:sz w:val="21"/>
                <w:szCs w:val="21"/>
                <w:lang w:bidi="ar"/>
              </w:rPr>
              <w:t>放大镜功能：（1）支持圆形、矩形两种放大区域形状选择；（2）支持对放大区域进行拖拽缩放，缩放无大小限制，支持2x、3x、4x、5x四种放大规格选择。</w:t>
            </w:r>
          </w:p>
          <w:p w14:paraId="38AAFDBD">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3.</w:t>
            </w:r>
            <w:r>
              <w:rPr>
                <w:rFonts w:hint="eastAsia" w:ascii="宋体" w:hAnsi="宋体" w:eastAsia="宋体" w:cs="宋体"/>
                <w:strike w:val="0"/>
                <w:dstrike w:val="0"/>
                <w:color w:val="auto"/>
                <w:kern w:val="0"/>
                <w:sz w:val="21"/>
                <w:szCs w:val="21"/>
                <w:lang w:bidi="ar"/>
              </w:rPr>
              <w:t>计时器功能：（1）支持倒计时、秒表功能；（2）支持全局数据重置，可全屏、还原；（3）倒计时模式下，默认从5分钟开始，显示分、秒，可对分、秒进行增减（最大120分钟），倒计时5秒后自动隐藏功能界面，仅显示时间小窗口，窗口可拖动，倒计时至5s颜色变为红色，有声音提示；（4）秒表从0s开始，显示分、秒、毫秒，计时过程中自动进行计时功能页面隐藏，仅显示时间，支持页面自由拖拽移动;（5）倒计时和秒表的计时过程自动进行计时功能页面隐藏，仅显示时间，支持页面自由拖拽移动。（6）倒计时、秒表支持全屏显示。</w:t>
            </w:r>
          </w:p>
          <w:p w14:paraId="73665ABC">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4.</w:t>
            </w:r>
            <w:r>
              <w:rPr>
                <w:rFonts w:hint="eastAsia" w:ascii="宋体" w:hAnsi="宋体" w:eastAsia="宋体" w:cs="宋体"/>
                <w:strike w:val="0"/>
                <w:dstrike w:val="0"/>
                <w:color w:val="auto"/>
                <w:kern w:val="0"/>
                <w:sz w:val="21"/>
                <w:szCs w:val="21"/>
                <w:lang w:bidi="ar"/>
              </w:rPr>
              <w:t>聚光灯：开灯区域形状支持圆形、矩形调节，可对开灯区域进行拖拽缩放，支持开灯、关灯功能。</w:t>
            </w:r>
          </w:p>
          <w:p w14:paraId="29F8D742">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七、批注：</w:t>
            </w:r>
          </w:p>
          <w:p w14:paraId="2C4935E0">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1.</w:t>
            </w:r>
            <w:r>
              <w:rPr>
                <w:rFonts w:hint="eastAsia" w:ascii="宋体" w:hAnsi="宋体" w:eastAsia="宋体" w:cs="宋体"/>
                <w:strike w:val="0"/>
                <w:dstrike w:val="0"/>
                <w:color w:val="auto"/>
                <w:kern w:val="0"/>
                <w:sz w:val="21"/>
                <w:szCs w:val="21"/>
                <w:lang w:bidi="ar"/>
              </w:rPr>
              <w:t>支持红、浅红、黑、白、黄、橘黄、蓝、绿8种固定颜色可选，并可以自定义画笔颜色，支持细、中、粗三种粗细可选，具有笔锋效果。</w:t>
            </w:r>
          </w:p>
          <w:p w14:paraId="20DF0A06">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2.</w:t>
            </w:r>
            <w:r>
              <w:rPr>
                <w:rFonts w:hint="eastAsia" w:ascii="宋体" w:hAnsi="宋体" w:eastAsia="宋体" w:cs="宋体"/>
                <w:strike w:val="0"/>
                <w:dstrike w:val="0"/>
                <w:color w:val="auto"/>
                <w:kern w:val="0"/>
                <w:sz w:val="21"/>
                <w:szCs w:val="21"/>
                <w:lang w:bidi="ar"/>
              </w:rPr>
              <w:t>笔迹被选中后，支持对笔迹进行移动、等比例缩放、360°旋转、颜色更换、复制、删除操作；</w:t>
            </w:r>
          </w:p>
          <w:p w14:paraId="7DBFADAC">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3.</w:t>
            </w:r>
            <w:r>
              <w:rPr>
                <w:rFonts w:hint="eastAsia" w:ascii="宋体" w:hAnsi="宋体" w:eastAsia="宋体" w:cs="宋体"/>
                <w:strike w:val="0"/>
                <w:dstrike w:val="0"/>
                <w:color w:val="auto"/>
                <w:kern w:val="0"/>
                <w:sz w:val="21"/>
                <w:szCs w:val="21"/>
                <w:lang w:bidi="ar"/>
              </w:rPr>
              <w:t>橡皮支持擦笔迹、清屏、手势擦除。橡皮状态下默认橡皮局部擦除， 再次点击可选择清屏，可随时用手掌进行手势擦除，根据手与大屏接触面积调整橡皮大小；</w:t>
            </w:r>
          </w:p>
          <w:p w14:paraId="16EEC398">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4.</w:t>
            </w:r>
            <w:r>
              <w:rPr>
                <w:rFonts w:hint="eastAsia" w:ascii="宋体" w:hAnsi="宋体" w:eastAsia="宋体" w:cs="宋体"/>
                <w:strike w:val="0"/>
                <w:dstrike w:val="0"/>
                <w:color w:val="auto"/>
                <w:kern w:val="0"/>
                <w:sz w:val="21"/>
                <w:szCs w:val="21"/>
                <w:lang w:bidi="ar"/>
              </w:rPr>
              <w:t>支持撤消上一步操作，支持一键擦除：擦除所有笔迹</w:t>
            </w:r>
          </w:p>
          <w:p w14:paraId="6A1149CC">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5.</w:t>
            </w:r>
            <w:r>
              <w:rPr>
                <w:rFonts w:hint="eastAsia" w:ascii="宋体" w:hAnsi="宋体" w:eastAsia="宋体" w:cs="宋体"/>
                <w:strike w:val="0"/>
                <w:dstrike w:val="0"/>
                <w:color w:val="auto"/>
                <w:kern w:val="0"/>
                <w:sz w:val="21"/>
                <w:szCs w:val="21"/>
                <w:lang w:bidi="ar"/>
              </w:rPr>
              <w:t>支持分享：点击分享弹出二维码，微信/APP可以扫码识别下载图片</w:t>
            </w:r>
          </w:p>
          <w:p w14:paraId="0E1251C4">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6.</w:t>
            </w:r>
            <w:r>
              <w:rPr>
                <w:rFonts w:hint="eastAsia" w:ascii="宋体" w:hAnsi="宋体" w:eastAsia="宋体" w:cs="宋体"/>
                <w:strike w:val="0"/>
                <w:dstrike w:val="0"/>
                <w:color w:val="auto"/>
                <w:kern w:val="0"/>
                <w:sz w:val="21"/>
                <w:szCs w:val="21"/>
                <w:lang w:bidi="ar"/>
              </w:rPr>
              <w:t>支持保存云端：保存到个人云盘默认目录</w:t>
            </w:r>
          </w:p>
          <w:p w14:paraId="2531FDA5">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7.</w:t>
            </w:r>
            <w:r>
              <w:rPr>
                <w:rFonts w:hint="eastAsia" w:ascii="宋体" w:hAnsi="宋体" w:eastAsia="宋体" w:cs="宋体"/>
                <w:strike w:val="0"/>
                <w:dstrike w:val="0"/>
                <w:color w:val="auto"/>
                <w:kern w:val="0"/>
                <w:sz w:val="21"/>
                <w:szCs w:val="21"/>
                <w:lang w:bidi="ar"/>
              </w:rPr>
              <w:t>支持保存本地：保存到本地指定目录</w:t>
            </w:r>
          </w:p>
          <w:p w14:paraId="5831DEDA">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8.</w:t>
            </w:r>
            <w:r>
              <w:rPr>
                <w:rFonts w:hint="eastAsia" w:ascii="宋体" w:hAnsi="宋体" w:eastAsia="宋体" w:cs="宋体"/>
                <w:strike w:val="0"/>
                <w:dstrike w:val="0"/>
                <w:color w:val="auto"/>
                <w:kern w:val="0"/>
                <w:sz w:val="21"/>
                <w:szCs w:val="21"/>
                <w:lang w:bidi="ar"/>
              </w:rPr>
              <w:t>支持协作：点击协作，教师大屏进入协作批注模式下，只保留画笔、橡皮、保存、关闭按钮。小组屏会自动进入协作批注界面，只有画笔、橡皮功能，不能关闭</w:t>
            </w:r>
          </w:p>
          <w:p w14:paraId="1298FA9F">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八、白板</w:t>
            </w:r>
          </w:p>
          <w:p w14:paraId="46689C50">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1.</w:t>
            </w:r>
            <w:r>
              <w:rPr>
                <w:rFonts w:hint="eastAsia" w:ascii="宋体" w:hAnsi="宋体" w:eastAsia="宋体" w:cs="宋体"/>
                <w:strike w:val="0"/>
                <w:dstrike w:val="0"/>
                <w:color w:val="auto"/>
                <w:kern w:val="0"/>
                <w:sz w:val="21"/>
                <w:szCs w:val="21"/>
                <w:lang w:bidi="ar"/>
              </w:rPr>
              <w:t>支持红、浅红、黑、白、黄、橘黄、蓝、绿8种固定颜色可选，并可以自定义画笔颜色，支持细、中、粗三种粗细可选，具有笔锋效果。</w:t>
            </w:r>
          </w:p>
          <w:p w14:paraId="3D187542">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画笔状态下默认为红色、细 </w:t>
            </w:r>
          </w:p>
          <w:p w14:paraId="29B98313">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2.</w:t>
            </w:r>
            <w:r>
              <w:rPr>
                <w:rFonts w:hint="eastAsia" w:ascii="宋体" w:hAnsi="宋体" w:eastAsia="宋体" w:cs="宋体"/>
                <w:strike w:val="0"/>
                <w:dstrike w:val="0"/>
                <w:color w:val="auto"/>
                <w:kern w:val="0"/>
                <w:sz w:val="21"/>
                <w:szCs w:val="21"/>
                <w:lang w:bidi="ar"/>
              </w:rPr>
              <w:t>笔迹被选中后，支持对笔迹进行移动、等比例缩放、360°旋转、颜色更换、复制、删除操作；</w:t>
            </w:r>
          </w:p>
          <w:p w14:paraId="6215A9E6">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3.</w:t>
            </w:r>
            <w:r>
              <w:rPr>
                <w:rFonts w:hint="eastAsia" w:ascii="宋体" w:hAnsi="宋体" w:eastAsia="宋体" w:cs="宋体"/>
                <w:strike w:val="0"/>
                <w:dstrike w:val="0"/>
                <w:color w:val="auto"/>
                <w:kern w:val="0"/>
                <w:sz w:val="21"/>
                <w:szCs w:val="21"/>
                <w:lang w:bidi="ar"/>
              </w:rPr>
              <w:t>支持橡皮：橡皮支持擦笔迹、清屏、手势擦除。橡皮状态下默认橡皮局部擦除，再次点击可选择清屏，可随时用手掌进行手势擦除，根据手与大屏接触面积调整橡皮大小；</w:t>
            </w:r>
          </w:p>
          <w:p w14:paraId="0EA96080">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4.</w:t>
            </w:r>
            <w:r>
              <w:rPr>
                <w:rFonts w:hint="eastAsia" w:ascii="宋体" w:hAnsi="宋体" w:eastAsia="宋体" w:cs="宋体"/>
                <w:strike w:val="0"/>
                <w:dstrike w:val="0"/>
                <w:color w:val="auto"/>
                <w:kern w:val="0"/>
                <w:sz w:val="21"/>
                <w:szCs w:val="21"/>
                <w:lang w:bidi="ar"/>
              </w:rPr>
              <w:t>支持设置黑板背景：更换黑板背景</w:t>
            </w:r>
          </w:p>
          <w:p w14:paraId="6E56B42C">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5.</w:t>
            </w:r>
            <w:r>
              <w:rPr>
                <w:rFonts w:hint="eastAsia" w:ascii="宋体" w:hAnsi="宋体" w:eastAsia="宋体" w:cs="宋体"/>
                <w:strike w:val="0"/>
                <w:dstrike w:val="0"/>
                <w:color w:val="auto"/>
                <w:kern w:val="0"/>
                <w:sz w:val="21"/>
                <w:szCs w:val="21"/>
                <w:lang w:bidi="ar"/>
              </w:rPr>
              <w:t>支持撤消：撤消上一步操作，最多100步；</w:t>
            </w:r>
          </w:p>
          <w:p w14:paraId="7C6648AC">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6.</w:t>
            </w:r>
            <w:r>
              <w:rPr>
                <w:rFonts w:hint="eastAsia" w:ascii="宋体" w:hAnsi="宋体" w:eastAsia="宋体" w:cs="宋体"/>
                <w:strike w:val="0"/>
                <w:dstrike w:val="0"/>
                <w:color w:val="auto"/>
                <w:kern w:val="0"/>
                <w:sz w:val="21"/>
                <w:szCs w:val="21"/>
                <w:lang w:bidi="ar"/>
              </w:rPr>
              <w:t>支持一键擦除：擦除所有笔迹</w:t>
            </w:r>
          </w:p>
          <w:p w14:paraId="0F2E5C3D">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7.</w:t>
            </w:r>
            <w:r>
              <w:rPr>
                <w:rFonts w:hint="eastAsia" w:ascii="宋体" w:hAnsi="宋体" w:eastAsia="宋体" w:cs="宋体"/>
                <w:strike w:val="0"/>
                <w:dstrike w:val="0"/>
                <w:color w:val="auto"/>
                <w:kern w:val="0"/>
                <w:sz w:val="21"/>
                <w:szCs w:val="21"/>
                <w:lang w:bidi="ar"/>
              </w:rPr>
              <w:t>支持分享：点击分享弹出二维码，APP可以扫码识别</w:t>
            </w:r>
          </w:p>
          <w:p w14:paraId="4F5828AC">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8.</w:t>
            </w:r>
            <w:r>
              <w:rPr>
                <w:rFonts w:hint="eastAsia" w:ascii="宋体" w:hAnsi="宋体" w:eastAsia="宋体" w:cs="宋体"/>
                <w:strike w:val="0"/>
                <w:dstrike w:val="0"/>
                <w:color w:val="auto"/>
                <w:kern w:val="0"/>
                <w:sz w:val="21"/>
                <w:szCs w:val="21"/>
                <w:lang w:bidi="ar"/>
              </w:rPr>
              <w:t>支持保存云端：保存到个人云盘中默认路径</w:t>
            </w:r>
          </w:p>
          <w:p w14:paraId="649397BD">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9.</w:t>
            </w:r>
            <w:r>
              <w:rPr>
                <w:rFonts w:hint="eastAsia" w:ascii="宋体" w:hAnsi="宋体" w:eastAsia="宋体" w:cs="宋体"/>
                <w:strike w:val="0"/>
                <w:dstrike w:val="0"/>
                <w:color w:val="auto"/>
                <w:kern w:val="0"/>
                <w:sz w:val="21"/>
                <w:szCs w:val="21"/>
                <w:lang w:bidi="ar"/>
              </w:rPr>
              <w:t>支持保存本地：保存到指定位置</w:t>
            </w:r>
          </w:p>
          <w:p w14:paraId="1DD210E6">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1</w:t>
            </w:r>
            <w:r>
              <w:rPr>
                <w:rFonts w:hint="eastAsia" w:ascii="宋体" w:hAnsi="宋体" w:eastAsia="宋体" w:cs="宋体"/>
                <w:strike w:val="0"/>
                <w:dstrike w:val="0"/>
                <w:color w:val="auto"/>
                <w:kern w:val="0"/>
                <w:sz w:val="21"/>
                <w:szCs w:val="21"/>
                <w:lang w:eastAsia="zh-CN" w:bidi="ar"/>
              </w:rPr>
              <w:t>0.</w:t>
            </w:r>
            <w:r>
              <w:rPr>
                <w:rFonts w:hint="eastAsia" w:ascii="宋体" w:hAnsi="宋体" w:eastAsia="宋体" w:cs="宋体"/>
                <w:strike w:val="0"/>
                <w:dstrike w:val="0"/>
                <w:color w:val="auto"/>
                <w:kern w:val="0"/>
                <w:sz w:val="21"/>
                <w:szCs w:val="21"/>
                <w:lang w:bidi="ar"/>
              </w:rPr>
              <w:t>支持加减页面</w:t>
            </w:r>
          </w:p>
          <w:p w14:paraId="1FA00EFE">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1</w:t>
            </w:r>
            <w:r>
              <w:rPr>
                <w:rFonts w:hint="eastAsia" w:ascii="宋体" w:hAnsi="宋体" w:eastAsia="宋体" w:cs="宋体"/>
                <w:strike w:val="0"/>
                <w:dstrike w:val="0"/>
                <w:color w:val="auto"/>
                <w:kern w:val="0"/>
                <w:sz w:val="21"/>
                <w:szCs w:val="21"/>
                <w:lang w:eastAsia="zh-CN" w:bidi="ar"/>
              </w:rPr>
              <w:t>1.</w:t>
            </w:r>
            <w:r>
              <w:rPr>
                <w:rFonts w:hint="eastAsia" w:ascii="宋体" w:hAnsi="宋体" w:eastAsia="宋体" w:cs="宋体"/>
                <w:strike w:val="0"/>
                <w:dstrike w:val="0"/>
                <w:color w:val="auto"/>
                <w:kern w:val="0"/>
                <w:sz w:val="21"/>
                <w:szCs w:val="21"/>
                <w:lang w:bidi="ar"/>
              </w:rPr>
              <w:t>支持上下翻页</w:t>
            </w:r>
          </w:p>
          <w:p w14:paraId="4EFE909F">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1</w:t>
            </w:r>
            <w:r>
              <w:rPr>
                <w:rFonts w:hint="eastAsia" w:ascii="宋体" w:hAnsi="宋体" w:eastAsia="宋体" w:cs="宋体"/>
                <w:strike w:val="0"/>
                <w:dstrike w:val="0"/>
                <w:color w:val="auto"/>
                <w:kern w:val="0"/>
                <w:sz w:val="21"/>
                <w:szCs w:val="21"/>
                <w:lang w:eastAsia="zh-CN" w:bidi="ar"/>
              </w:rPr>
              <w:t>2.</w:t>
            </w:r>
            <w:r>
              <w:rPr>
                <w:rFonts w:hint="eastAsia" w:ascii="宋体" w:hAnsi="宋体" w:eastAsia="宋体" w:cs="宋体"/>
                <w:strike w:val="0"/>
                <w:dstrike w:val="0"/>
                <w:color w:val="auto"/>
                <w:kern w:val="0"/>
                <w:sz w:val="21"/>
                <w:szCs w:val="21"/>
                <w:lang w:bidi="ar"/>
              </w:rPr>
              <w:t>致辞协作：点击协作，教师大屏协作白板界面，小组屏会自动进入协作白板界面，画笔、橡皮、保存、关闭按钮，只有教师屏可以翻页、+-页、保存。</w:t>
            </w:r>
          </w:p>
          <w:p w14:paraId="2F069A35">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1</w:t>
            </w:r>
            <w:r>
              <w:rPr>
                <w:rFonts w:hint="eastAsia" w:ascii="宋体" w:hAnsi="宋体" w:eastAsia="宋体" w:cs="宋体"/>
                <w:strike w:val="0"/>
                <w:dstrike w:val="0"/>
                <w:color w:val="auto"/>
                <w:kern w:val="0"/>
                <w:sz w:val="21"/>
                <w:szCs w:val="21"/>
                <w:lang w:eastAsia="zh-CN" w:bidi="ar"/>
              </w:rPr>
              <w:t>3.</w:t>
            </w:r>
            <w:r>
              <w:rPr>
                <w:rFonts w:hint="eastAsia" w:ascii="宋体" w:hAnsi="宋体" w:eastAsia="宋体" w:cs="宋体"/>
                <w:strike w:val="0"/>
                <w:dstrike w:val="0"/>
                <w:color w:val="auto"/>
                <w:kern w:val="0"/>
                <w:sz w:val="21"/>
                <w:szCs w:val="21"/>
                <w:lang w:bidi="ar"/>
              </w:rPr>
              <w:t>支持联动：如果双屏模式激活，且教师端通过hdmi关联了主屏和扩展屏，点击联动按钮，可以实现白板联动，即主屏播放白板的第一页，扩展屏播放白板的第二页，只有扩展屏中的白板可以加页。</w:t>
            </w:r>
          </w:p>
          <w:p w14:paraId="2ECAE39A">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九、激活控制</w:t>
            </w:r>
          </w:p>
          <w:p w14:paraId="319142F6">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1.</w:t>
            </w:r>
            <w:r>
              <w:rPr>
                <w:rFonts w:hint="eastAsia" w:ascii="宋体" w:hAnsi="宋体" w:eastAsia="宋体" w:cs="宋体"/>
                <w:strike w:val="0"/>
                <w:dstrike w:val="0"/>
                <w:color w:val="auto"/>
                <w:kern w:val="0"/>
                <w:sz w:val="21"/>
                <w:szCs w:val="21"/>
                <w:lang w:bidi="ar"/>
              </w:rPr>
              <w:t>支持通过激活码激活双屏/研讨功能。激活码由16位数字、子母组成，区分大小写</w:t>
            </w:r>
          </w:p>
          <w:p w14:paraId="3EC769DE">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激活码数量：10万级别；激活码可以单个生成，可以批量生成；激活码为永久激活；激活码后台需记录信息包括：激活码、用户名称、生成时间、绑定时间、机器码、是否已经使用</w:t>
            </w:r>
          </w:p>
          <w:p w14:paraId="4C46AB68">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十、屏幕部署</w:t>
            </w:r>
          </w:p>
          <w:p w14:paraId="68C737F1">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1.</w:t>
            </w:r>
            <w:r>
              <w:rPr>
                <w:rFonts w:hint="eastAsia" w:ascii="宋体" w:hAnsi="宋体" w:eastAsia="宋体" w:cs="宋体"/>
                <w:strike w:val="0"/>
                <w:dstrike w:val="0"/>
                <w:color w:val="auto"/>
                <w:kern w:val="0"/>
                <w:sz w:val="21"/>
                <w:szCs w:val="21"/>
                <w:lang w:bidi="ar"/>
              </w:rPr>
              <w:t>支持教师屏端组群：教师大屏可以创建群组，可以搜索搜索显示本空间内的设备列表，在设备列表中选中某设备，对应副屏会亮起“已选中”字样，主屏端进入设备定义完成大屏类型和命名后，设备列表显示此设备已被选中，点击完成后显示进入群组。</w:t>
            </w:r>
          </w:p>
          <w:p w14:paraId="3DD0484D">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2.</w:t>
            </w:r>
            <w:r>
              <w:rPr>
                <w:rFonts w:hint="eastAsia" w:ascii="宋体" w:hAnsi="宋体" w:eastAsia="宋体" w:cs="宋体"/>
                <w:strike w:val="0"/>
                <w:dstrike w:val="0"/>
                <w:color w:val="auto"/>
                <w:kern w:val="0"/>
                <w:sz w:val="21"/>
                <w:szCs w:val="21"/>
                <w:lang w:bidi="ar"/>
              </w:rPr>
              <w:t>支持教师大屏解散群组，选择添加/删除空间内的设备。</w:t>
            </w:r>
          </w:p>
          <w:p w14:paraId="72C8E2C0">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3.</w:t>
            </w:r>
            <w:r>
              <w:rPr>
                <w:rFonts w:hint="eastAsia" w:ascii="宋体" w:hAnsi="宋体" w:eastAsia="宋体" w:cs="宋体"/>
                <w:strike w:val="0"/>
                <w:dstrike w:val="0"/>
                <w:color w:val="auto"/>
                <w:kern w:val="0"/>
                <w:sz w:val="21"/>
                <w:szCs w:val="21"/>
                <w:lang w:bidi="ar"/>
              </w:rPr>
              <w:t>支持小组屏端大屏主动加入群组：教师屏可以生成群组码，小组屏输入群组码加入群组时可以编辑小组屏名称，点击完成后显示进入群组。</w:t>
            </w:r>
          </w:p>
          <w:p w14:paraId="1B40A666">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十一、可视化建模</w:t>
            </w:r>
          </w:p>
          <w:p w14:paraId="5A774AFD">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1.支持教师屏空间建模，支持将各设备拖拽到对应的空间位置上，完成空间建模，点击编辑按钮可以对设备进行命名</w:t>
            </w:r>
          </w:p>
          <w:p w14:paraId="08D6AAE2">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2.支持屏幕对号，通过一键检测将空间建模命名信息推送给小组屏，对应小组屏亮命名信息。</w:t>
            </w:r>
          </w:p>
          <w:p w14:paraId="393FD8AC">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十二、一键关机</w:t>
            </w:r>
          </w:p>
          <w:p w14:paraId="79D88339">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1.</w:t>
            </w:r>
            <w:r>
              <w:rPr>
                <w:rFonts w:hint="eastAsia" w:ascii="宋体" w:hAnsi="宋体" w:eastAsia="宋体" w:cs="宋体"/>
                <w:strike w:val="0"/>
                <w:dstrike w:val="0"/>
                <w:color w:val="auto"/>
                <w:kern w:val="0"/>
                <w:sz w:val="21"/>
                <w:szCs w:val="21"/>
                <w:lang w:bidi="ar"/>
              </w:rPr>
              <w:t xml:space="preserve"> 支持教师屏一键关机所有小组屏</w:t>
            </w:r>
          </w:p>
          <w:p w14:paraId="245BF378">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十三、多屏互动</w:t>
            </w:r>
          </w:p>
          <w:p w14:paraId="226E58A2">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1.</w:t>
            </w:r>
            <w:r>
              <w:rPr>
                <w:rFonts w:hint="eastAsia" w:ascii="宋体" w:hAnsi="宋体" w:eastAsia="宋体" w:cs="宋体"/>
                <w:strike w:val="0"/>
                <w:dstrike w:val="0"/>
                <w:color w:val="auto"/>
                <w:kern w:val="0"/>
                <w:sz w:val="21"/>
                <w:szCs w:val="21"/>
                <w:lang w:bidi="ar"/>
              </w:rPr>
              <w:t>支持手机传大屏：支持教师将手机画面投至大屏，在大屏上原始比例全屏显示；支持手机横屏并将大屏端画面镜像旋转横屏，铺满大屏屏幕显示；可接受手机镜像传屏同时接受声音；支持将文件投至大屏端：手机端可以把本地中的图片、视频、音频、文件推送至大屏；支持手机将摄像头画面实时传输至大屏端显示。手机端摄像头画面动态变化，大屏端画面同步变化；单个大屏支持最多4个个手机同时投屏。</w:t>
            </w:r>
          </w:p>
          <w:p w14:paraId="315E3DEE">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2.</w:t>
            </w:r>
            <w:r>
              <w:rPr>
                <w:rFonts w:hint="eastAsia" w:ascii="宋体" w:hAnsi="宋体" w:eastAsia="宋体" w:cs="宋体"/>
                <w:strike w:val="0"/>
                <w:dstrike w:val="0"/>
                <w:color w:val="auto"/>
                <w:kern w:val="0"/>
                <w:sz w:val="21"/>
                <w:szCs w:val="21"/>
                <w:lang w:bidi="ar"/>
              </w:rPr>
              <w:t>支持大屏传手机：支持将大屏端画面实时传输至手机端显示。大屏端画面变化，手机端则相应同步切换界面。手机端可以点击画面，并将操控指令传输至大屏，大屏发生相应的动作；支持根据网络情况提供最大的分辨率1080P；</w:t>
            </w:r>
          </w:p>
          <w:p w14:paraId="3AAA7CC7">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3.</w:t>
            </w:r>
            <w:r>
              <w:rPr>
                <w:rFonts w:hint="eastAsia" w:ascii="宋体" w:hAnsi="宋体" w:eastAsia="宋体" w:cs="宋体"/>
                <w:strike w:val="0"/>
                <w:dstrike w:val="0"/>
                <w:color w:val="auto"/>
                <w:kern w:val="0"/>
                <w:sz w:val="21"/>
                <w:szCs w:val="21"/>
                <w:lang w:bidi="ar"/>
              </w:rPr>
              <w:t>支持移动授课：教师端大屏正在播放课件，教师手机打开移动授课，可以暂停/播放课件上下翻页课件；支持手机单控制大屏音量大小</w:t>
            </w:r>
          </w:p>
          <w:p w14:paraId="26F06D14">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4.</w:t>
            </w:r>
            <w:r>
              <w:rPr>
                <w:rFonts w:hint="eastAsia" w:ascii="宋体" w:hAnsi="宋体" w:eastAsia="宋体" w:cs="宋体"/>
                <w:strike w:val="0"/>
                <w:dstrike w:val="0"/>
                <w:color w:val="auto"/>
                <w:kern w:val="0"/>
                <w:sz w:val="21"/>
                <w:szCs w:val="21"/>
                <w:lang w:bidi="ar"/>
              </w:rPr>
              <w:t>支持PC传大屏：支持PC将屏幕投放到大屏端，支持传屏幕同时接收声音播放支持PC将文件投放至大屏端；支持PC将本地文件传送至大屏端传屏之后，教师大屏可以回控PC，PPT播放时，支持批注跟随</w:t>
            </w:r>
          </w:p>
          <w:p w14:paraId="39C00B0C">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十四、小组研讨</w:t>
            </w:r>
          </w:p>
          <w:p w14:paraId="071206F7">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1.</w:t>
            </w:r>
            <w:r>
              <w:rPr>
                <w:rFonts w:hint="eastAsia" w:ascii="宋体" w:hAnsi="宋体" w:eastAsia="宋体" w:cs="宋体"/>
                <w:strike w:val="0"/>
                <w:dstrike w:val="0"/>
                <w:color w:val="auto"/>
                <w:kern w:val="0"/>
                <w:sz w:val="21"/>
                <w:szCs w:val="21"/>
                <w:lang w:bidi="ar"/>
              </w:rPr>
              <w:t>支持调取：教师屏端可以选择各小组屏的画面进行显示，并支持将调取的画面同步广播到各个小组屏。显示的格式包括：各个小组屏的小画面预览、某个小组屏在主屏的全屏显示（双屏的教师屏端显示）、小组屏的二分屏显示、小组屏的四分显示、各个小组屏窗口大小可调整的显示（可以放大至全屏）教师屏可以回控小组屏。根据网络情况提供最大的分辨率4K。单个教师大屏支持调取最多4个小组屏。两个教师大屏支持调取最多8个小组屏</w:t>
            </w:r>
          </w:p>
          <w:p w14:paraId="119CE448">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2.</w:t>
            </w:r>
            <w:r>
              <w:rPr>
                <w:rFonts w:hint="eastAsia" w:ascii="宋体" w:hAnsi="宋体" w:eastAsia="宋体" w:cs="宋体"/>
                <w:strike w:val="0"/>
                <w:dstrike w:val="0"/>
                <w:color w:val="auto"/>
                <w:kern w:val="0"/>
                <w:sz w:val="21"/>
                <w:szCs w:val="21"/>
                <w:lang w:bidi="ar"/>
              </w:rPr>
              <w:t>支持广播：教师屏点击广播，可以选择将屏幕/ /文件一键广播到小组屏；教师屏可以结束广播。根据网络情况提供最大的分辨率4K。双屏激活的调价下，支持将主屏或者小组屏广播至小组屏。</w:t>
            </w:r>
          </w:p>
          <w:p w14:paraId="41678054">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十五、双屏</w:t>
            </w:r>
          </w:p>
          <w:p w14:paraId="4A21B3A3">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1.</w:t>
            </w:r>
            <w:r>
              <w:rPr>
                <w:rFonts w:hint="eastAsia" w:ascii="宋体" w:hAnsi="宋体" w:eastAsia="宋体" w:cs="宋体"/>
                <w:strike w:val="0"/>
                <w:dstrike w:val="0"/>
                <w:color w:val="auto"/>
                <w:kern w:val="0"/>
                <w:sz w:val="21"/>
                <w:szCs w:val="21"/>
                <w:lang w:bidi="ar"/>
              </w:rPr>
              <w:t>支持双屏显示：教学时，原来由一个一体机显示的画面，现由两个一体机共同来显示；两台一体机左右排列，左侧一体机显示画面的左半部分，右侧一体机显示画面的右半部分，两个一体机合作显示OPS教学的整个画面；</w:t>
            </w:r>
          </w:p>
          <w:p w14:paraId="2C030EF0">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bidi="ar"/>
              </w:rPr>
              <w:t>两台一体机的触控可按一个画面的正常触控来操作（即在触控上同样支持双拼协作显示）；</w:t>
            </w:r>
          </w:p>
          <w:p w14:paraId="7624BC3F">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2.</w:t>
            </w:r>
            <w:r>
              <w:rPr>
                <w:rFonts w:hint="eastAsia" w:ascii="宋体" w:hAnsi="宋体" w:eastAsia="宋体" w:cs="宋体"/>
                <w:strike w:val="0"/>
                <w:dstrike w:val="0"/>
                <w:color w:val="auto"/>
                <w:kern w:val="0"/>
                <w:sz w:val="21"/>
                <w:szCs w:val="21"/>
                <w:lang w:bidi="ar"/>
              </w:rPr>
              <w:t>支持双屏同步显示：两台一体机左右排列，显示同样的内容，对一台一体机的操控可以在两台一体机上同步显示； 两台一体机的触控可按原一体机的触控来操作（即触控上一台一体机作用时，需要在另一台一体机上显示同样的效果）；实现两个一体机的同样显示、操控。用户可进行同屏显示的开启和关闭；</w:t>
            </w:r>
          </w:p>
          <w:p w14:paraId="2B2A41EB">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3.</w:t>
            </w:r>
            <w:r>
              <w:rPr>
                <w:rFonts w:hint="eastAsia" w:ascii="宋体" w:hAnsi="宋体" w:eastAsia="宋体" w:cs="宋体"/>
                <w:strike w:val="0"/>
                <w:dstrike w:val="0"/>
                <w:color w:val="auto"/>
                <w:kern w:val="0"/>
                <w:sz w:val="21"/>
                <w:szCs w:val="21"/>
                <w:lang w:bidi="ar"/>
              </w:rPr>
              <w:t>支持PPT联动：支持在PPT播放的过程中，可以一屏播放PPT当前页，另一屏显示PPT上一页的内容，当PPT播放到下一页/切换到上一页后，显示上一页的屏幕内容会自动跟随变化；PPT打开的初始状态是左屏是第一页，右屏是第二页；翻页后保持右侧的比左侧的多一页；选择双屏交换后则为左侧比右侧的多一页；翻页到最后一页再向下翻页时可以循环回到第一页再重新开始。用户可进行PPT联动的开启和关闭；</w:t>
            </w:r>
          </w:p>
          <w:p w14:paraId="24E65311">
            <w:pPr>
              <w:keepNext w:val="0"/>
              <w:keepLines w:val="0"/>
              <w:pageBreakBefore w:val="0"/>
              <w:widowControl/>
              <w:kinsoku/>
              <w:wordWrap/>
              <w:overflowPunct/>
              <w:topLinePunct w:val="0"/>
              <w:bidi w:val="0"/>
              <w:spacing w:line="440" w:lineRule="exact"/>
              <w:jc w:val="left"/>
              <w:rPr>
                <w:rFonts w:hint="eastAsia" w:ascii="宋体" w:hAnsi="宋体" w:eastAsia="宋体" w:cs="宋体"/>
                <w:strike w:val="0"/>
                <w:dstrike w:val="0"/>
                <w:color w:val="auto"/>
                <w:kern w:val="0"/>
                <w:sz w:val="21"/>
                <w:szCs w:val="21"/>
                <w:lang w:eastAsia="zh-CN" w:bidi="ar"/>
              </w:rPr>
            </w:pPr>
            <w:r>
              <w:rPr>
                <w:rFonts w:hint="eastAsia" w:ascii="宋体" w:hAnsi="宋体" w:eastAsia="宋体" w:cs="宋体"/>
                <w:strike w:val="0"/>
                <w:dstrike w:val="0"/>
                <w:color w:val="auto"/>
                <w:kern w:val="0"/>
                <w:sz w:val="21"/>
                <w:szCs w:val="21"/>
                <w:lang w:eastAsia="zh-CN" w:bidi="ar"/>
              </w:rPr>
              <w:t>4.</w:t>
            </w:r>
            <w:r>
              <w:rPr>
                <w:rFonts w:hint="eastAsia" w:ascii="宋体" w:hAnsi="宋体" w:eastAsia="宋体" w:cs="宋体"/>
                <w:strike w:val="0"/>
                <w:dstrike w:val="0"/>
                <w:color w:val="auto"/>
                <w:kern w:val="0"/>
                <w:sz w:val="21"/>
                <w:szCs w:val="21"/>
                <w:lang w:bidi="ar"/>
              </w:rPr>
              <w:t>支持屏幕穿越：支持可以将文档从一个屏幕直接拖入到另一个屏幕中显示；支持的文档有：视频，音频，图片，PPT，PDF，WORD，EXCEL文档；</w:t>
            </w:r>
          </w:p>
          <w:p w14:paraId="62B197F5">
            <w:pPr>
              <w:keepNext w:val="0"/>
              <w:keepLines w:val="0"/>
              <w:pageBreakBefore w:val="0"/>
              <w:widowControl/>
              <w:kinsoku/>
              <w:wordWrap/>
              <w:overflowPunct/>
              <w:topLinePunct w:val="0"/>
              <w:bidi w:val="0"/>
              <w:spacing w:line="44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strike w:val="0"/>
                <w:dstrike w:val="0"/>
                <w:color w:val="auto"/>
                <w:kern w:val="0"/>
                <w:sz w:val="21"/>
                <w:szCs w:val="21"/>
                <w:lang w:eastAsia="zh-CN" w:bidi="ar"/>
              </w:rPr>
              <w:t>5.</w:t>
            </w:r>
            <w:r>
              <w:rPr>
                <w:rFonts w:hint="eastAsia" w:ascii="宋体" w:hAnsi="宋体" w:eastAsia="宋体" w:cs="宋体"/>
                <w:strike w:val="0"/>
                <w:dstrike w:val="0"/>
                <w:color w:val="auto"/>
                <w:kern w:val="0"/>
                <w:sz w:val="21"/>
                <w:szCs w:val="21"/>
                <w:lang w:bidi="ar"/>
              </w:rPr>
              <w:t>支持屏幕互换：支持快速的进行左右两个屏幕中显示内容的互相替换；</w:t>
            </w:r>
          </w:p>
        </w:tc>
      </w:tr>
      <w:tr w14:paraId="7028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9209A16">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15</w:t>
            </w:r>
          </w:p>
        </w:tc>
        <w:tc>
          <w:tcPr>
            <w:tcW w:w="1215" w:type="dxa"/>
            <w:noWrap w:val="0"/>
            <w:vAlign w:val="center"/>
          </w:tcPr>
          <w:p w14:paraId="768EB6A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rPr>
              <w:t>移动推车</w:t>
            </w:r>
          </w:p>
        </w:tc>
        <w:tc>
          <w:tcPr>
            <w:tcW w:w="804" w:type="dxa"/>
            <w:noWrap w:val="0"/>
            <w:vAlign w:val="center"/>
          </w:tcPr>
          <w:p w14:paraId="1220F468">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lang w:val="en-US" w:eastAsia="zh-CN"/>
              </w:rPr>
              <w:t>套</w:t>
            </w:r>
          </w:p>
        </w:tc>
        <w:tc>
          <w:tcPr>
            <w:tcW w:w="765" w:type="dxa"/>
            <w:gridSpan w:val="2"/>
            <w:noWrap w:val="0"/>
            <w:vAlign w:val="center"/>
          </w:tcPr>
          <w:p w14:paraId="4C6F9B79">
            <w:pPr>
              <w:pStyle w:val="46"/>
              <w:keepNext w:val="0"/>
              <w:keepLines w:val="0"/>
              <w:pageBreakBefore w:val="0"/>
              <w:kinsoku/>
              <w:wordWrap/>
              <w:overflowPunct/>
              <w:topLinePunct w:val="0"/>
              <w:bidi w:val="0"/>
              <w:spacing w:line="440" w:lineRule="exact"/>
              <w:ind w:left="0" w:leftChars="0" w:firstLine="0" w:firstLineChars="0"/>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lang w:val="en-US" w:eastAsia="zh-CN"/>
              </w:rPr>
              <w:t>1</w:t>
            </w:r>
          </w:p>
        </w:tc>
        <w:tc>
          <w:tcPr>
            <w:tcW w:w="6351" w:type="dxa"/>
            <w:noWrap w:val="0"/>
            <w:vAlign w:val="center"/>
          </w:tcPr>
          <w:p w14:paraId="0AA4129C">
            <w:pPr>
              <w:keepNext w:val="0"/>
              <w:keepLines w:val="0"/>
              <w:pageBreakBefore w:val="0"/>
              <w:kinsoku/>
              <w:wordWrap/>
              <w:overflowPunct/>
              <w:topLinePunct w:val="0"/>
              <w:bidi w:val="0"/>
              <w:snapToGrid w:val="0"/>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1.</w:t>
            </w:r>
            <w:r>
              <w:rPr>
                <w:rFonts w:hint="eastAsia" w:ascii="宋体" w:hAnsi="宋体" w:eastAsia="宋体" w:cs="宋体"/>
                <w:color w:val="auto"/>
                <w:kern w:val="0"/>
                <w:sz w:val="21"/>
                <w:szCs w:val="21"/>
              </w:rPr>
              <w:t>结构部分：</w:t>
            </w:r>
          </w:p>
          <w:p w14:paraId="00A33530">
            <w:pPr>
              <w:keepNext w:val="0"/>
              <w:keepLines w:val="0"/>
              <w:pageBreakBefore w:val="0"/>
              <w:kinsoku/>
              <w:wordWrap/>
              <w:overflowPunct/>
              <w:topLinePunct w:val="0"/>
              <w:bidi w:val="0"/>
              <w:snapToGrid w:val="0"/>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50≥净重≥18 kg</w:t>
            </w:r>
          </w:p>
          <w:p w14:paraId="11CFEC19">
            <w:pPr>
              <w:keepNext w:val="0"/>
              <w:keepLines w:val="0"/>
              <w:pageBreakBefore w:val="0"/>
              <w:kinsoku/>
              <w:wordWrap/>
              <w:overflowPunct/>
              <w:topLinePunct w:val="0"/>
              <w:bidi w:val="0"/>
              <w:snapToGrid w:val="0"/>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最大承重≥100kg</w:t>
            </w:r>
            <w:r>
              <w:rPr>
                <w:rFonts w:hint="eastAsia" w:ascii="宋体" w:hAnsi="宋体" w:eastAsia="宋体" w:cs="宋体"/>
                <w:color w:val="auto"/>
                <w:kern w:val="0"/>
                <w:sz w:val="21"/>
                <w:szCs w:val="21"/>
              </w:rPr>
              <w:tab/>
            </w:r>
          </w:p>
          <w:p w14:paraId="184E777E">
            <w:pPr>
              <w:keepNext w:val="0"/>
              <w:keepLines w:val="0"/>
              <w:pageBreakBefore w:val="0"/>
              <w:kinsoku/>
              <w:wordWrap/>
              <w:overflowPunct/>
              <w:topLinePunct w:val="0"/>
              <w:bidi w:val="0"/>
              <w:snapToGrid w:val="0"/>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可承载机型尺寸：65-86英寸</w:t>
            </w:r>
          </w:p>
          <w:p w14:paraId="6215EBC1">
            <w:pPr>
              <w:keepNext w:val="0"/>
              <w:keepLines w:val="0"/>
              <w:pageBreakBefore w:val="0"/>
              <w:kinsoku/>
              <w:wordWrap/>
              <w:overflowPunct/>
              <w:topLinePunct w:val="0"/>
              <w:bidi w:val="0"/>
              <w:snapToGrid w:val="0"/>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脚轮尺寸≥2英寸</w:t>
            </w:r>
          </w:p>
          <w:p w14:paraId="16C33DCD">
            <w:pPr>
              <w:keepNext w:val="0"/>
              <w:keepLines w:val="0"/>
              <w:pageBreakBefore w:val="0"/>
              <w:kinsoku/>
              <w:wordWrap/>
              <w:overflowPunct/>
              <w:topLinePunct w:val="0"/>
              <w:bidi w:val="0"/>
              <w:snapToGrid w:val="0"/>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是否静音：静音轮</w:t>
            </w:r>
          </w:p>
          <w:p w14:paraId="64C8634E">
            <w:pPr>
              <w:keepNext w:val="0"/>
              <w:keepLines w:val="0"/>
              <w:pageBreakBefore w:val="0"/>
              <w:kinsoku/>
              <w:wordWrap/>
              <w:overflowPunct/>
              <w:topLinePunct w:val="0"/>
              <w:bidi w:val="0"/>
              <w:snapToGrid w:val="0"/>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2.</w:t>
            </w:r>
            <w:r>
              <w:rPr>
                <w:rFonts w:hint="eastAsia" w:ascii="宋体" w:hAnsi="宋体" w:eastAsia="宋体" w:cs="宋体"/>
                <w:color w:val="auto"/>
                <w:kern w:val="0"/>
                <w:sz w:val="21"/>
                <w:szCs w:val="21"/>
              </w:rPr>
              <w:t>环境因素</w:t>
            </w:r>
          </w:p>
          <w:p w14:paraId="3339B1E7">
            <w:pPr>
              <w:keepNext w:val="0"/>
              <w:keepLines w:val="0"/>
              <w:pageBreakBefore w:val="0"/>
              <w:kinsoku/>
              <w:wordWrap/>
              <w:overflowPunct/>
              <w:topLinePunct w:val="0"/>
              <w:bidi w:val="0"/>
              <w:snapToGrid w:val="0"/>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操作温度：0℃～40℃</w:t>
            </w:r>
          </w:p>
          <w:p w14:paraId="3904AD10">
            <w:pPr>
              <w:keepNext w:val="0"/>
              <w:keepLines w:val="0"/>
              <w:pageBreakBefore w:val="0"/>
              <w:kinsoku/>
              <w:wordWrap/>
              <w:overflowPunct/>
              <w:topLinePunct w:val="0"/>
              <w:bidi w:val="0"/>
              <w:snapToGrid w:val="0"/>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操作湿度:  10%～90%RH</w:t>
            </w:r>
          </w:p>
          <w:p w14:paraId="05E3DFE6">
            <w:pPr>
              <w:keepNext w:val="0"/>
              <w:keepLines w:val="0"/>
              <w:pageBreakBefore w:val="0"/>
              <w:kinsoku/>
              <w:wordWrap/>
              <w:overflowPunct/>
              <w:topLinePunct w:val="0"/>
              <w:bidi w:val="0"/>
              <w:snapToGrid w:val="0"/>
              <w:spacing w:line="44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存储温度:  -20℃～60℃</w:t>
            </w:r>
          </w:p>
          <w:p w14:paraId="6B944893">
            <w:pPr>
              <w:keepNext w:val="0"/>
              <w:keepLines w:val="0"/>
              <w:pageBreakBefore w:val="0"/>
              <w:kinsoku/>
              <w:wordWrap/>
              <w:overflowPunct/>
              <w:topLinePunct w:val="0"/>
              <w:bidi w:val="0"/>
              <w:spacing w:line="44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3.</w:t>
            </w:r>
            <w:r>
              <w:rPr>
                <w:rFonts w:hint="eastAsia" w:ascii="宋体" w:hAnsi="宋体" w:eastAsia="宋体" w:cs="宋体"/>
                <w:color w:val="auto"/>
                <w:kern w:val="0"/>
                <w:sz w:val="21"/>
                <w:szCs w:val="21"/>
              </w:rPr>
              <w:t xml:space="preserve">存储湿度:  </w:t>
            </w:r>
          </w:p>
          <w:p w14:paraId="7105FAB7">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rPr>
              <w:t>10%～90%RH</w:t>
            </w:r>
          </w:p>
        </w:tc>
      </w:tr>
      <w:tr w14:paraId="2F47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5" w:type="dxa"/>
            <w:gridSpan w:val="6"/>
            <w:vAlign w:val="center"/>
          </w:tcPr>
          <w:p w14:paraId="6BDC75EC">
            <w:pPr>
              <w:keepNext w:val="0"/>
              <w:keepLines w:val="0"/>
              <w:pageBreakBefore w:val="0"/>
              <w:widowControl/>
              <w:suppressLineNumbers w:val="0"/>
              <w:kinsoku/>
              <w:wordWrap/>
              <w:overflowPunct/>
              <w:topLinePunct w:val="0"/>
              <w:bidi w:val="0"/>
              <w:spacing w:line="440" w:lineRule="exact"/>
              <w:jc w:val="left"/>
              <w:textAlignment w:val="center"/>
              <w:rPr>
                <w:rFonts w:hint="eastAsia" w:ascii="宋体" w:hAnsi="宋体" w:eastAsia="宋体" w:cs="宋体"/>
                <w:color w:val="auto"/>
                <w:kern w:val="0"/>
                <w:sz w:val="21"/>
                <w:szCs w:val="21"/>
              </w:rPr>
            </w:pPr>
            <w:r>
              <w:rPr>
                <w:rFonts w:hint="eastAsia" w:ascii="宋体" w:hAnsi="宋体" w:cs="宋体"/>
                <w:b/>
                <w:bCs/>
                <w:color w:val="auto"/>
                <w:kern w:val="0"/>
                <w:szCs w:val="21"/>
                <w:lang w:bidi="ar"/>
              </w:rPr>
              <w:t>二、商务要求</w:t>
            </w:r>
          </w:p>
        </w:tc>
      </w:tr>
      <w:tr w14:paraId="57E8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920" w:type="dxa"/>
            <w:gridSpan w:val="4"/>
            <w:vAlign w:val="center"/>
          </w:tcPr>
          <w:p w14:paraId="0F6786A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lang w:val="en-US" w:eastAsia="zh-CN"/>
              </w:rPr>
            </w:pPr>
            <w:r>
              <w:rPr>
                <w:rFonts w:hint="eastAsia" w:ascii="宋体" w:hAnsi="宋体" w:cs="宋体"/>
                <w:color w:val="auto"/>
                <w:kern w:val="0"/>
                <w:szCs w:val="21"/>
                <w:lang w:bidi="ar"/>
              </w:rPr>
              <w:t>合同签订期</w:t>
            </w:r>
          </w:p>
        </w:tc>
        <w:tc>
          <w:tcPr>
            <w:tcW w:w="6765" w:type="dxa"/>
            <w:gridSpan w:val="2"/>
            <w:vAlign w:val="center"/>
          </w:tcPr>
          <w:p w14:paraId="407716E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cs="宋体"/>
                <w:color w:val="auto"/>
                <w:kern w:val="0"/>
                <w:szCs w:val="21"/>
                <w:lang w:bidi="ar"/>
              </w:rPr>
              <w:t>自</w:t>
            </w:r>
            <w:r>
              <w:rPr>
                <w:rFonts w:hint="eastAsia" w:ascii="宋体" w:hAnsi="宋体" w:cs="宋体"/>
                <w:color w:val="auto"/>
                <w:kern w:val="0"/>
                <w:szCs w:val="21"/>
                <w:lang w:val="en-US" w:eastAsia="zh-CN" w:bidi="ar"/>
              </w:rPr>
              <w:t>成交</w:t>
            </w:r>
            <w:r>
              <w:rPr>
                <w:rFonts w:hint="eastAsia" w:ascii="宋体" w:hAnsi="宋体" w:cs="宋体"/>
                <w:color w:val="auto"/>
                <w:kern w:val="0"/>
                <w:szCs w:val="21"/>
                <w:lang w:bidi="ar"/>
              </w:rPr>
              <w:t>通知书发出之日起</w:t>
            </w:r>
            <w:r>
              <w:rPr>
                <w:rFonts w:hint="eastAsia" w:ascii="宋体" w:hAnsi="宋体" w:cs="宋体"/>
                <w:color w:val="auto"/>
                <w:kern w:val="0"/>
                <w:szCs w:val="21"/>
                <w:lang w:val="en-US" w:eastAsia="zh-CN" w:bidi="ar"/>
              </w:rPr>
              <w:t>15</w:t>
            </w:r>
            <w:r>
              <w:rPr>
                <w:rFonts w:hint="eastAsia" w:ascii="宋体" w:hAnsi="宋体" w:cs="宋体"/>
                <w:color w:val="auto"/>
                <w:kern w:val="0"/>
                <w:szCs w:val="21"/>
                <w:lang w:bidi="ar"/>
              </w:rPr>
              <w:t>日内。</w:t>
            </w:r>
          </w:p>
        </w:tc>
      </w:tr>
      <w:tr w14:paraId="7697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gridSpan w:val="4"/>
            <w:vAlign w:val="center"/>
          </w:tcPr>
          <w:p w14:paraId="246D2A8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lang w:val="en-US" w:eastAsia="zh-CN"/>
              </w:rPr>
            </w:pPr>
            <w:r>
              <w:rPr>
                <w:rFonts w:hint="eastAsia" w:ascii="宋体" w:hAnsi="宋体" w:cs="宋体"/>
                <w:color w:val="auto"/>
                <w:kern w:val="0"/>
                <w:szCs w:val="21"/>
                <w:lang w:bidi="ar"/>
              </w:rPr>
              <w:t>交货时间及地点</w:t>
            </w:r>
          </w:p>
        </w:tc>
        <w:tc>
          <w:tcPr>
            <w:tcW w:w="6765" w:type="dxa"/>
            <w:gridSpan w:val="2"/>
            <w:vAlign w:val="center"/>
          </w:tcPr>
          <w:p w14:paraId="52E3230E">
            <w:pPr>
              <w:keepNext w:val="0"/>
              <w:keepLines w:val="0"/>
              <w:pageBreakBefore w:val="0"/>
              <w:widowControl/>
              <w:numPr>
                <w:ilvl w:val="0"/>
                <w:numId w:val="10"/>
              </w:numPr>
              <w:kinsoku/>
              <w:wordWrap/>
              <w:overflowPunct/>
              <w:topLinePunct w:val="0"/>
              <w:autoSpaceDE/>
              <w:autoSpaceDN/>
              <w:bidi w:val="0"/>
              <w:adjustRightInd/>
              <w:snapToGrid/>
              <w:spacing w:line="440" w:lineRule="exact"/>
              <w:jc w:val="left"/>
              <w:textAlignment w:val="auto"/>
              <w:rPr>
                <w:rFonts w:hint="eastAsia"/>
                <w:color w:val="auto"/>
              </w:rPr>
            </w:pPr>
            <w:r>
              <w:rPr>
                <w:rFonts w:hint="eastAsia" w:ascii="宋体" w:hAnsi="宋体" w:cs="宋体"/>
                <w:color w:val="auto"/>
                <w:kern w:val="0"/>
                <w:szCs w:val="21"/>
                <w:lang w:bidi="ar"/>
              </w:rPr>
              <w:t>交货期：</w:t>
            </w:r>
            <w:r>
              <w:rPr>
                <w:rFonts w:hint="eastAsia"/>
                <w:color w:val="auto"/>
                <w:lang w:val="en-US" w:eastAsia="zh-CN"/>
              </w:rPr>
              <w:t>合同签订之日起15日内</w:t>
            </w:r>
            <w:r>
              <w:rPr>
                <w:rFonts w:hint="eastAsia"/>
                <w:color w:val="auto"/>
              </w:rPr>
              <w:t>安装调试竣工验收交付使用。</w:t>
            </w:r>
          </w:p>
          <w:p w14:paraId="6F6BC17B">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2.交货地点：浦北县</w:t>
            </w:r>
            <w:r>
              <w:rPr>
                <w:rFonts w:hint="eastAsia" w:ascii="宋体" w:hAnsi="宋体" w:cs="宋体"/>
                <w:color w:val="auto"/>
                <w:kern w:val="0"/>
                <w:szCs w:val="21"/>
                <w:lang w:val="en-US" w:eastAsia="zh-CN" w:bidi="ar"/>
              </w:rPr>
              <w:t>第二</w:t>
            </w:r>
            <w:r>
              <w:rPr>
                <w:rFonts w:hint="eastAsia" w:ascii="宋体" w:hAnsi="宋体" w:cs="宋体"/>
                <w:color w:val="auto"/>
                <w:kern w:val="0"/>
                <w:szCs w:val="21"/>
                <w:lang w:bidi="ar"/>
              </w:rPr>
              <w:t>中学；</w:t>
            </w:r>
          </w:p>
          <w:p w14:paraId="63A5768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cs="宋体"/>
                <w:color w:val="auto"/>
                <w:kern w:val="0"/>
                <w:szCs w:val="21"/>
                <w:lang w:bidi="ar"/>
              </w:rPr>
              <w:t>3.交货方式：现场交货</w:t>
            </w:r>
          </w:p>
        </w:tc>
      </w:tr>
      <w:tr w14:paraId="5720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gridSpan w:val="4"/>
            <w:vAlign w:val="center"/>
          </w:tcPr>
          <w:p w14:paraId="4E714A7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lang w:val="en-US" w:eastAsia="zh-CN"/>
              </w:rPr>
            </w:pPr>
            <w:r>
              <w:rPr>
                <w:rFonts w:hint="eastAsia" w:ascii="宋体" w:hAnsi="宋体" w:cs="宋体"/>
                <w:color w:val="auto"/>
                <w:kern w:val="0"/>
                <w:szCs w:val="21"/>
                <w:lang w:bidi="ar"/>
              </w:rPr>
              <w:t>质保期限</w:t>
            </w:r>
          </w:p>
        </w:tc>
        <w:tc>
          <w:tcPr>
            <w:tcW w:w="6765" w:type="dxa"/>
            <w:gridSpan w:val="2"/>
            <w:vAlign w:val="center"/>
          </w:tcPr>
          <w:p w14:paraId="345F3BD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cs="宋体"/>
                <w:color w:val="auto"/>
                <w:kern w:val="0"/>
                <w:szCs w:val="21"/>
                <w:lang w:bidi="ar"/>
              </w:rPr>
              <w:t xml:space="preserve">按国家有关产品“三包”规定执行“三包”，自货物验收合格之日起计算，产品质保期最短不少于 </w:t>
            </w:r>
            <w:r>
              <w:rPr>
                <w:rFonts w:hint="eastAsia" w:ascii="宋体" w:hAnsi="宋体" w:cs="宋体"/>
                <w:color w:val="auto"/>
                <w:kern w:val="0"/>
                <w:szCs w:val="21"/>
                <w:lang w:val="en-US" w:eastAsia="zh-CN" w:bidi="ar"/>
              </w:rPr>
              <w:t>三</w:t>
            </w:r>
            <w:r>
              <w:rPr>
                <w:rFonts w:hint="eastAsia" w:ascii="宋体" w:hAnsi="宋体" w:cs="宋体"/>
                <w:color w:val="auto"/>
                <w:kern w:val="0"/>
                <w:szCs w:val="21"/>
                <w:lang w:bidi="ar"/>
              </w:rPr>
              <w:t>年（“技术参数要求”有要求的则按其要求）。若厂家质保期超过此年限的，合同履行过程中按厂家规定执行。质保期满后，终身维护。</w:t>
            </w:r>
          </w:p>
        </w:tc>
      </w:tr>
      <w:tr w14:paraId="6BB1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gridSpan w:val="4"/>
            <w:vAlign w:val="center"/>
          </w:tcPr>
          <w:p w14:paraId="37EB4B2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lang w:val="en-US" w:eastAsia="zh-CN"/>
              </w:rPr>
            </w:pPr>
            <w:r>
              <w:rPr>
                <w:rFonts w:hint="eastAsia" w:ascii="宋体" w:hAnsi="宋体" w:cs="宋体"/>
                <w:color w:val="auto"/>
                <w:kern w:val="0"/>
                <w:szCs w:val="21"/>
                <w:lang w:bidi="ar"/>
              </w:rPr>
              <w:t>售后服务要求</w:t>
            </w:r>
          </w:p>
        </w:tc>
        <w:tc>
          <w:tcPr>
            <w:tcW w:w="6765" w:type="dxa"/>
            <w:gridSpan w:val="2"/>
            <w:vAlign w:val="center"/>
          </w:tcPr>
          <w:p w14:paraId="169CB97C">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1.</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按采购人指定的地点负责送货上门、安装、调试，负责培训使用人员和维护人员。 </w:t>
            </w:r>
          </w:p>
          <w:p w14:paraId="1957D5DB">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2.</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必须提供安装、配线以及软硬件的测试和调整服务。系统安装之前，应先对用户人员进行现场培训。开始安装时，应让用户的硬软件和系统集成人员参与安装、检测和排除故障。</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在施工、安装、调试等全过程中接受采购人的监督。 </w:t>
            </w:r>
          </w:p>
          <w:p w14:paraId="55657229">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3.在</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承诺的质保期内，设备保修包换所需要的配件均是原厂原装，不得使用兼容货物。 </w:t>
            </w:r>
          </w:p>
          <w:p w14:paraId="059EEF3B">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4.售后服务按厂家承诺执行。</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超过厂家承诺标准的，按</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提交的售后服务承诺书执行。</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定期回访以及对设备进行维护；质保期后</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需提供维修维护服务。 </w:t>
            </w:r>
          </w:p>
          <w:p w14:paraId="005E4069">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5.</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在质量保证期内应当为采购人提供以下技术支持和服务： </w:t>
            </w:r>
          </w:p>
          <w:p w14:paraId="59B0D401">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（1）电话咨询 </w:t>
            </w:r>
          </w:p>
          <w:p w14:paraId="79B5A80B">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应当为采购人提供技术援助电话，解答采购人在使用中遇到的问题，及时为采购人提出解决问题的建议。 </w:t>
            </w:r>
          </w:p>
          <w:p w14:paraId="17429775">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（2）服务响应时间 </w:t>
            </w:r>
          </w:p>
          <w:p w14:paraId="09B1E52E">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质保期内，采购人遇到使用或技术问题，电话咨询不能解决的，</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应在 8小时内到达现场进行处理，到达现场后 5 小时内排除故障，恢复正常使用。保证采购人正常使用，产生的一切费用由</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承担。 </w:t>
            </w:r>
          </w:p>
          <w:p w14:paraId="601FB4B5">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（3）技术升级 </w:t>
            </w:r>
          </w:p>
          <w:p w14:paraId="44ECDAB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Cs w:val="21"/>
                <w:lang w:bidi="ar"/>
              </w:rPr>
            </w:pPr>
            <w:r>
              <w:rPr>
                <w:rFonts w:hint="eastAsia" w:ascii="宋体" w:hAnsi="宋体" w:cs="宋体"/>
                <w:color w:val="auto"/>
                <w:kern w:val="0"/>
                <w:szCs w:val="21"/>
                <w:lang w:bidi="ar"/>
              </w:rPr>
              <w:t>在质保期内，如果</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的产品或服务升级，</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应及时通知采购人，如采购人有相应要求，</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应对采购人购买的产品或服务进行升级。</w:t>
            </w:r>
          </w:p>
          <w:p w14:paraId="42FE8FDD">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6.质保期外服务要求质量保证期过后，采购人需要继续由原</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提供售后服务的，</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应提供电话咨询服务，并应承诺提供产品或服务上门维护，</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和制造商应以优惠价格提供售后服务。 </w:t>
            </w:r>
          </w:p>
          <w:p w14:paraId="5333D36B">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7.备品备件及易损件 </w:t>
            </w:r>
          </w:p>
          <w:p w14:paraId="47D980AD">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售后服务中，维修使用的备品备件及易损件应为原厂配件，未经采购人同意不得使用非原厂配件。 </w:t>
            </w:r>
          </w:p>
          <w:p w14:paraId="34E1328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cs="宋体"/>
                <w:color w:val="auto"/>
                <w:kern w:val="0"/>
                <w:szCs w:val="21"/>
                <w:lang w:bidi="ar"/>
              </w:rPr>
              <w:t>8.培训要求：</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对其提供产品或服务的使用和操作应尽培训义务。</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应提供对本项目的使用单位进行培训服务，涉及的相关费用应计算在项目报价内，并使使用人员能独立、熟练操作系统。</w:t>
            </w:r>
          </w:p>
        </w:tc>
      </w:tr>
      <w:tr w14:paraId="6E71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gridSpan w:val="4"/>
            <w:vAlign w:val="center"/>
          </w:tcPr>
          <w:p w14:paraId="5976365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lang w:val="en-US" w:eastAsia="zh-CN"/>
              </w:rPr>
            </w:pPr>
            <w:r>
              <w:rPr>
                <w:rFonts w:hint="eastAsia" w:ascii="宋体" w:hAnsi="宋体" w:cs="宋体"/>
                <w:color w:val="auto"/>
                <w:kern w:val="0"/>
                <w:szCs w:val="21"/>
                <w:lang w:bidi="ar"/>
              </w:rPr>
              <w:t>付款方式</w:t>
            </w:r>
          </w:p>
        </w:tc>
        <w:tc>
          <w:tcPr>
            <w:tcW w:w="6765" w:type="dxa"/>
            <w:gridSpan w:val="2"/>
            <w:vAlign w:val="center"/>
          </w:tcPr>
          <w:p w14:paraId="2886F2CC">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cs="宋体"/>
                <w:color w:val="auto"/>
                <w:szCs w:val="21"/>
                <w:highlight w:val="none"/>
              </w:rPr>
              <w:t>付款方式:项目按业主要求,安装调试验收合格后,乙方开具合同全额发票给甲方</w:t>
            </w:r>
            <w:r>
              <w:rPr>
                <w:rFonts w:hint="eastAsia" w:ascii="宋体" w:hAnsi="宋体" w:cs="宋体"/>
                <w:color w:val="auto"/>
                <w:szCs w:val="21"/>
                <w:highlight w:val="none"/>
                <w:lang w:eastAsia="zh-CN"/>
              </w:rPr>
              <w:t>，</w:t>
            </w:r>
            <w:r>
              <w:rPr>
                <w:rFonts w:hint="eastAsia" w:ascii="宋体" w:hAnsi="宋体" w:cs="宋体"/>
                <w:color w:val="auto"/>
                <w:szCs w:val="21"/>
                <w:highlight w:val="none"/>
              </w:rPr>
              <w:t>甲方收到发票6个月内付完合同总金额100%给乙方。</w:t>
            </w:r>
          </w:p>
        </w:tc>
      </w:tr>
      <w:tr w14:paraId="7DD3B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gridSpan w:val="4"/>
            <w:vAlign w:val="center"/>
          </w:tcPr>
          <w:p w14:paraId="71EAC8A6">
            <w:pPr>
              <w:keepNext w:val="0"/>
              <w:keepLines w:val="0"/>
              <w:pageBreakBefore w:val="0"/>
              <w:widowControl/>
              <w:kinsoku/>
              <w:wordWrap/>
              <w:overflowPunct/>
              <w:topLinePunct w:val="0"/>
              <w:autoSpaceDE/>
              <w:autoSpaceDN/>
              <w:bidi w:val="0"/>
              <w:adjustRightInd/>
              <w:snapToGrid/>
              <w:spacing w:line="440" w:lineRule="exact"/>
              <w:jc w:val="center"/>
              <w:textAlignment w:val="auto"/>
              <w:rPr>
                <w:color w:val="auto"/>
              </w:rPr>
            </w:pPr>
            <w:r>
              <w:rPr>
                <w:rFonts w:hint="eastAsia" w:ascii="宋体" w:hAnsi="宋体" w:cs="宋体"/>
                <w:color w:val="auto"/>
                <w:kern w:val="0"/>
                <w:szCs w:val="21"/>
                <w:lang w:bidi="ar"/>
              </w:rPr>
              <w:t>报价要求</w:t>
            </w:r>
          </w:p>
          <w:p w14:paraId="08F95F5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lang w:val="en-US" w:eastAsia="zh-CN"/>
              </w:rPr>
            </w:pPr>
          </w:p>
        </w:tc>
        <w:tc>
          <w:tcPr>
            <w:tcW w:w="6765" w:type="dxa"/>
            <w:gridSpan w:val="2"/>
            <w:vAlign w:val="center"/>
          </w:tcPr>
          <w:p w14:paraId="714D2B7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cs="宋体"/>
                <w:color w:val="auto"/>
                <w:kern w:val="0"/>
                <w:szCs w:val="21"/>
                <w:lang w:bidi="ar"/>
              </w:rPr>
              <w:t>投标报价为采购人指定地点的现场交货价，包括但不限于：投标报价包含货物采购、备品备件、工具、运抵指定交货地点、装卸费、现场安装、调试及验收的各种费用和售后服务、保险、税金、培训及其他所有成本费用的总和。项目实施过程中产生的所有费用均由</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承担。</w:t>
            </w:r>
          </w:p>
        </w:tc>
      </w:tr>
      <w:tr w14:paraId="460A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gridSpan w:val="4"/>
            <w:vAlign w:val="center"/>
          </w:tcPr>
          <w:p w14:paraId="74A6DA1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lang w:val="en-US" w:eastAsia="zh-CN"/>
              </w:rPr>
            </w:pPr>
            <w:r>
              <w:rPr>
                <w:rFonts w:hint="eastAsia" w:ascii="宋体" w:hAnsi="宋体" w:cs="宋体"/>
                <w:color w:val="auto"/>
                <w:kern w:val="0"/>
                <w:szCs w:val="21"/>
                <w:lang w:bidi="ar"/>
              </w:rPr>
              <w:t>备品备件及耗材等要求</w:t>
            </w:r>
          </w:p>
        </w:tc>
        <w:tc>
          <w:tcPr>
            <w:tcW w:w="6765" w:type="dxa"/>
            <w:gridSpan w:val="2"/>
            <w:vAlign w:val="center"/>
          </w:tcPr>
          <w:p w14:paraId="1892F0F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cs="宋体"/>
                <w:color w:val="auto"/>
                <w:kern w:val="0"/>
                <w:szCs w:val="21"/>
                <w:lang w:bidi="ar"/>
              </w:rPr>
              <w:t>有稳定的备件供应渠道，并从设备厂商的中国公司及其分销商购置整机和备件补充，可以满足客户的设备在升级、扩充和保修服务配件及消耗品等多方面的需求，</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就相关备品备件及耗材价格与采购人友好协商，应以优惠价格提供相关服务。</w:t>
            </w:r>
          </w:p>
        </w:tc>
      </w:tr>
      <w:tr w14:paraId="7258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gridSpan w:val="4"/>
            <w:vAlign w:val="center"/>
          </w:tcPr>
          <w:p w14:paraId="7A1BDF2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lang w:val="en-US" w:eastAsia="zh-CN"/>
              </w:rPr>
            </w:pPr>
            <w:r>
              <w:rPr>
                <w:rFonts w:hint="eastAsia" w:ascii="宋体" w:hAnsi="宋体" w:cs="宋体"/>
                <w:color w:val="auto"/>
                <w:kern w:val="0"/>
                <w:szCs w:val="21"/>
                <w:lang w:bidi="ar"/>
              </w:rPr>
              <w:t>规范标准</w:t>
            </w:r>
          </w:p>
        </w:tc>
        <w:tc>
          <w:tcPr>
            <w:tcW w:w="6765" w:type="dxa"/>
            <w:gridSpan w:val="2"/>
            <w:vAlign w:val="center"/>
          </w:tcPr>
          <w:p w14:paraId="35D8FE4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cs="宋体"/>
                <w:color w:val="auto"/>
                <w:kern w:val="0"/>
                <w:szCs w:val="21"/>
                <w:lang w:bidi="ar"/>
              </w:rPr>
              <w:t>采购标的需执行的国家标准、行业标准、地方标准或者其他标准、规范。多项标准的，按最新标准或较高标准执行。</w:t>
            </w:r>
          </w:p>
        </w:tc>
      </w:tr>
      <w:tr w14:paraId="6704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gridSpan w:val="4"/>
            <w:vAlign w:val="center"/>
          </w:tcPr>
          <w:p w14:paraId="2CD1DFF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auto"/>
                <w:kern w:val="0"/>
                <w:sz w:val="21"/>
                <w:szCs w:val="21"/>
                <w:lang w:val="en-US" w:eastAsia="zh-CN"/>
              </w:rPr>
            </w:pPr>
            <w:r>
              <w:rPr>
                <w:rFonts w:hint="eastAsia" w:ascii="宋体" w:hAnsi="宋体" w:cs="宋体"/>
                <w:color w:val="auto"/>
                <w:kern w:val="0"/>
                <w:szCs w:val="21"/>
                <w:lang w:bidi="ar"/>
              </w:rPr>
              <w:t>验收标准及要求</w:t>
            </w:r>
          </w:p>
        </w:tc>
        <w:tc>
          <w:tcPr>
            <w:tcW w:w="6765" w:type="dxa"/>
            <w:gridSpan w:val="2"/>
            <w:vAlign w:val="top"/>
          </w:tcPr>
          <w:p w14:paraId="4E0FF986">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1.验收依据 </w:t>
            </w:r>
          </w:p>
          <w:p w14:paraId="31BF9351">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按合同要求及国家标准进行验收。 </w:t>
            </w:r>
          </w:p>
          <w:p w14:paraId="50D20E82">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2.验收标准 </w:t>
            </w:r>
          </w:p>
          <w:p w14:paraId="7A380B02">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（1）所供产品的规格、数量、功能、材质、颜色等符合</w:t>
            </w:r>
            <w:r>
              <w:rPr>
                <w:rFonts w:hint="eastAsia" w:ascii="宋体" w:hAnsi="宋体" w:cs="宋体"/>
                <w:color w:val="auto"/>
                <w:kern w:val="0"/>
                <w:szCs w:val="21"/>
                <w:lang w:val="en-US" w:eastAsia="zh-CN" w:bidi="ar"/>
              </w:rPr>
              <w:t>采购</w:t>
            </w:r>
            <w:r>
              <w:rPr>
                <w:rFonts w:hint="eastAsia" w:ascii="宋体" w:hAnsi="宋体" w:cs="宋体"/>
                <w:color w:val="auto"/>
                <w:kern w:val="0"/>
                <w:szCs w:val="21"/>
                <w:lang w:bidi="ar"/>
              </w:rPr>
              <w:t xml:space="preserve">文件采购需求及采购合同约定的要求。 </w:t>
            </w:r>
          </w:p>
          <w:p w14:paraId="24AAC802">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（2）所供产品的外观完好，无严重碰撞、表皮脱落、五金件生锈等明显瑕疵。 </w:t>
            </w:r>
          </w:p>
          <w:p w14:paraId="3048013F">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（3）所供产品结构牢固，无安全隐患。 </w:t>
            </w:r>
          </w:p>
          <w:p w14:paraId="0285907E">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（4）如有抽检要求的，检测结果符合</w:t>
            </w:r>
            <w:r>
              <w:rPr>
                <w:rFonts w:hint="eastAsia" w:ascii="宋体" w:hAnsi="宋体" w:cs="宋体"/>
                <w:color w:val="auto"/>
                <w:kern w:val="0"/>
                <w:szCs w:val="21"/>
                <w:lang w:val="en-US" w:eastAsia="zh-CN" w:bidi="ar"/>
              </w:rPr>
              <w:t>采购</w:t>
            </w:r>
            <w:r>
              <w:rPr>
                <w:rFonts w:hint="eastAsia" w:ascii="宋体" w:hAnsi="宋体" w:cs="宋体"/>
                <w:color w:val="auto"/>
                <w:kern w:val="0"/>
                <w:szCs w:val="21"/>
                <w:lang w:bidi="ar"/>
              </w:rPr>
              <w:t xml:space="preserve">文件采购需求及采购合同约定的要求。 </w:t>
            </w:r>
          </w:p>
          <w:p w14:paraId="14F7FE62">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（5）所有产品均已运输至指定地点，并安装调试完毕。 </w:t>
            </w:r>
          </w:p>
          <w:p w14:paraId="01C059C2">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（6）</w:t>
            </w:r>
            <w:r>
              <w:rPr>
                <w:rFonts w:hint="eastAsia" w:ascii="宋体" w:hAnsi="宋体" w:cs="宋体"/>
                <w:color w:val="auto"/>
                <w:kern w:val="0"/>
                <w:szCs w:val="21"/>
                <w:lang w:val="en-US" w:eastAsia="zh-CN" w:bidi="ar"/>
              </w:rPr>
              <w:t>采购</w:t>
            </w:r>
            <w:r>
              <w:rPr>
                <w:rFonts w:hint="eastAsia" w:ascii="宋体" w:hAnsi="宋体" w:cs="宋体"/>
                <w:color w:val="auto"/>
                <w:kern w:val="0"/>
                <w:szCs w:val="21"/>
                <w:lang w:bidi="ar"/>
              </w:rPr>
              <w:t xml:space="preserve">文件采购需求及采购合同约定的附件、工具、技术资料等齐全；提供产品使用说明书、合格证。 </w:t>
            </w:r>
          </w:p>
          <w:p w14:paraId="3DD2D28D">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3.验收要求 </w:t>
            </w:r>
          </w:p>
          <w:p w14:paraId="0D6445FC">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（1）采购人可以根据采购项目具体情况自行组织验收，或者委托第三方机构或部门开展采购项目履约验收工作，验收过程中所产生的一切费用均由</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承担，报价时应考虑相关费用。 </w:t>
            </w:r>
          </w:p>
          <w:p w14:paraId="09A70ED7">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 xml:space="preserve">（2）本项目验收如委托第三方机构组织实施的，由验收小组对照招标文件的技术参数要求核对检验，如不符合招标文件的技术参数要求的，按合同约定执行， </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承担所有责任和费用。采购人保留进一步追究责任的权利。 </w:t>
            </w:r>
          </w:p>
          <w:p w14:paraId="09502051">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①验收活动开始前，</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应对货物作出全面检查和对验收文件进行整理，并列出清单，作为采购人收货验收和使用的技术条件依据。 </w:t>
            </w:r>
          </w:p>
          <w:p w14:paraId="2644F97E">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②因验收不合格的，需要再次组织验收的，由此产生相关成本费用由</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承担。 </w:t>
            </w:r>
          </w:p>
          <w:p w14:paraId="3867EA57">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宋体" w:hAnsi="宋体" w:cs="宋体"/>
                <w:color w:val="auto"/>
                <w:kern w:val="0"/>
                <w:szCs w:val="21"/>
                <w:lang w:bidi="ar"/>
              </w:rPr>
              <w:t>（3）验收时</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提供验收文档，具体如下：技术方案、实施方案、售后服务方案、培训方案、系统部署文档、测试文档、使用说明书、电子文档等。 </w:t>
            </w:r>
          </w:p>
          <w:p w14:paraId="7DD844D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cs="宋体"/>
                <w:color w:val="auto"/>
                <w:kern w:val="0"/>
                <w:szCs w:val="21"/>
                <w:highlight w:val="none"/>
                <w:lang w:bidi="ar"/>
              </w:rPr>
              <w:t>（4）对所有要求出具的证明文件的原件进行核查，如不符</w:t>
            </w:r>
            <w:r>
              <w:rPr>
                <w:rFonts w:hint="eastAsia" w:ascii="宋体" w:hAnsi="宋体" w:cs="宋体"/>
                <w:color w:val="auto"/>
                <w:kern w:val="0"/>
                <w:szCs w:val="21"/>
                <w:lang w:bidi="ar"/>
              </w:rPr>
              <w:t>合</w:t>
            </w:r>
            <w:r>
              <w:rPr>
                <w:rFonts w:hint="eastAsia" w:ascii="宋体" w:hAnsi="宋体" w:cs="宋体"/>
                <w:color w:val="auto"/>
                <w:kern w:val="0"/>
                <w:szCs w:val="21"/>
                <w:lang w:val="en-US" w:eastAsia="zh-CN" w:bidi="ar"/>
              </w:rPr>
              <w:t>采购</w:t>
            </w:r>
            <w:r>
              <w:rPr>
                <w:rFonts w:hint="eastAsia" w:ascii="宋体" w:hAnsi="宋体" w:cs="宋体"/>
                <w:color w:val="auto"/>
                <w:kern w:val="0"/>
                <w:szCs w:val="21"/>
                <w:lang w:bidi="ar"/>
              </w:rPr>
              <w:t>文件的技术需求及要求，以及提供虚假承诺的，按相关规定做退货处理及违约处理，</w:t>
            </w:r>
            <w:r>
              <w:rPr>
                <w:rFonts w:hint="eastAsia" w:ascii="宋体" w:hAnsi="宋体" w:cs="宋体"/>
                <w:color w:val="auto"/>
                <w:kern w:val="0"/>
                <w:szCs w:val="21"/>
                <w:lang w:eastAsia="zh-CN" w:bidi="ar"/>
              </w:rPr>
              <w:t>成交人</w:t>
            </w:r>
            <w:r>
              <w:rPr>
                <w:rFonts w:hint="eastAsia" w:ascii="宋体" w:hAnsi="宋体" w:cs="宋体"/>
                <w:color w:val="auto"/>
                <w:kern w:val="0"/>
                <w:szCs w:val="21"/>
                <w:lang w:bidi="ar"/>
              </w:rPr>
              <w:t xml:space="preserve">承担所有责任和费用，采购人保留进一步追究责任的权利。 </w:t>
            </w:r>
          </w:p>
        </w:tc>
      </w:tr>
      <w:tr w14:paraId="0B80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5" w:type="dxa"/>
            <w:gridSpan w:val="6"/>
            <w:vAlign w:val="center"/>
          </w:tcPr>
          <w:p w14:paraId="03609CC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auto"/>
                <w:kern w:val="0"/>
                <w:szCs w:val="21"/>
                <w:highlight w:val="none"/>
                <w:lang w:bidi="ar"/>
              </w:rPr>
            </w:pPr>
            <w:r>
              <w:rPr>
                <w:rFonts w:hint="eastAsia" w:ascii="宋体" w:hAnsi="宋体" w:cs="宋体"/>
                <w:b/>
                <w:bCs/>
                <w:color w:val="auto"/>
                <w:kern w:val="0"/>
                <w:szCs w:val="21"/>
                <w:lang w:val="en-US" w:eastAsia="zh-CN" w:bidi="ar"/>
              </w:rPr>
              <w:t>三</w:t>
            </w:r>
            <w:r>
              <w:rPr>
                <w:rFonts w:hint="eastAsia" w:ascii="宋体" w:hAnsi="宋体" w:cs="宋体"/>
                <w:b/>
                <w:bCs/>
                <w:color w:val="auto"/>
                <w:kern w:val="0"/>
                <w:szCs w:val="21"/>
                <w:lang w:bidi="ar"/>
              </w:rPr>
              <w:t>、</w:t>
            </w:r>
            <w:r>
              <w:rPr>
                <w:rFonts w:hint="eastAsia" w:ascii="宋体" w:hAnsi="宋体" w:cs="宋体"/>
                <w:b/>
                <w:bCs/>
                <w:color w:val="auto"/>
                <w:kern w:val="0"/>
                <w:szCs w:val="21"/>
                <w:lang w:val="en-US" w:eastAsia="zh-CN" w:bidi="ar"/>
              </w:rPr>
              <w:t>其他</w:t>
            </w:r>
            <w:r>
              <w:rPr>
                <w:rFonts w:hint="eastAsia" w:ascii="宋体" w:hAnsi="宋体" w:cs="宋体"/>
                <w:b/>
                <w:bCs/>
                <w:color w:val="auto"/>
                <w:kern w:val="0"/>
                <w:szCs w:val="21"/>
                <w:lang w:bidi="ar"/>
              </w:rPr>
              <w:t>要求</w:t>
            </w:r>
          </w:p>
        </w:tc>
      </w:tr>
      <w:tr w14:paraId="6343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0" w:type="dxa"/>
            <w:gridSpan w:val="4"/>
            <w:vAlign w:val="center"/>
          </w:tcPr>
          <w:p w14:paraId="19CC8558">
            <w:pPr>
              <w:spacing w:line="360" w:lineRule="auto"/>
              <w:jc w:val="center"/>
              <w:rPr>
                <w:rFonts w:hint="eastAsia" w:ascii="宋体" w:hAnsi="宋体" w:cs="宋体"/>
                <w:color w:val="auto"/>
                <w:kern w:val="0"/>
                <w:szCs w:val="21"/>
                <w:lang w:bidi="ar"/>
              </w:rPr>
            </w:pPr>
            <w:r>
              <w:rPr>
                <w:rFonts w:hint="eastAsia" w:hAnsi="宋体"/>
                <w:color w:val="auto"/>
                <w:szCs w:val="21"/>
              </w:rPr>
              <w:t>竞标说明</w:t>
            </w:r>
          </w:p>
        </w:tc>
        <w:tc>
          <w:tcPr>
            <w:tcW w:w="6765" w:type="dxa"/>
            <w:gridSpan w:val="2"/>
            <w:vAlign w:val="center"/>
          </w:tcPr>
          <w:p w14:paraId="7D77B74C">
            <w:pPr>
              <w:widowControl/>
              <w:spacing w:line="400" w:lineRule="exact"/>
              <w:ind w:firstLine="420" w:firstLineChars="200"/>
              <w:jc w:val="left"/>
              <w:rPr>
                <w:rFonts w:hint="eastAsia" w:ascii="宋体" w:hAnsi="宋体" w:cs="宋体"/>
                <w:color w:val="auto"/>
                <w:kern w:val="0"/>
                <w:szCs w:val="21"/>
                <w:highlight w:val="none"/>
                <w:lang w:bidi="ar"/>
              </w:rPr>
            </w:pPr>
            <w:r>
              <w:rPr>
                <w:rFonts w:hint="eastAsia" w:ascii="宋体" w:hAnsi="宋体"/>
                <w:color w:val="auto"/>
                <w:kern w:val="0"/>
              </w:rPr>
              <w:t>谈判结束后，谈判小组要求所有继续参加谈判的供应商在规定时间内在线提交最后报价。继续参加谈判的供应商作最后报价（</w:t>
            </w:r>
            <w:r>
              <w:rPr>
                <w:rFonts w:hint="eastAsia" w:ascii="宋体" w:hAnsi="宋体"/>
                <w:b/>
                <w:bCs/>
                <w:color w:val="auto"/>
                <w:kern w:val="0"/>
              </w:rPr>
              <w:t>报价明细表作为附件，请供应商提前做好准备</w:t>
            </w:r>
            <w:r>
              <w:rPr>
                <w:rFonts w:hint="eastAsia" w:ascii="宋体" w:hAnsi="宋体"/>
                <w:color w:val="auto"/>
                <w:kern w:val="0"/>
              </w:rPr>
              <w:t>），由其法定代表人或授权代</w:t>
            </w:r>
            <w:r>
              <w:rPr>
                <w:rFonts w:hint="eastAsia" w:ascii="宋体" w:hAnsi="宋体" w:eastAsia="宋体"/>
                <w:color w:val="auto"/>
                <w:kern w:val="0"/>
              </w:rPr>
              <w:t>表签名或者加盖公章后提交</w:t>
            </w:r>
            <w:r>
              <w:rPr>
                <w:rFonts w:hint="eastAsia" w:ascii="宋体" w:hAnsi="宋体"/>
                <w:color w:val="auto"/>
                <w:kern w:val="0"/>
              </w:rPr>
              <w:t>。</w:t>
            </w:r>
          </w:p>
        </w:tc>
      </w:tr>
    </w:tbl>
    <w:p w14:paraId="5767AE95">
      <w:pPr>
        <w:keepNext w:val="0"/>
        <w:keepLines w:val="0"/>
        <w:pageBreakBefore w:val="0"/>
        <w:kinsoku/>
        <w:wordWrap/>
        <w:overflowPunct/>
        <w:topLinePunct w:val="0"/>
        <w:autoSpaceDE/>
        <w:autoSpaceDN/>
        <w:bidi w:val="0"/>
        <w:adjustRightInd/>
        <w:snapToGrid/>
        <w:spacing w:line="440" w:lineRule="exact"/>
        <w:textAlignment w:val="auto"/>
        <w:rPr>
          <w:color w:val="auto"/>
        </w:rPr>
      </w:pPr>
    </w:p>
    <w:p w14:paraId="39F64387">
      <w:pPr>
        <w:keepNext w:val="0"/>
        <w:keepLines w:val="0"/>
        <w:pageBreakBefore w:val="0"/>
        <w:kinsoku/>
        <w:wordWrap/>
        <w:overflowPunct/>
        <w:topLinePunct w:val="0"/>
        <w:autoSpaceDE/>
        <w:autoSpaceDN/>
        <w:bidi w:val="0"/>
        <w:adjustRightInd/>
        <w:snapToGrid/>
        <w:spacing w:line="440" w:lineRule="exact"/>
        <w:textAlignment w:val="auto"/>
        <w:rPr>
          <w:rFonts w:hint="eastAsia"/>
          <w:color w:val="auto"/>
          <w:lang w:val="en-US" w:eastAsia="zh-CN"/>
        </w:rPr>
      </w:pPr>
    </w:p>
    <w:p w14:paraId="4303AD2D">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color w:val="auto"/>
          <w:lang w:val="en-US" w:eastAsia="zh-CN"/>
        </w:rPr>
      </w:pPr>
    </w:p>
    <w:p w14:paraId="435A780F">
      <w:pPr>
        <w:pStyle w:val="2"/>
        <w:rPr>
          <w:color w:val="auto"/>
        </w:rPr>
      </w:pPr>
    </w:p>
    <w:p w14:paraId="7D848A65">
      <w:pPr>
        <w:rPr>
          <w:color w:val="auto"/>
        </w:rPr>
      </w:pPr>
    </w:p>
    <w:p w14:paraId="087D4A15">
      <w:pPr>
        <w:pStyle w:val="2"/>
        <w:rPr>
          <w:color w:val="auto"/>
        </w:rPr>
      </w:pPr>
    </w:p>
    <w:p w14:paraId="28B62981">
      <w:pPr>
        <w:rPr>
          <w:color w:val="auto"/>
        </w:rPr>
      </w:pPr>
    </w:p>
    <w:p w14:paraId="08B1E7E5">
      <w:pPr>
        <w:pStyle w:val="2"/>
        <w:rPr>
          <w:color w:val="auto"/>
        </w:rPr>
      </w:pPr>
    </w:p>
    <w:p w14:paraId="4B7EC1AB">
      <w:pPr>
        <w:rPr>
          <w:color w:val="auto"/>
        </w:rPr>
      </w:pPr>
    </w:p>
    <w:p w14:paraId="10096F37">
      <w:pPr>
        <w:pStyle w:val="2"/>
        <w:rPr>
          <w:color w:val="auto"/>
        </w:rPr>
      </w:pPr>
    </w:p>
    <w:p w14:paraId="15525979">
      <w:pPr>
        <w:rPr>
          <w:color w:val="auto"/>
        </w:rPr>
      </w:pPr>
    </w:p>
    <w:p w14:paraId="56641BDD">
      <w:pPr>
        <w:pStyle w:val="2"/>
        <w:rPr>
          <w:color w:val="auto"/>
        </w:rPr>
      </w:pPr>
    </w:p>
    <w:p w14:paraId="708A8E5D"/>
    <w:p w14:paraId="5C5D435B">
      <w:pPr>
        <w:rPr>
          <w:color w:val="auto"/>
        </w:rPr>
      </w:pPr>
    </w:p>
    <w:p w14:paraId="4F8BCE36">
      <w:pPr>
        <w:pStyle w:val="2"/>
        <w:rPr>
          <w:color w:val="auto"/>
        </w:rPr>
      </w:pPr>
    </w:p>
    <w:p w14:paraId="2BF34FBF">
      <w:pPr>
        <w:rPr>
          <w:color w:val="auto"/>
        </w:rPr>
      </w:pPr>
    </w:p>
    <w:p w14:paraId="61B4F6D7">
      <w:pPr>
        <w:pStyle w:val="2"/>
        <w:rPr>
          <w:color w:val="auto"/>
        </w:rPr>
      </w:pPr>
    </w:p>
    <w:p w14:paraId="6DDBA9EA">
      <w:pPr>
        <w:rPr>
          <w:color w:val="auto"/>
        </w:rPr>
      </w:pPr>
    </w:p>
    <w:p w14:paraId="7B1ADFBC">
      <w:pPr>
        <w:pStyle w:val="3"/>
        <w:spacing w:line="400" w:lineRule="exact"/>
        <w:rPr>
          <w:rFonts w:ascii="方正小标宋简体" w:eastAsia="方正小标宋简体"/>
          <w:color w:val="auto"/>
        </w:rPr>
      </w:pPr>
      <w:bookmarkStart w:id="40" w:name="_Toc92355025"/>
      <w:r>
        <w:rPr>
          <w:rFonts w:hint="eastAsia" w:ascii="方正小标宋简体" w:eastAsia="方正小标宋简体"/>
          <w:color w:val="auto"/>
        </w:rPr>
        <w:t>第三章  供应商须知</w:t>
      </w:r>
      <w:bookmarkEnd w:id="38"/>
      <w:bookmarkEnd w:id="39"/>
      <w:bookmarkEnd w:id="40"/>
    </w:p>
    <w:p w14:paraId="58536A07">
      <w:pPr>
        <w:jc w:val="center"/>
        <w:rPr>
          <w:color w:val="auto"/>
        </w:rPr>
      </w:pPr>
      <w:bookmarkStart w:id="41" w:name="_Toc357157408"/>
      <w:bookmarkStart w:id="42" w:name="_Toc354479499"/>
      <w:bookmarkStart w:id="43" w:name="_Toc358477281"/>
      <w:bookmarkStart w:id="44" w:name="_Toc350325671"/>
      <w:r>
        <w:rPr>
          <w:rFonts w:ascii="仿宋_GB2312" w:hAnsi="宋体" w:eastAsia="仿宋_GB2312"/>
          <w:b/>
          <w:color w:val="auto"/>
          <w:sz w:val="32"/>
          <w:szCs w:val="32"/>
        </w:rPr>
        <w:br w:type="page"/>
      </w:r>
    </w:p>
    <w:p w14:paraId="329D4BAD">
      <w:pPr>
        <w:jc w:val="center"/>
        <w:rPr>
          <w:rFonts w:hint="eastAsia" w:ascii="黑体" w:hAnsi="黑体" w:eastAsia="黑体"/>
          <w:b/>
          <w:color w:val="auto"/>
          <w:sz w:val="32"/>
          <w:szCs w:val="32"/>
        </w:rPr>
      </w:pPr>
      <w:r>
        <w:rPr>
          <w:rFonts w:hint="eastAsia" w:ascii="黑体" w:hAnsi="黑体" w:eastAsia="黑体"/>
          <w:b/>
          <w:color w:val="auto"/>
          <w:sz w:val="32"/>
          <w:szCs w:val="32"/>
        </w:rPr>
        <w:t>一、供应商须知前附表</w:t>
      </w:r>
    </w:p>
    <w:tbl>
      <w:tblPr>
        <w:tblStyle w:val="37"/>
        <w:tblW w:w="9351" w:type="dxa"/>
        <w:jc w:val="center"/>
        <w:tblLayout w:type="fixed"/>
        <w:tblCellMar>
          <w:top w:w="0" w:type="dxa"/>
          <w:left w:w="108" w:type="dxa"/>
          <w:bottom w:w="0" w:type="dxa"/>
          <w:right w:w="108" w:type="dxa"/>
        </w:tblCellMar>
      </w:tblPr>
      <w:tblGrid>
        <w:gridCol w:w="704"/>
        <w:gridCol w:w="8647"/>
      </w:tblGrid>
      <w:tr w14:paraId="247F186B">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D3CF37D">
            <w:pPr>
              <w:widowControl/>
              <w:spacing w:line="320" w:lineRule="exact"/>
              <w:jc w:val="center"/>
              <w:rPr>
                <w:rFonts w:hint="eastAsia" w:ascii="宋体" w:hAnsi="宋体" w:cs="宋体"/>
                <w:color w:val="auto"/>
                <w:kern w:val="0"/>
                <w:szCs w:val="21"/>
              </w:rPr>
            </w:pPr>
            <w:r>
              <w:rPr>
                <w:rFonts w:hint="eastAsia" w:ascii="宋体" w:hAnsi="宋体" w:cs="宋体"/>
                <w:color w:val="auto"/>
                <w:kern w:val="0"/>
                <w:szCs w:val="21"/>
              </w:rPr>
              <w:t>序号</w:t>
            </w:r>
          </w:p>
        </w:tc>
        <w:tc>
          <w:tcPr>
            <w:tcW w:w="8647" w:type="dxa"/>
            <w:tcBorders>
              <w:top w:val="single" w:color="000000" w:sz="4" w:space="0"/>
              <w:left w:val="nil"/>
              <w:bottom w:val="single" w:color="000000" w:sz="4" w:space="0"/>
              <w:right w:val="single" w:color="000000" w:sz="4" w:space="0"/>
            </w:tcBorders>
            <w:vAlign w:val="center"/>
          </w:tcPr>
          <w:p w14:paraId="20E54738">
            <w:pPr>
              <w:widowControl/>
              <w:spacing w:line="320" w:lineRule="exact"/>
              <w:jc w:val="center"/>
              <w:rPr>
                <w:rFonts w:hint="eastAsia" w:ascii="宋体" w:hAnsi="宋体" w:cs="宋体"/>
                <w:color w:val="auto"/>
                <w:kern w:val="0"/>
                <w:szCs w:val="21"/>
              </w:rPr>
            </w:pPr>
            <w:r>
              <w:rPr>
                <w:rFonts w:hint="eastAsia" w:ascii="宋体" w:hAnsi="宋体" w:cs="宋体"/>
                <w:color w:val="auto"/>
                <w:kern w:val="0"/>
                <w:szCs w:val="21"/>
              </w:rPr>
              <w:t>内    容</w:t>
            </w:r>
          </w:p>
        </w:tc>
      </w:tr>
      <w:tr w14:paraId="2F0ACEF5">
        <w:tblPrEx>
          <w:tblCellMar>
            <w:top w:w="0" w:type="dxa"/>
            <w:left w:w="108" w:type="dxa"/>
            <w:bottom w:w="0" w:type="dxa"/>
            <w:right w:w="108" w:type="dxa"/>
          </w:tblCellMar>
        </w:tblPrEx>
        <w:trPr>
          <w:trHeight w:val="94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4EAECFE">
            <w:pPr>
              <w:widowControl/>
              <w:spacing w:line="440" w:lineRule="exact"/>
              <w:jc w:val="center"/>
              <w:rPr>
                <w:rFonts w:hint="eastAsia" w:ascii="宋体" w:hAnsi="宋体" w:cs="宋体"/>
                <w:color w:val="auto"/>
                <w:kern w:val="0"/>
                <w:szCs w:val="21"/>
              </w:rPr>
            </w:pPr>
            <w:r>
              <w:rPr>
                <w:rFonts w:hint="eastAsia" w:ascii="宋体" w:hAnsi="宋体" w:cs="宋体"/>
                <w:color w:val="auto"/>
                <w:kern w:val="0"/>
                <w:szCs w:val="21"/>
              </w:rPr>
              <w:t>1</w:t>
            </w:r>
          </w:p>
        </w:tc>
        <w:tc>
          <w:tcPr>
            <w:tcW w:w="8647" w:type="dxa"/>
            <w:tcBorders>
              <w:top w:val="single" w:color="000000" w:sz="4" w:space="0"/>
              <w:left w:val="nil"/>
              <w:bottom w:val="single" w:color="000000" w:sz="4" w:space="0"/>
              <w:right w:val="single" w:color="000000" w:sz="4" w:space="0"/>
            </w:tcBorders>
            <w:vAlign w:val="center"/>
          </w:tcPr>
          <w:p w14:paraId="385CA354">
            <w:pPr>
              <w:spacing w:line="440" w:lineRule="exact"/>
              <w:ind w:right="-334" w:rightChars="-159"/>
              <w:rPr>
                <w:rStyle w:val="44"/>
                <w:rFonts w:hint="eastAsia" w:eastAsia="宋体"/>
                <w:color w:val="auto"/>
                <w:szCs w:val="21"/>
                <w:u w:val="none"/>
                <w:lang w:eastAsia="zh-CN"/>
              </w:rPr>
            </w:pPr>
            <w:r>
              <w:rPr>
                <w:rFonts w:ascii="宋体" w:hAnsi="宋体" w:cs="宋体"/>
                <w:color w:val="auto"/>
                <w:kern w:val="0"/>
                <w:szCs w:val="21"/>
              </w:rPr>
              <w:fldChar w:fldCharType="begin"/>
            </w:r>
            <w:r>
              <w:rPr>
                <w:rFonts w:ascii="宋体" w:hAnsi="宋体" w:cs="宋体"/>
                <w:color w:val="auto"/>
                <w:kern w:val="0"/>
                <w:szCs w:val="21"/>
              </w:rPr>
              <w:instrText xml:space="preserve"> </w:instrText>
            </w:r>
            <w:r>
              <w:rPr>
                <w:rFonts w:hint="eastAsia" w:ascii="宋体" w:hAnsi="宋体" w:cs="宋体"/>
                <w:color w:val="auto"/>
                <w:kern w:val="0"/>
                <w:szCs w:val="21"/>
              </w:rPr>
              <w:instrText xml:space="preserve">HYPERLINK </w:instrText>
            </w:r>
            <w:r>
              <w:rPr>
                <w:rFonts w:ascii="宋体" w:hAnsi="宋体" w:cs="宋体"/>
                <w:color w:val="auto"/>
                <w:kern w:val="0"/>
                <w:szCs w:val="21"/>
              </w:rPr>
              <w:instrText xml:space="preserve"> \l "_一、总_则" </w:instrText>
            </w:r>
            <w:r>
              <w:rPr>
                <w:rFonts w:ascii="宋体" w:hAnsi="宋体" w:cs="宋体"/>
                <w:color w:val="auto"/>
                <w:kern w:val="0"/>
                <w:szCs w:val="21"/>
              </w:rPr>
              <w:fldChar w:fldCharType="separate"/>
            </w:r>
            <w:r>
              <w:rPr>
                <w:rStyle w:val="44"/>
                <w:rFonts w:hint="eastAsia" w:ascii="宋体" w:hAnsi="宋体" w:cs="宋体"/>
                <w:color w:val="auto"/>
                <w:kern w:val="0"/>
                <w:szCs w:val="21"/>
                <w:u w:val="none"/>
              </w:rPr>
              <w:t>项目名称：</w:t>
            </w:r>
            <w:r>
              <w:rPr>
                <w:rFonts w:hint="eastAsia"/>
                <w:color w:val="auto"/>
                <w:lang w:eastAsia="zh-CN"/>
              </w:rPr>
              <w:t>2024年浦北县第二中学改善普通高中办学条件教学设备采购项目</w:t>
            </w:r>
          </w:p>
          <w:p w14:paraId="31D64041">
            <w:pPr>
              <w:widowControl/>
              <w:spacing w:line="440" w:lineRule="exact"/>
              <w:rPr>
                <w:rFonts w:hint="eastAsia" w:ascii="宋体" w:hAnsi="宋体" w:eastAsia="宋体"/>
                <w:color w:val="auto"/>
                <w:szCs w:val="21"/>
                <w:lang w:eastAsia="zh-CN"/>
              </w:rPr>
            </w:pPr>
            <w:r>
              <w:rPr>
                <w:rStyle w:val="44"/>
                <w:rFonts w:hint="eastAsia" w:ascii="宋体" w:hAnsi="宋体"/>
                <w:color w:val="auto"/>
                <w:szCs w:val="21"/>
                <w:u w:val="none"/>
              </w:rPr>
              <w:t>项目编号：</w:t>
            </w:r>
            <w:r>
              <w:rPr>
                <w:rFonts w:ascii="宋体" w:hAnsi="宋体" w:cs="宋体"/>
                <w:color w:val="auto"/>
                <w:kern w:val="0"/>
                <w:szCs w:val="21"/>
              </w:rPr>
              <w:fldChar w:fldCharType="end"/>
            </w:r>
            <w:r>
              <w:rPr>
                <w:rFonts w:hint="eastAsia"/>
                <w:color w:val="auto"/>
                <w:lang w:eastAsia="zh-CN"/>
              </w:rPr>
              <w:t xml:space="preserve"> QZZC2025-J1-220001-QZSZ</w:t>
            </w:r>
          </w:p>
        </w:tc>
      </w:tr>
      <w:tr w14:paraId="7D06BB45">
        <w:tblPrEx>
          <w:tblCellMar>
            <w:top w:w="0" w:type="dxa"/>
            <w:left w:w="108" w:type="dxa"/>
            <w:bottom w:w="0" w:type="dxa"/>
            <w:right w:w="108" w:type="dxa"/>
          </w:tblCellMar>
        </w:tblPrEx>
        <w:trPr>
          <w:trHeight w:val="133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B33D65B">
            <w:pPr>
              <w:widowControl/>
              <w:spacing w:line="440" w:lineRule="exact"/>
              <w:jc w:val="center"/>
              <w:rPr>
                <w:rFonts w:hint="eastAsia" w:ascii="宋体" w:hAnsi="宋体" w:cs="宋体"/>
                <w:color w:val="auto"/>
                <w:kern w:val="0"/>
                <w:szCs w:val="21"/>
              </w:rPr>
            </w:pPr>
            <w:r>
              <w:rPr>
                <w:rFonts w:hint="eastAsia" w:ascii="宋体" w:hAnsi="宋体" w:cs="宋体"/>
                <w:color w:val="auto"/>
                <w:kern w:val="0"/>
                <w:szCs w:val="21"/>
              </w:rPr>
              <w:t>2</w:t>
            </w:r>
          </w:p>
        </w:tc>
        <w:tc>
          <w:tcPr>
            <w:tcW w:w="8647" w:type="dxa"/>
            <w:tcBorders>
              <w:top w:val="single" w:color="000000" w:sz="4" w:space="0"/>
              <w:left w:val="nil"/>
              <w:bottom w:val="single" w:color="000000" w:sz="4" w:space="0"/>
              <w:right w:val="single" w:color="000000" w:sz="4" w:space="0"/>
            </w:tcBorders>
            <w:vAlign w:val="center"/>
          </w:tcPr>
          <w:p w14:paraId="5E0BCF6A">
            <w:pPr>
              <w:spacing w:line="440" w:lineRule="exact"/>
              <w:rPr>
                <w:rStyle w:val="44"/>
                <w:rFonts w:hint="eastAsia" w:ascii="宋体" w:hAnsi="宋体"/>
                <w:color w:val="auto"/>
                <w:u w:val="none"/>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HYPERLINK </w:instrText>
            </w:r>
            <w:r>
              <w:rPr>
                <w:rFonts w:ascii="宋体" w:hAnsi="宋体"/>
                <w:color w:val="auto"/>
              </w:rPr>
              <w:instrText xml:space="preserve"> \l "_一、总_则" </w:instrText>
            </w:r>
            <w:r>
              <w:rPr>
                <w:rFonts w:ascii="宋体" w:hAnsi="宋体"/>
                <w:color w:val="auto"/>
              </w:rPr>
              <w:fldChar w:fldCharType="separate"/>
            </w:r>
            <w:r>
              <w:rPr>
                <w:rStyle w:val="44"/>
                <w:rFonts w:hint="eastAsia" w:ascii="宋体" w:hAnsi="宋体"/>
                <w:color w:val="auto"/>
                <w:u w:val="none"/>
              </w:rPr>
              <w:t>供应商资格：</w:t>
            </w:r>
          </w:p>
          <w:p w14:paraId="0EE2BE7F">
            <w:pPr>
              <w:spacing w:line="400" w:lineRule="exact"/>
              <w:ind w:firstLine="420"/>
              <w:rPr>
                <w:b/>
                <w:color w:val="auto"/>
              </w:rPr>
            </w:pPr>
            <w:r>
              <w:rPr>
                <w:rFonts w:ascii="宋体" w:hAnsi="宋体"/>
                <w:color w:val="auto"/>
              </w:rPr>
              <w:fldChar w:fldCharType="end"/>
            </w:r>
            <w:r>
              <w:rPr>
                <w:rFonts w:hint="eastAsia"/>
                <w:color w:val="auto"/>
              </w:rPr>
              <w:t>1.满足《中华人民共和国政府采购法》第二十二条规定</w:t>
            </w:r>
          </w:p>
          <w:p w14:paraId="35F50F15">
            <w:pPr>
              <w:spacing w:line="400" w:lineRule="exact"/>
              <w:ind w:firstLine="420"/>
              <w:rPr>
                <w:color w:val="auto"/>
              </w:rPr>
            </w:pPr>
            <w:r>
              <w:rPr>
                <w:rFonts w:hint="eastAsia"/>
                <w:color w:val="auto"/>
              </w:rPr>
              <w:t>2.落实政府采购政策需满足的资格要求：无 </w:t>
            </w:r>
          </w:p>
          <w:p w14:paraId="78765BD5">
            <w:pPr>
              <w:spacing w:line="400" w:lineRule="exact"/>
              <w:ind w:firstLine="435"/>
              <w:rPr>
                <w:rFonts w:hint="eastAsia" w:ascii="宋体" w:hAnsi="宋体"/>
                <w:color w:val="auto"/>
              </w:rPr>
            </w:pPr>
            <w:r>
              <w:rPr>
                <w:rFonts w:hint="eastAsia"/>
                <w:color w:val="auto"/>
              </w:rPr>
              <w:t>3.本项目的特定资格要求：无</w:t>
            </w:r>
          </w:p>
        </w:tc>
      </w:tr>
      <w:tr w14:paraId="284E1340">
        <w:tblPrEx>
          <w:tblCellMar>
            <w:top w:w="0" w:type="dxa"/>
            <w:left w:w="108" w:type="dxa"/>
            <w:bottom w:w="0" w:type="dxa"/>
            <w:right w:w="108" w:type="dxa"/>
          </w:tblCellMar>
        </w:tblPrEx>
        <w:trPr>
          <w:trHeight w:val="95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C845682">
            <w:pPr>
              <w:widowControl/>
              <w:spacing w:line="440" w:lineRule="exact"/>
              <w:jc w:val="center"/>
              <w:rPr>
                <w:rFonts w:hint="eastAsia" w:ascii="宋体" w:hAnsi="宋体" w:cs="宋体"/>
                <w:color w:val="auto"/>
                <w:kern w:val="0"/>
                <w:szCs w:val="21"/>
              </w:rPr>
            </w:pPr>
            <w:r>
              <w:rPr>
                <w:rFonts w:ascii="宋体" w:hAnsi="宋体" w:cs="宋体"/>
                <w:color w:val="auto"/>
                <w:kern w:val="0"/>
                <w:szCs w:val="21"/>
              </w:rPr>
              <w:t>3</w:t>
            </w:r>
          </w:p>
        </w:tc>
        <w:tc>
          <w:tcPr>
            <w:tcW w:w="8647" w:type="dxa"/>
            <w:tcBorders>
              <w:top w:val="single" w:color="000000" w:sz="4" w:space="0"/>
              <w:left w:val="nil"/>
              <w:bottom w:val="single" w:color="000000" w:sz="4" w:space="0"/>
              <w:right w:val="single" w:color="000000" w:sz="4" w:space="0"/>
            </w:tcBorders>
            <w:vAlign w:val="center"/>
          </w:tcPr>
          <w:p w14:paraId="5FC486DA">
            <w:pPr>
              <w:spacing w:line="440" w:lineRule="exact"/>
              <w:rPr>
                <w:rFonts w:hint="eastAsia" w:ascii="宋体" w:hAnsi="宋体"/>
                <w:color w:val="auto"/>
              </w:rPr>
            </w:pPr>
            <w:r>
              <w:rPr>
                <w:color w:val="auto"/>
              </w:rPr>
              <w:fldChar w:fldCharType="begin"/>
            </w:r>
            <w:r>
              <w:rPr>
                <w:color w:val="auto"/>
              </w:rPr>
              <w:instrText xml:space="preserve"> HYPERLINK \l "_（五）报价" </w:instrText>
            </w:r>
            <w:r>
              <w:rPr>
                <w:color w:val="auto"/>
              </w:rPr>
              <w:fldChar w:fldCharType="separate"/>
            </w:r>
            <w:r>
              <w:rPr>
                <w:rStyle w:val="44"/>
                <w:rFonts w:hint="eastAsia" w:ascii="宋体" w:hAnsi="宋体" w:cs="宋体"/>
                <w:color w:val="auto"/>
                <w:kern w:val="0"/>
                <w:szCs w:val="21"/>
                <w:u w:val="none"/>
              </w:rPr>
              <w:t>报价：供应商的报价必须按采购文件或广西政府采购云平台规定的格式填写，并在规定时间内提交最后报价。</w:t>
            </w:r>
            <w:r>
              <w:rPr>
                <w:rStyle w:val="44"/>
                <w:rFonts w:hint="eastAsia" w:ascii="宋体" w:hAnsi="宋体" w:cs="宋体"/>
                <w:color w:val="auto"/>
                <w:kern w:val="0"/>
                <w:szCs w:val="21"/>
                <w:u w:val="none"/>
              </w:rPr>
              <w:fldChar w:fldCharType="end"/>
            </w:r>
          </w:p>
        </w:tc>
      </w:tr>
      <w:tr w14:paraId="041B427B">
        <w:tblPrEx>
          <w:tblCellMar>
            <w:top w:w="0" w:type="dxa"/>
            <w:left w:w="108" w:type="dxa"/>
            <w:bottom w:w="0" w:type="dxa"/>
            <w:right w:w="108" w:type="dxa"/>
          </w:tblCellMar>
        </w:tblPrEx>
        <w:trPr>
          <w:trHeight w:val="196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B035943">
            <w:pPr>
              <w:widowControl/>
              <w:spacing w:line="440" w:lineRule="exact"/>
              <w:jc w:val="center"/>
              <w:rPr>
                <w:rFonts w:hint="eastAsia" w:ascii="宋体" w:hAnsi="宋体" w:cs="宋体"/>
                <w:color w:val="auto"/>
                <w:kern w:val="0"/>
                <w:szCs w:val="21"/>
              </w:rPr>
            </w:pPr>
            <w:r>
              <w:rPr>
                <w:rFonts w:hint="eastAsia" w:ascii="宋体" w:hAnsi="宋体" w:cs="宋体"/>
                <w:color w:val="auto"/>
                <w:kern w:val="0"/>
                <w:szCs w:val="21"/>
              </w:rPr>
              <w:t>4</w:t>
            </w:r>
          </w:p>
        </w:tc>
        <w:tc>
          <w:tcPr>
            <w:tcW w:w="8647" w:type="dxa"/>
            <w:tcBorders>
              <w:top w:val="single" w:color="000000" w:sz="4" w:space="0"/>
              <w:left w:val="nil"/>
              <w:bottom w:val="single" w:color="000000" w:sz="4" w:space="0"/>
              <w:right w:val="single" w:color="000000" w:sz="4" w:space="0"/>
            </w:tcBorders>
            <w:vAlign w:val="center"/>
          </w:tcPr>
          <w:p w14:paraId="13C835AB">
            <w:pPr>
              <w:widowControl/>
              <w:spacing w:line="440" w:lineRule="exact"/>
              <w:rPr>
                <w:rStyle w:val="44"/>
                <w:rFonts w:hint="eastAsia" w:ascii="宋体" w:hAnsi="宋体"/>
                <w:color w:val="auto"/>
                <w:szCs w:val="21"/>
                <w:u w:val="none"/>
              </w:rPr>
            </w:pPr>
            <w:r>
              <w:rPr>
                <w:rFonts w:ascii="宋体" w:hAnsi="宋体" w:cs="宋体"/>
                <w:color w:val="auto"/>
                <w:kern w:val="0"/>
                <w:szCs w:val="21"/>
              </w:rPr>
              <w:fldChar w:fldCharType="begin"/>
            </w:r>
            <w:r>
              <w:rPr>
                <w:rFonts w:ascii="宋体" w:hAnsi="宋体" w:cs="宋体"/>
                <w:color w:val="auto"/>
                <w:kern w:val="0"/>
                <w:szCs w:val="21"/>
              </w:rPr>
              <w:instrText xml:space="preserve"> </w:instrText>
            </w:r>
            <w:r>
              <w:rPr>
                <w:rFonts w:hint="eastAsia" w:ascii="宋体" w:hAnsi="宋体" w:cs="宋体"/>
                <w:color w:val="auto"/>
                <w:kern w:val="0"/>
                <w:szCs w:val="21"/>
              </w:rPr>
              <w:instrText xml:space="preserve">HYPERLINK </w:instrText>
            </w:r>
            <w:r>
              <w:rPr>
                <w:rFonts w:ascii="宋体" w:hAnsi="宋体" w:cs="宋体"/>
                <w:color w:val="auto"/>
                <w:kern w:val="0"/>
                <w:szCs w:val="21"/>
              </w:rPr>
              <w:instrText xml:space="preserve"> \l "_四、响应文件开启" </w:instrText>
            </w:r>
            <w:r>
              <w:rPr>
                <w:rFonts w:ascii="宋体" w:hAnsi="宋体" w:cs="宋体"/>
                <w:color w:val="auto"/>
                <w:kern w:val="0"/>
                <w:szCs w:val="21"/>
              </w:rPr>
              <w:fldChar w:fldCharType="separate"/>
            </w:r>
            <w:r>
              <w:rPr>
                <w:rStyle w:val="44"/>
                <w:rFonts w:hint="eastAsia" w:ascii="宋体" w:hAnsi="宋体" w:cs="宋体"/>
                <w:color w:val="auto"/>
                <w:kern w:val="0"/>
                <w:szCs w:val="21"/>
                <w:u w:val="none"/>
              </w:rPr>
              <w:t>响应文件提交截止时间及开启时间：</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1</w:t>
            </w:r>
            <w:r>
              <w:rPr>
                <w:rFonts w:hint="eastAsia" w:ascii="宋体" w:hAnsi="宋体"/>
                <w:bCs/>
                <w:color w:val="auto"/>
                <w:szCs w:val="21"/>
              </w:rPr>
              <w:t>月</w:t>
            </w:r>
            <w:r>
              <w:rPr>
                <w:rFonts w:hint="eastAsia" w:ascii="宋体" w:hAnsi="宋体"/>
                <w:bCs/>
                <w:color w:val="auto"/>
                <w:szCs w:val="21"/>
                <w:lang w:val="en-US" w:eastAsia="zh-CN"/>
              </w:rPr>
              <w:t>17</w:t>
            </w:r>
            <w:r>
              <w:rPr>
                <w:rFonts w:hint="eastAsia" w:ascii="宋体" w:hAnsi="宋体"/>
                <w:bCs/>
                <w:color w:val="auto"/>
                <w:szCs w:val="21"/>
              </w:rPr>
              <w:t>日</w:t>
            </w:r>
            <w:r>
              <w:rPr>
                <w:rFonts w:hint="eastAsia"/>
                <w:color w:val="auto"/>
                <w:lang w:val="en-US" w:eastAsia="zh-CN"/>
              </w:rPr>
              <w:t>10</w:t>
            </w:r>
            <w:r>
              <w:rPr>
                <w:color w:val="auto"/>
              </w:rPr>
              <w:t>:</w:t>
            </w:r>
            <w:r>
              <w:rPr>
                <w:rFonts w:hint="eastAsia"/>
                <w:color w:val="auto"/>
                <w:lang w:val="en-US" w:eastAsia="zh-CN"/>
              </w:rPr>
              <w:t>0</w:t>
            </w:r>
            <w:r>
              <w:rPr>
                <w:rFonts w:hint="eastAsia"/>
                <w:color w:val="auto"/>
              </w:rPr>
              <w:t>0（北京时间）</w:t>
            </w:r>
          </w:p>
          <w:p w14:paraId="1302E258">
            <w:pPr>
              <w:widowControl/>
              <w:spacing w:line="440" w:lineRule="exact"/>
              <w:rPr>
                <w:color w:val="auto"/>
              </w:rPr>
            </w:pPr>
            <w:r>
              <w:rPr>
                <w:rStyle w:val="44"/>
                <w:rFonts w:hint="eastAsia"/>
                <w:b/>
                <w:color w:val="auto"/>
                <w:szCs w:val="21"/>
                <w:u w:val="none"/>
              </w:rPr>
              <w:t>注意事项：</w:t>
            </w:r>
            <w:r>
              <w:rPr>
                <w:rStyle w:val="44"/>
                <w:rFonts w:hint="eastAsia"/>
                <w:bCs/>
                <w:color w:val="auto"/>
                <w:u w:val="none"/>
              </w:rPr>
              <w:t>供应商法定代表人或委托代理人须按时登录广西政采云远程开标大厅，保持全程在线并关注评审谈判进度，评审期间谈判小组提出澄清等要求时，供应商须在规定时间内进行在线应答，否则按采购文件或广西政采云平台的相关规定执行。</w:t>
            </w:r>
            <w:r>
              <w:rPr>
                <w:rFonts w:ascii="宋体" w:hAnsi="宋体" w:cs="宋体"/>
                <w:color w:val="auto"/>
                <w:kern w:val="0"/>
                <w:szCs w:val="21"/>
              </w:rPr>
              <w:fldChar w:fldCharType="end"/>
            </w:r>
          </w:p>
        </w:tc>
      </w:tr>
      <w:tr w14:paraId="39149A0A">
        <w:tblPrEx>
          <w:tblCellMar>
            <w:top w:w="0" w:type="dxa"/>
            <w:left w:w="108" w:type="dxa"/>
            <w:bottom w:w="0" w:type="dxa"/>
            <w:right w:w="108" w:type="dxa"/>
          </w:tblCellMar>
        </w:tblPrEx>
        <w:trPr>
          <w:trHeight w:val="140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C78C67D">
            <w:pPr>
              <w:widowControl/>
              <w:spacing w:line="440" w:lineRule="exact"/>
              <w:jc w:val="center"/>
              <w:rPr>
                <w:rFonts w:hint="eastAsia" w:ascii="宋体" w:hAnsi="宋体" w:cs="宋体"/>
                <w:color w:val="auto"/>
                <w:kern w:val="0"/>
                <w:szCs w:val="21"/>
              </w:rPr>
            </w:pPr>
            <w:r>
              <w:rPr>
                <w:rFonts w:hint="eastAsia" w:ascii="宋体" w:hAnsi="宋体" w:cs="宋体"/>
                <w:color w:val="auto"/>
                <w:kern w:val="0"/>
                <w:szCs w:val="21"/>
              </w:rPr>
              <w:t>5</w:t>
            </w:r>
          </w:p>
        </w:tc>
        <w:tc>
          <w:tcPr>
            <w:tcW w:w="8647" w:type="dxa"/>
            <w:tcBorders>
              <w:top w:val="single" w:color="000000" w:sz="4" w:space="0"/>
              <w:left w:val="nil"/>
              <w:bottom w:val="single" w:color="000000" w:sz="4" w:space="0"/>
              <w:right w:val="single" w:color="000000" w:sz="4" w:space="0"/>
            </w:tcBorders>
            <w:vAlign w:val="center"/>
          </w:tcPr>
          <w:p w14:paraId="465C29DC">
            <w:pPr>
              <w:spacing w:line="440" w:lineRule="exact"/>
              <w:rPr>
                <w:rStyle w:val="44"/>
                <w:color w:val="auto"/>
                <w:u w:val="none"/>
              </w:rPr>
            </w:pPr>
            <w:r>
              <w:rPr>
                <w:color w:val="auto"/>
              </w:rPr>
              <w:fldChar w:fldCharType="begin"/>
            </w:r>
            <w:r>
              <w:rPr>
                <w:color w:val="auto"/>
              </w:rPr>
              <w:instrText xml:space="preserve"> </w:instrText>
            </w:r>
            <w:r>
              <w:rPr>
                <w:rFonts w:hint="eastAsia"/>
                <w:color w:val="auto"/>
              </w:rPr>
              <w:instrText xml:space="preserve">HYPERLINK </w:instrText>
            </w:r>
            <w:r>
              <w:rPr>
                <w:color w:val="auto"/>
              </w:rPr>
              <w:instrText xml:space="preserve"> \l "</w:instrText>
            </w:r>
            <w:r>
              <w:rPr>
                <w:rFonts w:hint="eastAsia"/>
                <w:color w:val="auto"/>
              </w:rPr>
              <w:instrText xml:space="preserve">_五、评审与谈判</w:instrText>
            </w:r>
            <w:r>
              <w:rPr>
                <w:color w:val="auto"/>
              </w:rPr>
              <w:instrText xml:space="preserve">" </w:instrText>
            </w:r>
            <w:r>
              <w:rPr>
                <w:color w:val="auto"/>
              </w:rPr>
              <w:fldChar w:fldCharType="separate"/>
            </w:r>
            <w:r>
              <w:rPr>
                <w:rStyle w:val="44"/>
                <w:color w:val="auto"/>
                <w:u w:val="none"/>
              </w:rPr>
              <w:t>评审及谈判：</w:t>
            </w:r>
          </w:p>
          <w:p w14:paraId="41BC6B77">
            <w:pPr>
              <w:spacing w:line="440" w:lineRule="exact"/>
              <w:rPr>
                <w:color w:val="auto"/>
              </w:rPr>
            </w:pPr>
            <w:r>
              <w:rPr>
                <w:rStyle w:val="44"/>
                <w:rFonts w:hint="eastAsia"/>
                <w:color w:val="auto"/>
                <w:u w:val="none"/>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w:t>
            </w:r>
            <w:r>
              <w:rPr>
                <w:color w:val="auto"/>
              </w:rPr>
              <w:fldChar w:fldCharType="end"/>
            </w:r>
          </w:p>
        </w:tc>
      </w:tr>
      <w:tr w14:paraId="18119071">
        <w:tblPrEx>
          <w:tblCellMar>
            <w:top w:w="0" w:type="dxa"/>
            <w:left w:w="108" w:type="dxa"/>
            <w:bottom w:w="0" w:type="dxa"/>
            <w:right w:w="108" w:type="dxa"/>
          </w:tblCellMar>
        </w:tblPrEx>
        <w:trPr>
          <w:trHeight w:val="74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5EB145D">
            <w:pPr>
              <w:widowControl/>
              <w:spacing w:line="440" w:lineRule="exact"/>
              <w:jc w:val="center"/>
              <w:rPr>
                <w:rFonts w:hint="eastAsia" w:ascii="宋体" w:hAnsi="宋体" w:cs="宋体"/>
                <w:color w:val="auto"/>
                <w:kern w:val="0"/>
                <w:szCs w:val="21"/>
              </w:rPr>
            </w:pPr>
            <w:r>
              <w:rPr>
                <w:rFonts w:hint="eastAsia" w:ascii="宋体" w:hAnsi="宋体" w:cs="宋体"/>
                <w:color w:val="auto"/>
                <w:kern w:val="0"/>
                <w:szCs w:val="21"/>
              </w:rPr>
              <w:t>6</w:t>
            </w:r>
          </w:p>
        </w:tc>
        <w:tc>
          <w:tcPr>
            <w:tcW w:w="8647" w:type="dxa"/>
            <w:tcBorders>
              <w:top w:val="single" w:color="000000" w:sz="4" w:space="0"/>
              <w:left w:val="nil"/>
              <w:bottom w:val="single" w:color="000000" w:sz="4" w:space="0"/>
              <w:right w:val="single" w:color="000000" w:sz="4" w:space="0"/>
            </w:tcBorders>
            <w:vAlign w:val="center"/>
          </w:tcPr>
          <w:p w14:paraId="3F611DB9">
            <w:pPr>
              <w:widowControl/>
              <w:spacing w:line="440" w:lineRule="exact"/>
              <w:rPr>
                <w:rFonts w:hint="eastAsia" w:ascii="宋体" w:hAnsi="宋体" w:cs="宋体"/>
                <w:color w:val="auto"/>
                <w:kern w:val="0"/>
                <w:szCs w:val="21"/>
              </w:rPr>
            </w:pPr>
            <w:r>
              <w:rPr>
                <w:color w:val="auto"/>
              </w:rPr>
              <w:fldChar w:fldCharType="begin"/>
            </w:r>
            <w:r>
              <w:rPr>
                <w:color w:val="auto"/>
              </w:rPr>
              <w:instrText xml:space="preserve"> HYPERLINK \l "_第四章__评定标准及推荐原则" </w:instrText>
            </w:r>
            <w:r>
              <w:rPr>
                <w:color w:val="auto"/>
              </w:rPr>
              <w:fldChar w:fldCharType="separate"/>
            </w:r>
            <w:r>
              <w:rPr>
                <w:rStyle w:val="44"/>
                <w:rFonts w:hint="eastAsia" w:ascii="宋体" w:hAnsi="宋体" w:cs="宋体"/>
                <w:color w:val="auto"/>
                <w:kern w:val="0"/>
                <w:szCs w:val="21"/>
                <w:u w:val="none"/>
              </w:rPr>
              <w:t>评定方法：</w:t>
            </w:r>
            <w:r>
              <w:rPr>
                <w:rStyle w:val="44"/>
                <w:rFonts w:hint="eastAsia"/>
                <w:color w:val="auto"/>
                <w:u w:val="none"/>
              </w:rPr>
              <w:t>详见第四章《评定标准及推荐原则》。</w:t>
            </w:r>
            <w:r>
              <w:rPr>
                <w:rStyle w:val="44"/>
                <w:rFonts w:hint="eastAsia"/>
                <w:color w:val="auto"/>
                <w:u w:val="none"/>
              </w:rPr>
              <w:fldChar w:fldCharType="end"/>
            </w:r>
          </w:p>
        </w:tc>
      </w:tr>
      <w:tr w14:paraId="13D92D75">
        <w:tblPrEx>
          <w:tblCellMar>
            <w:top w:w="0" w:type="dxa"/>
            <w:left w:w="108" w:type="dxa"/>
            <w:bottom w:w="0" w:type="dxa"/>
            <w:right w:w="108" w:type="dxa"/>
          </w:tblCellMar>
        </w:tblPrEx>
        <w:trPr>
          <w:trHeight w:val="10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88891A0">
            <w:pPr>
              <w:widowControl/>
              <w:spacing w:line="440" w:lineRule="exact"/>
              <w:jc w:val="center"/>
              <w:rPr>
                <w:rFonts w:hint="eastAsia" w:ascii="宋体" w:hAnsi="宋体" w:cs="宋体"/>
                <w:color w:val="auto"/>
                <w:kern w:val="0"/>
                <w:szCs w:val="21"/>
              </w:rPr>
            </w:pPr>
            <w:r>
              <w:rPr>
                <w:rFonts w:hint="eastAsia" w:ascii="宋体" w:hAnsi="宋体" w:cs="宋体"/>
                <w:color w:val="auto"/>
                <w:kern w:val="0"/>
                <w:szCs w:val="21"/>
              </w:rPr>
              <w:t>7</w:t>
            </w:r>
          </w:p>
        </w:tc>
        <w:tc>
          <w:tcPr>
            <w:tcW w:w="8647" w:type="dxa"/>
            <w:tcBorders>
              <w:top w:val="single" w:color="000000" w:sz="4" w:space="0"/>
              <w:left w:val="nil"/>
              <w:bottom w:val="single" w:color="000000" w:sz="4" w:space="0"/>
              <w:right w:val="single" w:color="000000" w:sz="4" w:space="0"/>
            </w:tcBorders>
            <w:vAlign w:val="center"/>
          </w:tcPr>
          <w:p w14:paraId="34769F36">
            <w:pPr>
              <w:widowControl/>
              <w:spacing w:line="440" w:lineRule="exact"/>
              <w:rPr>
                <w:rFonts w:hint="eastAsia" w:ascii="宋体" w:hAnsi="宋体" w:cs="宋体"/>
                <w:color w:val="auto"/>
                <w:kern w:val="0"/>
                <w:szCs w:val="21"/>
              </w:rPr>
            </w:pPr>
            <w:r>
              <w:rPr>
                <w:color w:val="auto"/>
              </w:rPr>
              <w:fldChar w:fldCharType="begin"/>
            </w:r>
            <w:r>
              <w:rPr>
                <w:color w:val="auto"/>
              </w:rPr>
              <w:instrText xml:space="preserve"> HYPERLINK \l "_十、其他事项" </w:instrText>
            </w:r>
            <w:r>
              <w:rPr>
                <w:color w:val="auto"/>
              </w:rPr>
              <w:fldChar w:fldCharType="separate"/>
            </w:r>
            <w:r>
              <w:rPr>
                <w:rStyle w:val="44"/>
                <w:rFonts w:hint="eastAsia" w:ascii="宋体" w:hAnsi="宋体" w:cs="宋体"/>
                <w:color w:val="auto"/>
                <w:kern w:val="0"/>
                <w:szCs w:val="21"/>
                <w:u w:val="none"/>
              </w:rPr>
              <w:t>代理服务费：按钦州市物价局“钦市价费﹝2013﹞4号”文件，以差额定率累进法计算。成交供应商须按成交金额缴纳相应的代理服务费。</w:t>
            </w:r>
            <w:r>
              <w:rPr>
                <w:rStyle w:val="44"/>
                <w:rFonts w:hint="eastAsia" w:ascii="宋体" w:hAnsi="宋体" w:cs="宋体"/>
                <w:color w:val="auto"/>
                <w:kern w:val="0"/>
                <w:szCs w:val="21"/>
                <w:u w:val="none"/>
              </w:rPr>
              <w:fldChar w:fldCharType="end"/>
            </w:r>
          </w:p>
        </w:tc>
      </w:tr>
    </w:tbl>
    <w:p w14:paraId="42CD7FC2">
      <w:pPr>
        <w:pStyle w:val="4"/>
        <w:jc w:val="center"/>
        <w:rPr>
          <w:color w:val="auto"/>
        </w:rPr>
      </w:pPr>
      <w:bookmarkStart w:id="45" w:name="_Toc420505403"/>
      <w:r>
        <w:rPr>
          <w:color w:val="auto"/>
        </w:rPr>
        <w:br w:type="page"/>
      </w:r>
    </w:p>
    <w:p w14:paraId="5904EC2E">
      <w:pPr>
        <w:jc w:val="center"/>
        <w:rPr>
          <w:rFonts w:hint="eastAsia" w:ascii="黑体" w:hAnsi="黑体" w:eastAsia="黑体"/>
          <w:b/>
          <w:bCs/>
          <w:color w:val="auto"/>
          <w:sz w:val="32"/>
          <w:szCs w:val="32"/>
        </w:rPr>
      </w:pPr>
      <w:r>
        <w:rPr>
          <w:rFonts w:hint="eastAsia" w:ascii="黑体" w:hAnsi="黑体" w:eastAsia="黑体"/>
          <w:b/>
          <w:bCs/>
          <w:color w:val="auto"/>
          <w:sz w:val="32"/>
          <w:szCs w:val="32"/>
        </w:rPr>
        <w:t>二、供应商须知</w:t>
      </w:r>
      <w:bookmarkEnd w:id="45"/>
    </w:p>
    <w:p w14:paraId="6D647280">
      <w:pPr>
        <w:pStyle w:val="4"/>
        <w:spacing w:line="420" w:lineRule="exact"/>
        <w:rPr>
          <w:color w:val="auto"/>
        </w:rPr>
      </w:pPr>
      <w:bookmarkStart w:id="46" w:name="_一、总_则"/>
      <w:bookmarkEnd w:id="46"/>
      <w:r>
        <w:rPr>
          <w:rFonts w:hint="eastAsia"/>
          <w:color w:val="auto"/>
        </w:rPr>
        <w:t>一、总　则</w:t>
      </w:r>
    </w:p>
    <w:p w14:paraId="5CE2E73C">
      <w:pPr>
        <w:spacing w:line="420" w:lineRule="exact"/>
        <w:ind w:firstLine="210" w:firstLineChars="100"/>
        <w:rPr>
          <w:rFonts w:hint="eastAsia" w:ascii="宋体" w:hAnsi="宋体"/>
          <w:color w:val="auto"/>
          <w:szCs w:val="21"/>
        </w:rPr>
      </w:pPr>
      <w:r>
        <w:rPr>
          <w:rFonts w:hint="eastAsia" w:ascii="宋体" w:hAnsi="宋体"/>
          <w:color w:val="auto"/>
          <w:szCs w:val="21"/>
        </w:rPr>
        <w:t>（一）适用范围</w:t>
      </w:r>
    </w:p>
    <w:p w14:paraId="2784F444">
      <w:pPr>
        <w:spacing w:line="420" w:lineRule="exact"/>
        <w:ind w:right="-334" w:rightChars="-159" w:firstLine="420"/>
        <w:rPr>
          <w:rFonts w:hint="eastAsia" w:hAnsi="宋体" w:eastAsia="宋体"/>
          <w:color w:val="auto"/>
          <w:lang w:eastAsia="zh-CN"/>
        </w:rPr>
      </w:pPr>
      <w:r>
        <w:rPr>
          <w:rFonts w:hAnsi="宋体"/>
          <w:color w:val="auto"/>
        </w:rPr>
        <w:t>1.</w:t>
      </w:r>
      <w:r>
        <w:rPr>
          <w:rFonts w:hint="eastAsia" w:hAnsi="宋体"/>
          <w:color w:val="auto"/>
        </w:rPr>
        <w:t>项目名称：</w:t>
      </w:r>
      <w:r>
        <w:rPr>
          <w:rFonts w:hint="eastAsia"/>
          <w:color w:val="auto"/>
          <w:lang w:eastAsia="zh-CN"/>
        </w:rPr>
        <w:t>2024年浦北县第二中学改善普通高中办学条件教学设备采购项目</w:t>
      </w:r>
    </w:p>
    <w:p w14:paraId="69BC0013">
      <w:pPr>
        <w:spacing w:line="420" w:lineRule="exact"/>
        <w:ind w:right="-334" w:rightChars="-159" w:firstLine="420"/>
        <w:rPr>
          <w:rFonts w:hint="eastAsia" w:hAnsi="宋体" w:eastAsia="宋体"/>
          <w:color w:val="auto"/>
          <w:lang w:eastAsia="zh-CN"/>
        </w:rPr>
      </w:pPr>
      <w:r>
        <w:rPr>
          <w:rFonts w:hAnsi="宋体"/>
          <w:color w:val="auto"/>
        </w:rPr>
        <w:t>2</w:t>
      </w:r>
      <w:r>
        <w:rPr>
          <w:rFonts w:hint="eastAsia" w:hAnsi="宋体"/>
          <w:color w:val="auto"/>
        </w:rPr>
        <w:t>.项目编号：</w:t>
      </w:r>
      <w:r>
        <w:rPr>
          <w:rFonts w:hint="eastAsia" w:hAnsi="宋体"/>
          <w:color w:val="auto"/>
          <w:lang w:eastAsia="zh-CN"/>
        </w:rPr>
        <w:t xml:space="preserve"> QZZC2025-J1-220001-QZSZ</w:t>
      </w:r>
    </w:p>
    <w:p w14:paraId="6DAA39BB">
      <w:pPr>
        <w:spacing w:line="420" w:lineRule="exact"/>
        <w:ind w:right="-334" w:rightChars="-159" w:firstLine="420"/>
        <w:rPr>
          <w:color w:val="auto"/>
          <w:szCs w:val="21"/>
        </w:rPr>
      </w:pPr>
      <w:r>
        <w:rPr>
          <w:rFonts w:hint="eastAsia" w:hAnsi="宋体"/>
          <w:color w:val="auto"/>
        </w:rPr>
        <w:t>本文件仅适用于本文件中所叙述的货物、服务类政府采购项目。</w:t>
      </w:r>
    </w:p>
    <w:p w14:paraId="4F0AA294">
      <w:pPr>
        <w:spacing w:line="420" w:lineRule="exact"/>
        <w:ind w:firstLine="210" w:firstLineChars="100"/>
        <w:rPr>
          <w:rFonts w:hint="eastAsia" w:ascii="宋体" w:hAnsi="宋体"/>
          <w:color w:val="auto"/>
          <w:szCs w:val="21"/>
        </w:rPr>
      </w:pPr>
      <w:r>
        <w:rPr>
          <w:rFonts w:hint="eastAsia" w:ascii="宋体" w:hAnsi="宋体"/>
          <w:color w:val="auto"/>
          <w:szCs w:val="21"/>
        </w:rPr>
        <w:t>（二）定义</w:t>
      </w:r>
    </w:p>
    <w:p w14:paraId="0F75ABD6">
      <w:pPr>
        <w:spacing w:line="420" w:lineRule="exact"/>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采购人</w:t>
      </w:r>
      <w:r>
        <w:rPr>
          <w:rFonts w:hint="eastAsia" w:ascii="宋体" w:hAnsi="宋体"/>
          <w:color w:val="auto"/>
          <w:szCs w:val="21"/>
        </w:rPr>
        <w:t>”</w:t>
      </w:r>
      <w:r>
        <w:rPr>
          <w:rFonts w:ascii="宋体" w:hAnsi="宋体"/>
          <w:color w:val="auto"/>
          <w:szCs w:val="21"/>
        </w:rPr>
        <w:t>是指依法进行政府采购的国家机关、事业单位、团体组织。</w:t>
      </w:r>
    </w:p>
    <w:p w14:paraId="5C5C51CB">
      <w:pPr>
        <w:spacing w:line="420" w:lineRule="exact"/>
        <w:ind w:firstLine="420" w:firstLineChars="200"/>
        <w:rPr>
          <w:rFonts w:hint="eastAsia" w:ascii="宋体" w:hAnsi="宋体"/>
          <w:color w:val="auto"/>
          <w:szCs w:val="21"/>
        </w:rPr>
      </w:pPr>
      <w:r>
        <w:rPr>
          <w:rFonts w:hint="eastAsia" w:ascii="宋体" w:hAnsi="宋体"/>
          <w:color w:val="auto"/>
          <w:szCs w:val="21"/>
        </w:rPr>
        <w:t>2.“供应商”是指响应本文件要求，参加谈判的法人或其他组织。如果该供应商在本次采购项目中成交,即成为“成交供应商”。</w:t>
      </w:r>
    </w:p>
    <w:p w14:paraId="1A2B6A9A">
      <w:pPr>
        <w:spacing w:line="420" w:lineRule="exact"/>
        <w:ind w:firstLine="420" w:firstLineChars="200"/>
        <w:rPr>
          <w:rFonts w:hint="eastAsia"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“采购代理机构”是指</w:t>
      </w:r>
      <w:r>
        <w:rPr>
          <w:rFonts w:hint="eastAsia" w:ascii="宋体" w:hAnsi="宋体"/>
          <w:color w:val="auto"/>
        </w:rPr>
        <w:t>钦州市政府采购中心。</w:t>
      </w:r>
    </w:p>
    <w:p w14:paraId="29554F0A">
      <w:pPr>
        <w:spacing w:line="420" w:lineRule="exact"/>
        <w:ind w:firstLine="420" w:firstLineChars="200"/>
        <w:rPr>
          <w:rFonts w:hint="eastAsia"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“货物和服务”是指本次采购文件中所采购的各种形态和种类的产品以及其提供的服务。</w:t>
      </w:r>
    </w:p>
    <w:p w14:paraId="26C42BEC">
      <w:pPr>
        <w:spacing w:line="420" w:lineRule="exact"/>
        <w:ind w:firstLine="420" w:firstLineChars="200"/>
        <w:rPr>
          <w:rFonts w:hint="eastAsia"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“竞争性谈判采购文件”是指采用竞争性谈判方式进行政府采购的指导文件，简称“谈判文件”或“采购文件”。</w:t>
      </w:r>
    </w:p>
    <w:p w14:paraId="5ECD8C3C">
      <w:pPr>
        <w:spacing w:line="420" w:lineRule="exact"/>
        <w:ind w:firstLine="420" w:firstLineChars="200"/>
        <w:rPr>
          <w:rFonts w:hint="eastAsia" w:ascii="宋体" w:hAnsi="宋体"/>
          <w:color w:val="auto"/>
          <w:szCs w:val="21"/>
        </w:rPr>
      </w:pPr>
      <w:r>
        <w:rPr>
          <w:rFonts w:ascii="宋体" w:hAnsi="宋体"/>
          <w:color w:val="auto"/>
          <w:szCs w:val="21"/>
        </w:rPr>
        <w:t>6.</w:t>
      </w:r>
      <w:r>
        <w:rPr>
          <w:rFonts w:hint="eastAsia" w:ascii="宋体" w:hAnsi="宋体"/>
          <w:color w:val="auto"/>
          <w:szCs w:val="21"/>
        </w:rPr>
        <w:t>“响应文件”是指供应商根据采购文件要求，编制包含技术、服务和报价等所有内容的响应文件。</w:t>
      </w:r>
    </w:p>
    <w:p w14:paraId="1F0775DA">
      <w:pPr>
        <w:spacing w:line="420" w:lineRule="exact"/>
        <w:ind w:firstLine="420" w:firstLineChars="200"/>
        <w:rPr>
          <w:rFonts w:hint="eastAsia" w:ascii="宋体" w:hAnsi="宋体"/>
          <w:color w:val="auto"/>
          <w:szCs w:val="21"/>
        </w:rPr>
      </w:pPr>
      <w:r>
        <w:rPr>
          <w:rFonts w:ascii="宋体" w:hAnsi="宋体"/>
          <w:color w:val="auto"/>
          <w:szCs w:val="21"/>
        </w:rPr>
        <w:t>7.</w:t>
      </w:r>
      <w:r>
        <w:rPr>
          <w:rFonts w:hint="eastAsia" w:ascii="宋体" w:hAnsi="宋体"/>
          <w:color w:val="auto"/>
          <w:szCs w:val="21"/>
        </w:rPr>
        <w:t>“书面形式”</w:t>
      </w:r>
      <w:r>
        <w:rPr>
          <w:rFonts w:ascii="Helvetica" w:hAnsi="Helvetica"/>
          <w:color w:val="auto"/>
          <w:szCs w:val="21"/>
          <w:shd w:val="clear" w:color="auto" w:fill="FFFFFF"/>
        </w:rPr>
        <w:t>是</w:t>
      </w:r>
      <w:r>
        <w:rPr>
          <w:rFonts w:hint="eastAsia" w:ascii="Helvetica" w:hAnsi="Helvetica"/>
          <w:color w:val="auto"/>
          <w:szCs w:val="21"/>
          <w:shd w:val="clear" w:color="auto" w:fill="FFFFFF"/>
        </w:rPr>
        <w:t>指</w:t>
      </w:r>
      <w:r>
        <w:rPr>
          <w:rFonts w:ascii="Helvetica" w:hAnsi="Helvetica"/>
          <w:color w:val="auto"/>
          <w:szCs w:val="21"/>
          <w:shd w:val="clear" w:color="auto" w:fill="FFFFFF"/>
        </w:rPr>
        <w:t>合同书、信件、电报、电传、传真等可以有形地表现所载内容的形式。</w:t>
      </w:r>
    </w:p>
    <w:p w14:paraId="7B15A3C0">
      <w:pPr>
        <w:spacing w:line="420" w:lineRule="exact"/>
        <w:ind w:firstLine="211" w:firstLineChars="100"/>
        <w:rPr>
          <w:rFonts w:hint="eastAsia" w:ascii="宋体" w:hAnsi="宋体"/>
          <w:b/>
          <w:color w:val="auto"/>
          <w:szCs w:val="21"/>
        </w:rPr>
      </w:pPr>
      <w:r>
        <w:rPr>
          <w:rFonts w:hint="eastAsia" w:ascii="宋体" w:hAnsi="宋体"/>
          <w:b/>
          <w:color w:val="auto"/>
          <w:szCs w:val="21"/>
        </w:rPr>
        <w:t>（三）供应商资格</w:t>
      </w:r>
    </w:p>
    <w:p w14:paraId="134E0F68">
      <w:pPr>
        <w:spacing w:line="420" w:lineRule="exact"/>
        <w:ind w:firstLine="420" w:firstLineChars="200"/>
        <w:rPr>
          <w:color w:val="auto"/>
        </w:rPr>
      </w:pPr>
      <w:r>
        <w:rPr>
          <w:rFonts w:hint="eastAsia"/>
          <w:color w:val="auto"/>
        </w:rPr>
        <w:t>供应商的资格要求详见“供应商须知前附表”。</w:t>
      </w:r>
    </w:p>
    <w:p w14:paraId="17FAC038">
      <w:pPr>
        <w:spacing w:line="420" w:lineRule="exact"/>
        <w:ind w:firstLine="422" w:firstLineChars="200"/>
        <w:rPr>
          <w:b/>
          <w:bCs/>
          <w:color w:val="auto"/>
        </w:rPr>
      </w:pPr>
      <w:r>
        <w:rPr>
          <w:rFonts w:hint="eastAsia"/>
          <w:b/>
          <w:bCs/>
          <w:color w:val="auto"/>
        </w:rPr>
        <w:t>（四）采购方式</w:t>
      </w:r>
    </w:p>
    <w:p w14:paraId="65B2A95A">
      <w:pPr>
        <w:snapToGrid w:val="0"/>
        <w:spacing w:line="420" w:lineRule="exact"/>
        <w:ind w:firstLine="420" w:firstLineChars="200"/>
        <w:rPr>
          <w:rFonts w:hint="eastAsia" w:ascii="宋体" w:hAnsi="宋体"/>
          <w:color w:val="auto"/>
          <w:szCs w:val="21"/>
        </w:rPr>
      </w:pPr>
      <w:r>
        <w:rPr>
          <w:rFonts w:hint="eastAsia" w:ascii="宋体" w:hAnsi="宋体"/>
          <w:color w:val="auto"/>
          <w:szCs w:val="21"/>
        </w:rPr>
        <w:t>竞争性谈判</w:t>
      </w:r>
    </w:p>
    <w:p w14:paraId="1656DE2A">
      <w:pPr>
        <w:spacing w:line="420" w:lineRule="exact"/>
        <w:ind w:firstLine="211" w:firstLineChars="100"/>
        <w:rPr>
          <w:b/>
          <w:bCs/>
          <w:color w:val="auto"/>
        </w:rPr>
      </w:pPr>
      <w:bookmarkStart w:id="47" w:name="_Toc254970530"/>
      <w:bookmarkStart w:id="48" w:name="_Toc352700410"/>
      <w:bookmarkStart w:id="49" w:name="_Toc254970671"/>
      <w:bookmarkStart w:id="50" w:name="_Toc353785281"/>
      <w:r>
        <w:rPr>
          <w:rFonts w:hint="eastAsia"/>
          <w:b/>
          <w:bCs/>
          <w:color w:val="auto"/>
        </w:rPr>
        <w:t>（五）代理委托</w:t>
      </w:r>
      <w:bookmarkEnd w:id="47"/>
      <w:bookmarkEnd w:id="48"/>
      <w:bookmarkEnd w:id="49"/>
      <w:bookmarkEnd w:id="50"/>
    </w:p>
    <w:p w14:paraId="5D40D94A">
      <w:pPr>
        <w:snapToGrid w:val="0"/>
        <w:spacing w:line="420" w:lineRule="exact"/>
        <w:ind w:firstLine="420" w:firstLineChars="200"/>
        <w:rPr>
          <w:rFonts w:hint="eastAsia" w:ascii="宋体" w:hAnsi="宋体" w:cs="Courier New"/>
          <w:bCs/>
          <w:color w:val="auto"/>
          <w:szCs w:val="21"/>
        </w:rPr>
      </w:pPr>
      <w:r>
        <w:rPr>
          <w:rFonts w:hint="eastAsia" w:ascii="宋体" w:hAnsi="宋体" w:cs="Courier New"/>
          <w:bCs/>
          <w:color w:val="auto"/>
          <w:szCs w:val="21"/>
        </w:rPr>
        <w:t>委托谈判的供应商须提供授权委托书（格式见第六章）。</w:t>
      </w:r>
    </w:p>
    <w:p w14:paraId="5CC10DF8">
      <w:pPr>
        <w:spacing w:line="420" w:lineRule="exact"/>
        <w:ind w:firstLine="211" w:firstLineChars="100"/>
        <w:rPr>
          <w:b/>
          <w:bCs/>
          <w:color w:val="auto"/>
        </w:rPr>
      </w:pPr>
      <w:bookmarkStart w:id="51" w:name="_Toc352700411"/>
      <w:bookmarkStart w:id="52" w:name="_Toc353785282"/>
      <w:bookmarkStart w:id="53" w:name="_Toc254970672"/>
      <w:bookmarkStart w:id="54" w:name="_Toc254970531"/>
      <w:r>
        <w:rPr>
          <w:rFonts w:hint="eastAsia"/>
          <w:b/>
          <w:bCs/>
          <w:color w:val="auto"/>
        </w:rPr>
        <w:t>（六）谈判费用</w:t>
      </w:r>
      <w:bookmarkEnd w:id="51"/>
      <w:bookmarkEnd w:id="52"/>
      <w:bookmarkEnd w:id="53"/>
      <w:bookmarkEnd w:id="54"/>
    </w:p>
    <w:p w14:paraId="28BA5F59">
      <w:pPr>
        <w:snapToGrid w:val="0"/>
        <w:spacing w:line="420" w:lineRule="exact"/>
        <w:ind w:firstLine="420" w:firstLineChars="200"/>
        <w:rPr>
          <w:rFonts w:hint="eastAsia" w:ascii="宋体" w:hAnsi="宋体"/>
          <w:color w:val="auto"/>
          <w:szCs w:val="21"/>
        </w:rPr>
      </w:pPr>
      <w:r>
        <w:rPr>
          <w:rFonts w:hint="eastAsia" w:ascii="宋体" w:hAnsi="宋体"/>
          <w:color w:val="auto"/>
          <w:szCs w:val="21"/>
        </w:rPr>
        <w:t>供应商自行承担所有与谈判有关的全部费用。</w:t>
      </w:r>
    </w:p>
    <w:p w14:paraId="5CF5461C">
      <w:pPr>
        <w:spacing w:line="420" w:lineRule="exact"/>
        <w:ind w:firstLine="211" w:firstLineChars="100"/>
        <w:rPr>
          <w:b/>
          <w:bCs/>
          <w:color w:val="auto"/>
        </w:rPr>
      </w:pPr>
      <w:bookmarkStart w:id="55" w:name="_Toc353785283"/>
      <w:bookmarkStart w:id="56" w:name="_Toc352700413"/>
      <w:r>
        <w:rPr>
          <w:rFonts w:hint="eastAsia"/>
          <w:b/>
          <w:bCs/>
          <w:color w:val="auto"/>
        </w:rPr>
        <w:t>（七）转包与分包</w:t>
      </w:r>
      <w:bookmarkEnd w:id="55"/>
      <w:bookmarkEnd w:id="56"/>
    </w:p>
    <w:p w14:paraId="0BE18E73">
      <w:pPr>
        <w:snapToGrid w:val="0"/>
        <w:spacing w:line="420" w:lineRule="exact"/>
        <w:ind w:firstLine="420" w:firstLineChars="200"/>
        <w:rPr>
          <w:rFonts w:hint="eastAsia"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本项目不允许转包。</w:t>
      </w:r>
    </w:p>
    <w:p w14:paraId="7F24BE93">
      <w:pPr>
        <w:snapToGrid w:val="0"/>
        <w:spacing w:line="420" w:lineRule="exact"/>
        <w:ind w:firstLine="420" w:firstLineChars="200"/>
        <w:rPr>
          <w:rFonts w:hint="eastAsia"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采购人允许采用分包方式履行合同的，应当在采购文件中明确可以分包履行的具体内容、金额或者比例。</w:t>
      </w:r>
    </w:p>
    <w:p w14:paraId="110ED40F">
      <w:pPr>
        <w:snapToGrid w:val="0"/>
        <w:spacing w:line="420" w:lineRule="exact"/>
        <w:ind w:firstLine="420" w:firstLineChars="200"/>
        <w:rPr>
          <w:rFonts w:hint="eastAsia"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依据《政府采购促进中小企业发展管理办法》规定享受扶持政策获得政府采购合同的，小微企业不得将合同分包给大中型企业，中型企业不得将合同分包给大型企业。</w:t>
      </w:r>
    </w:p>
    <w:p w14:paraId="64CA3E16">
      <w:pPr>
        <w:spacing w:line="420" w:lineRule="exact"/>
        <w:ind w:firstLine="211" w:firstLineChars="100"/>
        <w:rPr>
          <w:b/>
          <w:bCs/>
          <w:color w:val="auto"/>
        </w:rPr>
      </w:pPr>
      <w:bookmarkStart w:id="57" w:name="_Toc353785284"/>
      <w:bookmarkStart w:id="58" w:name="_Toc254970673"/>
      <w:bookmarkStart w:id="59" w:name="_Toc254970532"/>
      <w:bookmarkStart w:id="60" w:name="_Toc352700414"/>
      <w:r>
        <w:rPr>
          <w:rFonts w:hint="eastAsia"/>
          <w:b/>
          <w:bCs/>
          <w:color w:val="auto"/>
        </w:rPr>
        <w:t>（八）特别说明</w:t>
      </w:r>
      <w:bookmarkEnd w:id="57"/>
      <w:bookmarkEnd w:id="58"/>
      <w:bookmarkEnd w:id="59"/>
      <w:bookmarkEnd w:id="60"/>
    </w:p>
    <w:p w14:paraId="31DEBFC4">
      <w:pPr>
        <w:pStyle w:val="21"/>
        <w:snapToGrid w:val="0"/>
        <w:spacing w:line="420" w:lineRule="exact"/>
        <w:ind w:firstLine="420"/>
        <w:rPr>
          <w:rFonts w:hint="eastAsia" w:hAnsi="宋体"/>
          <w:color w:val="auto"/>
        </w:rPr>
      </w:pPr>
      <w:r>
        <w:rPr>
          <w:rFonts w:hAnsi="宋体"/>
          <w:color w:val="auto"/>
        </w:rPr>
        <w:t>1.</w:t>
      </w:r>
      <w:r>
        <w:rPr>
          <w:rFonts w:hint="eastAsia" w:hAnsi="宋体"/>
          <w:color w:val="auto"/>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14:paraId="44AA274D">
      <w:pPr>
        <w:pStyle w:val="21"/>
        <w:snapToGrid w:val="0"/>
        <w:spacing w:line="420" w:lineRule="exact"/>
        <w:ind w:firstLine="420"/>
        <w:rPr>
          <w:rFonts w:hint="eastAsia" w:hAnsi="宋体"/>
          <w:color w:val="auto"/>
        </w:rPr>
      </w:pPr>
      <w:r>
        <w:rPr>
          <w:rFonts w:hAnsi="宋体"/>
          <w:color w:val="auto"/>
        </w:rPr>
        <w:t>2.</w:t>
      </w:r>
      <w:r>
        <w:rPr>
          <w:rFonts w:hint="eastAsia" w:hAnsi="宋体"/>
          <w:color w:val="auto"/>
        </w:rPr>
        <w:t>公开招标的货物、服务采购项目，招标过程中提交投标文件或者经评审实质性响应招标文件要求的供应商只有两家时，采购人、采购代理机构按照规定经本级财政部门批准后可以与该两家供应商进行竞争性谈判采购。符合本款情形的，供应商最低数量可以为两家。</w:t>
      </w:r>
    </w:p>
    <w:p w14:paraId="162D572C">
      <w:pPr>
        <w:spacing w:line="420" w:lineRule="exact"/>
        <w:ind w:firstLine="211" w:firstLineChars="100"/>
        <w:rPr>
          <w:b/>
          <w:bCs/>
          <w:color w:val="auto"/>
        </w:rPr>
      </w:pPr>
      <w:bookmarkStart w:id="61" w:name="_Toc254970674"/>
      <w:bookmarkStart w:id="62" w:name="_Toc353785285"/>
      <w:bookmarkStart w:id="63" w:name="_Toc352700415"/>
      <w:bookmarkStart w:id="64" w:name="_Toc254970533"/>
      <w:r>
        <w:rPr>
          <w:rFonts w:hint="eastAsia"/>
          <w:b/>
          <w:bCs/>
          <w:color w:val="auto"/>
        </w:rPr>
        <w:t>（九）询问、质疑和投诉</w:t>
      </w:r>
      <w:bookmarkEnd w:id="61"/>
      <w:bookmarkEnd w:id="62"/>
      <w:bookmarkEnd w:id="63"/>
      <w:bookmarkEnd w:id="64"/>
    </w:p>
    <w:p w14:paraId="00F51A71">
      <w:pPr>
        <w:pStyle w:val="21"/>
        <w:snapToGrid w:val="0"/>
        <w:spacing w:line="420" w:lineRule="exact"/>
        <w:ind w:firstLine="420"/>
        <w:rPr>
          <w:rFonts w:hint="eastAsia" w:hAnsi="宋体"/>
          <w:bCs/>
          <w:color w:val="auto"/>
        </w:rPr>
      </w:pPr>
      <w:r>
        <w:rPr>
          <w:rFonts w:hAnsi="宋体"/>
          <w:bCs/>
          <w:color w:val="auto"/>
        </w:rPr>
        <w:t>1.</w:t>
      </w:r>
      <w:r>
        <w:rPr>
          <w:rFonts w:hint="eastAsia" w:ascii="Arial" w:hAnsi="Arial" w:cs="Arial"/>
          <w:color w:val="auto"/>
          <w:kern w:val="0"/>
        </w:rPr>
        <w:t>供应商</w:t>
      </w:r>
      <w:r>
        <w:rPr>
          <w:rFonts w:ascii="Arial" w:hAnsi="Arial" w:cs="Arial"/>
          <w:color w:val="auto"/>
          <w:kern w:val="0"/>
        </w:rPr>
        <w:t>对政府采购活动事项有疑问的，可以向采购人</w:t>
      </w:r>
      <w:r>
        <w:rPr>
          <w:rFonts w:hint="eastAsia" w:ascii="Arial" w:hAnsi="Arial" w:cs="Arial"/>
          <w:color w:val="auto"/>
          <w:kern w:val="0"/>
        </w:rPr>
        <w:t>或本中心</w:t>
      </w:r>
      <w:r>
        <w:rPr>
          <w:rFonts w:ascii="Arial" w:hAnsi="Arial" w:cs="Arial"/>
          <w:color w:val="auto"/>
          <w:kern w:val="0"/>
        </w:rPr>
        <w:t>提出询问，采购人</w:t>
      </w:r>
      <w:r>
        <w:rPr>
          <w:rFonts w:hint="eastAsia" w:ascii="Arial" w:hAnsi="Arial" w:cs="Arial"/>
          <w:color w:val="auto"/>
          <w:kern w:val="0"/>
        </w:rPr>
        <w:t>或本中心当在3个工作日内对供应商依法提出的询问作出答复</w:t>
      </w:r>
      <w:r>
        <w:rPr>
          <w:rFonts w:ascii="Arial" w:hAnsi="Arial" w:cs="Arial"/>
          <w:color w:val="auto"/>
          <w:kern w:val="0"/>
        </w:rPr>
        <w:t>，但答复的内容不得涉及商业秘密。</w:t>
      </w:r>
    </w:p>
    <w:p w14:paraId="324BD11D">
      <w:pPr>
        <w:pStyle w:val="21"/>
        <w:snapToGrid w:val="0"/>
        <w:spacing w:line="420" w:lineRule="exact"/>
        <w:ind w:firstLine="420"/>
        <w:rPr>
          <w:rFonts w:hint="eastAsia" w:hAnsi="宋体"/>
          <w:bCs/>
          <w:color w:val="auto"/>
        </w:rPr>
      </w:pPr>
      <w:r>
        <w:rPr>
          <w:rFonts w:hAnsi="宋体"/>
          <w:bCs/>
          <w:color w:val="auto"/>
        </w:rPr>
        <w:t>2.</w:t>
      </w:r>
      <w:r>
        <w:rPr>
          <w:rFonts w:hint="eastAsia" w:hAnsi="宋体"/>
          <w:bCs/>
          <w:color w:val="auto"/>
        </w:rPr>
        <w:t>供应商认为采购文件、采购过程或成交结果使自己的合法权益受到损害的，</w:t>
      </w:r>
      <w:r>
        <w:rPr>
          <w:rFonts w:hAnsi="宋体"/>
          <w:bCs/>
          <w:color w:val="auto"/>
        </w:rPr>
        <w:t>可以在知道或者应知其权益受到损害之日起7个工作日内</w:t>
      </w:r>
      <w:r>
        <w:rPr>
          <w:rFonts w:hint="eastAsia" w:hAnsi="宋体"/>
          <w:bCs/>
          <w:color w:val="auto"/>
        </w:rPr>
        <w:t>，</w:t>
      </w:r>
      <w:r>
        <w:rPr>
          <w:rFonts w:cs="Arial"/>
          <w:color w:val="auto"/>
        </w:rPr>
        <w:t>以书面形式</w:t>
      </w:r>
      <w:r>
        <w:rPr>
          <w:rFonts w:hint="eastAsia" w:cs="Arial"/>
          <w:color w:val="auto"/>
        </w:rPr>
        <w:t>（广西政采云平台）</w:t>
      </w:r>
      <w:r>
        <w:rPr>
          <w:rFonts w:cs="Arial"/>
          <w:color w:val="auto"/>
        </w:rPr>
        <w:t>向采购人、</w:t>
      </w:r>
      <w:r>
        <w:rPr>
          <w:rFonts w:hint="eastAsia" w:cs="Arial"/>
          <w:color w:val="auto"/>
        </w:rPr>
        <w:t>本中心</w:t>
      </w:r>
      <w:r>
        <w:rPr>
          <w:rFonts w:cs="Arial"/>
          <w:color w:val="auto"/>
        </w:rPr>
        <w:t>提出质疑。</w:t>
      </w:r>
      <w:r>
        <w:rPr>
          <w:rFonts w:hint="eastAsia" w:hAnsi="宋体"/>
          <w:bCs/>
          <w:color w:val="auto"/>
        </w:rPr>
        <w:t>供应商必须在法定质疑期内一次性提出针对同一采购程序环节的质疑。</w:t>
      </w:r>
      <w:r>
        <w:rPr>
          <w:rFonts w:hint="eastAsia" w:hAnsi="宋体" w:cs="宋体"/>
          <w:color w:val="auto"/>
        </w:rPr>
        <w:t>供应商应知其权益受到损害之日，是指：</w:t>
      </w:r>
    </w:p>
    <w:p w14:paraId="50B35666">
      <w:pPr>
        <w:pStyle w:val="21"/>
        <w:adjustRightInd w:val="0"/>
        <w:snapToGrid w:val="0"/>
        <w:spacing w:line="420" w:lineRule="exact"/>
        <w:ind w:firstLine="308" w:firstLineChars="147"/>
        <w:rPr>
          <w:rFonts w:hint="eastAsia" w:hAnsi="宋体"/>
          <w:bCs/>
          <w:color w:val="auto"/>
        </w:rPr>
      </w:pPr>
      <w:r>
        <w:rPr>
          <w:rFonts w:hint="eastAsia" w:hAnsi="宋体"/>
          <w:bCs/>
          <w:color w:val="auto"/>
        </w:rPr>
        <w:t>(</w:t>
      </w:r>
      <w:r>
        <w:rPr>
          <w:rFonts w:hAnsi="宋体"/>
          <w:bCs/>
          <w:color w:val="auto"/>
        </w:rPr>
        <w:t>1)</w:t>
      </w:r>
      <w:r>
        <w:rPr>
          <w:rFonts w:hint="eastAsia" w:hAnsi="宋体"/>
          <w:bCs/>
          <w:color w:val="auto"/>
        </w:rPr>
        <w:t>对采购文件提出质疑的，为获取采购文件之日；</w:t>
      </w:r>
    </w:p>
    <w:p w14:paraId="461CB2D3">
      <w:pPr>
        <w:pStyle w:val="21"/>
        <w:adjustRightInd w:val="0"/>
        <w:snapToGrid w:val="0"/>
        <w:spacing w:line="420" w:lineRule="exact"/>
        <w:ind w:firstLine="308" w:firstLineChars="147"/>
        <w:rPr>
          <w:rFonts w:hint="eastAsia" w:hAnsi="宋体"/>
          <w:bCs/>
          <w:color w:val="auto"/>
        </w:rPr>
      </w:pPr>
      <w:r>
        <w:rPr>
          <w:rFonts w:hint="eastAsia" w:hAnsi="宋体"/>
          <w:bCs/>
          <w:color w:val="auto"/>
        </w:rPr>
        <w:t>(</w:t>
      </w:r>
      <w:r>
        <w:rPr>
          <w:rFonts w:hAnsi="宋体"/>
          <w:bCs/>
          <w:color w:val="auto"/>
        </w:rPr>
        <w:t>2)</w:t>
      </w:r>
      <w:r>
        <w:rPr>
          <w:rFonts w:hint="eastAsia" w:hAnsi="宋体"/>
          <w:bCs/>
          <w:color w:val="auto"/>
        </w:rPr>
        <w:t>对采购过程提出质疑的，为各采购程序环节结束之日；</w:t>
      </w:r>
    </w:p>
    <w:p w14:paraId="232D1577">
      <w:pPr>
        <w:widowControl/>
        <w:adjustRightInd w:val="0"/>
        <w:snapToGrid w:val="0"/>
        <w:spacing w:line="420" w:lineRule="exact"/>
        <w:ind w:firstLine="102" w:firstLineChars="49"/>
        <w:jc w:val="left"/>
        <w:rPr>
          <w:rFonts w:hint="eastAsia" w:ascii="宋体" w:hAnsi="宋体" w:cs="Courier New"/>
          <w:bCs/>
          <w:color w:val="auto"/>
          <w:szCs w:val="21"/>
        </w:rPr>
      </w:pPr>
      <w:r>
        <w:rPr>
          <w:rFonts w:hint="eastAsia" w:ascii="宋体" w:hAnsi="宋体" w:cs="Courier New"/>
          <w:bCs/>
          <w:color w:val="auto"/>
          <w:szCs w:val="21"/>
        </w:rPr>
        <w:t xml:space="preserve">  (</w:t>
      </w:r>
      <w:r>
        <w:rPr>
          <w:rFonts w:ascii="宋体" w:hAnsi="宋体" w:cs="Courier New"/>
          <w:bCs/>
          <w:color w:val="auto"/>
          <w:szCs w:val="21"/>
        </w:rPr>
        <w:t>3)</w:t>
      </w:r>
      <w:r>
        <w:rPr>
          <w:rFonts w:hint="eastAsia" w:ascii="宋体" w:hAnsi="宋体" w:cs="Courier New"/>
          <w:bCs/>
          <w:color w:val="auto"/>
          <w:szCs w:val="21"/>
        </w:rPr>
        <w:t>对成交结果提出质疑的，为成交结果公告期限届满之日。</w:t>
      </w:r>
    </w:p>
    <w:p w14:paraId="1043BF7A">
      <w:pPr>
        <w:widowControl/>
        <w:adjustRightInd w:val="0"/>
        <w:snapToGrid w:val="0"/>
        <w:spacing w:line="420" w:lineRule="exact"/>
        <w:ind w:firstLine="420"/>
        <w:jc w:val="left"/>
        <w:rPr>
          <w:rFonts w:hint="eastAsia" w:ascii="宋体" w:hAnsi="宋体" w:cs="Courier New"/>
          <w:bCs/>
          <w:color w:val="auto"/>
          <w:szCs w:val="21"/>
        </w:rPr>
      </w:pPr>
      <w:r>
        <w:rPr>
          <w:rFonts w:ascii="宋体" w:hAnsi="宋体" w:cs="Courier New"/>
          <w:bCs/>
          <w:color w:val="auto"/>
          <w:szCs w:val="21"/>
        </w:rPr>
        <w:t>3.</w:t>
      </w:r>
      <w:r>
        <w:rPr>
          <w:rFonts w:hint="eastAsia" w:hAnsi="宋体"/>
          <w:color w:val="auto"/>
        </w:rPr>
        <w:t>供应商对采购人、本中心质疑答复不满意或者采购人、本中心未在规定时间内作出答复的，可以在答复期满后十五个工作日内向同级采购监管部门投诉。</w:t>
      </w:r>
    </w:p>
    <w:p w14:paraId="308416BB">
      <w:pPr>
        <w:pStyle w:val="21"/>
        <w:snapToGrid w:val="0"/>
        <w:spacing w:line="420" w:lineRule="exact"/>
        <w:ind w:firstLine="420"/>
        <w:rPr>
          <w:rFonts w:hint="eastAsia" w:hAnsi="宋体"/>
          <w:bCs/>
          <w:color w:val="auto"/>
        </w:rPr>
      </w:pPr>
      <w:r>
        <w:rPr>
          <w:rFonts w:hAnsi="宋体"/>
          <w:bCs/>
          <w:color w:val="auto"/>
        </w:rPr>
        <w:t>4.</w:t>
      </w:r>
      <w:r>
        <w:rPr>
          <w:rFonts w:hint="eastAsia" w:hAnsi="宋体"/>
          <w:bCs/>
          <w:color w:val="auto"/>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14:paraId="2D391ACE">
      <w:pPr>
        <w:pStyle w:val="21"/>
        <w:snapToGrid w:val="0"/>
        <w:spacing w:line="420" w:lineRule="exact"/>
        <w:ind w:firstLine="420"/>
        <w:rPr>
          <w:rFonts w:hint="eastAsia" w:hAnsi="宋体"/>
          <w:bCs/>
          <w:color w:val="auto"/>
        </w:rPr>
      </w:pPr>
      <w:r>
        <w:rPr>
          <w:rFonts w:hint="eastAsia" w:hAnsi="宋体"/>
          <w:bCs/>
          <w:color w:val="auto"/>
        </w:rPr>
        <w:t>质疑部门联系方式：钦州市政府采购中心    0777-2886002</w:t>
      </w:r>
    </w:p>
    <w:p w14:paraId="04C5EBCE">
      <w:pPr>
        <w:pStyle w:val="21"/>
        <w:snapToGrid w:val="0"/>
        <w:spacing w:line="420" w:lineRule="exact"/>
        <w:ind w:firstLine="420"/>
        <w:rPr>
          <w:rFonts w:hint="eastAsia" w:hAnsi="宋体"/>
          <w:bCs/>
          <w:color w:val="auto"/>
        </w:rPr>
      </w:pPr>
      <w:r>
        <w:rPr>
          <w:rFonts w:hint="eastAsia" w:hAnsi="宋体"/>
          <w:bCs/>
          <w:color w:val="auto"/>
        </w:rPr>
        <w:t>采购监管部门联系方式：浦北县财政局   0777-8314622</w:t>
      </w:r>
    </w:p>
    <w:p w14:paraId="68A750E6">
      <w:pPr>
        <w:spacing w:line="400" w:lineRule="exact"/>
        <w:ind w:firstLine="211" w:firstLineChars="100"/>
        <w:rPr>
          <w:b/>
          <w:bCs/>
          <w:color w:val="auto"/>
        </w:rPr>
      </w:pPr>
      <w:r>
        <w:rPr>
          <w:rFonts w:hint="eastAsia"/>
          <w:b/>
          <w:bCs/>
          <w:color w:val="auto"/>
        </w:rPr>
        <w:t xml:space="preserve">（十）查询媒体 </w:t>
      </w:r>
      <w:r>
        <w:rPr>
          <w:rFonts w:hint="eastAsia" w:hAnsi="宋体"/>
          <w:color w:val="auto"/>
        </w:rPr>
        <w:t>中国政府采购网、</w:t>
      </w:r>
      <w:r>
        <w:rPr>
          <w:color w:val="auto"/>
        </w:rPr>
        <w:fldChar w:fldCharType="begin"/>
      </w:r>
      <w:r>
        <w:rPr>
          <w:color w:val="auto"/>
        </w:rPr>
        <w:instrText xml:space="preserve"> HYPERLINK "http://zfcg.gxzf.gov.cn/" </w:instrText>
      </w:r>
      <w:r>
        <w:rPr>
          <w:color w:val="auto"/>
        </w:rPr>
        <w:fldChar w:fldCharType="separate"/>
      </w:r>
      <w:r>
        <w:rPr>
          <w:rStyle w:val="44"/>
          <w:rFonts w:hint="eastAsia" w:hAnsi="宋体"/>
          <w:color w:val="auto"/>
          <w:u w:val="none"/>
        </w:rPr>
        <w:t>广西政府采购网</w:t>
      </w:r>
      <w:r>
        <w:rPr>
          <w:rStyle w:val="44"/>
          <w:rFonts w:hint="eastAsia" w:hAnsi="宋体"/>
          <w:color w:val="auto"/>
          <w:u w:val="none"/>
        </w:rPr>
        <w:fldChar w:fldCharType="end"/>
      </w:r>
      <w:r>
        <w:rPr>
          <w:rFonts w:hint="eastAsia" w:hAnsi="宋体"/>
          <w:color w:val="auto"/>
        </w:rPr>
        <w:t>。</w:t>
      </w:r>
    </w:p>
    <w:p w14:paraId="22B6F2ED">
      <w:pPr>
        <w:pStyle w:val="4"/>
        <w:spacing w:line="420" w:lineRule="exact"/>
        <w:rPr>
          <w:color w:val="auto"/>
        </w:rPr>
      </w:pPr>
      <w:bookmarkStart w:id="65" w:name="_Toc352700416"/>
      <w:bookmarkStart w:id="66" w:name="_Toc353785286"/>
      <w:r>
        <w:rPr>
          <w:rFonts w:hint="eastAsia"/>
          <w:color w:val="auto"/>
        </w:rPr>
        <w:t>二、竞争性谈判采购文件</w:t>
      </w:r>
      <w:bookmarkEnd w:id="65"/>
      <w:bookmarkEnd w:id="66"/>
    </w:p>
    <w:p w14:paraId="7C457C6E">
      <w:pPr>
        <w:spacing w:line="420" w:lineRule="exact"/>
        <w:ind w:firstLine="211" w:firstLineChars="100"/>
        <w:rPr>
          <w:b/>
          <w:bCs/>
          <w:color w:val="auto"/>
        </w:rPr>
      </w:pPr>
      <w:bookmarkStart w:id="67" w:name="_Toc353785287"/>
      <w:bookmarkStart w:id="68" w:name="_Toc352700417"/>
      <w:r>
        <w:rPr>
          <w:rFonts w:hint="eastAsia"/>
          <w:b/>
          <w:bCs/>
          <w:color w:val="auto"/>
        </w:rPr>
        <w:t>（一）竞争性谈判采购文件的组成</w:t>
      </w:r>
      <w:bookmarkEnd w:id="67"/>
      <w:bookmarkEnd w:id="68"/>
    </w:p>
    <w:p w14:paraId="1D688281">
      <w:pPr>
        <w:pStyle w:val="21"/>
        <w:snapToGrid w:val="0"/>
        <w:spacing w:line="420" w:lineRule="exact"/>
        <w:ind w:firstLine="420" w:firstLineChars="200"/>
        <w:rPr>
          <w:rFonts w:hint="eastAsia" w:hAnsi="宋体"/>
          <w:color w:val="auto"/>
        </w:rPr>
      </w:pPr>
      <w:r>
        <w:rPr>
          <w:rFonts w:hint="eastAsia" w:hAnsi="宋体"/>
          <w:color w:val="auto"/>
        </w:rPr>
        <w:t>第一章 竞争性谈判公告</w:t>
      </w:r>
    </w:p>
    <w:p w14:paraId="06C06C50">
      <w:pPr>
        <w:pStyle w:val="21"/>
        <w:snapToGrid w:val="0"/>
        <w:spacing w:line="420" w:lineRule="exact"/>
        <w:ind w:firstLine="420" w:firstLineChars="200"/>
        <w:rPr>
          <w:rFonts w:hint="eastAsia" w:hAnsi="宋体"/>
          <w:color w:val="auto"/>
        </w:rPr>
      </w:pPr>
      <w:r>
        <w:rPr>
          <w:rFonts w:hint="eastAsia" w:hAnsi="宋体"/>
          <w:color w:val="auto"/>
        </w:rPr>
        <w:t>第二章 项目需求</w:t>
      </w:r>
    </w:p>
    <w:p w14:paraId="496EFC2C">
      <w:pPr>
        <w:pStyle w:val="21"/>
        <w:snapToGrid w:val="0"/>
        <w:spacing w:line="420" w:lineRule="exact"/>
        <w:ind w:firstLine="420" w:firstLineChars="200"/>
        <w:rPr>
          <w:rFonts w:hint="eastAsia" w:hAnsi="宋体"/>
          <w:color w:val="auto"/>
        </w:rPr>
      </w:pPr>
      <w:r>
        <w:rPr>
          <w:rFonts w:hint="eastAsia" w:hAnsi="宋体"/>
          <w:color w:val="auto"/>
        </w:rPr>
        <w:t>第三章 供应商须知</w:t>
      </w:r>
    </w:p>
    <w:p w14:paraId="223A2A21">
      <w:pPr>
        <w:pStyle w:val="21"/>
        <w:snapToGrid w:val="0"/>
        <w:spacing w:line="420" w:lineRule="exact"/>
        <w:ind w:firstLine="420" w:firstLineChars="200"/>
        <w:rPr>
          <w:rFonts w:hint="eastAsia" w:hAnsi="宋体"/>
          <w:color w:val="auto"/>
        </w:rPr>
      </w:pPr>
      <w:r>
        <w:rPr>
          <w:rFonts w:hint="eastAsia" w:hAnsi="宋体"/>
          <w:color w:val="auto"/>
        </w:rPr>
        <w:t>第四章 评定标准及推荐原则</w:t>
      </w:r>
    </w:p>
    <w:p w14:paraId="1667FFB6">
      <w:pPr>
        <w:pStyle w:val="21"/>
        <w:snapToGrid w:val="0"/>
        <w:spacing w:line="420" w:lineRule="exact"/>
        <w:ind w:firstLine="420" w:firstLineChars="200"/>
        <w:rPr>
          <w:rFonts w:hint="eastAsia" w:hAnsi="宋体"/>
          <w:color w:val="auto"/>
        </w:rPr>
      </w:pPr>
      <w:r>
        <w:rPr>
          <w:rFonts w:hint="eastAsia" w:hAnsi="宋体"/>
          <w:color w:val="auto"/>
        </w:rPr>
        <w:t>第五章 合同文本</w:t>
      </w:r>
    </w:p>
    <w:p w14:paraId="1923800B">
      <w:pPr>
        <w:pStyle w:val="21"/>
        <w:snapToGrid w:val="0"/>
        <w:spacing w:line="420" w:lineRule="exact"/>
        <w:ind w:firstLine="420" w:firstLineChars="200"/>
        <w:rPr>
          <w:rFonts w:hint="eastAsia" w:hAnsi="宋体"/>
          <w:color w:val="auto"/>
        </w:rPr>
      </w:pPr>
      <w:r>
        <w:rPr>
          <w:rFonts w:hint="eastAsia" w:hAnsi="宋体"/>
          <w:color w:val="auto"/>
        </w:rPr>
        <w:t>第六章 响应文件格式</w:t>
      </w:r>
    </w:p>
    <w:p w14:paraId="6143A1FF">
      <w:pPr>
        <w:spacing w:line="420" w:lineRule="exact"/>
        <w:ind w:firstLine="211" w:firstLineChars="100"/>
        <w:rPr>
          <w:b/>
          <w:bCs/>
          <w:color w:val="auto"/>
        </w:rPr>
      </w:pPr>
      <w:bookmarkStart w:id="69" w:name="_Toc353785289"/>
      <w:bookmarkStart w:id="70" w:name="_Toc352700419"/>
      <w:r>
        <w:rPr>
          <w:rFonts w:hint="eastAsia"/>
          <w:b/>
          <w:bCs/>
          <w:color w:val="auto"/>
        </w:rPr>
        <w:t>（二）竞争性谈判采购文件的澄清与修改</w:t>
      </w:r>
      <w:bookmarkEnd w:id="69"/>
      <w:bookmarkEnd w:id="70"/>
    </w:p>
    <w:p w14:paraId="520603A2">
      <w:pPr>
        <w:pStyle w:val="21"/>
        <w:snapToGrid w:val="0"/>
        <w:spacing w:line="420" w:lineRule="exact"/>
        <w:ind w:firstLine="420"/>
        <w:jc w:val="left"/>
        <w:rPr>
          <w:rFonts w:hint="eastAsia" w:hAnsi="宋体"/>
          <w:color w:val="auto"/>
        </w:rPr>
      </w:pPr>
      <w:r>
        <w:rPr>
          <w:rFonts w:hint="eastAsia" w:hAnsi="宋体"/>
          <w:color w:val="auto"/>
        </w:rPr>
        <w:t>1</w:t>
      </w:r>
      <w:r>
        <w:rPr>
          <w:rFonts w:hAnsi="宋体"/>
          <w:color w:val="auto"/>
        </w:rPr>
        <w:t>.</w:t>
      </w:r>
      <w:r>
        <w:rPr>
          <w:rFonts w:hint="eastAsia" w:hAnsi="宋体"/>
          <w:color w:val="auto"/>
        </w:rPr>
        <w:t>提交首次响应文件截止之日前，采购人、本中心或者谈判小组可以对已发出的谈判文件进行必要的澄清或者修改，澄清或者修改的内容作为谈判文件的组成部分。澄清或者修改应当在原公告发布媒体上发布澄清公告。澄清或者修改的内容可能影响响应文件编制的，采购人、本中心或者谈判小组应当在提交首次响应文件截止之日3个工作日前，以书面形式通知所有依法接收谈判文件的供应商，不足3个工作日的，应当顺延提交首次响应文件截止之日。</w:t>
      </w:r>
    </w:p>
    <w:p w14:paraId="5184CEE6">
      <w:pPr>
        <w:pStyle w:val="21"/>
        <w:snapToGrid w:val="0"/>
        <w:spacing w:line="420" w:lineRule="exact"/>
        <w:ind w:firstLine="420"/>
        <w:jc w:val="left"/>
        <w:rPr>
          <w:rFonts w:hint="eastAsia" w:hAnsi="宋体"/>
          <w:color w:val="auto"/>
        </w:rPr>
      </w:pPr>
      <w:r>
        <w:rPr>
          <w:rFonts w:hint="eastAsia" w:hAnsi="宋体"/>
          <w:color w:val="auto"/>
        </w:rPr>
        <w:t>2</w:t>
      </w:r>
      <w:r>
        <w:rPr>
          <w:rFonts w:hAnsi="宋体"/>
          <w:color w:val="auto"/>
        </w:rPr>
        <w:t>.</w:t>
      </w:r>
      <w:r>
        <w:rPr>
          <w:rFonts w:hint="eastAsia" w:hAnsi="宋体"/>
          <w:color w:val="auto"/>
        </w:rPr>
        <w:t>提供期限届满后，获取谈判文件的供应商不足3家的，本中心可以顺延提供期限，并予公告。</w:t>
      </w:r>
    </w:p>
    <w:p w14:paraId="0D82C514">
      <w:pPr>
        <w:pStyle w:val="4"/>
        <w:spacing w:line="420" w:lineRule="exact"/>
        <w:rPr>
          <w:color w:val="auto"/>
        </w:rPr>
      </w:pPr>
      <w:r>
        <w:rPr>
          <w:rFonts w:hint="eastAsia"/>
          <w:color w:val="auto"/>
        </w:rPr>
        <w:t>三、响应文件</w:t>
      </w:r>
    </w:p>
    <w:p w14:paraId="4FC16F96">
      <w:pPr>
        <w:spacing w:line="420" w:lineRule="exact"/>
        <w:ind w:firstLine="211" w:firstLineChars="100"/>
        <w:rPr>
          <w:rFonts w:hint="eastAsia" w:hAnsi="宋体"/>
          <w:b/>
          <w:bCs/>
          <w:color w:val="auto"/>
        </w:rPr>
      </w:pPr>
      <w:r>
        <w:rPr>
          <w:rFonts w:hint="eastAsia" w:hAnsi="宋体"/>
          <w:b/>
          <w:bCs/>
          <w:color w:val="auto"/>
        </w:rPr>
        <w:t>（一）供应商的风险</w:t>
      </w:r>
    </w:p>
    <w:p w14:paraId="3D6A2499">
      <w:pPr>
        <w:spacing w:line="420" w:lineRule="exact"/>
        <w:ind w:firstLine="420"/>
        <w:rPr>
          <w:rFonts w:hint="eastAsia" w:hAnsi="宋体"/>
          <w:color w:val="auto"/>
        </w:rPr>
      </w:pPr>
      <w:r>
        <w:rPr>
          <w:rFonts w:hAnsi="宋体"/>
          <w:color w:val="auto"/>
        </w:rPr>
        <w:t>1.</w:t>
      </w:r>
      <w:r>
        <w:rPr>
          <w:rFonts w:hint="eastAsia" w:hAnsi="宋体"/>
          <w:color w:val="auto"/>
        </w:rPr>
        <w:t>供应商应当按照谈判文件的要求编制响应文件，并对其提交的响应文件的真实性、合法性承担法律责任。</w:t>
      </w:r>
    </w:p>
    <w:p w14:paraId="63CA0999">
      <w:pPr>
        <w:spacing w:line="420" w:lineRule="exact"/>
        <w:ind w:firstLine="420"/>
        <w:rPr>
          <w:rFonts w:hint="eastAsia" w:hAnsi="宋体"/>
          <w:color w:val="auto"/>
        </w:rPr>
      </w:pPr>
      <w:r>
        <w:rPr>
          <w:rFonts w:hAnsi="宋体"/>
          <w:color w:val="auto"/>
        </w:rPr>
        <w:t>2.</w:t>
      </w:r>
      <w:r>
        <w:rPr>
          <w:rFonts w:hint="eastAsia" w:hAnsi="宋体"/>
          <w:color w:val="auto"/>
        </w:rPr>
        <w:t>供应商在采购活动中提供任何虚假材料的，谈判小组将报财政部门查处。</w:t>
      </w:r>
    </w:p>
    <w:p w14:paraId="7E149AC9">
      <w:pPr>
        <w:snapToGrid w:val="0"/>
        <w:spacing w:line="420" w:lineRule="exact"/>
        <w:ind w:firstLine="211" w:firstLineChars="100"/>
        <w:rPr>
          <w:rFonts w:hint="eastAsia" w:ascii="宋体" w:hAnsi="宋体"/>
          <w:b/>
          <w:color w:val="auto"/>
          <w:szCs w:val="21"/>
        </w:rPr>
      </w:pPr>
      <w:r>
        <w:rPr>
          <w:rFonts w:hint="eastAsia" w:hAnsi="宋体"/>
          <w:b/>
          <w:bCs/>
          <w:color w:val="auto"/>
        </w:rPr>
        <w:t>（二）</w:t>
      </w:r>
      <w:r>
        <w:rPr>
          <w:rFonts w:hint="eastAsia" w:ascii="宋体" w:hAnsi="宋体"/>
          <w:b/>
          <w:color w:val="auto"/>
          <w:szCs w:val="21"/>
        </w:rPr>
        <w:t>响应文件的组成</w:t>
      </w:r>
    </w:p>
    <w:p w14:paraId="488309BA">
      <w:pPr>
        <w:snapToGrid w:val="0"/>
        <w:spacing w:line="420" w:lineRule="exact"/>
        <w:ind w:firstLine="422"/>
        <w:rPr>
          <w:rFonts w:hint="eastAsia" w:ascii="宋体" w:hAnsi="宋体"/>
          <w:b/>
          <w:color w:val="auto"/>
          <w:szCs w:val="21"/>
        </w:rPr>
      </w:pPr>
      <w:bookmarkStart w:id="71" w:name="_Hlk92285760"/>
      <w:r>
        <w:rPr>
          <w:rFonts w:ascii="宋体" w:hAnsi="宋体"/>
          <w:b/>
          <w:color w:val="auto"/>
          <w:szCs w:val="21"/>
        </w:rPr>
        <w:t>1.</w:t>
      </w:r>
      <w:r>
        <w:rPr>
          <w:rFonts w:hint="eastAsia" w:ascii="宋体" w:hAnsi="宋体"/>
          <w:b/>
          <w:color w:val="auto"/>
          <w:szCs w:val="21"/>
        </w:rPr>
        <w:t>资格文件：</w:t>
      </w:r>
    </w:p>
    <w:p w14:paraId="402B24A5">
      <w:pPr>
        <w:tabs>
          <w:tab w:val="left" w:pos="3870"/>
          <w:tab w:val="left" w:pos="4085"/>
        </w:tabs>
        <w:snapToGrid w:val="0"/>
        <w:spacing w:line="420" w:lineRule="exact"/>
        <w:ind w:firstLine="420"/>
        <w:rPr>
          <w:rFonts w:hint="eastAsia" w:ascii="宋体" w:hAnsi="宋体"/>
          <w:color w:val="auto"/>
          <w:szCs w:val="21"/>
        </w:rPr>
      </w:pPr>
      <w:r>
        <w:rPr>
          <w:rFonts w:hint="eastAsia" w:ascii="宋体" w:hAnsi="宋体" w:cs="宋体"/>
          <w:bCs/>
          <w:color w:val="auto"/>
          <w:kern w:val="0"/>
          <w:szCs w:val="21"/>
        </w:rPr>
        <w:t>★</w:t>
      </w:r>
      <w:bookmarkStart w:id="72" w:name="_Hlk90369149"/>
      <w:r>
        <w:rPr>
          <w:rFonts w:hint="eastAsia" w:ascii="宋体" w:hAnsi="宋体"/>
          <w:color w:val="auto"/>
          <w:szCs w:val="21"/>
        </w:rPr>
        <w:t>(</w:t>
      </w:r>
      <w:r>
        <w:rPr>
          <w:rFonts w:ascii="宋体" w:hAnsi="宋体"/>
          <w:color w:val="auto"/>
          <w:szCs w:val="21"/>
        </w:rPr>
        <w:t>1)</w:t>
      </w:r>
      <w:r>
        <w:rPr>
          <w:rFonts w:hint="eastAsia" w:ascii="宋体" w:hAnsi="宋体"/>
          <w:color w:val="auto"/>
          <w:szCs w:val="21"/>
        </w:rPr>
        <w:t>法人或者其他组织的营业执照等证明文件</w:t>
      </w:r>
    </w:p>
    <w:bookmarkEnd w:id="72"/>
    <w:p w14:paraId="3AC09939">
      <w:pPr>
        <w:tabs>
          <w:tab w:val="left" w:pos="3870"/>
          <w:tab w:val="left" w:pos="4085"/>
        </w:tabs>
        <w:snapToGrid w:val="0"/>
        <w:spacing w:line="420" w:lineRule="exact"/>
        <w:ind w:firstLine="420"/>
        <w:rPr>
          <w:rFonts w:hint="eastAsia" w:ascii="宋体" w:hAnsi="宋体" w:cs="宋体"/>
          <w:color w:val="auto"/>
          <w:szCs w:val="21"/>
        </w:rPr>
      </w:pPr>
      <w:r>
        <w:rPr>
          <w:rFonts w:hint="eastAsia" w:ascii="宋体" w:hAnsi="宋体" w:cs="宋体"/>
          <w:bCs/>
          <w:color w:val="auto"/>
          <w:kern w:val="0"/>
          <w:szCs w:val="21"/>
        </w:rPr>
        <w:t>★(</w:t>
      </w:r>
      <w:r>
        <w:rPr>
          <w:rFonts w:ascii="宋体" w:hAnsi="宋体" w:cs="宋体"/>
          <w:bCs/>
          <w:color w:val="auto"/>
          <w:kern w:val="0"/>
          <w:szCs w:val="21"/>
        </w:rPr>
        <w:t>2)</w:t>
      </w:r>
      <w:bookmarkStart w:id="73" w:name="_Hlk147761368"/>
      <w:r>
        <w:rPr>
          <w:rFonts w:hint="eastAsia" w:ascii="宋体" w:hAnsi="宋体"/>
          <w:color w:val="auto"/>
          <w:szCs w:val="21"/>
        </w:rPr>
        <w:t>供应商具备参加政府采购活动条件的承诺书</w:t>
      </w:r>
      <w:r>
        <w:rPr>
          <w:rFonts w:hint="eastAsia" w:ascii="宋体" w:hAnsi="宋体" w:cs="宋体"/>
          <w:color w:val="auto"/>
          <w:szCs w:val="21"/>
        </w:rPr>
        <w:t>(格式见第六章</w:t>
      </w:r>
      <w:r>
        <w:rPr>
          <w:rFonts w:ascii="宋体" w:hAnsi="宋体" w:cs="宋体"/>
          <w:color w:val="auto"/>
          <w:szCs w:val="21"/>
        </w:rPr>
        <w:t>）</w:t>
      </w:r>
      <w:bookmarkEnd w:id="73"/>
    </w:p>
    <w:p w14:paraId="0EF8A289">
      <w:pPr>
        <w:tabs>
          <w:tab w:val="left" w:pos="3870"/>
          <w:tab w:val="left" w:pos="4085"/>
        </w:tabs>
        <w:snapToGrid w:val="0"/>
        <w:spacing w:line="420" w:lineRule="exact"/>
        <w:ind w:firstLine="420"/>
        <w:rPr>
          <w:rFonts w:hint="eastAsia" w:hAnsi="宋体"/>
          <w:color w:val="auto"/>
          <w:spacing w:val="-4"/>
        </w:rPr>
      </w:pPr>
      <w:r>
        <w:rPr>
          <w:rFonts w:hint="eastAsia" w:ascii="宋体" w:hAnsi="宋体" w:cs="宋体"/>
          <w:bCs/>
          <w:color w:val="auto"/>
          <w:kern w:val="0"/>
          <w:szCs w:val="21"/>
        </w:rPr>
        <w:t>★(</w:t>
      </w:r>
      <w:r>
        <w:rPr>
          <w:rFonts w:ascii="宋体" w:hAnsi="宋体" w:cs="宋体"/>
          <w:bCs/>
          <w:color w:val="auto"/>
          <w:kern w:val="0"/>
          <w:szCs w:val="21"/>
        </w:rPr>
        <w:t>3)</w:t>
      </w:r>
      <w:r>
        <w:rPr>
          <w:rFonts w:hint="eastAsia" w:hAnsi="宋体"/>
          <w:color w:val="auto"/>
          <w:spacing w:val="-4"/>
        </w:rPr>
        <w:t>参加政府采购活动前3年内在经营活动中没有重大违法记录的书面声明(格式见第六章)</w:t>
      </w:r>
    </w:p>
    <w:p w14:paraId="0FC9F894">
      <w:pPr>
        <w:snapToGrid w:val="0"/>
        <w:spacing w:line="420" w:lineRule="exact"/>
        <w:ind w:firstLine="422"/>
        <w:rPr>
          <w:rFonts w:hint="eastAsia" w:ascii="宋体" w:hAnsi="宋体"/>
          <w:color w:val="auto"/>
          <w:szCs w:val="21"/>
        </w:rPr>
      </w:pPr>
      <w:r>
        <w:rPr>
          <w:rFonts w:ascii="宋体" w:hAnsi="宋体"/>
          <w:b/>
          <w:color w:val="auto"/>
          <w:szCs w:val="21"/>
        </w:rPr>
        <w:t>2.</w:t>
      </w:r>
      <w:r>
        <w:rPr>
          <w:rFonts w:hint="eastAsia" w:ascii="宋体" w:hAnsi="宋体"/>
          <w:b/>
          <w:color w:val="auto"/>
          <w:szCs w:val="21"/>
        </w:rPr>
        <w:t>商务技术文件：</w:t>
      </w:r>
    </w:p>
    <w:p w14:paraId="0D9ED63F">
      <w:pPr>
        <w:tabs>
          <w:tab w:val="left" w:pos="3870"/>
          <w:tab w:val="left" w:pos="4085"/>
        </w:tabs>
        <w:snapToGrid w:val="0"/>
        <w:spacing w:line="420" w:lineRule="exact"/>
        <w:ind w:firstLine="420" w:firstLineChars="200"/>
        <w:rPr>
          <w:rFonts w:hint="eastAsia" w:ascii="宋体" w:hAnsi="宋体"/>
          <w:color w:val="auto"/>
          <w:szCs w:val="21"/>
        </w:rPr>
      </w:pPr>
      <w:r>
        <w:rPr>
          <w:rFonts w:hint="eastAsia" w:ascii="宋体" w:hAnsi="宋体" w:cs="宋体"/>
          <w:bCs/>
          <w:color w:val="auto"/>
          <w:kern w:val="0"/>
          <w:szCs w:val="21"/>
        </w:rPr>
        <w:t>★</w:t>
      </w:r>
      <w:r>
        <w:rPr>
          <w:rFonts w:hint="eastAsia" w:ascii="宋体" w:hAnsi="宋体"/>
          <w:color w:val="auto"/>
          <w:szCs w:val="21"/>
        </w:rPr>
        <w:t>(1</w:t>
      </w:r>
      <w:r>
        <w:rPr>
          <w:rFonts w:ascii="宋体" w:hAnsi="宋体"/>
          <w:color w:val="auto"/>
          <w:szCs w:val="21"/>
        </w:rPr>
        <w:t>)</w:t>
      </w:r>
      <w:r>
        <w:rPr>
          <w:rFonts w:hint="eastAsia" w:ascii="宋体" w:hAnsi="宋体"/>
          <w:color w:val="auto"/>
          <w:szCs w:val="21"/>
        </w:rPr>
        <w:t>谈判函（格式见第六章）</w:t>
      </w:r>
    </w:p>
    <w:p w14:paraId="4F0C7676">
      <w:pPr>
        <w:tabs>
          <w:tab w:val="left" w:pos="3870"/>
          <w:tab w:val="left" w:pos="4085"/>
        </w:tabs>
        <w:snapToGrid w:val="0"/>
        <w:spacing w:line="420" w:lineRule="exact"/>
        <w:ind w:firstLine="420" w:firstLineChars="200"/>
        <w:rPr>
          <w:rFonts w:hint="eastAsia" w:ascii="宋体" w:hAnsi="宋体"/>
          <w:color w:val="auto"/>
          <w:szCs w:val="21"/>
        </w:rPr>
      </w:pPr>
      <w:r>
        <w:rPr>
          <w:rFonts w:hint="eastAsia" w:ascii="宋体" w:hAnsi="宋体" w:cs="宋体"/>
          <w:bCs/>
          <w:color w:val="auto"/>
          <w:kern w:val="0"/>
          <w:szCs w:val="21"/>
        </w:rPr>
        <w:t>★</w:t>
      </w:r>
      <w:r>
        <w:rPr>
          <w:rFonts w:hint="eastAsia" w:ascii="宋体" w:hAnsi="宋体"/>
          <w:color w:val="auto"/>
          <w:szCs w:val="21"/>
        </w:rPr>
        <w:t>(2</w:t>
      </w:r>
      <w:r>
        <w:rPr>
          <w:rFonts w:ascii="宋体" w:hAnsi="宋体"/>
          <w:color w:val="auto"/>
          <w:szCs w:val="21"/>
        </w:rPr>
        <w:t>)</w:t>
      </w:r>
      <w:r>
        <w:rPr>
          <w:rFonts w:hint="eastAsia" w:ascii="宋体" w:hAnsi="宋体"/>
          <w:color w:val="auto"/>
          <w:szCs w:val="21"/>
        </w:rPr>
        <w:t>法定代表人身份证</w:t>
      </w:r>
    </w:p>
    <w:p w14:paraId="2AAB1931">
      <w:pPr>
        <w:snapToGrid w:val="0"/>
        <w:spacing w:line="420" w:lineRule="exact"/>
        <w:ind w:firstLine="420" w:firstLineChars="200"/>
        <w:rPr>
          <w:rFonts w:hint="eastAsia"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法定代表人授权委托书和代理人身份证（委托代理时必须提供，格式见第六章）</w:t>
      </w:r>
    </w:p>
    <w:p w14:paraId="1C48F9E1">
      <w:pPr>
        <w:snapToGrid w:val="0"/>
        <w:spacing w:line="420" w:lineRule="exact"/>
        <w:ind w:firstLine="422" w:firstLineChars="200"/>
        <w:rPr>
          <w:rFonts w:hint="eastAsia" w:ascii="宋体" w:hAnsi="宋体"/>
          <w:color w:val="auto"/>
          <w:szCs w:val="21"/>
        </w:rPr>
      </w:pPr>
      <w:r>
        <w:rPr>
          <w:rFonts w:hint="eastAsia" w:ascii="宋体" w:hAnsi="宋体"/>
          <w:b/>
          <w:color w:val="auto"/>
          <w:szCs w:val="21"/>
        </w:rPr>
        <w:t>★</w:t>
      </w:r>
      <w:r>
        <w:rPr>
          <w:rFonts w:hint="eastAsia" w:ascii="宋体" w:hAnsi="宋体"/>
          <w:color w:val="auto"/>
          <w:szCs w:val="21"/>
        </w:rPr>
        <w:t>(4</w:t>
      </w:r>
      <w:r>
        <w:rPr>
          <w:rFonts w:ascii="宋体" w:hAnsi="宋体"/>
          <w:color w:val="auto"/>
          <w:szCs w:val="21"/>
        </w:rPr>
        <w:t>)</w:t>
      </w:r>
      <w:r>
        <w:rPr>
          <w:rFonts w:ascii="宋体" w:hAnsi="宋体"/>
          <w:color w:val="auto"/>
        </w:rPr>
        <w:t>商务响应表(格式见第六章)</w:t>
      </w:r>
    </w:p>
    <w:p w14:paraId="34D993A3">
      <w:pPr>
        <w:snapToGrid w:val="0"/>
        <w:spacing w:line="420" w:lineRule="exact"/>
        <w:ind w:firstLine="422" w:firstLineChars="200"/>
        <w:rPr>
          <w:rFonts w:hint="eastAsia" w:ascii="宋体" w:hAnsi="宋体"/>
          <w:color w:val="auto"/>
        </w:rPr>
      </w:pPr>
      <w:bookmarkStart w:id="74" w:name="_Hlk111707698"/>
      <w:r>
        <w:rPr>
          <w:rFonts w:hint="eastAsia" w:ascii="宋体" w:hAnsi="宋体"/>
          <w:b/>
          <w:color w:val="auto"/>
          <w:szCs w:val="21"/>
        </w:rPr>
        <w:t>★</w:t>
      </w:r>
      <w:r>
        <w:rPr>
          <w:rFonts w:hint="eastAsia" w:ascii="宋体" w:hAnsi="宋体"/>
          <w:color w:val="auto"/>
        </w:rPr>
        <w:t>(5</w:t>
      </w:r>
      <w:r>
        <w:rPr>
          <w:rFonts w:ascii="宋体" w:hAnsi="宋体"/>
          <w:color w:val="auto"/>
        </w:rPr>
        <w:t>)</w:t>
      </w:r>
      <w:r>
        <w:rPr>
          <w:rFonts w:hint="eastAsia" w:ascii="宋体" w:hAnsi="宋体"/>
          <w:color w:val="auto"/>
          <w:szCs w:val="21"/>
        </w:rPr>
        <w:t>技术响应表</w:t>
      </w:r>
      <w:bookmarkStart w:id="75" w:name="_Hlk92285954"/>
      <w:r>
        <w:rPr>
          <w:rFonts w:ascii="宋体" w:hAnsi="宋体"/>
          <w:color w:val="auto"/>
        </w:rPr>
        <w:t>(格式见第六章)</w:t>
      </w:r>
      <w:bookmarkEnd w:id="75"/>
    </w:p>
    <w:p w14:paraId="5A7746BC">
      <w:pPr>
        <w:snapToGrid w:val="0"/>
        <w:spacing w:line="420" w:lineRule="exact"/>
        <w:ind w:firstLine="422" w:firstLineChars="200"/>
        <w:rPr>
          <w:rFonts w:hint="eastAsia" w:ascii="宋体" w:cs="宋体"/>
          <w:bCs/>
          <w:color w:val="auto"/>
          <w:kern w:val="0"/>
          <w:szCs w:val="21"/>
        </w:rPr>
      </w:pPr>
      <w:r>
        <w:rPr>
          <w:rFonts w:hint="eastAsia" w:ascii="宋体" w:hAnsi="宋体"/>
          <w:b/>
          <w:color w:val="auto"/>
          <w:szCs w:val="21"/>
        </w:rPr>
        <w:t>★</w:t>
      </w:r>
      <w:r>
        <w:rPr>
          <w:rFonts w:hint="eastAsia" w:ascii="宋体" w:cs="宋体"/>
          <w:bCs/>
          <w:color w:val="auto"/>
          <w:kern w:val="0"/>
          <w:szCs w:val="21"/>
        </w:rPr>
        <w:t>(6</w:t>
      </w:r>
      <w:r>
        <w:rPr>
          <w:rFonts w:ascii="宋体" w:cs="宋体"/>
          <w:bCs/>
          <w:color w:val="auto"/>
          <w:kern w:val="0"/>
          <w:szCs w:val="21"/>
        </w:rPr>
        <w:t>)</w:t>
      </w:r>
      <w:r>
        <w:rPr>
          <w:rFonts w:hint="eastAsia" w:ascii="宋体" w:cs="宋体"/>
          <w:color w:val="auto"/>
          <w:kern w:val="0"/>
          <w:szCs w:val="21"/>
        </w:rPr>
        <w:t>售后服务承诺书</w:t>
      </w:r>
      <w:r>
        <w:rPr>
          <w:rFonts w:hint="eastAsia" w:ascii="宋体" w:cs="宋体"/>
          <w:bCs/>
          <w:color w:val="auto"/>
          <w:kern w:val="0"/>
          <w:szCs w:val="21"/>
        </w:rPr>
        <w:t>（根据项目需求要求提供，格式自拟）</w:t>
      </w:r>
    </w:p>
    <w:p w14:paraId="6F9BEDB0">
      <w:pPr>
        <w:snapToGrid w:val="0"/>
        <w:spacing w:line="420" w:lineRule="exact"/>
        <w:ind w:firstLine="422" w:firstLineChars="200"/>
        <w:rPr>
          <w:rFonts w:hint="eastAsia"/>
          <w:color w:val="auto"/>
        </w:rPr>
      </w:pPr>
      <w:r>
        <w:rPr>
          <w:rFonts w:hint="eastAsia" w:ascii="宋体" w:hAnsi="宋体"/>
          <w:b/>
          <w:color w:val="auto"/>
          <w:szCs w:val="21"/>
        </w:rPr>
        <w:t>★</w:t>
      </w:r>
      <w:r>
        <w:rPr>
          <w:rFonts w:hint="eastAsia" w:ascii="宋体" w:cs="宋体"/>
          <w:bCs/>
          <w:color w:val="auto"/>
          <w:kern w:val="0"/>
          <w:szCs w:val="21"/>
        </w:rPr>
        <w:t>(</w:t>
      </w:r>
      <w:r>
        <w:rPr>
          <w:rFonts w:hint="eastAsia" w:ascii="宋体" w:cs="宋体"/>
          <w:bCs/>
          <w:color w:val="auto"/>
          <w:kern w:val="0"/>
          <w:szCs w:val="21"/>
          <w:lang w:val="en-US" w:eastAsia="zh-CN"/>
        </w:rPr>
        <w:t>7</w:t>
      </w:r>
      <w:r>
        <w:rPr>
          <w:rFonts w:ascii="宋体" w:cs="宋体"/>
          <w:bCs/>
          <w:color w:val="auto"/>
          <w:kern w:val="0"/>
          <w:szCs w:val="21"/>
        </w:rPr>
        <w:t>)</w:t>
      </w:r>
      <w:r>
        <w:rPr>
          <w:rFonts w:hint="eastAsia" w:ascii="宋体" w:hAnsi="宋体"/>
          <w:color w:val="auto"/>
          <w:szCs w:val="21"/>
        </w:rPr>
        <w:t>《项目需求》中要求必须提供的材料（如有，必须提供）</w:t>
      </w:r>
    </w:p>
    <w:bookmarkEnd w:id="74"/>
    <w:p w14:paraId="455B1BF5">
      <w:pPr>
        <w:snapToGrid w:val="0"/>
        <w:spacing w:line="420" w:lineRule="exact"/>
        <w:ind w:firstLine="422"/>
        <w:rPr>
          <w:rFonts w:hint="eastAsia" w:ascii="宋体" w:hAnsi="宋体"/>
          <w:b/>
          <w:color w:val="auto"/>
          <w:szCs w:val="21"/>
        </w:rPr>
      </w:pPr>
      <w:r>
        <w:rPr>
          <w:rFonts w:ascii="宋体" w:hAnsi="宋体"/>
          <w:b/>
          <w:color w:val="auto"/>
          <w:szCs w:val="21"/>
        </w:rPr>
        <w:t>3.</w:t>
      </w:r>
      <w:r>
        <w:rPr>
          <w:rFonts w:hint="eastAsia" w:ascii="宋体" w:hAnsi="宋体"/>
          <w:b/>
          <w:color w:val="auto"/>
          <w:szCs w:val="21"/>
        </w:rPr>
        <w:t>报价文件</w:t>
      </w:r>
    </w:p>
    <w:p w14:paraId="29D7F113">
      <w:pPr>
        <w:snapToGrid w:val="0"/>
        <w:spacing w:line="420" w:lineRule="exact"/>
        <w:rPr>
          <w:rFonts w:hint="eastAsia" w:ascii="宋体" w:hAnsi="宋体"/>
          <w:bCs/>
          <w:color w:val="auto"/>
          <w:szCs w:val="21"/>
        </w:rPr>
      </w:pPr>
      <w:bookmarkStart w:id="76" w:name="_Hlk92265738"/>
      <w:r>
        <w:rPr>
          <w:rFonts w:hint="eastAsia" w:ascii="宋体" w:hAnsi="宋体"/>
          <w:b/>
          <w:color w:val="auto"/>
          <w:szCs w:val="21"/>
        </w:rPr>
        <w:t xml:space="preserve"> </w:t>
      </w:r>
      <w:r>
        <w:rPr>
          <w:rFonts w:ascii="宋体" w:hAnsi="宋体"/>
          <w:b/>
          <w:color w:val="auto"/>
          <w:szCs w:val="21"/>
        </w:rPr>
        <w:t xml:space="preserve">   </w:t>
      </w:r>
      <w:r>
        <w:rPr>
          <w:rFonts w:hint="eastAsia" w:ascii="宋体" w:hAnsi="宋体"/>
          <w:b/>
          <w:color w:val="auto"/>
          <w:szCs w:val="21"/>
        </w:rPr>
        <w:t>★</w:t>
      </w:r>
      <w:r>
        <w:rPr>
          <w:rFonts w:hint="eastAsia" w:ascii="宋体" w:hAnsi="宋体"/>
          <w:bCs/>
          <w:color w:val="auto"/>
          <w:szCs w:val="21"/>
        </w:rPr>
        <w:t>报价明细表</w:t>
      </w:r>
      <w:bookmarkEnd w:id="76"/>
      <w:r>
        <w:rPr>
          <w:rFonts w:hint="eastAsia" w:ascii="宋体" w:hAnsi="宋体"/>
          <w:bCs/>
          <w:color w:val="auto"/>
          <w:szCs w:val="21"/>
        </w:rPr>
        <w:t>(格式见第六章)。</w:t>
      </w:r>
    </w:p>
    <w:bookmarkEnd w:id="71"/>
    <w:p w14:paraId="59327995">
      <w:pPr>
        <w:snapToGrid w:val="0"/>
        <w:spacing w:line="420" w:lineRule="exact"/>
        <w:ind w:firstLine="422"/>
        <w:rPr>
          <w:rFonts w:hint="eastAsia" w:ascii="宋体" w:hAnsi="宋体"/>
          <w:color w:val="auto"/>
          <w:szCs w:val="21"/>
        </w:rPr>
      </w:pPr>
      <w:r>
        <w:rPr>
          <w:rFonts w:hint="eastAsia" w:ascii="宋体" w:hAnsi="宋体"/>
          <w:color w:val="auto"/>
          <w:szCs w:val="21"/>
        </w:rPr>
        <w:t>注：标注★号的材料均为必须提供的材料须由供应商加盖公章，授权委托书必须由法定代表人签名，否则视为无效响应文件。</w:t>
      </w:r>
    </w:p>
    <w:p w14:paraId="1C62CA0D">
      <w:pPr>
        <w:spacing w:line="420" w:lineRule="exact"/>
        <w:ind w:firstLine="211" w:firstLineChars="100"/>
        <w:rPr>
          <w:rFonts w:hint="eastAsia" w:ascii="宋体" w:hAnsi="宋体"/>
          <w:b/>
          <w:bCs/>
          <w:color w:val="auto"/>
          <w:szCs w:val="21"/>
        </w:rPr>
      </w:pPr>
      <w:bookmarkStart w:id="77" w:name="_Hlk90906323"/>
      <w:r>
        <w:rPr>
          <w:rFonts w:hint="eastAsia" w:ascii="宋体" w:hAnsi="宋体"/>
          <w:b/>
          <w:color w:val="auto"/>
          <w:szCs w:val="21"/>
        </w:rPr>
        <w:t>（三）</w:t>
      </w:r>
      <w:bookmarkStart w:id="78" w:name="_Toc352700422"/>
      <w:bookmarkStart w:id="79" w:name="_Toc254970678"/>
      <w:bookmarkStart w:id="80" w:name="_Toc353785292"/>
      <w:bookmarkStart w:id="81" w:name="_Toc254970537"/>
      <w:r>
        <w:rPr>
          <w:rFonts w:hint="eastAsia" w:ascii="宋体" w:hAnsi="宋体"/>
          <w:b/>
          <w:bCs/>
          <w:color w:val="auto"/>
          <w:szCs w:val="21"/>
        </w:rPr>
        <w:t>响应文件的编制、签署及加密</w:t>
      </w:r>
    </w:p>
    <w:p w14:paraId="145BBC66">
      <w:pPr>
        <w:spacing w:line="420" w:lineRule="exact"/>
        <w:ind w:firstLine="420"/>
        <w:rPr>
          <w:rFonts w:hint="eastAsia" w:ascii="宋体" w:hAnsi="宋体"/>
          <w:color w:val="auto"/>
          <w:szCs w:val="21"/>
        </w:rPr>
      </w:pPr>
      <w:r>
        <w:rPr>
          <w:rFonts w:ascii="宋体" w:hAnsi="宋体"/>
          <w:color w:val="auto"/>
          <w:szCs w:val="21"/>
        </w:rPr>
        <w:t>1.</w:t>
      </w:r>
      <w:r>
        <w:rPr>
          <w:rFonts w:hint="eastAsia" w:ascii="宋体" w:hAnsi="宋体"/>
          <w:color w:val="auto"/>
          <w:szCs w:val="21"/>
        </w:rPr>
        <w:t>供应商应认真阅读、并充分理解招标文件的全部内容(包括所有的补充、修改内容)，承诺履行其各项条款的规定并按要求编制，响应文件应为电子文件或扫描件(样品除外)。</w:t>
      </w:r>
    </w:p>
    <w:p w14:paraId="3DA0A349">
      <w:pPr>
        <w:spacing w:line="420" w:lineRule="exact"/>
        <w:ind w:firstLine="420"/>
        <w:rPr>
          <w:rFonts w:hint="eastAsia" w:ascii="宋体" w:hAnsi="宋体"/>
          <w:color w:val="auto"/>
          <w:szCs w:val="21"/>
        </w:rPr>
      </w:pPr>
      <w:r>
        <w:rPr>
          <w:rFonts w:ascii="宋体" w:hAnsi="宋体"/>
          <w:color w:val="auto"/>
          <w:szCs w:val="21"/>
        </w:rPr>
        <w:t>2.</w:t>
      </w:r>
      <w:r>
        <w:rPr>
          <w:rFonts w:hint="eastAsia" w:ascii="宋体" w:hAnsi="宋体"/>
          <w:color w:val="auto"/>
          <w:szCs w:val="21"/>
        </w:rPr>
        <w:t>供应商应通过广西政采云投标客户端编制加密响应文件。</w:t>
      </w:r>
    </w:p>
    <w:p w14:paraId="1CB8458E">
      <w:pPr>
        <w:spacing w:line="420" w:lineRule="exact"/>
        <w:ind w:firstLine="420"/>
        <w:rPr>
          <w:rFonts w:hint="eastAsia" w:ascii="宋体" w:hAnsi="宋体"/>
          <w:color w:val="auto"/>
          <w:szCs w:val="21"/>
        </w:rPr>
      </w:pPr>
      <w:r>
        <w:rPr>
          <w:rFonts w:ascii="宋体" w:hAnsi="宋体"/>
          <w:color w:val="auto"/>
          <w:szCs w:val="21"/>
        </w:rPr>
        <w:t>3.</w:t>
      </w:r>
      <w:r>
        <w:rPr>
          <w:rFonts w:hint="eastAsia" w:ascii="宋体" w:hAnsi="宋体"/>
          <w:color w:val="auto"/>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2340645E">
      <w:pPr>
        <w:spacing w:line="420" w:lineRule="exact"/>
        <w:rPr>
          <w:rFonts w:hint="eastAsia" w:ascii="宋体" w:hAnsi="宋体"/>
          <w:b/>
          <w:bCs/>
          <w:color w:val="auto"/>
          <w:szCs w:val="21"/>
        </w:rPr>
      </w:pPr>
      <w:r>
        <w:rPr>
          <w:rFonts w:ascii="宋体" w:hAnsi="宋体"/>
          <w:color w:val="auto"/>
          <w:szCs w:val="21"/>
        </w:rPr>
        <w:tab/>
      </w:r>
      <w:r>
        <w:rPr>
          <w:rFonts w:ascii="宋体" w:hAnsi="宋体"/>
          <w:b/>
          <w:bCs/>
          <w:color w:val="auto"/>
          <w:szCs w:val="21"/>
        </w:rPr>
        <w:t>4.</w:t>
      </w:r>
      <w:bookmarkStart w:id="82" w:name="_Hlk112311085"/>
      <w:r>
        <w:rPr>
          <w:rFonts w:hint="eastAsia" w:ascii="宋体" w:hAnsi="宋体"/>
          <w:b/>
          <w:bCs/>
          <w:color w:val="auto"/>
          <w:szCs w:val="21"/>
        </w:rPr>
        <w:t>响应文件由供应商在规定位置由法定代表人或授权委托人签名（可为电子签名）、填写供应商名称并加盖公章(简称“盖章”，可为电子公章)，供应商名称应写全称。</w:t>
      </w:r>
      <w:bookmarkEnd w:id="82"/>
    </w:p>
    <w:p w14:paraId="0A3A6C95">
      <w:pPr>
        <w:snapToGrid w:val="0"/>
        <w:spacing w:line="420" w:lineRule="exact"/>
        <w:ind w:firstLine="210" w:firstLineChars="100"/>
        <w:rPr>
          <w:rFonts w:hint="eastAsia" w:ascii="宋体" w:hAnsi="宋体"/>
          <w:b/>
          <w:bCs/>
          <w:color w:val="auto"/>
          <w:szCs w:val="21"/>
        </w:rPr>
      </w:pPr>
      <w:r>
        <w:rPr>
          <w:rFonts w:ascii="宋体" w:hAnsi="宋体"/>
          <w:color w:val="auto"/>
          <w:szCs w:val="21"/>
        </w:rPr>
        <w:tab/>
      </w:r>
      <w:r>
        <w:rPr>
          <w:rFonts w:ascii="宋体" w:hAnsi="宋体"/>
          <w:color w:val="auto"/>
          <w:szCs w:val="21"/>
        </w:rPr>
        <w:t>5.</w:t>
      </w:r>
      <w:r>
        <w:rPr>
          <w:rFonts w:hint="eastAsia" w:ascii="宋体" w:hAnsi="宋体"/>
          <w:color w:val="auto"/>
          <w:szCs w:val="21"/>
        </w:rPr>
        <w:t>响应文件内容不完整、编排混乱、不清晰等原因导致被误读或漏读的责任和后果由供应商承担。</w:t>
      </w:r>
    </w:p>
    <w:bookmarkEnd w:id="77"/>
    <w:p w14:paraId="07EC4FA9">
      <w:pPr>
        <w:spacing w:line="420" w:lineRule="exact"/>
        <w:ind w:firstLine="211" w:firstLineChars="100"/>
        <w:rPr>
          <w:color w:val="auto"/>
        </w:rPr>
      </w:pPr>
      <w:r>
        <w:rPr>
          <w:rFonts w:hint="eastAsia"/>
          <w:b/>
          <w:bCs/>
          <w:color w:val="auto"/>
        </w:rPr>
        <w:t>（四）响应文件的语言及计量</w:t>
      </w:r>
      <w:bookmarkEnd w:id="78"/>
      <w:bookmarkEnd w:id="79"/>
      <w:bookmarkEnd w:id="80"/>
      <w:bookmarkEnd w:id="81"/>
    </w:p>
    <w:p w14:paraId="64E05A94">
      <w:pPr>
        <w:snapToGrid w:val="0"/>
        <w:spacing w:line="420" w:lineRule="exact"/>
        <w:ind w:firstLine="420"/>
        <w:rPr>
          <w:rFonts w:hint="eastAsia" w:ascii="宋体" w:hAnsi="宋体"/>
          <w:color w:val="auto"/>
          <w:szCs w:val="21"/>
        </w:rPr>
      </w:pPr>
      <w:r>
        <w:rPr>
          <w:rFonts w:ascii="宋体" w:hAnsi="宋体"/>
          <w:color w:val="auto"/>
          <w:szCs w:val="21"/>
        </w:rPr>
        <w:t>1.</w:t>
      </w:r>
      <w:r>
        <w:rPr>
          <w:rFonts w:hint="eastAsia" w:ascii="宋体" w:hAnsi="宋体"/>
          <w:color w:val="auto"/>
          <w:szCs w:val="21"/>
        </w:rPr>
        <w:t>响应文件以及供应商与采购人、本中心就有关事宜的所有来往函电，均应以中文汉语书写。除签名、盖章、专用名称等特殊情形外，以中文汉语以外的文字表述的视为无效文件。</w:t>
      </w:r>
    </w:p>
    <w:p w14:paraId="2FF9A426">
      <w:pPr>
        <w:snapToGrid w:val="0"/>
        <w:spacing w:line="420" w:lineRule="exact"/>
        <w:ind w:firstLine="420"/>
        <w:rPr>
          <w:rFonts w:hint="eastAsia" w:ascii="宋体" w:hAnsi="宋体"/>
          <w:color w:val="auto"/>
          <w:szCs w:val="21"/>
        </w:rPr>
      </w:pPr>
      <w:r>
        <w:rPr>
          <w:rFonts w:ascii="宋体" w:hAnsi="宋体"/>
          <w:color w:val="auto"/>
          <w:szCs w:val="21"/>
        </w:rPr>
        <w:t>2.响应</w:t>
      </w:r>
      <w:r>
        <w:rPr>
          <w:rFonts w:hint="eastAsia" w:ascii="宋体" w:hAnsi="宋体"/>
          <w:color w:val="auto"/>
          <w:szCs w:val="21"/>
        </w:rPr>
        <w:t>文件的计量单位，采购文件已有明确规定的，使用采购文件规定的计量单位；采购文件没有规定的，应采用中华人民共和国法定计量单位（货币单位：人民币元），否则视为无效响应文件。</w:t>
      </w:r>
    </w:p>
    <w:p w14:paraId="533B4E36">
      <w:pPr>
        <w:pStyle w:val="4"/>
        <w:spacing w:before="0" w:after="0" w:line="440" w:lineRule="exact"/>
        <w:ind w:firstLine="211" w:firstLineChars="100"/>
        <w:rPr>
          <w:rFonts w:hint="eastAsia" w:ascii="宋体" w:hAnsi="宋体" w:eastAsia="宋体"/>
          <w:color w:val="auto"/>
          <w:sz w:val="21"/>
          <w:szCs w:val="21"/>
        </w:rPr>
      </w:pPr>
      <w:bookmarkStart w:id="83" w:name="_（五）报价"/>
      <w:bookmarkEnd w:id="83"/>
      <w:bookmarkStart w:id="84" w:name="_Toc254970679"/>
      <w:bookmarkStart w:id="85" w:name="_Toc254970538"/>
      <w:bookmarkStart w:id="86" w:name="_Toc353785293"/>
      <w:bookmarkStart w:id="87" w:name="_Toc352700423"/>
      <w:r>
        <w:rPr>
          <w:rFonts w:hint="eastAsia" w:ascii="宋体" w:hAnsi="宋体" w:eastAsia="宋体"/>
          <w:color w:val="auto"/>
          <w:sz w:val="21"/>
          <w:szCs w:val="21"/>
        </w:rPr>
        <w:t>（五）报价</w:t>
      </w:r>
      <w:bookmarkEnd w:id="84"/>
      <w:bookmarkEnd w:id="85"/>
      <w:bookmarkEnd w:id="86"/>
      <w:bookmarkEnd w:id="87"/>
    </w:p>
    <w:p w14:paraId="1BB24DF7">
      <w:pPr>
        <w:pStyle w:val="21"/>
        <w:snapToGrid w:val="0"/>
        <w:spacing w:line="420" w:lineRule="exact"/>
        <w:ind w:firstLine="420"/>
        <w:rPr>
          <w:rFonts w:hint="eastAsia" w:hAnsi="宋体"/>
          <w:color w:val="auto"/>
        </w:rPr>
      </w:pPr>
      <w:r>
        <w:rPr>
          <w:rFonts w:hAnsi="宋体"/>
          <w:color w:val="auto"/>
        </w:rPr>
        <w:t>1.</w:t>
      </w:r>
      <w:r>
        <w:rPr>
          <w:rFonts w:hint="eastAsia" w:hAnsi="宋体"/>
          <w:color w:val="auto"/>
        </w:rPr>
        <w:t>采购文件中未列明，而供应商认为必需的费用也须列入总报价。在合同实施时，采购人将不予支付成交供应商没有列入总报价的项目费用，并认为此项费用已包含在总报价中。</w:t>
      </w:r>
    </w:p>
    <w:p w14:paraId="61F942E6">
      <w:pPr>
        <w:pStyle w:val="21"/>
        <w:snapToGrid w:val="0"/>
        <w:spacing w:line="420" w:lineRule="exact"/>
        <w:ind w:firstLine="420"/>
        <w:rPr>
          <w:color w:val="auto"/>
        </w:rPr>
      </w:pPr>
      <w:r>
        <w:rPr>
          <w:rFonts w:hAnsi="宋体"/>
          <w:color w:val="auto"/>
        </w:rPr>
        <w:t>2</w:t>
      </w:r>
      <w:r>
        <w:rPr>
          <w:rFonts w:hint="eastAsia" w:hAnsi="宋体"/>
          <w:color w:val="auto"/>
        </w:rPr>
        <w:t>供应商</w:t>
      </w:r>
      <w:r>
        <w:rPr>
          <w:rFonts w:hint="eastAsia"/>
          <w:color w:val="auto"/>
        </w:rPr>
        <w:t>必须就《项目需求》货物和服务的内容作完整唯一报价</w:t>
      </w:r>
      <w:r>
        <w:rPr>
          <w:rFonts w:hint="eastAsia" w:hAnsi="宋体"/>
          <w:color w:val="auto"/>
        </w:rPr>
        <w:t>，有选择的或有条件的报价视为无效响应文件。</w:t>
      </w:r>
    </w:p>
    <w:p w14:paraId="1C779261">
      <w:pPr>
        <w:tabs>
          <w:tab w:val="left" w:pos="525"/>
        </w:tabs>
        <w:snapToGrid w:val="0"/>
        <w:spacing w:line="420" w:lineRule="exact"/>
        <w:ind w:firstLine="420"/>
        <w:rPr>
          <w:rFonts w:hint="eastAsia" w:ascii="宋体" w:hAnsi="宋体"/>
          <w:color w:val="auto"/>
          <w:szCs w:val="21"/>
        </w:rPr>
      </w:pPr>
      <w:r>
        <w:rPr>
          <w:rFonts w:ascii="宋体" w:hAnsi="宋体"/>
          <w:color w:val="auto"/>
          <w:szCs w:val="21"/>
        </w:rPr>
        <w:t>3.</w:t>
      </w:r>
      <w:r>
        <w:rPr>
          <w:rFonts w:hint="eastAsia" w:ascii="宋体" w:hAnsi="宋体"/>
          <w:color w:val="auto"/>
          <w:szCs w:val="21"/>
        </w:rPr>
        <w:t>供应商的报价必须按采购文件或广西政府采购云平台规定的格式填写，并在规定时间内提交最后报价。</w:t>
      </w:r>
    </w:p>
    <w:p w14:paraId="67B9C3DA">
      <w:pPr>
        <w:tabs>
          <w:tab w:val="left" w:pos="525"/>
        </w:tabs>
        <w:snapToGrid w:val="0"/>
        <w:spacing w:line="420" w:lineRule="exact"/>
        <w:ind w:firstLine="420"/>
        <w:rPr>
          <w:rFonts w:hint="eastAsia" w:ascii="宋体" w:hAnsi="宋体"/>
          <w:color w:val="auto"/>
          <w:szCs w:val="21"/>
        </w:rPr>
      </w:pPr>
      <w:r>
        <w:rPr>
          <w:rFonts w:ascii="宋体" w:hAnsi="宋体"/>
          <w:color w:val="auto"/>
          <w:szCs w:val="21"/>
        </w:rPr>
        <w:t>4.</w:t>
      </w:r>
      <w:r>
        <w:rPr>
          <w:rFonts w:hint="eastAsia" w:ascii="宋体" w:hAnsi="宋体"/>
          <w:color w:val="auto"/>
          <w:szCs w:val="21"/>
        </w:rPr>
        <w:t>最后报价是供应商响应文件的有效组成部分。</w:t>
      </w:r>
    </w:p>
    <w:p w14:paraId="3BE1D08B">
      <w:pPr>
        <w:spacing w:line="420" w:lineRule="exact"/>
        <w:ind w:firstLine="211" w:firstLineChars="100"/>
        <w:rPr>
          <w:b/>
          <w:bCs/>
          <w:color w:val="auto"/>
        </w:rPr>
      </w:pPr>
      <w:bookmarkStart w:id="88" w:name="_（六）谈判保证金"/>
      <w:bookmarkEnd w:id="88"/>
      <w:r>
        <w:rPr>
          <w:rFonts w:hint="eastAsia"/>
          <w:b/>
          <w:bCs/>
          <w:color w:val="auto"/>
        </w:rPr>
        <w:t>（六）响应文件的上传、提交、修改、撤回</w:t>
      </w:r>
    </w:p>
    <w:p w14:paraId="7FB97595">
      <w:pPr>
        <w:snapToGrid w:val="0"/>
        <w:spacing w:line="420" w:lineRule="exact"/>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响应文件的上传和提交:供应商须将编制好的加密响应文件上传至广西政府采购云平台，并在响应文件提交截止时间前提交，否则广西政府采购云平台将予以拒收。</w:t>
      </w:r>
    </w:p>
    <w:p w14:paraId="5734C556">
      <w:pPr>
        <w:snapToGrid w:val="0"/>
        <w:spacing w:line="420" w:lineRule="exact"/>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响应文件的修改和撤回：</w:t>
      </w:r>
      <w:r>
        <w:rPr>
          <w:rFonts w:hint="eastAsia"/>
          <w:color w:val="auto"/>
          <w:szCs w:val="21"/>
        </w:rPr>
        <w:t>供应商在提交响应文件截止时间前，可以对所提交的响应文件进行补充、修改或者撤回</w:t>
      </w:r>
      <w:r>
        <w:rPr>
          <w:rFonts w:hint="eastAsia" w:ascii="宋体" w:hAnsi="宋体"/>
          <w:color w:val="auto"/>
          <w:szCs w:val="21"/>
        </w:rPr>
        <w:t>。补充或者修改响应文件的，应当先行撤回原响应文件，补充、修改后重新上传、提交。响应文件提交截止时间前未完成重新提交的，视为撤回响应文件，响应文件提交截止时间后提交响应文件的，广西政府采购云平台将予以拒收。响应文件提交截止时间后，供应商不得撤回响应文件。</w:t>
      </w:r>
      <w:r>
        <w:rPr>
          <w:rFonts w:hint="eastAsia"/>
          <w:color w:val="auto"/>
          <w:szCs w:val="21"/>
        </w:rPr>
        <w:t>补充、修改的内容作为响应文件的组成部分。补充、修改的内容与响应文件不一致的，以补充、修改的内容为准。</w:t>
      </w:r>
    </w:p>
    <w:p w14:paraId="51E61E05">
      <w:pPr>
        <w:pStyle w:val="4"/>
        <w:spacing w:line="420" w:lineRule="exact"/>
        <w:rPr>
          <w:color w:val="auto"/>
        </w:rPr>
      </w:pPr>
      <w:bookmarkStart w:id="89" w:name="_四、响应文件开启"/>
      <w:bookmarkEnd w:id="89"/>
      <w:r>
        <w:rPr>
          <w:rFonts w:hint="eastAsia"/>
          <w:color w:val="auto"/>
        </w:rPr>
        <w:t>四、</w:t>
      </w:r>
      <w:bookmarkStart w:id="90" w:name="_Toc352700430"/>
      <w:bookmarkStart w:id="91" w:name="_Toc353785300"/>
      <w:r>
        <w:rPr>
          <w:rFonts w:hint="eastAsia"/>
          <w:color w:val="auto"/>
        </w:rPr>
        <w:t>响应文件开启</w:t>
      </w:r>
    </w:p>
    <w:bookmarkEnd w:id="90"/>
    <w:bookmarkEnd w:id="91"/>
    <w:p w14:paraId="3DE00DF7">
      <w:pPr>
        <w:spacing w:line="420" w:lineRule="exact"/>
        <w:ind w:firstLine="210" w:firstLineChars="100"/>
        <w:rPr>
          <w:rFonts w:ascii="方正小标宋_GBK" w:hAnsi="Arial" w:eastAsia="方正小标宋_GBK"/>
          <w:bCs/>
          <w:color w:val="auto"/>
          <w:sz w:val="24"/>
        </w:rPr>
      </w:pPr>
      <w:r>
        <w:rPr>
          <w:rFonts w:hint="eastAsia"/>
          <w:color w:val="auto"/>
        </w:rPr>
        <w:t>（一）本中心将在响应文件提交截止时间后在</w:t>
      </w:r>
      <w:bookmarkStart w:id="92" w:name="_Hlk90300735"/>
      <w:r>
        <w:rPr>
          <w:rFonts w:hint="eastAsia"/>
          <w:color w:val="auto"/>
        </w:rPr>
        <w:t>广西政采云远程开标大厅</w:t>
      </w:r>
      <w:bookmarkEnd w:id="92"/>
      <w:r>
        <w:rPr>
          <w:rFonts w:hint="eastAsia"/>
          <w:color w:val="auto"/>
        </w:rPr>
        <w:t>进行响应文件开启，供应商法定代表人或委托代理人须按时登录</w:t>
      </w:r>
      <w:bookmarkStart w:id="93" w:name="_Hlk90300780"/>
      <w:r>
        <w:rPr>
          <w:rFonts w:hint="eastAsia"/>
          <w:color w:val="auto"/>
        </w:rPr>
        <w:t>广西政采云远程开标大厅</w:t>
      </w:r>
      <w:bookmarkEnd w:id="93"/>
      <w:r>
        <w:rPr>
          <w:rFonts w:hint="eastAsia"/>
          <w:color w:val="auto"/>
        </w:rPr>
        <w:t>（广西政府采购云平台-应用中心-项目采购-开标评标），保持全程在线并关注评审、谈判进度，评审期间谈判小组提出澄清等要求时，供应商须在规定时间内进行应答，否则按采购文件或广西政采云平台的相关规定执行。</w:t>
      </w:r>
      <w:bookmarkStart w:id="94" w:name="_Toc353785301"/>
      <w:bookmarkStart w:id="95" w:name="_Toc352700431"/>
    </w:p>
    <w:p w14:paraId="3865ED30">
      <w:pPr>
        <w:spacing w:line="420" w:lineRule="exact"/>
        <w:ind w:firstLine="210" w:firstLineChars="100"/>
        <w:rPr>
          <w:rFonts w:ascii="方正小标宋_GBK" w:hAnsi="Arial" w:eastAsia="方正小标宋_GBK"/>
          <w:bCs/>
          <w:color w:val="auto"/>
          <w:sz w:val="24"/>
        </w:rPr>
      </w:pPr>
      <w:r>
        <w:rPr>
          <w:rFonts w:hint="eastAsia"/>
          <w:color w:val="auto"/>
        </w:rPr>
        <w:t>（二）</w:t>
      </w:r>
      <w:bookmarkEnd w:id="94"/>
      <w:bookmarkEnd w:id="95"/>
      <w:r>
        <w:rPr>
          <w:rFonts w:hint="eastAsia"/>
          <w:color w:val="auto"/>
        </w:rPr>
        <w:t>解密</w:t>
      </w:r>
    </w:p>
    <w:p w14:paraId="79914927">
      <w:pPr>
        <w:spacing w:line="420" w:lineRule="exact"/>
        <w:ind w:firstLine="420" w:firstLineChars="200"/>
        <w:rPr>
          <w:color w:val="auto"/>
        </w:rPr>
      </w:pPr>
      <w:r>
        <w:rPr>
          <w:rFonts w:hint="eastAsia"/>
          <w:color w:val="auto"/>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广西政府采购云平台视为供应商自主放弃谈判。</w:t>
      </w:r>
    </w:p>
    <w:p w14:paraId="238244D1">
      <w:pPr>
        <w:spacing w:line="420" w:lineRule="exact"/>
        <w:ind w:firstLine="211" w:firstLineChars="100"/>
        <w:rPr>
          <w:b/>
          <w:bCs/>
          <w:color w:val="auto"/>
        </w:rPr>
      </w:pPr>
      <w:r>
        <w:rPr>
          <w:rFonts w:hint="eastAsia"/>
          <w:b/>
          <w:bCs/>
          <w:color w:val="auto"/>
        </w:rPr>
        <w:t>（三）资格审查</w:t>
      </w:r>
    </w:p>
    <w:p w14:paraId="6D1C8D2D">
      <w:pPr>
        <w:spacing w:line="420" w:lineRule="exact"/>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采购人依法对供应商的资格进行审查，资格性审查时，如发现下列情形之一的，响应文件将被视为无效：</w:t>
      </w:r>
    </w:p>
    <w:p w14:paraId="195FDE88">
      <w:pPr>
        <w:spacing w:line="420" w:lineRule="exact"/>
        <w:ind w:firstLine="420" w:firstLineChars="200"/>
        <w:rPr>
          <w:rFonts w:hint="eastAsia" w:ascii="宋体" w:hAnsi="宋体"/>
          <w:color w:val="auto"/>
          <w:szCs w:val="21"/>
        </w:rPr>
      </w:pPr>
      <w:r>
        <w:rPr>
          <w:rFonts w:hint="eastAsia" w:ascii="宋体" w:hAnsi="宋体"/>
          <w:color w:val="auto"/>
          <w:szCs w:val="21"/>
        </w:rPr>
        <w:t>(1)超越了按照法律法规规定必须获得行政许可或者行政审批的经营范围的；</w:t>
      </w:r>
    </w:p>
    <w:p w14:paraId="7EB8293B">
      <w:pPr>
        <w:spacing w:line="420" w:lineRule="exact"/>
        <w:ind w:firstLine="420" w:firstLineChars="200"/>
        <w:rPr>
          <w:rFonts w:hint="eastAsia" w:ascii="宋体" w:hAnsi="宋体"/>
          <w:color w:val="auto"/>
          <w:szCs w:val="21"/>
        </w:rPr>
      </w:pPr>
      <w:r>
        <w:rPr>
          <w:rFonts w:hint="eastAsia" w:ascii="宋体" w:hAnsi="宋体"/>
          <w:color w:val="auto"/>
          <w:szCs w:val="21"/>
        </w:rPr>
        <w:t>(2)资格证明文件不全的，或者不符合采购文件标明的资格要求的；</w:t>
      </w:r>
    </w:p>
    <w:p w14:paraId="713D31C8">
      <w:pPr>
        <w:snapToGrid w:val="0"/>
        <w:spacing w:line="420" w:lineRule="exact"/>
        <w:ind w:firstLine="420" w:firstLineChars="200"/>
        <w:jc w:val="left"/>
        <w:rPr>
          <w:rFonts w:hint="eastAsia" w:ascii="宋体" w:hAnsi="宋体"/>
          <w:color w:val="auto"/>
          <w:szCs w:val="21"/>
        </w:rPr>
      </w:pPr>
      <w:r>
        <w:rPr>
          <w:rFonts w:ascii="宋体" w:hAnsi="宋体"/>
          <w:color w:val="auto"/>
          <w:szCs w:val="21"/>
        </w:rPr>
        <w:t>2.</w:t>
      </w:r>
      <w:r>
        <w:rPr>
          <w:rFonts w:hint="eastAsia" w:ascii="宋体" w:hAnsi="宋体"/>
          <w:color w:val="auto"/>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14:paraId="6A4BA53B">
      <w:pPr>
        <w:pStyle w:val="4"/>
        <w:spacing w:line="420" w:lineRule="exact"/>
        <w:rPr>
          <w:rFonts w:hint="eastAsia" w:ascii="宋体" w:hAnsi="宋体"/>
          <w:color w:val="auto"/>
          <w:szCs w:val="21"/>
        </w:rPr>
      </w:pPr>
      <w:bookmarkStart w:id="96" w:name="_五、评审与谈判"/>
      <w:bookmarkEnd w:id="96"/>
      <w:bookmarkStart w:id="97" w:name="_Toc254970545"/>
      <w:bookmarkStart w:id="98" w:name="_Toc352700432"/>
      <w:bookmarkStart w:id="99" w:name="_Toc254970686"/>
      <w:bookmarkStart w:id="100" w:name="_Toc353785302"/>
      <w:r>
        <w:rPr>
          <w:rFonts w:hint="eastAsia"/>
          <w:color w:val="auto"/>
        </w:rPr>
        <w:t>五、</w:t>
      </w:r>
      <w:bookmarkEnd w:id="97"/>
      <w:bookmarkEnd w:id="98"/>
      <w:bookmarkEnd w:id="99"/>
      <w:bookmarkEnd w:id="100"/>
      <w:r>
        <w:rPr>
          <w:rFonts w:hint="eastAsia" w:ascii="宋体" w:hAnsi="宋体"/>
          <w:color w:val="auto"/>
          <w:szCs w:val="21"/>
        </w:rPr>
        <w:t>评审与谈判</w:t>
      </w:r>
    </w:p>
    <w:p w14:paraId="694D65CE">
      <w:pPr>
        <w:snapToGrid w:val="0"/>
        <w:spacing w:line="420" w:lineRule="exact"/>
        <w:ind w:firstLine="211" w:firstLineChars="100"/>
        <w:rPr>
          <w:rFonts w:hint="eastAsia" w:ascii="宋体" w:hAnsi="宋体"/>
          <w:b/>
          <w:bCs/>
          <w:color w:val="auto"/>
          <w:szCs w:val="21"/>
        </w:rPr>
      </w:pPr>
      <w:bookmarkStart w:id="101" w:name="_Toc352700433"/>
      <w:bookmarkStart w:id="102" w:name="_Toc353785303"/>
      <w:r>
        <w:rPr>
          <w:rFonts w:hint="eastAsia" w:ascii="宋体" w:hAnsi="宋体"/>
          <w:b/>
          <w:bCs/>
          <w:color w:val="auto"/>
          <w:szCs w:val="21"/>
        </w:rPr>
        <w:t>（一）评审原则：</w:t>
      </w:r>
    </w:p>
    <w:p w14:paraId="3F05ED7D">
      <w:pPr>
        <w:snapToGrid w:val="0"/>
        <w:spacing w:line="420" w:lineRule="exact"/>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谈判小组必须公平、公正、客观，不带任何倾向性和启发性；不得向外界透露任何与评审有关的内容；任何单位和个人不得干扰、影响评审的正常进行；谈判小组及有关工作人员不得私下接触供应商。</w:t>
      </w:r>
    </w:p>
    <w:p w14:paraId="77DAB427">
      <w:pPr>
        <w:snapToGrid w:val="0"/>
        <w:spacing w:line="420" w:lineRule="exact"/>
        <w:ind w:firstLine="420" w:firstLineChars="200"/>
        <w:rPr>
          <w:rFonts w:hint="eastAsia" w:ascii="宋体" w:hAnsi="宋体"/>
          <w:color w:val="auto"/>
          <w:szCs w:val="21"/>
        </w:rPr>
      </w:pPr>
      <w:r>
        <w:rPr>
          <w:rFonts w:ascii="宋体" w:hAnsi="宋体"/>
          <w:color w:val="auto"/>
          <w:szCs w:val="21"/>
        </w:rPr>
        <w:t>2.</w:t>
      </w:r>
      <w:r>
        <w:rPr>
          <w:rFonts w:hint="eastAsia" w:ascii="宋体" w:hAnsi="宋体" w:cs="Courier New"/>
          <w:color w:val="auto"/>
          <w:szCs w:val="21"/>
        </w:rPr>
        <w:t>本项目采用不公开方式评审，评审的依据为采购文件和响应文件。</w:t>
      </w:r>
    </w:p>
    <w:p w14:paraId="4D5CE3BC">
      <w:pPr>
        <w:snapToGrid w:val="0"/>
        <w:spacing w:line="420" w:lineRule="exact"/>
        <w:ind w:firstLine="211" w:firstLineChars="100"/>
        <w:rPr>
          <w:rFonts w:hint="eastAsia" w:ascii="宋体" w:hAnsi="宋体"/>
          <w:b/>
          <w:bCs/>
          <w:color w:val="auto"/>
          <w:szCs w:val="21"/>
        </w:rPr>
      </w:pPr>
      <w:r>
        <w:rPr>
          <w:rFonts w:hint="eastAsia"/>
          <w:b/>
          <w:bCs/>
          <w:color w:val="auto"/>
        </w:rPr>
        <w:t>（二）成立谈判小组</w:t>
      </w:r>
    </w:p>
    <w:p w14:paraId="2710C718">
      <w:pPr>
        <w:snapToGrid w:val="0"/>
        <w:spacing w:line="420" w:lineRule="exact"/>
        <w:ind w:firstLine="420" w:firstLineChars="200"/>
        <w:rPr>
          <w:rFonts w:hint="eastAsia" w:ascii="宋体" w:hAnsi="宋体"/>
          <w:color w:val="auto"/>
          <w:szCs w:val="21"/>
        </w:rPr>
      </w:pPr>
      <w:r>
        <w:rPr>
          <w:rFonts w:hint="eastAsia" w:ascii="宋体" w:hAnsi="宋体" w:cs="Courier New"/>
          <w:bCs/>
          <w:color w:val="auto"/>
          <w:szCs w:val="21"/>
        </w:rPr>
        <w:t>谈判小组</w:t>
      </w:r>
      <w:bookmarkEnd w:id="101"/>
      <w:bookmarkEnd w:id="102"/>
      <w:r>
        <w:rPr>
          <w:rFonts w:hint="eastAsia" w:ascii="宋体" w:hAnsi="宋体" w:cs="Courier New"/>
          <w:bCs/>
          <w:color w:val="auto"/>
          <w:szCs w:val="21"/>
        </w:rPr>
        <w:t>由采购人代表和评审专家共3人以上单数组成，其中评审专家人数不得少于谈判小组成员总数的2/3。</w:t>
      </w:r>
    </w:p>
    <w:p w14:paraId="2846AF43">
      <w:pPr>
        <w:spacing w:line="420" w:lineRule="exact"/>
        <w:ind w:firstLine="211" w:firstLineChars="100"/>
        <w:rPr>
          <w:rFonts w:hint="eastAsia" w:ascii="宋体" w:hAnsi="宋体"/>
          <w:b/>
          <w:bCs/>
          <w:color w:val="auto"/>
          <w:szCs w:val="21"/>
        </w:rPr>
      </w:pPr>
      <w:r>
        <w:rPr>
          <w:rFonts w:hint="eastAsia" w:ascii="宋体" w:hAnsi="宋体"/>
          <w:b/>
          <w:bCs/>
          <w:color w:val="auto"/>
          <w:szCs w:val="21"/>
        </w:rPr>
        <w:t>（三）确认谈判文件</w:t>
      </w:r>
    </w:p>
    <w:p w14:paraId="4FB4F622">
      <w:pPr>
        <w:spacing w:line="420" w:lineRule="exact"/>
        <w:ind w:firstLine="420" w:firstLineChars="200"/>
        <w:rPr>
          <w:rFonts w:hint="eastAsia" w:ascii="宋体" w:hAnsi="宋体"/>
          <w:b/>
          <w:bCs/>
          <w:color w:val="auto"/>
          <w:szCs w:val="21"/>
        </w:rPr>
      </w:pPr>
      <w:r>
        <w:rPr>
          <w:rFonts w:hint="eastAsia" w:hAnsi="宋体"/>
          <w:color w:val="auto"/>
        </w:rPr>
        <w:t>谈判小组对谈判文件进行确认，认可谈判文件的内容，符合法律法规的规定、不存在歧视性或排他性内容。</w:t>
      </w:r>
    </w:p>
    <w:p w14:paraId="5A1A4EF0">
      <w:pPr>
        <w:spacing w:line="420" w:lineRule="exact"/>
        <w:ind w:firstLine="211" w:firstLineChars="100"/>
        <w:rPr>
          <w:rFonts w:hint="eastAsia" w:ascii="宋体" w:hAnsi="宋体" w:cs="Courier New"/>
          <w:color w:val="auto"/>
          <w:szCs w:val="21"/>
        </w:rPr>
      </w:pPr>
      <w:r>
        <w:rPr>
          <w:rFonts w:hint="eastAsia" w:ascii="宋体" w:hAnsi="宋体"/>
          <w:b/>
          <w:bCs/>
          <w:color w:val="auto"/>
          <w:szCs w:val="21"/>
        </w:rPr>
        <w:t>（四）实质性审查</w:t>
      </w:r>
    </w:p>
    <w:p w14:paraId="78578A74">
      <w:pPr>
        <w:snapToGrid w:val="0"/>
        <w:spacing w:line="420" w:lineRule="exact"/>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14:paraId="4D56DD10">
      <w:pPr>
        <w:snapToGrid w:val="0"/>
        <w:spacing w:line="420" w:lineRule="exact"/>
        <w:ind w:firstLine="422" w:firstLineChars="200"/>
        <w:rPr>
          <w:rFonts w:hint="eastAsia" w:ascii="宋体" w:hAnsi="宋体"/>
          <w:b/>
          <w:bCs/>
          <w:color w:val="auto"/>
          <w:szCs w:val="21"/>
        </w:rPr>
      </w:pPr>
      <w:r>
        <w:rPr>
          <w:rFonts w:hint="eastAsia" w:ascii="宋体" w:hAnsi="宋体"/>
          <w:b/>
          <w:bCs/>
          <w:color w:val="auto"/>
          <w:szCs w:val="21"/>
        </w:rPr>
        <w:t>2</w:t>
      </w:r>
      <w:r>
        <w:rPr>
          <w:rFonts w:ascii="宋体" w:hAnsi="宋体"/>
          <w:b/>
          <w:bCs/>
          <w:color w:val="auto"/>
          <w:szCs w:val="21"/>
        </w:rPr>
        <w:t>.</w:t>
      </w:r>
      <w:r>
        <w:rPr>
          <w:rFonts w:hint="eastAsia" w:ascii="宋体" w:hAnsi="宋体"/>
          <w:b/>
          <w:bCs/>
          <w:color w:val="auto"/>
          <w:szCs w:val="21"/>
        </w:rPr>
        <w:t>实质性审查时，如发现下列情形之一的，响应文件将被视为无效：</w:t>
      </w:r>
    </w:p>
    <w:p w14:paraId="354112E5">
      <w:pPr>
        <w:snapToGrid w:val="0"/>
        <w:spacing w:line="420" w:lineRule="exact"/>
        <w:ind w:firstLine="525" w:firstLineChars="250"/>
        <w:rPr>
          <w:rFonts w:hint="eastAsia" w:ascii="宋体" w:hAnsi="宋体"/>
          <w:color w:val="auto"/>
          <w:szCs w:val="21"/>
        </w:rPr>
      </w:pPr>
      <w:bookmarkStart w:id="103" w:name="_Hlk112311783"/>
      <w:r>
        <w:rPr>
          <w:rFonts w:hint="eastAsia" w:ascii="宋体" w:hAnsi="宋体"/>
          <w:color w:val="auto"/>
          <w:szCs w:val="21"/>
        </w:rPr>
        <w:t>①应交未交谈判保证金的；</w:t>
      </w:r>
    </w:p>
    <w:p w14:paraId="2BBBC453">
      <w:pPr>
        <w:snapToGrid w:val="0"/>
        <w:spacing w:line="420" w:lineRule="exact"/>
        <w:ind w:firstLine="525" w:firstLineChars="250"/>
        <w:rPr>
          <w:rFonts w:hint="eastAsia" w:ascii="宋体" w:hAnsi="宋体"/>
          <w:color w:val="auto"/>
          <w:szCs w:val="21"/>
        </w:rPr>
      </w:pPr>
      <w:r>
        <w:rPr>
          <w:rFonts w:hint="eastAsia" w:ascii="宋体" w:hAnsi="宋体"/>
          <w:color w:val="auto"/>
          <w:szCs w:val="21"/>
        </w:rPr>
        <w:t>②响应文件未按响应文件编制要求提供或内容虚假的；</w:t>
      </w:r>
    </w:p>
    <w:p w14:paraId="66FBB82B">
      <w:pPr>
        <w:snapToGrid w:val="0"/>
        <w:spacing w:line="420" w:lineRule="exact"/>
        <w:ind w:firstLine="525" w:firstLineChars="250"/>
        <w:rPr>
          <w:rFonts w:hint="eastAsia" w:ascii="宋体" w:hAnsi="宋体"/>
          <w:color w:val="auto"/>
          <w:szCs w:val="21"/>
        </w:rPr>
      </w:pPr>
      <w:r>
        <w:rPr>
          <w:rFonts w:hint="eastAsia" w:ascii="宋体" w:hAnsi="宋体"/>
          <w:color w:val="auto"/>
          <w:szCs w:val="21"/>
        </w:rPr>
        <w:t>③响应文件无法定代表人或其委托代理人签署、未提供授权委托书，或未按规定盖章的；</w:t>
      </w:r>
    </w:p>
    <w:p w14:paraId="1EAEFCAC">
      <w:pPr>
        <w:snapToGrid w:val="0"/>
        <w:spacing w:line="420" w:lineRule="exact"/>
        <w:ind w:firstLine="525" w:firstLineChars="250"/>
        <w:rPr>
          <w:rFonts w:hint="eastAsia" w:ascii="宋体" w:hAnsi="宋体"/>
          <w:color w:val="auto"/>
          <w:szCs w:val="21"/>
        </w:rPr>
      </w:pPr>
      <w:r>
        <w:rPr>
          <w:rFonts w:hint="eastAsia" w:ascii="宋体" w:hAnsi="宋体"/>
          <w:color w:val="auto"/>
          <w:szCs w:val="21"/>
        </w:rPr>
        <w:t>④供应商代表未能出具身份证明或与法定代表人委托代理人身份不符的；</w:t>
      </w:r>
    </w:p>
    <w:p w14:paraId="332BCC85">
      <w:pPr>
        <w:snapToGrid w:val="0"/>
        <w:spacing w:line="420" w:lineRule="exact"/>
        <w:ind w:firstLine="525" w:firstLineChars="250"/>
        <w:rPr>
          <w:rFonts w:hint="eastAsia" w:ascii="宋体" w:hAnsi="宋体"/>
          <w:color w:val="auto"/>
          <w:szCs w:val="21"/>
        </w:rPr>
      </w:pPr>
      <w:r>
        <w:rPr>
          <w:rFonts w:hint="eastAsia" w:ascii="宋体" w:hAnsi="宋体"/>
          <w:color w:val="auto"/>
          <w:szCs w:val="21"/>
        </w:rPr>
        <w:t>⑤未实质性响应采购文件采购需求的技术、服务要求的；</w:t>
      </w:r>
    </w:p>
    <w:p w14:paraId="667D5FE7">
      <w:pPr>
        <w:snapToGrid w:val="0"/>
        <w:spacing w:line="420" w:lineRule="exact"/>
        <w:ind w:firstLine="525" w:firstLineChars="250"/>
        <w:rPr>
          <w:rFonts w:hint="eastAsia" w:ascii="宋体" w:hAnsi="宋体"/>
          <w:color w:val="auto"/>
          <w:szCs w:val="21"/>
        </w:rPr>
      </w:pPr>
      <w:r>
        <w:rPr>
          <w:rFonts w:hint="eastAsia" w:ascii="宋体" w:hAnsi="宋体"/>
          <w:color w:val="auto"/>
          <w:szCs w:val="21"/>
        </w:rPr>
        <w:t>⑥</w:t>
      </w:r>
      <w:r>
        <w:rPr>
          <w:rFonts w:hint="eastAsia" w:ascii="宋体" w:hAnsi="宋体"/>
          <w:color w:val="auto"/>
          <w:spacing w:val="-4"/>
          <w:szCs w:val="21"/>
        </w:rPr>
        <w:t>不符合采购文件要求的质量标准，或者与采购文件中的技术指标、功能、服务事项发生较大偏离，已不符合采购人需求的；</w:t>
      </w:r>
    </w:p>
    <w:p w14:paraId="60EDB8D7">
      <w:pPr>
        <w:snapToGrid w:val="0"/>
        <w:spacing w:line="420" w:lineRule="exact"/>
        <w:ind w:firstLine="505" w:firstLineChars="250"/>
        <w:rPr>
          <w:rFonts w:hint="eastAsia" w:ascii="宋体" w:hAnsi="宋体"/>
          <w:color w:val="auto"/>
          <w:szCs w:val="21"/>
        </w:rPr>
      </w:pPr>
      <w:r>
        <w:rPr>
          <w:rFonts w:hint="eastAsia" w:ascii="宋体" w:hAnsi="宋体"/>
          <w:color w:val="auto"/>
          <w:spacing w:val="-4"/>
          <w:szCs w:val="21"/>
        </w:rPr>
        <w:t>⑦</w:t>
      </w:r>
      <w:r>
        <w:rPr>
          <w:rFonts w:hint="eastAsia" w:ascii="宋体" w:hAnsi="宋体"/>
          <w:color w:val="auto"/>
          <w:szCs w:val="21"/>
        </w:rPr>
        <w:t>响应文件有采购人不能接受的附加条件的。</w:t>
      </w:r>
    </w:p>
    <w:p w14:paraId="6A7EFC04">
      <w:pPr>
        <w:snapToGrid w:val="0"/>
        <w:spacing w:line="420" w:lineRule="exact"/>
        <w:ind w:firstLine="525" w:firstLineChars="250"/>
        <w:rPr>
          <w:rFonts w:hint="eastAsia" w:ascii="宋体" w:hAnsi="宋体"/>
          <w:color w:val="auto"/>
          <w:spacing w:val="-4"/>
          <w:szCs w:val="21"/>
        </w:rPr>
      </w:pPr>
      <w:r>
        <w:rPr>
          <w:rFonts w:hint="eastAsia" w:ascii="宋体" w:hAnsi="宋体"/>
          <w:color w:val="auto"/>
          <w:szCs w:val="21"/>
        </w:rPr>
        <w:t>⑧</w:t>
      </w:r>
      <w:r>
        <w:rPr>
          <w:rFonts w:hint="eastAsia" w:ascii="宋体" w:hAnsi="宋体"/>
          <w:color w:val="auto"/>
          <w:spacing w:val="-4"/>
          <w:szCs w:val="21"/>
        </w:rPr>
        <w:t>响应文件技术方案不明确，存在一个或一个以上备选(替代)响应方案的；</w:t>
      </w:r>
    </w:p>
    <w:p w14:paraId="0BAA6807">
      <w:pPr>
        <w:snapToGrid w:val="0"/>
        <w:spacing w:line="420" w:lineRule="exact"/>
        <w:ind w:firstLine="505" w:firstLineChars="250"/>
        <w:rPr>
          <w:rFonts w:hint="eastAsia" w:ascii="宋体" w:hAnsi="宋体"/>
          <w:color w:val="auto"/>
          <w:szCs w:val="21"/>
        </w:rPr>
      </w:pPr>
      <w:r>
        <w:rPr>
          <w:rFonts w:hint="eastAsia" w:ascii="宋体" w:hAnsi="宋体"/>
          <w:color w:val="auto"/>
          <w:spacing w:val="-4"/>
          <w:szCs w:val="21"/>
        </w:rPr>
        <w:t>⑨</w:t>
      </w:r>
      <w:r>
        <w:rPr>
          <w:rFonts w:hint="eastAsia" w:ascii="宋体" w:hAnsi="宋体"/>
          <w:color w:val="auto"/>
          <w:szCs w:val="21"/>
        </w:rPr>
        <w:t>响应文件的实质性内容未使用中文表述、意思表述不明确、前后矛盾或者使用计量单位不符合采购文件要求的。</w:t>
      </w:r>
    </w:p>
    <w:bookmarkEnd w:id="103"/>
    <w:p w14:paraId="4E07D199">
      <w:pPr>
        <w:spacing w:line="420" w:lineRule="exact"/>
        <w:ind w:firstLine="211" w:firstLineChars="100"/>
        <w:rPr>
          <w:b/>
          <w:bCs/>
          <w:color w:val="auto"/>
        </w:rPr>
      </w:pPr>
      <w:r>
        <w:rPr>
          <w:rFonts w:hint="eastAsia"/>
          <w:b/>
          <w:bCs/>
          <w:color w:val="auto"/>
        </w:rPr>
        <w:t>（五）谈判</w:t>
      </w:r>
    </w:p>
    <w:p w14:paraId="74C54245">
      <w:pPr>
        <w:pStyle w:val="21"/>
        <w:spacing w:line="420" w:lineRule="exact"/>
        <w:ind w:firstLine="420" w:firstLineChars="200"/>
        <w:rPr>
          <w:color w:val="auto"/>
        </w:rPr>
      </w:pPr>
      <w:r>
        <w:rPr>
          <w:rFonts w:hint="eastAsia" w:hAnsi="宋体"/>
          <w:bCs/>
          <w:color w:val="auto"/>
        </w:rPr>
        <w:t>1</w:t>
      </w:r>
      <w:r>
        <w:rPr>
          <w:rFonts w:hAnsi="宋体"/>
          <w:bCs/>
          <w:color w:val="auto"/>
        </w:rPr>
        <w:t>.</w:t>
      </w:r>
      <w:r>
        <w:rPr>
          <w:rFonts w:hint="eastAsia"/>
          <w:color w:val="auto"/>
        </w:rPr>
        <w:t>谈判小组所有成员应当集中与单一供应商分别进行谈判，并给予所有参加谈判的供应商平等的谈判机会。</w:t>
      </w:r>
    </w:p>
    <w:p w14:paraId="47F83CA5">
      <w:pPr>
        <w:pStyle w:val="21"/>
        <w:spacing w:line="420" w:lineRule="exact"/>
        <w:ind w:firstLine="420" w:firstLineChars="200"/>
        <w:rPr>
          <w:rFonts w:hint="eastAsia" w:hAnsi="宋体"/>
          <w:bCs/>
          <w:color w:val="auto"/>
        </w:rPr>
      </w:pPr>
      <w:r>
        <w:rPr>
          <w:rFonts w:hint="eastAsia" w:hAnsi="宋体"/>
          <w:bCs/>
          <w:color w:val="auto"/>
        </w:rPr>
        <w:t>2</w:t>
      </w:r>
      <w:r>
        <w:rPr>
          <w:rFonts w:hAnsi="宋体"/>
          <w:bCs/>
          <w:color w:val="auto"/>
        </w:rPr>
        <w:t>.</w:t>
      </w:r>
      <w:r>
        <w:rPr>
          <w:rFonts w:hint="eastAsia" w:hAnsi="宋体"/>
          <w:bCs/>
          <w:color w:val="auto"/>
        </w:rPr>
        <w:t>谈判小组可以根据谈判文件和谈判情况实质性变动采购需求中的技术、服务要求以及合同草案条款，但不得变动谈判文件中的其他内容。实质性变动的内容，须经采购人代表确认。</w:t>
      </w:r>
    </w:p>
    <w:p w14:paraId="017B34FB">
      <w:pPr>
        <w:pStyle w:val="21"/>
        <w:spacing w:line="420" w:lineRule="exact"/>
        <w:ind w:firstLine="420" w:firstLineChars="200"/>
        <w:rPr>
          <w:rFonts w:hint="eastAsia" w:hAnsi="宋体"/>
          <w:bCs/>
          <w:color w:val="auto"/>
        </w:rPr>
      </w:pPr>
      <w:r>
        <w:rPr>
          <w:rFonts w:hAnsi="宋体"/>
          <w:bCs/>
          <w:color w:val="auto"/>
        </w:rPr>
        <w:t>3.</w:t>
      </w:r>
      <w:r>
        <w:rPr>
          <w:rFonts w:hint="eastAsia" w:hAnsi="宋体"/>
          <w:bCs/>
          <w:color w:val="auto"/>
        </w:rPr>
        <w:t>对谈判文件作出的实质性变动是谈判文件的有效组成部分，谈判小组应当及时以书面形式同时通知所有参加谈判的供应商。</w:t>
      </w:r>
    </w:p>
    <w:p w14:paraId="26F132CC">
      <w:pPr>
        <w:pStyle w:val="21"/>
        <w:spacing w:line="420" w:lineRule="exact"/>
        <w:ind w:firstLine="420" w:firstLineChars="200"/>
        <w:rPr>
          <w:rFonts w:hint="eastAsia" w:hAnsi="宋体"/>
          <w:bCs/>
          <w:color w:val="auto"/>
        </w:rPr>
      </w:pPr>
      <w:r>
        <w:rPr>
          <w:rFonts w:hint="eastAsia" w:hAnsi="宋体"/>
          <w:bCs/>
          <w:color w:val="auto"/>
        </w:rPr>
        <w:t>4</w:t>
      </w:r>
      <w:r>
        <w:rPr>
          <w:rFonts w:hAnsi="宋体"/>
          <w:bCs/>
          <w:color w:val="auto"/>
        </w:rPr>
        <w:t>.</w:t>
      </w:r>
      <w:r>
        <w:rPr>
          <w:rFonts w:hint="eastAsia" w:hAnsi="宋体"/>
          <w:bCs/>
          <w:color w:val="auto"/>
        </w:rPr>
        <w:t>供应商应当按照谈判文件的变动情况和谈判小组的要求重新提交响应文件，并由其法定代表人或授权代表签名或者加盖公章。由授权代表签名的，应当附法定代表人授权书。</w:t>
      </w:r>
      <w:bookmarkStart w:id="104" w:name="_Hlk92985140"/>
      <w:r>
        <w:rPr>
          <w:rFonts w:hint="eastAsia" w:hAnsi="宋体"/>
          <w:bCs/>
          <w:color w:val="auto"/>
        </w:rPr>
        <w:t>供应商为自然人的，应当由本人签名并附身份证明。</w:t>
      </w:r>
      <w:bookmarkEnd w:id="104"/>
      <w:r>
        <w:rPr>
          <w:rFonts w:hint="eastAsia" w:hAnsi="宋体"/>
          <w:bCs/>
          <w:color w:val="auto"/>
        </w:rPr>
        <w:t>逾时不提交的，视同放弃谈判。</w:t>
      </w:r>
    </w:p>
    <w:p w14:paraId="1DD475A7">
      <w:pPr>
        <w:pStyle w:val="21"/>
        <w:spacing w:line="420" w:lineRule="exact"/>
        <w:ind w:firstLine="420" w:firstLineChars="200"/>
        <w:rPr>
          <w:rFonts w:hint="eastAsia" w:hAnsi="宋体"/>
          <w:bCs/>
          <w:color w:val="auto"/>
        </w:rPr>
      </w:pPr>
      <w:r>
        <w:rPr>
          <w:rFonts w:hint="eastAsia" w:hAnsi="宋体"/>
          <w:bCs/>
          <w:color w:val="auto"/>
        </w:rPr>
        <w:t>5</w:t>
      </w:r>
      <w:r>
        <w:rPr>
          <w:rFonts w:hAnsi="宋体"/>
          <w:bCs/>
          <w:color w:val="auto"/>
        </w:rPr>
        <w:t>.</w:t>
      </w:r>
      <w:r>
        <w:rPr>
          <w:rFonts w:hint="eastAsia"/>
          <w:color w:val="auto"/>
        </w:rPr>
        <w:t>已提交响应文件的供应商，在提交最后报价之前，可以根据谈判情况退出谈判。</w:t>
      </w:r>
    </w:p>
    <w:p w14:paraId="03595272">
      <w:pPr>
        <w:spacing w:line="420" w:lineRule="exact"/>
        <w:ind w:firstLine="211" w:firstLineChars="100"/>
        <w:rPr>
          <w:b/>
          <w:bCs/>
          <w:color w:val="auto"/>
        </w:rPr>
      </w:pPr>
      <w:r>
        <w:rPr>
          <w:rFonts w:hint="eastAsia"/>
          <w:b/>
          <w:bCs/>
          <w:color w:val="auto"/>
        </w:rPr>
        <w:t>（六）最后报价</w:t>
      </w:r>
    </w:p>
    <w:p w14:paraId="39DB5508">
      <w:pPr>
        <w:spacing w:line="420" w:lineRule="exact"/>
        <w:ind w:firstLine="420" w:firstLineChars="200"/>
        <w:rPr>
          <w:color w:val="auto"/>
        </w:rPr>
      </w:pPr>
      <w:r>
        <w:rPr>
          <w:color w:val="auto"/>
        </w:rPr>
        <w:t>1.</w:t>
      </w:r>
      <w:r>
        <w:rPr>
          <w:rFonts w:hint="eastAsia"/>
          <w:color w:val="auto"/>
        </w:rPr>
        <w:t>谈判文件能够详细列明采购标的的技术、服务要求的，谈判结束后，谈判小组应当要求所有继续参加谈判的供应商在规定时间内提交最后报价，提交最后报价的供应商不得少于3家。</w:t>
      </w:r>
    </w:p>
    <w:p w14:paraId="5203832A">
      <w:pPr>
        <w:spacing w:line="420" w:lineRule="exact"/>
        <w:ind w:firstLine="420" w:firstLineChars="200"/>
        <w:rPr>
          <w:color w:val="auto"/>
        </w:rPr>
      </w:pPr>
      <w:r>
        <w:rPr>
          <w:rFonts w:hint="eastAsia"/>
          <w:color w:val="auto"/>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4F802D5B">
      <w:pPr>
        <w:spacing w:line="420" w:lineRule="exact"/>
        <w:ind w:firstLine="420" w:firstLineChars="200"/>
        <w:rPr>
          <w:color w:val="auto"/>
        </w:rPr>
      </w:pPr>
      <w:r>
        <w:rPr>
          <w:color w:val="auto"/>
        </w:rPr>
        <w:t>2.</w:t>
      </w:r>
      <w:r>
        <w:rPr>
          <w:rFonts w:hint="eastAsia"/>
          <w:color w:val="auto"/>
        </w:rPr>
        <w:t>最后报价应由其法定代表人或授权代表签名或者加盖公章，最后报价即系供应商响应报价。</w:t>
      </w:r>
    </w:p>
    <w:p w14:paraId="7EDC3F11">
      <w:pPr>
        <w:spacing w:line="420" w:lineRule="exact"/>
        <w:ind w:firstLine="422" w:firstLineChars="200"/>
        <w:rPr>
          <w:color w:val="auto"/>
        </w:rPr>
      </w:pPr>
      <w:r>
        <w:rPr>
          <w:rFonts w:hint="eastAsia"/>
          <w:b/>
          <w:bCs/>
          <w:color w:val="auto"/>
        </w:rPr>
        <w:t>3</w:t>
      </w:r>
      <w:r>
        <w:rPr>
          <w:rFonts w:hint="eastAsia" w:ascii="宋体" w:hAnsi="宋体" w:cs="Courier New"/>
          <w:b/>
          <w:color w:val="auto"/>
          <w:szCs w:val="21"/>
        </w:rPr>
        <w:t>.在报价评审时，如发现下列情形之一的，响应文件将被视为无效：</w:t>
      </w:r>
    </w:p>
    <w:p w14:paraId="1FB7B644">
      <w:pPr>
        <w:snapToGrid w:val="0"/>
        <w:spacing w:line="420" w:lineRule="exact"/>
        <w:ind w:firstLine="420" w:firstLineChars="200"/>
        <w:rPr>
          <w:rFonts w:hint="eastAsia" w:ascii="宋体" w:hAnsi="宋体"/>
          <w:color w:val="auto"/>
          <w:szCs w:val="21"/>
        </w:rPr>
      </w:pPr>
      <w:bookmarkStart w:id="105" w:name="_Hlk112312387"/>
      <w:r>
        <w:rPr>
          <w:rFonts w:hint="eastAsia" w:ascii="宋体" w:hAnsi="宋体"/>
          <w:color w:val="auto"/>
          <w:szCs w:val="21"/>
        </w:rPr>
        <w:t>(</w:t>
      </w:r>
      <w:r>
        <w:rPr>
          <w:rFonts w:ascii="宋体" w:hAnsi="宋体"/>
          <w:color w:val="auto"/>
          <w:szCs w:val="21"/>
        </w:rPr>
        <w:t>1)</w:t>
      </w:r>
      <w:r>
        <w:rPr>
          <w:rFonts w:hint="eastAsia" w:ascii="宋体" w:hAnsi="宋体"/>
          <w:color w:val="auto"/>
          <w:szCs w:val="21"/>
        </w:rPr>
        <w:t>报价未采用人民币或者未按照采购文件标明的币种报价的；</w:t>
      </w:r>
    </w:p>
    <w:p w14:paraId="311FA819">
      <w:pPr>
        <w:snapToGrid w:val="0"/>
        <w:spacing w:line="420" w:lineRule="exact"/>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报价明细表中货物品牌、规格、型号、服务事项未明确或与响应文件中相应内容不一致的；</w:t>
      </w:r>
    </w:p>
    <w:p w14:paraId="6D5B33BC">
      <w:pPr>
        <w:snapToGrid w:val="0"/>
        <w:spacing w:line="420" w:lineRule="exact"/>
        <w:ind w:firstLine="420" w:firstLineChars="200"/>
        <w:rPr>
          <w:rFonts w:hint="eastAsia" w:ascii="宋体" w:hAnsi="宋体"/>
          <w:color w:val="auto"/>
          <w:szCs w:val="21"/>
        </w:rPr>
      </w:pPr>
      <w:r>
        <w:rPr>
          <w:rFonts w:ascii="宋体" w:hAnsi="宋体"/>
          <w:color w:val="auto"/>
          <w:szCs w:val="21"/>
        </w:rPr>
        <w:t>(3)</w:t>
      </w:r>
      <w:r>
        <w:rPr>
          <w:rFonts w:hint="eastAsia" w:ascii="宋体" w:hAnsi="宋体"/>
          <w:color w:val="auto"/>
          <w:szCs w:val="21"/>
        </w:rPr>
        <w:t>报价具有选择性的；</w:t>
      </w:r>
    </w:p>
    <w:p w14:paraId="7C153410">
      <w:pPr>
        <w:snapToGrid w:val="0"/>
        <w:spacing w:line="420" w:lineRule="exact"/>
        <w:ind w:firstLine="420" w:firstLineChars="200"/>
        <w:rPr>
          <w:rFonts w:hint="eastAsia" w:ascii="宋体" w:hAnsi="宋体"/>
          <w:color w:val="auto"/>
          <w:szCs w:val="21"/>
        </w:rPr>
      </w:pPr>
      <w:r>
        <w:rPr>
          <w:rFonts w:ascii="宋体" w:hAnsi="宋体"/>
          <w:color w:val="auto"/>
          <w:szCs w:val="21"/>
        </w:rPr>
        <w:t>(4)</w:t>
      </w:r>
      <w:r>
        <w:rPr>
          <w:rFonts w:hint="eastAsia" w:ascii="宋体" w:hAnsi="宋体"/>
          <w:color w:val="auto"/>
          <w:szCs w:val="21"/>
        </w:rPr>
        <w:t>报价未按采购文件或广西政府采购云平台规定的格式填写，或未在规定时间内提交最后报价的。</w:t>
      </w:r>
    </w:p>
    <w:bookmarkEnd w:id="105"/>
    <w:p w14:paraId="16B4153C">
      <w:pPr>
        <w:spacing w:line="420" w:lineRule="exact"/>
        <w:ind w:firstLine="211" w:firstLineChars="100"/>
        <w:rPr>
          <w:b/>
          <w:bCs/>
          <w:color w:val="auto"/>
        </w:rPr>
      </w:pPr>
      <w:r>
        <w:rPr>
          <w:rFonts w:hint="eastAsia"/>
          <w:b/>
          <w:bCs/>
          <w:color w:val="auto"/>
        </w:rPr>
        <w:t>（八）澄清、说明或者更正的形式</w:t>
      </w:r>
    </w:p>
    <w:p w14:paraId="7CD5B5F6">
      <w:pPr>
        <w:pStyle w:val="21"/>
        <w:spacing w:line="420" w:lineRule="exact"/>
        <w:ind w:firstLine="420"/>
        <w:rPr>
          <w:rFonts w:hint="eastAsia" w:hAnsi="宋体"/>
          <w:bCs/>
          <w:color w:val="auto"/>
        </w:rPr>
      </w:pPr>
      <w:r>
        <w:rPr>
          <w:rFonts w:hint="eastAsia" w:hAnsi="宋体"/>
          <w:bCs/>
          <w:color w:val="auto"/>
        </w:rPr>
        <w:t>1</w:t>
      </w:r>
      <w:r>
        <w:rPr>
          <w:rFonts w:hAnsi="宋体"/>
          <w:bCs/>
          <w:color w:val="auto"/>
        </w:rPr>
        <w:t>.</w:t>
      </w:r>
      <w:r>
        <w:rPr>
          <w:rFonts w:hint="eastAsia" w:hAnsi="宋体"/>
          <w:bCs/>
          <w:color w:val="auto"/>
        </w:rPr>
        <w:t>谈判小组在对响应文件的有效性、完整性和响应程度进行审查时，可以要求供应商对响应文件中含义不明确、同类问题表述不一致或者有明显文字和计算错误的内容等作出必要的</w:t>
      </w:r>
      <w:bookmarkStart w:id="106" w:name="_Hlk92462362"/>
      <w:r>
        <w:rPr>
          <w:rFonts w:hint="eastAsia" w:hAnsi="宋体"/>
          <w:bCs/>
          <w:color w:val="auto"/>
        </w:rPr>
        <w:t>澄清、说明或者更正</w:t>
      </w:r>
      <w:bookmarkEnd w:id="106"/>
      <w:r>
        <w:rPr>
          <w:rFonts w:hint="eastAsia" w:hAnsi="宋体"/>
          <w:bCs/>
          <w:color w:val="auto"/>
        </w:rPr>
        <w:t>。供应商的澄清、说明或者更正不得超出响应文件的范围或者改变响应文件的实质性内容。</w:t>
      </w:r>
    </w:p>
    <w:p w14:paraId="72EA607F">
      <w:pPr>
        <w:pStyle w:val="21"/>
        <w:spacing w:line="420" w:lineRule="exact"/>
        <w:ind w:firstLine="420"/>
        <w:rPr>
          <w:rFonts w:hint="eastAsia" w:hAnsi="宋体"/>
          <w:bCs/>
          <w:color w:val="auto"/>
        </w:rPr>
      </w:pPr>
      <w:r>
        <w:rPr>
          <w:rFonts w:hint="eastAsia" w:hAnsi="宋体"/>
          <w:bCs/>
          <w:color w:val="auto"/>
        </w:rPr>
        <w:t>2</w:t>
      </w:r>
      <w:r>
        <w:rPr>
          <w:rFonts w:hAnsi="宋体"/>
          <w:bCs/>
          <w:color w:val="auto"/>
        </w:rPr>
        <w:t>.</w:t>
      </w:r>
      <w:r>
        <w:rPr>
          <w:rFonts w:hint="eastAsia" w:hAnsi="宋体"/>
          <w:bCs/>
          <w:color w:val="auto"/>
        </w:rPr>
        <w:t>谈判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14:paraId="2EB76A29">
      <w:pPr>
        <w:spacing w:line="420" w:lineRule="exact"/>
        <w:ind w:firstLine="211" w:firstLineChars="100"/>
        <w:rPr>
          <w:b/>
          <w:bCs/>
          <w:color w:val="auto"/>
        </w:rPr>
      </w:pPr>
      <w:r>
        <w:rPr>
          <w:rFonts w:hint="eastAsia"/>
          <w:b/>
          <w:bCs/>
          <w:color w:val="auto"/>
        </w:rPr>
        <w:t>（九）评定标准及推荐原则</w:t>
      </w:r>
    </w:p>
    <w:p w14:paraId="55B33031">
      <w:pPr>
        <w:spacing w:line="420" w:lineRule="exact"/>
        <w:ind w:firstLine="420" w:firstLineChars="200"/>
        <w:rPr>
          <w:color w:val="auto"/>
        </w:rPr>
      </w:pPr>
      <w:r>
        <w:rPr>
          <w:rFonts w:hint="eastAsia" w:ascii="宋体" w:hAnsi="Courier New" w:cs="Courier New"/>
          <w:color w:val="auto"/>
          <w:szCs w:val="21"/>
        </w:rPr>
        <w:t>详见第四章《评定标准及推荐原则》。</w:t>
      </w:r>
    </w:p>
    <w:p w14:paraId="7C8B9553">
      <w:pPr>
        <w:pStyle w:val="21"/>
        <w:spacing w:line="420" w:lineRule="exact"/>
        <w:ind w:firstLine="211" w:firstLineChars="100"/>
        <w:rPr>
          <w:rFonts w:hint="eastAsia" w:hAnsi="宋体"/>
          <w:b/>
          <w:color w:val="auto"/>
        </w:rPr>
      </w:pPr>
      <w:r>
        <w:rPr>
          <w:rFonts w:hint="eastAsia" w:hAnsi="宋体"/>
          <w:b/>
          <w:color w:val="auto"/>
        </w:rPr>
        <w:t>（十）供应商有下列情形之一的，属于恶意串通：</w:t>
      </w:r>
    </w:p>
    <w:p w14:paraId="00C9BC14">
      <w:pPr>
        <w:pStyle w:val="21"/>
        <w:spacing w:line="420" w:lineRule="exact"/>
        <w:ind w:firstLine="420" w:firstLineChars="200"/>
        <w:rPr>
          <w:rFonts w:hint="eastAsia" w:hAnsi="宋体" w:cs="Times New Roman"/>
          <w:color w:val="auto"/>
        </w:rPr>
      </w:pPr>
      <w:r>
        <w:rPr>
          <w:rFonts w:hint="eastAsia" w:hAnsi="宋体" w:cs="Times New Roman"/>
          <w:color w:val="auto"/>
        </w:rPr>
        <w:t>1</w:t>
      </w:r>
      <w:r>
        <w:rPr>
          <w:rFonts w:hAnsi="宋体" w:cs="Times New Roman"/>
          <w:color w:val="auto"/>
        </w:rPr>
        <w:t>.</w:t>
      </w:r>
      <w:r>
        <w:rPr>
          <w:rFonts w:hint="eastAsia" w:hAnsi="宋体" w:cs="Times New Roman"/>
          <w:color w:val="auto"/>
        </w:rPr>
        <w:t>供应商直接或者间接从采购人或者采购代理机构处获得其他供应商的相关情况并修改其响应文件；</w:t>
      </w:r>
    </w:p>
    <w:p w14:paraId="22370835">
      <w:pPr>
        <w:pStyle w:val="21"/>
        <w:spacing w:line="420" w:lineRule="exact"/>
        <w:ind w:firstLine="420" w:firstLineChars="200"/>
        <w:rPr>
          <w:rFonts w:hint="eastAsia" w:hAnsi="宋体" w:cs="Times New Roman"/>
          <w:color w:val="auto"/>
        </w:rPr>
      </w:pPr>
      <w:r>
        <w:rPr>
          <w:rFonts w:hint="eastAsia" w:hAnsi="宋体" w:cs="Times New Roman"/>
          <w:color w:val="auto"/>
        </w:rPr>
        <w:t>2</w:t>
      </w:r>
      <w:r>
        <w:rPr>
          <w:rFonts w:hAnsi="宋体" w:cs="Times New Roman"/>
          <w:color w:val="auto"/>
        </w:rPr>
        <w:t>.</w:t>
      </w:r>
      <w:r>
        <w:rPr>
          <w:rFonts w:hint="eastAsia" w:hAnsi="宋体" w:cs="Times New Roman"/>
          <w:color w:val="auto"/>
        </w:rPr>
        <w:t>供应商按照采购人或者采购代理机构的授意撤换、修改响应文件；</w:t>
      </w:r>
    </w:p>
    <w:p w14:paraId="5FB81613">
      <w:pPr>
        <w:pStyle w:val="21"/>
        <w:spacing w:line="420" w:lineRule="exact"/>
        <w:ind w:firstLine="420" w:firstLineChars="200"/>
        <w:rPr>
          <w:rFonts w:hint="eastAsia" w:hAnsi="宋体" w:cs="Times New Roman"/>
          <w:color w:val="auto"/>
        </w:rPr>
      </w:pPr>
      <w:r>
        <w:rPr>
          <w:rFonts w:hint="eastAsia" w:hAnsi="宋体" w:cs="Times New Roman"/>
          <w:color w:val="auto"/>
        </w:rPr>
        <w:t>3</w:t>
      </w:r>
      <w:r>
        <w:rPr>
          <w:rFonts w:hAnsi="宋体" w:cs="Times New Roman"/>
          <w:color w:val="auto"/>
        </w:rPr>
        <w:t>.</w:t>
      </w:r>
      <w:r>
        <w:rPr>
          <w:rFonts w:hint="eastAsia" w:hAnsi="宋体" w:cs="Times New Roman"/>
          <w:color w:val="auto"/>
        </w:rPr>
        <w:t>供应商之间协商报价、技术方案等响应文件的实质性内容；</w:t>
      </w:r>
    </w:p>
    <w:p w14:paraId="0C18A3B5">
      <w:pPr>
        <w:pStyle w:val="21"/>
        <w:spacing w:line="420" w:lineRule="exact"/>
        <w:ind w:firstLine="420" w:firstLineChars="200"/>
        <w:rPr>
          <w:rFonts w:hint="eastAsia" w:hAnsi="宋体" w:cs="Times New Roman"/>
          <w:color w:val="auto"/>
        </w:rPr>
      </w:pPr>
      <w:r>
        <w:rPr>
          <w:rFonts w:hint="eastAsia" w:hAnsi="宋体" w:cs="Times New Roman"/>
          <w:color w:val="auto"/>
        </w:rPr>
        <w:t>4</w:t>
      </w:r>
      <w:r>
        <w:rPr>
          <w:rFonts w:hAnsi="宋体" w:cs="Times New Roman"/>
          <w:color w:val="auto"/>
        </w:rPr>
        <w:t>.</w:t>
      </w:r>
      <w:r>
        <w:rPr>
          <w:rFonts w:hint="eastAsia" w:hAnsi="宋体" w:cs="Times New Roman"/>
          <w:color w:val="auto"/>
        </w:rPr>
        <w:t>属于同一集团、协会、商会等组织成员的供应商按照该组织要求协同参加政府采购活动；</w:t>
      </w:r>
    </w:p>
    <w:p w14:paraId="4AACDB08">
      <w:pPr>
        <w:pStyle w:val="21"/>
        <w:spacing w:line="420" w:lineRule="exact"/>
        <w:ind w:firstLine="420" w:firstLineChars="200"/>
        <w:rPr>
          <w:rFonts w:hint="eastAsia" w:hAnsi="宋体" w:cs="Times New Roman"/>
          <w:color w:val="auto"/>
        </w:rPr>
      </w:pPr>
      <w:r>
        <w:rPr>
          <w:rFonts w:hint="eastAsia" w:hAnsi="宋体" w:cs="Times New Roman"/>
          <w:color w:val="auto"/>
        </w:rPr>
        <w:t>5</w:t>
      </w:r>
      <w:r>
        <w:rPr>
          <w:rFonts w:hAnsi="宋体" w:cs="Times New Roman"/>
          <w:color w:val="auto"/>
        </w:rPr>
        <w:t>.</w:t>
      </w:r>
      <w:r>
        <w:rPr>
          <w:rFonts w:hint="eastAsia" w:hAnsi="宋体" w:cs="Times New Roman"/>
          <w:color w:val="auto"/>
        </w:rPr>
        <w:t>供应商之间事先约定由某一特定供应商成交；</w:t>
      </w:r>
    </w:p>
    <w:p w14:paraId="5A636C03">
      <w:pPr>
        <w:pStyle w:val="21"/>
        <w:spacing w:line="420" w:lineRule="exact"/>
        <w:ind w:firstLine="420" w:firstLineChars="200"/>
        <w:rPr>
          <w:rFonts w:hint="eastAsia" w:hAnsi="宋体" w:cs="Times New Roman"/>
          <w:color w:val="auto"/>
        </w:rPr>
      </w:pPr>
      <w:r>
        <w:rPr>
          <w:rFonts w:hint="eastAsia" w:hAnsi="宋体" w:cs="Times New Roman"/>
          <w:color w:val="auto"/>
        </w:rPr>
        <w:t>6</w:t>
      </w:r>
      <w:r>
        <w:rPr>
          <w:rFonts w:hAnsi="宋体" w:cs="Times New Roman"/>
          <w:color w:val="auto"/>
        </w:rPr>
        <w:t>.</w:t>
      </w:r>
      <w:r>
        <w:rPr>
          <w:rFonts w:hint="eastAsia" w:hAnsi="宋体" w:cs="Times New Roman"/>
          <w:color w:val="auto"/>
        </w:rPr>
        <w:t>供应商之间商定部分供应商放弃参加政府采购活动或者放弃成交；</w:t>
      </w:r>
    </w:p>
    <w:p w14:paraId="38002683">
      <w:pPr>
        <w:pStyle w:val="21"/>
        <w:spacing w:line="420" w:lineRule="exact"/>
        <w:ind w:firstLine="420" w:firstLineChars="200"/>
        <w:rPr>
          <w:rFonts w:hint="eastAsia" w:hAnsi="宋体" w:cs="Times New Roman"/>
          <w:color w:val="auto"/>
        </w:rPr>
      </w:pPr>
      <w:r>
        <w:rPr>
          <w:rFonts w:hint="eastAsia" w:hAnsi="宋体" w:cs="Times New Roman"/>
          <w:color w:val="auto"/>
        </w:rPr>
        <w:t>7</w:t>
      </w:r>
      <w:r>
        <w:rPr>
          <w:rFonts w:hAnsi="宋体" w:cs="Times New Roman"/>
          <w:color w:val="auto"/>
        </w:rPr>
        <w:t>.</w:t>
      </w:r>
      <w:r>
        <w:rPr>
          <w:rFonts w:hint="eastAsia" w:hAnsi="宋体" w:cs="Times New Roman"/>
          <w:color w:val="auto"/>
        </w:rPr>
        <w:t>供应商与采购人或者采购代理机构之间、供应商相互之间，为谋求特定供应商成交或者排斥其他供应商的其他串通行为。</w:t>
      </w:r>
    </w:p>
    <w:p w14:paraId="25B1687B">
      <w:pPr>
        <w:pStyle w:val="21"/>
        <w:spacing w:line="420" w:lineRule="exact"/>
        <w:ind w:firstLine="211" w:firstLineChars="100"/>
        <w:rPr>
          <w:rFonts w:hint="eastAsia" w:hAnsi="宋体"/>
          <w:b/>
          <w:color w:val="auto"/>
        </w:rPr>
      </w:pPr>
      <w:r>
        <w:rPr>
          <w:rFonts w:hint="eastAsia" w:hAnsi="宋体"/>
          <w:b/>
          <w:color w:val="auto"/>
        </w:rPr>
        <w:t>（十一）评审报告</w:t>
      </w:r>
    </w:p>
    <w:p w14:paraId="50D7BDF4">
      <w:pPr>
        <w:widowControl/>
        <w:tabs>
          <w:tab w:val="left" w:pos="540"/>
        </w:tabs>
        <w:spacing w:line="420" w:lineRule="exact"/>
        <w:ind w:firstLine="420" w:firstLineChars="200"/>
        <w:jc w:val="left"/>
        <w:rPr>
          <w:color w:val="auto"/>
          <w:szCs w:val="21"/>
        </w:rPr>
      </w:pPr>
      <w:r>
        <w:rPr>
          <w:rFonts w:hint="eastAsia"/>
          <w:color w:val="auto"/>
          <w:szCs w:val="21"/>
        </w:rPr>
        <w:t>1</w:t>
      </w:r>
      <w:r>
        <w:rPr>
          <w:color w:val="auto"/>
          <w:szCs w:val="21"/>
        </w:rPr>
        <w:t>.</w:t>
      </w:r>
      <w:r>
        <w:rPr>
          <w:rFonts w:hint="eastAsia"/>
          <w:color w:val="auto"/>
          <w:szCs w:val="21"/>
        </w:rPr>
        <w:t>谈判小组应当根据评审记录和评审结果编写评审报告，主要内容包括：</w:t>
      </w:r>
    </w:p>
    <w:p w14:paraId="17F4B2E5">
      <w:pPr>
        <w:widowControl/>
        <w:tabs>
          <w:tab w:val="left" w:pos="540"/>
        </w:tabs>
        <w:spacing w:line="420" w:lineRule="exact"/>
        <w:ind w:firstLine="420" w:firstLineChars="200"/>
        <w:jc w:val="left"/>
        <w:rPr>
          <w:color w:val="auto"/>
          <w:szCs w:val="21"/>
        </w:rPr>
      </w:pPr>
      <w:r>
        <w:rPr>
          <w:rFonts w:hint="eastAsia"/>
          <w:color w:val="auto"/>
          <w:szCs w:val="21"/>
        </w:rPr>
        <w:t>(</w:t>
      </w:r>
      <w:r>
        <w:rPr>
          <w:color w:val="auto"/>
          <w:szCs w:val="21"/>
        </w:rPr>
        <w:t>1)</w:t>
      </w:r>
      <w:r>
        <w:rPr>
          <w:rFonts w:hint="eastAsia"/>
          <w:color w:val="auto"/>
          <w:szCs w:val="21"/>
        </w:rPr>
        <w:t>邀请供应商参加采购活动的具体方式和相关情况，以及参加采购活动的供应商名单；</w:t>
      </w:r>
    </w:p>
    <w:p w14:paraId="4B11CA93">
      <w:pPr>
        <w:widowControl/>
        <w:tabs>
          <w:tab w:val="left" w:pos="540"/>
        </w:tabs>
        <w:spacing w:line="420" w:lineRule="exact"/>
        <w:ind w:firstLine="420" w:firstLineChars="200"/>
        <w:jc w:val="left"/>
        <w:rPr>
          <w:color w:val="auto"/>
          <w:szCs w:val="21"/>
        </w:rPr>
      </w:pPr>
      <w:r>
        <w:rPr>
          <w:rFonts w:hint="eastAsia"/>
          <w:color w:val="auto"/>
          <w:szCs w:val="21"/>
        </w:rPr>
        <w:t>(</w:t>
      </w:r>
      <w:r>
        <w:rPr>
          <w:color w:val="auto"/>
          <w:szCs w:val="21"/>
        </w:rPr>
        <w:t>2)</w:t>
      </w:r>
      <w:r>
        <w:rPr>
          <w:rFonts w:hint="eastAsia"/>
          <w:color w:val="auto"/>
          <w:szCs w:val="21"/>
        </w:rPr>
        <w:t>评审日期和地点，谈判小组成员名单；</w:t>
      </w:r>
    </w:p>
    <w:p w14:paraId="6EF681B3">
      <w:pPr>
        <w:widowControl/>
        <w:tabs>
          <w:tab w:val="left" w:pos="540"/>
        </w:tabs>
        <w:spacing w:line="420" w:lineRule="exact"/>
        <w:ind w:firstLine="420" w:firstLineChars="200"/>
        <w:jc w:val="left"/>
        <w:rPr>
          <w:color w:val="auto"/>
          <w:szCs w:val="21"/>
        </w:rPr>
      </w:pPr>
      <w:r>
        <w:rPr>
          <w:rFonts w:hint="eastAsia"/>
          <w:color w:val="auto"/>
          <w:szCs w:val="21"/>
        </w:rPr>
        <w:t>(</w:t>
      </w:r>
      <w:r>
        <w:rPr>
          <w:color w:val="auto"/>
          <w:szCs w:val="21"/>
        </w:rPr>
        <w:t>3)</w:t>
      </w:r>
      <w:r>
        <w:rPr>
          <w:rFonts w:hint="eastAsia"/>
          <w:color w:val="auto"/>
          <w:szCs w:val="21"/>
        </w:rPr>
        <w:t>评审情况记录和说明，包括对供应商的资格审查情况、供应商响应文件评审情况、谈判情况、报价情况等；</w:t>
      </w:r>
    </w:p>
    <w:p w14:paraId="3749C27F">
      <w:pPr>
        <w:widowControl/>
        <w:tabs>
          <w:tab w:val="left" w:pos="540"/>
        </w:tabs>
        <w:spacing w:line="420" w:lineRule="exact"/>
        <w:ind w:firstLine="420" w:firstLineChars="200"/>
        <w:jc w:val="left"/>
        <w:rPr>
          <w:rFonts w:hint="eastAsia" w:eastAsia="宋体"/>
          <w:color w:val="auto"/>
          <w:lang w:eastAsia="zh-CN"/>
        </w:rPr>
      </w:pPr>
      <w:r>
        <w:rPr>
          <w:rFonts w:hint="eastAsia"/>
          <w:color w:val="auto"/>
        </w:rPr>
        <w:t>(</w:t>
      </w:r>
      <w:r>
        <w:rPr>
          <w:color w:val="auto"/>
        </w:rPr>
        <w:t>4)</w:t>
      </w:r>
      <w:r>
        <w:rPr>
          <w:rFonts w:hint="eastAsia"/>
          <w:color w:val="auto"/>
        </w:rPr>
        <w:t>提出的成交候选人的名单及理由。</w:t>
      </w:r>
    </w:p>
    <w:p w14:paraId="76FA57F3">
      <w:pPr>
        <w:widowControl/>
        <w:tabs>
          <w:tab w:val="left" w:pos="540"/>
        </w:tabs>
        <w:spacing w:line="420" w:lineRule="exact"/>
        <w:ind w:firstLine="420" w:firstLineChars="200"/>
        <w:jc w:val="left"/>
        <w:rPr>
          <w:color w:val="auto"/>
          <w:szCs w:val="21"/>
        </w:rPr>
      </w:pPr>
      <w:r>
        <w:rPr>
          <w:rFonts w:hint="eastAsia"/>
          <w:color w:val="auto"/>
        </w:rPr>
        <w:t>　　2</w:t>
      </w:r>
      <w:r>
        <w:rPr>
          <w:color w:val="auto"/>
        </w:rPr>
        <w:t>.</w:t>
      </w:r>
      <w:r>
        <w:rPr>
          <w:rFonts w:hint="eastAsia"/>
          <w:color w:val="auto"/>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14:paraId="7A9F99EB">
      <w:pPr>
        <w:pStyle w:val="21"/>
        <w:spacing w:line="420" w:lineRule="exact"/>
        <w:ind w:firstLine="211" w:firstLineChars="100"/>
        <w:rPr>
          <w:rFonts w:hint="eastAsia" w:hAnsi="宋体"/>
          <w:color w:val="auto"/>
        </w:rPr>
      </w:pPr>
      <w:r>
        <w:rPr>
          <w:rFonts w:hint="eastAsia" w:hAnsi="宋体"/>
          <w:b/>
          <w:bCs/>
          <w:color w:val="auto"/>
        </w:rPr>
        <w:t>（十二）</w:t>
      </w:r>
      <w:r>
        <w:rPr>
          <w:rFonts w:hint="eastAsia" w:hAnsi="宋体"/>
          <w:b/>
          <w:color w:val="auto"/>
        </w:rPr>
        <w:t>出现下列情形之一的，本中心将终止竞争性谈判采购活动：</w:t>
      </w:r>
    </w:p>
    <w:p w14:paraId="41E03ED6">
      <w:pPr>
        <w:pStyle w:val="21"/>
        <w:spacing w:line="420" w:lineRule="exact"/>
        <w:ind w:firstLine="420" w:firstLineChars="200"/>
        <w:rPr>
          <w:rFonts w:hint="eastAsia" w:hAnsi="宋体"/>
          <w:color w:val="auto"/>
        </w:rPr>
      </w:pPr>
      <w:r>
        <w:rPr>
          <w:rFonts w:hint="eastAsia" w:hAnsi="宋体"/>
          <w:color w:val="auto"/>
        </w:rPr>
        <w:t>1</w:t>
      </w:r>
      <w:r>
        <w:rPr>
          <w:rFonts w:hAnsi="宋体"/>
          <w:color w:val="auto"/>
        </w:rPr>
        <w:t>.</w:t>
      </w:r>
      <w:r>
        <w:rPr>
          <w:rFonts w:hint="eastAsia" w:hAnsi="宋体"/>
          <w:color w:val="auto"/>
        </w:rPr>
        <w:t>因情况变化，不再符合规定的竞争性谈判采购方式适用情形的；</w:t>
      </w:r>
    </w:p>
    <w:p w14:paraId="4A3952AE">
      <w:pPr>
        <w:pStyle w:val="21"/>
        <w:spacing w:line="420" w:lineRule="exact"/>
        <w:ind w:firstLine="420" w:firstLineChars="200"/>
        <w:rPr>
          <w:rFonts w:hint="eastAsia" w:hAnsi="宋体"/>
          <w:color w:val="auto"/>
        </w:rPr>
      </w:pPr>
      <w:r>
        <w:rPr>
          <w:rFonts w:hint="eastAsia" w:hAnsi="宋体"/>
          <w:color w:val="auto"/>
        </w:rPr>
        <w:t>2</w:t>
      </w:r>
      <w:r>
        <w:rPr>
          <w:rFonts w:hAnsi="宋体"/>
          <w:color w:val="auto"/>
        </w:rPr>
        <w:t>.</w:t>
      </w:r>
      <w:r>
        <w:rPr>
          <w:rFonts w:hint="eastAsia" w:hAnsi="宋体"/>
          <w:color w:val="auto"/>
        </w:rPr>
        <w:t>出现影响采购公正的违法、违规行为的；</w:t>
      </w:r>
    </w:p>
    <w:p w14:paraId="56A91C50">
      <w:pPr>
        <w:pStyle w:val="21"/>
        <w:spacing w:line="420" w:lineRule="exact"/>
        <w:ind w:firstLine="420" w:firstLineChars="200"/>
        <w:rPr>
          <w:rFonts w:hint="eastAsia" w:hAnsi="宋体"/>
          <w:color w:val="auto"/>
        </w:rPr>
      </w:pPr>
      <w:r>
        <w:rPr>
          <w:rFonts w:hint="eastAsia" w:hAnsi="宋体"/>
          <w:color w:val="auto"/>
        </w:rPr>
        <w:t>3</w:t>
      </w:r>
      <w:r>
        <w:rPr>
          <w:rFonts w:hAnsi="宋体"/>
          <w:color w:val="auto"/>
        </w:rPr>
        <w:t>.</w:t>
      </w:r>
      <w:r>
        <w:rPr>
          <w:rFonts w:hint="eastAsia" w:hAnsi="宋体"/>
          <w:color w:val="auto"/>
        </w:rPr>
        <w:t>在采购过程中符合竞争要求的供应商或者报价未超过采购预算的供应商不足3家的。</w:t>
      </w:r>
    </w:p>
    <w:p w14:paraId="7BAABBD4">
      <w:pPr>
        <w:pStyle w:val="4"/>
        <w:spacing w:line="420" w:lineRule="exact"/>
        <w:rPr>
          <w:color w:val="auto"/>
        </w:rPr>
      </w:pPr>
      <w:r>
        <w:rPr>
          <w:rFonts w:hint="eastAsia"/>
          <w:color w:val="auto"/>
        </w:rPr>
        <w:t>六、确定成交供应商</w:t>
      </w:r>
    </w:p>
    <w:p w14:paraId="2C6FF657">
      <w:pPr>
        <w:pStyle w:val="21"/>
        <w:spacing w:line="420" w:lineRule="exact"/>
        <w:ind w:firstLine="420"/>
        <w:rPr>
          <w:rFonts w:hint="eastAsia" w:hAnsi="宋体"/>
          <w:color w:val="auto"/>
        </w:rPr>
      </w:pPr>
      <w:r>
        <w:rPr>
          <w:rFonts w:hint="eastAsia" w:hAnsi="宋体"/>
          <w:color w:val="auto"/>
        </w:rPr>
        <w:t>1</w:t>
      </w:r>
      <w:r>
        <w:rPr>
          <w:rFonts w:hAnsi="宋体"/>
          <w:color w:val="auto"/>
        </w:rPr>
        <w:t>.</w:t>
      </w:r>
      <w:r>
        <w:rPr>
          <w:rFonts w:hint="eastAsia" w:hAnsi="宋体"/>
          <w:color w:val="auto"/>
        </w:rPr>
        <w:t>本中心应当在评审结束后2个工作日内将评审报告送采购人确认。</w:t>
      </w:r>
    </w:p>
    <w:p w14:paraId="5FE19D5A">
      <w:pPr>
        <w:pStyle w:val="21"/>
        <w:spacing w:line="420" w:lineRule="exact"/>
        <w:ind w:firstLine="420"/>
        <w:rPr>
          <w:rFonts w:hint="eastAsia" w:hAnsi="宋体"/>
          <w:color w:val="auto"/>
        </w:rPr>
      </w:pPr>
      <w:r>
        <w:rPr>
          <w:rFonts w:hAnsi="宋体"/>
          <w:color w:val="auto"/>
        </w:rPr>
        <w:t>2.</w:t>
      </w:r>
      <w:r>
        <w:rPr>
          <w:rFonts w:hint="eastAsia" w:hAnsi="宋体"/>
          <w:color w:val="auto"/>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60837008">
      <w:pPr>
        <w:pStyle w:val="4"/>
        <w:spacing w:line="420" w:lineRule="exact"/>
        <w:rPr>
          <w:color w:val="auto"/>
        </w:rPr>
      </w:pPr>
      <w:r>
        <w:rPr>
          <w:rFonts w:hint="eastAsia"/>
          <w:color w:val="auto"/>
        </w:rPr>
        <w:t>七、结果公告</w:t>
      </w:r>
    </w:p>
    <w:p w14:paraId="62FEF6A1">
      <w:pPr>
        <w:pStyle w:val="21"/>
        <w:spacing w:line="420" w:lineRule="exact"/>
        <w:ind w:firstLine="420" w:firstLineChars="200"/>
        <w:rPr>
          <w:rFonts w:hint="eastAsia" w:hAnsi="宋体"/>
          <w:color w:val="auto"/>
        </w:rPr>
      </w:pPr>
      <w:r>
        <w:rPr>
          <w:rFonts w:hint="eastAsia" w:hAnsi="宋体"/>
          <w:color w:val="auto"/>
        </w:rPr>
        <w:t>本中心在成交供应商确定后2个工作日内，</w:t>
      </w:r>
      <w:r>
        <w:rPr>
          <w:rFonts w:hint="eastAsia"/>
          <w:color w:val="auto"/>
        </w:rPr>
        <w:t>在省级以上财政部门指定的媒体上公告</w:t>
      </w:r>
      <w:r>
        <w:rPr>
          <w:rFonts w:hint="eastAsia" w:hAnsi="宋体"/>
          <w:color w:val="auto"/>
        </w:rPr>
        <w:t>成交结果，同时向成交供应商发出成交通知书。</w:t>
      </w:r>
    </w:p>
    <w:p w14:paraId="09EC1934">
      <w:pPr>
        <w:pStyle w:val="4"/>
        <w:spacing w:line="420" w:lineRule="exact"/>
        <w:rPr>
          <w:color w:val="auto"/>
        </w:rPr>
      </w:pPr>
      <w:r>
        <w:rPr>
          <w:rFonts w:hint="eastAsia"/>
          <w:color w:val="auto"/>
        </w:rPr>
        <w:t>八、签订合同</w:t>
      </w:r>
    </w:p>
    <w:p w14:paraId="14022157">
      <w:pPr>
        <w:spacing w:line="420" w:lineRule="exact"/>
        <w:ind w:firstLine="210" w:firstLineChars="100"/>
        <w:rPr>
          <w:rFonts w:hint="eastAsia" w:ascii="宋体" w:hAnsi="宋体" w:cs="Courier New"/>
          <w:color w:val="auto"/>
          <w:szCs w:val="21"/>
        </w:rPr>
      </w:pPr>
      <w:r>
        <w:rPr>
          <w:rFonts w:hint="eastAsia" w:ascii="宋体" w:hAnsi="宋体"/>
          <w:color w:val="auto"/>
          <w:szCs w:val="21"/>
        </w:rPr>
        <w:t>（一）</w:t>
      </w:r>
      <w:r>
        <w:rPr>
          <w:rFonts w:hint="eastAsia" w:ascii="宋体" w:hAnsi="宋体" w:cs="Courier New"/>
          <w:color w:val="auto"/>
          <w:szCs w:val="21"/>
        </w:rPr>
        <w:t>采购人与成交供应商应当在成交通知书发出之日起</w:t>
      </w:r>
      <w:r>
        <w:rPr>
          <w:rFonts w:ascii="宋体" w:hAnsi="宋体" w:cs="Courier New"/>
          <w:color w:val="auto"/>
          <w:szCs w:val="21"/>
        </w:rPr>
        <w:t>15</w:t>
      </w:r>
      <w:r>
        <w:rPr>
          <w:rFonts w:hint="eastAsia" w:ascii="宋体" w:hAnsi="宋体" w:cs="Courier New"/>
          <w:color w:val="auto"/>
          <w:szCs w:val="21"/>
        </w:rPr>
        <w:t>日内，按照谈判文件确定的合同文本以及采购标的、规格型号、采购金额、采购数量、技术和服务要求等确定的事项签订政府采购合同。</w:t>
      </w:r>
    </w:p>
    <w:p w14:paraId="597EA9AA">
      <w:pPr>
        <w:widowControl/>
        <w:spacing w:line="420" w:lineRule="exact"/>
        <w:ind w:firstLine="210" w:firstLineChars="100"/>
        <w:jc w:val="left"/>
        <w:rPr>
          <w:rFonts w:hint="eastAsia" w:ascii="宋体" w:hAnsi="宋体" w:cs="宋体"/>
          <w:color w:val="auto"/>
          <w:kern w:val="0"/>
          <w:szCs w:val="21"/>
        </w:rPr>
      </w:pPr>
      <w:r>
        <w:rPr>
          <w:rFonts w:hint="eastAsia" w:ascii="宋体" w:hAnsi="宋体" w:cs="Courier New"/>
          <w:color w:val="auto"/>
          <w:szCs w:val="21"/>
        </w:rPr>
        <w:t>（二）</w:t>
      </w:r>
      <w:r>
        <w:rPr>
          <w:rFonts w:hint="eastAsia" w:ascii="宋体" w:hAnsi="宋体" w:cs="宋体"/>
          <w:color w:val="auto"/>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9FDC6F5">
      <w:pPr>
        <w:widowControl/>
        <w:spacing w:line="420" w:lineRule="exact"/>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（三）供应商可凭成交通知书或政府采购合同等在内的相关材料、信息，通过中征应收账款融资服务平台向银行业金融机构在线申请“政采贷”融资。</w:t>
      </w:r>
    </w:p>
    <w:p w14:paraId="55556C12">
      <w:pPr>
        <w:widowControl/>
        <w:spacing w:line="420" w:lineRule="exact"/>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（四）除不可抗力等因素外，成交通知书发出后，采购人改变成交结果，或者成交供应商拒绝签订政府采购合同的，应当承担相应的法律责任。</w:t>
      </w:r>
    </w:p>
    <w:p w14:paraId="7CDC971C">
      <w:pPr>
        <w:widowControl/>
        <w:spacing w:line="420" w:lineRule="exact"/>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（五）</w:t>
      </w:r>
      <w:r>
        <w:rPr>
          <w:rFonts w:ascii="Arial" w:hAnsi="Arial" w:cs="Arial"/>
          <w:color w:val="auto"/>
          <w:kern w:val="0"/>
          <w:szCs w:val="21"/>
        </w:rPr>
        <w:t>政府采购合同</w:t>
      </w:r>
      <w:r>
        <w:rPr>
          <w:rFonts w:hint="eastAsia" w:ascii="Arial" w:hAnsi="Arial" w:cs="Arial"/>
          <w:color w:val="auto"/>
          <w:kern w:val="0"/>
          <w:szCs w:val="21"/>
        </w:rPr>
        <w:t>适用《中华人民共和国民法典》</w:t>
      </w:r>
      <w:r>
        <w:rPr>
          <w:rFonts w:ascii="Arial" w:hAnsi="Arial" w:cs="Arial"/>
          <w:color w:val="auto"/>
          <w:kern w:val="0"/>
          <w:szCs w:val="21"/>
        </w:rPr>
        <w:t>。</w:t>
      </w:r>
    </w:p>
    <w:p w14:paraId="4BF749D9">
      <w:pPr>
        <w:widowControl/>
        <w:spacing w:line="420" w:lineRule="exact"/>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19C44AE9">
      <w:pPr>
        <w:pStyle w:val="4"/>
        <w:spacing w:line="420" w:lineRule="exact"/>
        <w:rPr>
          <w:color w:val="auto"/>
        </w:rPr>
      </w:pPr>
      <w:r>
        <w:rPr>
          <w:rFonts w:hint="eastAsia"/>
          <w:color w:val="auto"/>
        </w:rPr>
        <w:t>九、适用法律</w:t>
      </w:r>
    </w:p>
    <w:p w14:paraId="0D8A6587">
      <w:pPr>
        <w:spacing w:line="420" w:lineRule="exact"/>
        <w:ind w:firstLine="420" w:firstLineChars="200"/>
        <w:rPr>
          <w:rFonts w:hint="eastAsia" w:ascii="宋体" w:hAnsi="宋体"/>
          <w:color w:val="auto"/>
          <w:szCs w:val="21"/>
        </w:rPr>
      </w:pPr>
      <w:bookmarkStart w:id="107" w:name="_Hlk92794186"/>
      <w:r>
        <w:rPr>
          <w:rFonts w:hint="eastAsia" w:ascii="宋体" w:hAnsi="宋体"/>
          <w:color w:val="auto"/>
          <w:szCs w:val="21"/>
        </w:rPr>
        <w:t>本项目采购活动适用于《中华人民共和国政府采购法》及其实施条例、《政府采购非招标采购方式管理办法》等规定。</w:t>
      </w:r>
    </w:p>
    <w:bookmarkEnd w:id="107"/>
    <w:p w14:paraId="700297AC">
      <w:pPr>
        <w:pStyle w:val="4"/>
        <w:spacing w:line="420" w:lineRule="exact"/>
        <w:rPr>
          <w:color w:val="auto"/>
        </w:rPr>
      </w:pPr>
      <w:bookmarkStart w:id="108" w:name="_十、其他事项"/>
      <w:bookmarkEnd w:id="108"/>
      <w:r>
        <w:rPr>
          <w:rFonts w:hint="eastAsia"/>
          <w:color w:val="auto"/>
        </w:rPr>
        <w:t>十、其他事项</w:t>
      </w:r>
    </w:p>
    <w:p w14:paraId="663B0DB3">
      <w:pPr>
        <w:spacing w:line="420" w:lineRule="exact"/>
        <w:ind w:firstLine="210" w:firstLineChars="100"/>
        <w:rPr>
          <w:rFonts w:hint="eastAsia" w:hAnsi="宋体"/>
          <w:color w:val="auto"/>
        </w:rPr>
      </w:pPr>
      <w:r>
        <w:rPr>
          <w:rFonts w:hint="eastAsia" w:hAnsi="宋体"/>
          <w:color w:val="auto"/>
        </w:rPr>
        <w:t>（一）代理服务费</w:t>
      </w:r>
    </w:p>
    <w:p w14:paraId="254DD635">
      <w:pPr>
        <w:spacing w:line="420" w:lineRule="exact"/>
        <w:ind w:firstLine="420" w:firstLineChars="200"/>
        <w:rPr>
          <w:rFonts w:hint="eastAsia" w:hAnsi="宋体"/>
          <w:color w:val="auto"/>
        </w:rPr>
      </w:pPr>
      <w:r>
        <w:rPr>
          <w:rFonts w:hint="eastAsia" w:hAnsi="宋体"/>
          <w:color w:val="auto"/>
        </w:rPr>
        <w:t>1</w:t>
      </w:r>
      <w:r>
        <w:rPr>
          <w:rFonts w:hAnsi="宋体"/>
          <w:color w:val="auto"/>
        </w:rPr>
        <w:t>.</w:t>
      </w:r>
      <w:r>
        <w:rPr>
          <w:rFonts w:hint="eastAsia" w:hAnsi="宋体"/>
          <w:color w:val="auto"/>
        </w:rPr>
        <w:t>本中心按钦州市物价局“钦市价费﹝2013﹞4号”文件规定向成交供应商收取代理服务费，成交供应商须向本中心一次付清代理服务费。</w:t>
      </w:r>
    </w:p>
    <w:p w14:paraId="2FEB3825">
      <w:pPr>
        <w:spacing w:line="420" w:lineRule="exact"/>
        <w:ind w:firstLine="420" w:firstLineChars="200"/>
        <w:rPr>
          <w:rFonts w:hint="eastAsia" w:hAnsi="宋体"/>
          <w:bCs/>
          <w:color w:val="auto"/>
        </w:rPr>
      </w:pPr>
      <w:r>
        <w:rPr>
          <w:rFonts w:hint="eastAsia" w:hAnsi="宋体"/>
          <w:color w:val="auto"/>
        </w:rPr>
        <w:t>2</w:t>
      </w:r>
      <w:r>
        <w:rPr>
          <w:rFonts w:hAnsi="宋体"/>
          <w:color w:val="auto"/>
        </w:rPr>
        <w:t>.</w:t>
      </w:r>
      <w:r>
        <w:rPr>
          <w:rFonts w:hint="eastAsia" w:hAnsi="宋体"/>
          <w:bCs/>
          <w:color w:val="auto"/>
        </w:rPr>
        <w:t>代理服务收费标准：</w:t>
      </w:r>
    </w:p>
    <w:p w14:paraId="6D68D9DC">
      <w:pPr>
        <w:spacing w:line="420" w:lineRule="exact"/>
        <w:ind w:firstLine="420" w:firstLineChars="200"/>
        <w:rPr>
          <w:rFonts w:hint="eastAsia" w:hAnsi="宋体"/>
          <w:bCs/>
          <w:color w:val="auto"/>
        </w:rPr>
      </w:pPr>
    </w:p>
    <w:p w14:paraId="7DEE0177">
      <w:pPr>
        <w:pStyle w:val="2"/>
        <w:rPr>
          <w:rFonts w:hint="eastAsia" w:hAnsi="宋体"/>
          <w:bCs/>
          <w:color w:val="auto"/>
        </w:rPr>
      </w:pPr>
    </w:p>
    <w:p w14:paraId="42654203">
      <w:pPr>
        <w:rPr>
          <w:rFonts w:hint="eastAsia" w:hAnsi="宋体"/>
          <w:bCs/>
          <w:color w:val="auto"/>
        </w:rPr>
      </w:pPr>
    </w:p>
    <w:p w14:paraId="6D0F26C0">
      <w:pPr>
        <w:pStyle w:val="2"/>
        <w:rPr>
          <w:rFonts w:hint="eastAsia"/>
          <w:color w:val="auto"/>
        </w:rPr>
      </w:pPr>
    </w:p>
    <w:tbl>
      <w:tblPr>
        <w:tblStyle w:val="37"/>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14:paraId="1838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14:paraId="04504098">
            <w:pPr>
              <w:spacing w:line="330" w:lineRule="exact"/>
              <w:ind w:firstLine="2310" w:firstLineChars="1100"/>
              <w:rPr>
                <w:rFonts w:hint="eastAsia" w:hAnsi="宋体"/>
                <w:color w:val="auto"/>
              </w:rPr>
            </w:pPr>
            <w:r>
              <w:rPr>
                <w:rFonts w:hAnsi="宋体"/>
                <w:color w:val="auto"/>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Pr>
                <w:rFonts w:hAnsi="宋体"/>
                <w:color w:val="auto"/>
              </w:rPr>
              <mc:AlternateContent>
                <mc:Choice Requires="wps">
                  <w:drawing>
                    <wp:anchor distT="0" distB="0" distL="114300" distR="114300" simplePos="0" relativeHeight="251659264" behindDoc="0" locked="0" layoutInCell="1" allowOverlap="1">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Pr>
                <w:rFonts w:hint="eastAsia" w:hAnsi="宋体"/>
                <w:color w:val="auto"/>
              </w:rPr>
              <w:t>采购类型</w:t>
            </w:r>
          </w:p>
          <w:p w14:paraId="2A5D22C8">
            <w:pPr>
              <w:spacing w:line="330" w:lineRule="exact"/>
              <w:rPr>
                <w:rFonts w:hint="eastAsia" w:hAnsi="宋体"/>
                <w:color w:val="auto"/>
              </w:rPr>
            </w:pPr>
          </w:p>
          <w:p w14:paraId="5875D28B">
            <w:pPr>
              <w:spacing w:line="330" w:lineRule="exact"/>
              <w:ind w:firstLine="1575" w:firstLineChars="750"/>
              <w:jc w:val="left"/>
              <w:rPr>
                <w:rFonts w:hint="eastAsia" w:hAnsi="宋体"/>
                <w:color w:val="auto"/>
              </w:rPr>
            </w:pPr>
            <w:r>
              <w:rPr>
                <w:rFonts w:hint="eastAsia" w:hAnsi="宋体"/>
                <w:color w:val="auto"/>
              </w:rPr>
              <w:t>费率</w:t>
            </w:r>
          </w:p>
          <w:p w14:paraId="27FDD3FD">
            <w:pPr>
              <w:spacing w:line="330" w:lineRule="exact"/>
              <w:ind w:leftChars="-1" w:hanging="2" w:hangingChars="1"/>
              <w:jc w:val="left"/>
              <w:rPr>
                <w:rFonts w:hint="eastAsia" w:hAnsi="宋体"/>
                <w:color w:val="auto"/>
              </w:rPr>
            </w:pPr>
          </w:p>
          <w:p w14:paraId="3621B06C">
            <w:pPr>
              <w:spacing w:line="330" w:lineRule="exact"/>
              <w:ind w:leftChars="-1" w:hanging="2" w:hangingChars="1"/>
              <w:jc w:val="left"/>
              <w:rPr>
                <w:rFonts w:hint="eastAsia" w:hAnsi="宋体"/>
                <w:color w:val="auto"/>
              </w:rPr>
            </w:pPr>
          </w:p>
          <w:p w14:paraId="02279F1E">
            <w:pPr>
              <w:spacing w:line="330" w:lineRule="exact"/>
              <w:jc w:val="left"/>
              <w:rPr>
                <w:rFonts w:hint="eastAsia" w:hAnsi="宋体"/>
                <w:color w:val="auto"/>
              </w:rPr>
            </w:pPr>
            <w:r>
              <w:rPr>
                <w:rFonts w:hint="eastAsia" w:hAnsi="宋体"/>
                <w:color w:val="auto"/>
              </w:rPr>
              <w:t>成交金额（万元）</w:t>
            </w:r>
          </w:p>
        </w:tc>
        <w:tc>
          <w:tcPr>
            <w:tcW w:w="5708" w:type="dxa"/>
            <w:gridSpan w:val="3"/>
            <w:vAlign w:val="center"/>
          </w:tcPr>
          <w:p w14:paraId="4A237B96">
            <w:pPr>
              <w:spacing w:line="330" w:lineRule="exact"/>
              <w:rPr>
                <w:rFonts w:hint="eastAsia" w:hAnsi="宋体"/>
                <w:color w:val="auto"/>
              </w:rPr>
            </w:pPr>
            <w:r>
              <w:rPr>
                <w:rFonts w:hint="eastAsia" w:hAnsi="宋体"/>
                <w:color w:val="auto"/>
              </w:rPr>
              <w:t>公开招标、邀请招标、竞争性谈判方式采购代理</w:t>
            </w:r>
          </w:p>
        </w:tc>
      </w:tr>
      <w:tr w14:paraId="4BA8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14:paraId="4E0052DF">
            <w:pPr>
              <w:spacing w:line="330" w:lineRule="exact"/>
              <w:ind w:firstLine="2620" w:firstLineChars="1248"/>
              <w:rPr>
                <w:rFonts w:hint="eastAsia" w:hAnsi="宋体"/>
                <w:color w:val="auto"/>
              </w:rPr>
            </w:pPr>
          </w:p>
        </w:tc>
        <w:tc>
          <w:tcPr>
            <w:tcW w:w="1932" w:type="dxa"/>
            <w:vAlign w:val="center"/>
          </w:tcPr>
          <w:p w14:paraId="282C76B3">
            <w:pPr>
              <w:spacing w:line="330" w:lineRule="exact"/>
              <w:jc w:val="center"/>
              <w:rPr>
                <w:rFonts w:hint="eastAsia" w:hAnsi="宋体"/>
                <w:color w:val="auto"/>
              </w:rPr>
            </w:pPr>
            <w:r>
              <w:rPr>
                <w:rFonts w:hint="eastAsia" w:hAnsi="宋体"/>
                <w:color w:val="auto"/>
              </w:rPr>
              <w:t>货物类</w:t>
            </w:r>
          </w:p>
        </w:tc>
        <w:tc>
          <w:tcPr>
            <w:tcW w:w="1800" w:type="dxa"/>
            <w:vAlign w:val="center"/>
          </w:tcPr>
          <w:p w14:paraId="384B7167">
            <w:pPr>
              <w:spacing w:line="330" w:lineRule="exact"/>
              <w:jc w:val="center"/>
              <w:rPr>
                <w:rFonts w:hint="eastAsia" w:hAnsi="宋体"/>
                <w:color w:val="auto"/>
              </w:rPr>
            </w:pPr>
            <w:r>
              <w:rPr>
                <w:rFonts w:hint="eastAsia" w:hAnsi="宋体"/>
                <w:color w:val="auto"/>
              </w:rPr>
              <w:t>服务类</w:t>
            </w:r>
          </w:p>
        </w:tc>
        <w:tc>
          <w:tcPr>
            <w:tcW w:w="1976" w:type="dxa"/>
            <w:vAlign w:val="center"/>
          </w:tcPr>
          <w:p w14:paraId="20C61B00">
            <w:pPr>
              <w:widowControl/>
              <w:spacing w:line="330" w:lineRule="exact"/>
              <w:jc w:val="center"/>
              <w:rPr>
                <w:rFonts w:hint="eastAsia" w:hAnsi="宋体"/>
                <w:color w:val="auto"/>
              </w:rPr>
            </w:pPr>
            <w:r>
              <w:rPr>
                <w:rFonts w:hint="eastAsia" w:hAnsi="宋体"/>
                <w:color w:val="auto"/>
              </w:rPr>
              <w:t>工程类</w:t>
            </w:r>
          </w:p>
        </w:tc>
      </w:tr>
      <w:tr w14:paraId="1817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14:paraId="591C91A9">
            <w:pPr>
              <w:spacing w:line="330" w:lineRule="exact"/>
              <w:jc w:val="center"/>
              <w:rPr>
                <w:rFonts w:hint="eastAsia" w:hAnsi="宋体"/>
                <w:color w:val="auto"/>
              </w:rPr>
            </w:pPr>
            <w:r>
              <w:rPr>
                <w:rFonts w:hint="eastAsia" w:hAnsi="宋体"/>
                <w:color w:val="auto"/>
              </w:rPr>
              <w:t>100以下</w:t>
            </w:r>
          </w:p>
        </w:tc>
        <w:tc>
          <w:tcPr>
            <w:tcW w:w="1932" w:type="dxa"/>
            <w:vAlign w:val="center"/>
          </w:tcPr>
          <w:p w14:paraId="4C5CB4E8">
            <w:pPr>
              <w:spacing w:line="330" w:lineRule="exact"/>
              <w:jc w:val="center"/>
              <w:rPr>
                <w:rFonts w:hint="eastAsia" w:hAnsi="宋体"/>
                <w:color w:val="auto"/>
              </w:rPr>
            </w:pPr>
            <w:r>
              <w:rPr>
                <w:rFonts w:hint="eastAsia" w:hAnsi="宋体"/>
                <w:color w:val="auto"/>
              </w:rPr>
              <w:t>1.2%</w:t>
            </w:r>
          </w:p>
        </w:tc>
        <w:tc>
          <w:tcPr>
            <w:tcW w:w="1800" w:type="dxa"/>
            <w:vAlign w:val="center"/>
          </w:tcPr>
          <w:p w14:paraId="4699294F">
            <w:pPr>
              <w:spacing w:line="330" w:lineRule="exact"/>
              <w:jc w:val="center"/>
              <w:rPr>
                <w:rFonts w:hint="eastAsia" w:hAnsi="宋体"/>
                <w:color w:val="auto"/>
              </w:rPr>
            </w:pPr>
            <w:r>
              <w:rPr>
                <w:rFonts w:hint="eastAsia" w:hAnsi="宋体"/>
                <w:color w:val="auto"/>
              </w:rPr>
              <w:t>1.2%</w:t>
            </w:r>
          </w:p>
        </w:tc>
        <w:tc>
          <w:tcPr>
            <w:tcW w:w="1976" w:type="dxa"/>
            <w:vAlign w:val="center"/>
          </w:tcPr>
          <w:p w14:paraId="095C7AF8">
            <w:pPr>
              <w:spacing w:line="330" w:lineRule="exact"/>
              <w:jc w:val="center"/>
              <w:rPr>
                <w:rFonts w:hint="eastAsia" w:hAnsi="宋体"/>
                <w:color w:val="auto"/>
              </w:rPr>
            </w:pPr>
            <w:r>
              <w:rPr>
                <w:rFonts w:hint="eastAsia" w:hAnsi="宋体"/>
                <w:color w:val="auto"/>
              </w:rPr>
              <w:t>0.8%</w:t>
            </w:r>
          </w:p>
        </w:tc>
      </w:tr>
      <w:tr w14:paraId="245D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14:paraId="26698127">
            <w:pPr>
              <w:spacing w:line="330" w:lineRule="exact"/>
              <w:jc w:val="center"/>
              <w:rPr>
                <w:rFonts w:hint="eastAsia" w:hAnsi="宋体"/>
                <w:color w:val="auto"/>
              </w:rPr>
            </w:pPr>
            <w:r>
              <w:rPr>
                <w:rFonts w:hint="eastAsia" w:hAnsi="宋体"/>
                <w:color w:val="auto"/>
              </w:rPr>
              <w:t>100-500</w:t>
            </w:r>
          </w:p>
        </w:tc>
        <w:tc>
          <w:tcPr>
            <w:tcW w:w="1932" w:type="dxa"/>
            <w:vAlign w:val="center"/>
          </w:tcPr>
          <w:p w14:paraId="44ED8D9B">
            <w:pPr>
              <w:spacing w:line="330" w:lineRule="exact"/>
              <w:jc w:val="center"/>
              <w:rPr>
                <w:rFonts w:hint="eastAsia" w:hAnsi="宋体"/>
                <w:color w:val="auto"/>
              </w:rPr>
            </w:pPr>
            <w:r>
              <w:rPr>
                <w:rFonts w:hint="eastAsia" w:hAnsi="宋体"/>
                <w:color w:val="auto"/>
              </w:rPr>
              <w:t>0.88%</w:t>
            </w:r>
          </w:p>
        </w:tc>
        <w:tc>
          <w:tcPr>
            <w:tcW w:w="1800" w:type="dxa"/>
            <w:vAlign w:val="center"/>
          </w:tcPr>
          <w:p w14:paraId="4238A6B9">
            <w:pPr>
              <w:spacing w:line="330" w:lineRule="exact"/>
              <w:jc w:val="center"/>
              <w:rPr>
                <w:rFonts w:hint="eastAsia" w:hAnsi="宋体"/>
                <w:color w:val="auto"/>
              </w:rPr>
            </w:pPr>
            <w:r>
              <w:rPr>
                <w:rFonts w:hint="eastAsia" w:hAnsi="宋体"/>
                <w:color w:val="auto"/>
              </w:rPr>
              <w:t>0.64%</w:t>
            </w:r>
          </w:p>
        </w:tc>
        <w:tc>
          <w:tcPr>
            <w:tcW w:w="1976" w:type="dxa"/>
            <w:vAlign w:val="center"/>
          </w:tcPr>
          <w:p w14:paraId="017B9A0B">
            <w:pPr>
              <w:spacing w:line="330" w:lineRule="exact"/>
              <w:jc w:val="center"/>
              <w:rPr>
                <w:rFonts w:hint="eastAsia" w:hAnsi="宋体"/>
                <w:color w:val="auto"/>
              </w:rPr>
            </w:pPr>
            <w:r>
              <w:rPr>
                <w:rFonts w:hint="eastAsia" w:hAnsi="宋体"/>
                <w:color w:val="auto"/>
              </w:rPr>
              <w:t>0.56%</w:t>
            </w:r>
          </w:p>
        </w:tc>
      </w:tr>
      <w:tr w14:paraId="75A0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14:paraId="2DB14CC5">
            <w:pPr>
              <w:spacing w:line="330" w:lineRule="exact"/>
              <w:jc w:val="center"/>
              <w:rPr>
                <w:rFonts w:hint="eastAsia" w:hAnsi="宋体"/>
                <w:color w:val="auto"/>
              </w:rPr>
            </w:pPr>
            <w:r>
              <w:rPr>
                <w:rFonts w:hint="eastAsia" w:hAnsi="宋体"/>
                <w:color w:val="auto"/>
              </w:rPr>
              <w:t>500-1000</w:t>
            </w:r>
          </w:p>
        </w:tc>
        <w:tc>
          <w:tcPr>
            <w:tcW w:w="1932" w:type="dxa"/>
            <w:vAlign w:val="center"/>
          </w:tcPr>
          <w:p w14:paraId="756BDF9F">
            <w:pPr>
              <w:spacing w:line="330" w:lineRule="exact"/>
              <w:jc w:val="center"/>
              <w:rPr>
                <w:rFonts w:hint="eastAsia" w:hAnsi="宋体"/>
                <w:color w:val="auto"/>
              </w:rPr>
            </w:pPr>
            <w:r>
              <w:rPr>
                <w:rFonts w:hint="eastAsia" w:hAnsi="宋体"/>
                <w:color w:val="auto"/>
              </w:rPr>
              <w:t>0.64%</w:t>
            </w:r>
          </w:p>
        </w:tc>
        <w:tc>
          <w:tcPr>
            <w:tcW w:w="1800" w:type="dxa"/>
            <w:vAlign w:val="center"/>
          </w:tcPr>
          <w:p w14:paraId="0049DCF9">
            <w:pPr>
              <w:spacing w:line="330" w:lineRule="exact"/>
              <w:jc w:val="center"/>
              <w:rPr>
                <w:rFonts w:hint="eastAsia" w:hAnsi="宋体"/>
                <w:color w:val="auto"/>
              </w:rPr>
            </w:pPr>
            <w:r>
              <w:rPr>
                <w:rFonts w:hint="eastAsia" w:hAnsi="宋体"/>
                <w:color w:val="auto"/>
              </w:rPr>
              <w:t>0.36%</w:t>
            </w:r>
          </w:p>
        </w:tc>
        <w:tc>
          <w:tcPr>
            <w:tcW w:w="1976" w:type="dxa"/>
            <w:vAlign w:val="center"/>
          </w:tcPr>
          <w:p w14:paraId="015DA87F">
            <w:pPr>
              <w:spacing w:line="330" w:lineRule="exact"/>
              <w:jc w:val="center"/>
              <w:rPr>
                <w:rFonts w:hint="eastAsia" w:hAnsi="宋体"/>
                <w:color w:val="auto"/>
              </w:rPr>
            </w:pPr>
            <w:r>
              <w:rPr>
                <w:rFonts w:hint="eastAsia" w:hAnsi="宋体"/>
                <w:color w:val="auto"/>
              </w:rPr>
              <w:t>0.44%</w:t>
            </w:r>
          </w:p>
        </w:tc>
      </w:tr>
      <w:tr w14:paraId="4AA5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14:paraId="37EEEB4F">
            <w:pPr>
              <w:spacing w:line="330" w:lineRule="exact"/>
              <w:jc w:val="center"/>
              <w:rPr>
                <w:rFonts w:hint="eastAsia" w:hAnsi="宋体"/>
                <w:color w:val="auto"/>
              </w:rPr>
            </w:pPr>
            <w:r>
              <w:rPr>
                <w:rFonts w:hint="eastAsia" w:hAnsi="宋体"/>
                <w:color w:val="auto"/>
              </w:rPr>
              <w:t>1000-5000</w:t>
            </w:r>
          </w:p>
        </w:tc>
        <w:tc>
          <w:tcPr>
            <w:tcW w:w="1932" w:type="dxa"/>
            <w:vAlign w:val="center"/>
          </w:tcPr>
          <w:p w14:paraId="0466730C">
            <w:pPr>
              <w:spacing w:line="330" w:lineRule="exact"/>
              <w:jc w:val="center"/>
              <w:rPr>
                <w:rFonts w:hint="eastAsia" w:hAnsi="宋体"/>
                <w:color w:val="auto"/>
              </w:rPr>
            </w:pPr>
            <w:r>
              <w:rPr>
                <w:rFonts w:hint="eastAsia" w:hAnsi="宋体"/>
                <w:color w:val="auto"/>
              </w:rPr>
              <w:t>0.4%</w:t>
            </w:r>
          </w:p>
        </w:tc>
        <w:tc>
          <w:tcPr>
            <w:tcW w:w="1800" w:type="dxa"/>
            <w:vAlign w:val="center"/>
          </w:tcPr>
          <w:p w14:paraId="4893A4EC">
            <w:pPr>
              <w:spacing w:line="330" w:lineRule="exact"/>
              <w:jc w:val="center"/>
              <w:rPr>
                <w:rFonts w:hint="eastAsia" w:hAnsi="宋体"/>
                <w:color w:val="auto"/>
              </w:rPr>
            </w:pPr>
            <w:r>
              <w:rPr>
                <w:rFonts w:hint="eastAsia" w:hAnsi="宋体"/>
                <w:color w:val="auto"/>
              </w:rPr>
              <w:t>0.2%</w:t>
            </w:r>
          </w:p>
        </w:tc>
        <w:tc>
          <w:tcPr>
            <w:tcW w:w="1976" w:type="dxa"/>
            <w:vAlign w:val="center"/>
          </w:tcPr>
          <w:p w14:paraId="12463289">
            <w:pPr>
              <w:spacing w:line="330" w:lineRule="exact"/>
              <w:jc w:val="center"/>
              <w:rPr>
                <w:rFonts w:hint="eastAsia" w:hAnsi="宋体"/>
                <w:color w:val="auto"/>
              </w:rPr>
            </w:pPr>
            <w:r>
              <w:rPr>
                <w:rFonts w:hint="eastAsia" w:hAnsi="宋体"/>
                <w:color w:val="auto"/>
              </w:rPr>
              <w:t>0.28%</w:t>
            </w:r>
          </w:p>
        </w:tc>
      </w:tr>
      <w:tr w14:paraId="2FAB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14:paraId="6B921E9A">
            <w:pPr>
              <w:spacing w:line="330" w:lineRule="exact"/>
              <w:jc w:val="center"/>
              <w:rPr>
                <w:rFonts w:hint="eastAsia" w:hAnsi="宋体"/>
                <w:color w:val="auto"/>
              </w:rPr>
            </w:pPr>
            <w:r>
              <w:rPr>
                <w:rFonts w:hint="eastAsia" w:hAnsi="宋体"/>
                <w:color w:val="auto"/>
              </w:rPr>
              <w:t>5000-10000</w:t>
            </w:r>
          </w:p>
        </w:tc>
        <w:tc>
          <w:tcPr>
            <w:tcW w:w="1932" w:type="dxa"/>
            <w:vAlign w:val="center"/>
          </w:tcPr>
          <w:p w14:paraId="5E3CB798">
            <w:pPr>
              <w:spacing w:line="330" w:lineRule="exact"/>
              <w:jc w:val="center"/>
              <w:rPr>
                <w:rFonts w:hint="eastAsia" w:hAnsi="宋体"/>
                <w:color w:val="auto"/>
              </w:rPr>
            </w:pPr>
            <w:r>
              <w:rPr>
                <w:rFonts w:hint="eastAsia" w:hAnsi="宋体"/>
                <w:color w:val="auto"/>
              </w:rPr>
              <w:t>0.2%</w:t>
            </w:r>
          </w:p>
        </w:tc>
        <w:tc>
          <w:tcPr>
            <w:tcW w:w="1800" w:type="dxa"/>
            <w:vAlign w:val="center"/>
          </w:tcPr>
          <w:p w14:paraId="671CCF56">
            <w:pPr>
              <w:spacing w:line="330" w:lineRule="exact"/>
              <w:jc w:val="center"/>
              <w:rPr>
                <w:rFonts w:hint="eastAsia" w:hAnsi="宋体"/>
                <w:color w:val="auto"/>
              </w:rPr>
            </w:pPr>
            <w:r>
              <w:rPr>
                <w:rFonts w:hint="eastAsia" w:hAnsi="宋体"/>
                <w:color w:val="auto"/>
              </w:rPr>
              <w:t>0.08%</w:t>
            </w:r>
          </w:p>
        </w:tc>
        <w:tc>
          <w:tcPr>
            <w:tcW w:w="1976" w:type="dxa"/>
            <w:vAlign w:val="center"/>
          </w:tcPr>
          <w:p w14:paraId="2AC474CF">
            <w:pPr>
              <w:spacing w:line="330" w:lineRule="exact"/>
              <w:jc w:val="center"/>
              <w:rPr>
                <w:rFonts w:hint="eastAsia" w:hAnsi="宋体"/>
                <w:color w:val="auto"/>
              </w:rPr>
            </w:pPr>
            <w:r>
              <w:rPr>
                <w:rFonts w:hint="eastAsia" w:hAnsi="宋体"/>
                <w:color w:val="auto"/>
              </w:rPr>
              <w:t>0.16%</w:t>
            </w:r>
          </w:p>
        </w:tc>
      </w:tr>
      <w:tr w14:paraId="11EC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14:paraId="1F64F8F8">
            <w:pPr>
              <w:spacing w:line="330" w:lineRule="exact"/>
              <w:jc w:val="center"/>
              <w:rPr>
                <w:rFonts w:hint="eastAsia" w:hAnsi="宋体"/>
                <w:color w:val="auto"/>
              </w:rPr>
            </w:pPr>
            <w:r>
              <w:rPr>
                <w:rFonts w:hint="eastAsia" w:hAnsi="宋体"/>
                <w:color w:val="auto"/>
              </w:rPr>
              <w:t>10000-100000</w:t>
            </w:r>
          </w:p>
        </w:tc>
        <w:tc>
          <w:tcPr>
            <w:tcW w:w="1932" w:type="dxa"/>
            <w:vAlign w:val="center"/>
          </w:tcPr>
          <w:p w14:paraId="7E87E62F">
            <w:pPr>
              <w:spacing w:line="330" w:lineRule="exact"/>
              <w:jc w:val="center"/>
              <w:rPr>
                <w:rFonts w:hint="eastAsia" w:hAnsi="宋体"/>
                <w:color w:val="auto"/>
              </w:rPr>
            </w:pPr>
            <w:r>
              <w:rPr>
                <w:rFonts w:hint="eastAsia" w:hAnsi="宋体"/>
                <w:color w:val="auto"/>
              </w:rPr>
              <w:t>0.04%</w:t>
            </w:r>
          </w:p>
        </w:tc>
        <w:tc>
          <w:tcPr>
            <w:tcW w:w="1800" w:type="dxa"/>
            <w:vAlign w:val="center"/>
          </w:tcPr>
          <w:p w14:paraId="1E2D5D8C">
            <w:pPr>
              <w:spacing w:line="330" w:lineRule="exact"/>
              <w:jc w:val="center"/>
              <w:rPr>
                <w:rFonts w:hint="eastAsia" w:hAnsi="宋体"/>
                <w:color w:val="auto"/>
              </w:rPr>
            </w:pPr>
            <w:r>
              <w:rPr>
                <w:rFonts w:hint="eastAsia" w:hAnsi="宋体"/>
                <w:color w:val="auto"/>
              </w:rPr>
              <w:t>0.04%</w:t>
            </w:r>
          </w:p>
        </w:tc>
        <w:tc>
          <w:tcPr>
            <w:tcW w:w="1976" w:type="dxa"/>
            <w:vAlign w:val="center"/>
          </w:tcPr>
          <w:p w14:paraId="746544B5">
            <w:pPr>
              <w:spacing w:line="330" w:lineRule="exact"/>
              <w:jc w:val="center"/>
              <w:rPr>
                <w:rFonts w:hint="eastAsia" w:hAnsi="宋体"/>
                <w:color w:val="auto"/>
              </w:rPr>
            </w:pPr>
            <w:r>
              <w:rPr>
                <w:rFonts w:hint="eastAsia" w:hAnsi="宋体"/>
                <w:color w:val="auto"/>
              </w:rPr>
              <w:t>0.04%</w:t>
            </w:r>
          </w:p>
        </w:tc>
      </w:tr>
      <w:tr w14:paraId="63C2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14:paraId="740AFAFC">
            <w:pPr>
              <w:spacing w:line="330" w:lineRule="exact"/>
              <w:jc w:val="center"/>
              <w:rPr>
                <w:rFonts w:hint="eastAsia" w:hAnsi="宋体"/>
                <w:color w:val="auto"/>
              </w:rPr>
            </w:pPr>
            <w:r>
              <w:rPr>
                <w:rFonts w:hint="eastAsia" w:hAnsi="宋体"/>
                <w:color w:val="auto"/>
              </w:rPr>
              <w:t>100000以上</w:t>
            </w:r>
          </w:p>
        </w:tc>
        <w:tc>
          <w:tcPr>
            <w:tcW w:w="1932" w:type="dxa"/>
            <w:vAlign w:val="center"/>
          </w:tcPr>
          <w:p w14:paraId="28AD3475">
            <w:pPr>
              <w:spacing w:line="330" w:lineRule="exact"/>
              <w:jc w:val="center"/>
              <w:rPr>
                <w:rFonts w:hint="eastAsia" w:hAnsi="宋体"/>
                <w:color w:val="auto"/>
              </w:rPr>
            </w:pPr>
            <w:r>
              <w:rPr>
                <w:rFonts w:hint="eastAsia" w:hAnsi="宋体"/>
                <w:color w:val="auto"/>
              </w:rPr>
              <w:t>0.008%</w:t>
            </w:r>
          </w:p>
        </w:tc>
        <w:tc>
          <w:tcPr>
            <w:tcW w:w="1800" w:type="dxa"/>
            <w:vAlign w:val="center"/>
          </w:tcPr>
          <w:p w14:paraId="3E8AD101">
            <w:pPr>
              <w:spacing w:line="330" w:lineRule="exact"/>
              <w:jc w:val="center"/>
              <w:rPr>
                <w:rFonts w:hint="eastAsia" w:hAnsi="宋体"/>
                <w:color w:val="auto"/>
              </w:rPr>
            </w:pPr>
            <w:r>
              <w:rPr>
                <w:rFonts w:hint="eastAsia" w:hAnsi="宋体"/>
                <w:color w:val="auto"/>
              </w:rPr>
              <w:t>0.008%</w:t>
            </w:r>
          </w:p>
        </w:tc>
        <w:tc>
          <w:tcPr>
            <w:tcW w:w="1976" w:type="dxa"/>
            <w:vAlign w:val="center"/>
          </w:tcPr>
          <w:p w14:paraId="11E60A43">
            <w:pPr>
              <w:spacing w:line="330" w:lineRule="exact"/>
              <w:jc w:val="center"/>
              <w:rPr>
                <w:rFonts w:hint="eastAsia" w:hAnsi="宋体"/>
                <w:color w:val="auto"/>
              </w:rPr>
            </w:pPr>
            <w:r>
              <w:rPr>
                <w:rFonts w:hint="eastAsia" w:hAnsi="宋体"/>
                <w:color w:val="auto"/>
              </w:rPr>
              <w:t>0.008%</w:t>
            </w:r>
          </w:p>
        </w:tc>
      </w:tr>
    </w:tbl>
    <w:p w14:paraId="613B7EB5">
      <w:pPr>
        <w:pStyle w:val="21"/>
        <w:spacing w:line="400" w:lineRule="exact"/>
        <w:ind w:firstLine="420" w:firstLineChars="200"/>
        <w:rPr>
          <w:rFonts w:hint="eastAsia" w:hAnsi="宋体"/>
          <w:color w:val="auto"/>
        </w:rPr>
      </w:pPr>
      <w:r>
        <w:rPr>
          <w:rFonts w:hint="eastAsia" w:hAnsi="宋体"/>
          <w:color w:val="auto"/>
        </w:rPr>
        <w:t>注：代理服务收费按差额定率累进法计算</w:t>
      </w:r>
    </w:p>
    <w:p w14:paraId="16304A5F">
      <w:pPr>
        <w:pStyle w:val="21"/>
        <w:spacing w:line="400" w:lineRule="exact"/>
        <w:ind w:firstLine="420" w:firstLineChars="200"/>
        <w:rPr>
          <w:rFonts w:hint="eastAsia" w:hAnsi="宋体"/>
          <w:bCs/>
          <w:color w:val="auto"/>
        </w:rPr>
      </w:pPr>
      <w:r>
        <w:rPr>
          <w:rFonts w:hint="eastAsia" w:hAnsi="宋体"/>
          <w:bCs/>
          <w:color w:val="auto"/>
        </w:rPr>
        <w:t>3.缴纳代理服务费银行账户信息：</w:t>
      </w:r>
    </w:p>
    <w:p w14:paraId="19DB7077">
      <w:pPr>
        <w:pStyle w:val="21"/>
        <w:spacing w:line="400" w:lineRule="exact"/>
        <w:ind w:firstLine="420" w:firstLineChars="200"/>
        <w:rPr>
          <w:rFonts w:hint="eastAsia" w:hAnsi="宋体"/>
          <w:bCs/>
          <w:color w:val="auto"/>
        </w:rPr>
      </w:pPr>
      <w:r>
        <w:rPr>
          <w:rFonts w:hint="eastAsia" w:hAnsi="宋体"/>
          <w:bCs/>
          <w:color w:val="auto"/>
        </w:rPr>
        <w:t>开户名称:钦州市政府采购中心</w:t>
      </w:r>
    </w:p>
    <w:p w14:paraId="6C1950AC">
      <w:pPr>
        <w:pStyle w:val="21"/>
        <w:spacing w:line="400" w:lineRule="exact"/>
        <w:ind w:firstLine="420" w:firstLineChars="200"/>
        <w:rPr>
          <w:rFonts w:hint="eastAsia" w:hAnsi="宋体"/>
          <w:bCs/>
          <w:color w:val="auto"/>
        </w:rPr>
      </w:pPr>
      <w:r>
        <w:rPr>
          <w:rFonts w:hint="eastAsia" w:hAnsi="宋体"/>
          <w:bCs/>
          <w:color w:val="auto"/>
        </w:rPr>
        <w:t>开户银行:兴业银行钦州支行</w:t>
      </w:r>
    </w:p>
    <w:p w14:paraId="56A27D8A">
      <w:pPr>
        <w:pStyle w:val="21"/>
        <w:spacing w:line="400" w:lineRule="exact"/>
        <w:ind w:firstLine="420" w:firstLineChars="200"/>
        <w:rPr>
          <w:rFonts w:hint="eastAsia" w:hAnsi="宋体"/>
          <w:color w:val="auto"/>
        </w:rPr>
      </w:pPr>
      <w:r>
        <w:rPr>
          <w:rFonts w:hint="eastAsia" w:hAnsi="宋体"/>
          <w:bCs/>
          <w:color w:val="auto"/>
        </w:rPr>
        <w:t>银行账号:554010100100129709</w:t>
      </w:r>
    </w:p>
    <w:p w14:paraId="04B8949F">
      <w:pPr>
        <w:pStyle w:val="21"/>
        <w:spacing w:line="400" w:lineRule="exact"/>
        <w:ind w:firstLine="210" w:firstLineChars="100"/>
        <w:rPr>
          <w:rFonts w:hint="eastAsia" w:hAnsi="宋体"/>
          <w:color w:val="auto"/>
          <w:spacing w:val="-4"/>
        </w:rPr>
      </w:pPr>
      <w:r>
        <w:rPr>
          <w:rFonts w:hint="eastAsia" w:hAnsi="宋体"/>
          <w:bCs/>
          <w:color w:val="auto"/>
        </w:rPr>
        <w:t>（二）解释权：</w:t>
      </w:r>
      <w:r>
        <w:rPr>
          <w:rFonts w:hint="eastAsia" w:hAnsi="宋体"/>
          <w:color w:val="auto"/>
          <w:spacing w:val="-4"/>
        </w:rPr>
        <w:t>本采购文件解释权属本中心。</w:t>
      </w:r>
    </w:p>
    <w:p w14:paraId="21A4D2F6">
      <w:pPr>
        <w:pStyle w:val="21"/>
        <w:spacing w:line="400" w:lineRule="exact"/>
        <w:ind w:firstLine="210" w:firstLineChars="100"/>
        <w:rPr>
          <w:rFonts w:hint="eastAsia" w:hAnsi="宋体"/>
          <w:color w:val="auto"/>
          <w:spacing w:val="-4"/>
        </w:rPr>
      </w:pPr>
      <w:r>
        <w:rPr>
          <w:rFonts w:hint="eastAsia" w:hAnsi="宋体"/>
          <w:bCs/>
          <w:color w:val="auto"/>
        </w:rPr>
        <w:t>（三）有关事宜</w:t>
      </w:r>
    </w:p>
    <w:p w14:paraId="2A8674DE">
      <w:pPr>
        <w:spacing w:line="400" w:lineRule="exact"/>
        <w:ind w:firstLine="420" w:firstLineChars="200"/>
        <w:rPr>
          <w:color w:val="auto"/>
        </w:rPr>
      </w:pPr>
      <w:r>
        <w:rPr>
          <w:rFonts w:hint="eastAsia"/>
          <w:color w:val="auto"/>
        </w:rPr>
        <w:t>所有与采购文件有关的函件请按下列通讯地址联系：</w:t>
      </w:r>
    </w:p>
    <w:p w14:paraId="2F7652EF">
      <w:pPr>
        <w:widowControl/>
        <w:spacing w:line="400" w:lineRule="exact"/>
        <w:ind w:firstLine="420" w:firstLineChars="200"/>
        <w:jc w:val="left"/>
        <w:rPr>
          <w:color w:val="auto"/>
        </w:rPr>
      </w:pPr>
      <w:r>
        <w:rPr>
          <w:rFonts w:hint="eastAsia"/>
          <w:color w:val="auto"/>
        </w:rPr>
        <w:t>钦州市政府采购中心</w:t>
      </w:r>
    </w:p>
    <w:p w14:paraId="417794B1">
      <w:pPr>
        <w:widowControl/>
        <w:spacing w:line="400" w:lineRule="exact"/>
        <w:ind w:firstLine="420" w:firstLineChars="200"/>
        <w:jc w:val="left"/>
        <w:rPr>
          <w:color w:val="auto"/>
        </w:rPr>
      </w:pPr>
      <w:r>
        <w:rPr>
          <w:rFonts w:hint="eastAsia"/>
          <w:color w:val="auto"/>
        </w:rPr>
        <w:t>通讯地址：钦州市金海湾东大街8号</w:t>
      </w:r>
    </w:p>
    <w:p w14:paraId="1789427C">
      <w:pPr>
        <w:widowControl/>
        <w:spacing w:line="400" w:lineRule="exact"/>
        <w:ind w:firstLine="420" w:firstLineChars="200"/>
        <w:jc w:val="left"/>
        <w:rPr>
          <w:color w:val="auto"/>
        </w:rPr>
      </w:pPr>
      <w:r>
        <w:rPr>
          <w:rFonts w:hint="eastAsia"/>
          <w:color w:val="auto"/>
        </w:rPr>
        <w:t>邮政编码：535000</w:t>
      </w:r>
    </w:p>
    <w:p w14:paraId="0C897E9E">
      <w:pPr>
        <w:widowControl/>
        <w:spacing w:line="400" w:lineRule="exact"/>
        <w:ind w:firstLine="420" w:firstLineChars="200"/>
        <w:jc w:val="left"/>
        <w:rPr>
          <w:color w:val="auto"/>
        </w:rPr>
      </w:pPr>
      <w:r>
        <w:rPr>
          <w:rFonts w:hint="eastAsia"/>
          <w:color w:val="auto"/>
        </w:rPr>
        <w:t>钦州市政府采购中心联系方式：</w:t>
      </w:r>
    </w:p>
    <w:p w14:paraId="7E60ABE6">
      <w:pPr>
        <w:widowControl/>
        <w:spacing w:line="400" w:lineRule="exact"/>
        <w:ind w:firstLine="420" w:firstLineChars="200"/>
        <w:jc w:val="left"/>
        <w:rPr>
          <w:color w:val="auto"/>
        </w:rPr>
      </w:pPr>
      <w:r>
        <w:rPr>
          <w:rFonts w:hint="eastAsia"/>
          <w:color w:val="auto"/>
        </w:rPr>
        <w:t>(1)采购部(采购文件)</w:t>
      </w:r>
    </w:p>
    <w:p w14:paraId="59273D48">
      <w:pPr>
        <w:widowControl/>
        <w:spacing w:line="400" w:lineRule="exact"/>
        <w:ind w:firstLine="420" w:firstLineChars="200"/>
        <w:jc w:val="left"/>
        <w:rPr>
          <w:color w:val="auto"/>
        </w:rPr>
      </w:pPr>
      <w:r>
        <w:rPr>
          <w:rFonts w:hint="eastAsia"/>
          <w:color w:val="auto"/>
        </w:rPr>
        <w:t xml:space="preserve">联系人：苏晓婷 </w:t>
      </w:r>
      <w:r>
        <w:rPr>
          <w:color w:val="auto"/>
        </w:rPr>
        <w:t xml:space="preserve"> </w:t>
      </w:r>
      <w:r>
        <w:rPr>
          <w:rFonts w:hint="eastAsia"/>
          <w:color w:val="auto"/>
        </w:rPr>
        <w:t xml:space="preserve"> 联系方式：0777-2886022</w:t>
      </w:r>
    </w:p>
    <w:p w14:paraId="573CA771">
      <w:pPr>
        <w:widowControl/>
        <w:spacing w:line="400" w:lineRule="exact"/>
        <w:ind w:firstLine="420" w:firstLineChars="200"/>
        <w:jc w:val="left"/>
        <w:rPr>
          <w:color w:val="auto"/>
        </w:rPr>
      </w:pPr>
      <w:r>
        <w:rPr>
          <w:rFonts w:hint="eastAsia"/>
          <w:color w:val="auto"/>
        </w:rPr>
        <w:t>(2)综合二部(评审、谈判、成交及合同管理)</w:t>
      </w:r>
    </w:p>
    <w:p w14:paraId="2DB0C386">
      <w:pPr>
        <w:widowControl/>
        <w:spacing w:line="400" w:lineRule="exact"/>
        <w:ind w:firstLine="420" w:firstLineChars="200"/>
        <w:jc w:val="left"/>
        <w:rPr>
          <w:color w:val="auto"/>
        </w:rPr>
      </w:pPr>
      <w:r>
        <w:rPr>
          <w:rFonts w:hint="eastAsia"/>
          <w:color w:val="auto"/>
        </w:rPr>
        <w:t xml:space="preserve">联系人：陈启梅、陈侃 </w:t>
      </w:r>
      <w:r>
        <w:rPr>
          <w:color w:val="auto"/>
        </w:rPr>
        <w:t xml:space="preserve">  </w:t>
      </w:r>
      <w:r>
        <w:rPr>
          <w:rFonts w:hint="eastAsia"/>
          <w:color w:val="auto"/>
        </w:rPr>
        <w:t>联系方式：0777-2886006</w:t>
      </w:r>
    </w:p>
    <w:p w14:paraId="19BD85CF">
      <w:pPr>
        <w:widowControl/>
        <w:spacing w:line="400" w:lineRule="exact"/>
        <w:ind w:firstLine="420" w:firstLineChars="200"/>
        <w:jc w:val="left"/>
        <w:rPr>
          <w:color w:val="auto"/>
        </w:rPr>
      </w:pPr>
      <w:r>
        <w:rPr>
          <w:rFonts w:hint="eastAsia"/>
          <w:color w:val="auto"/>
        </w:rPr>
        <w:t>(</w:t>
      </w:r>
      <w:r>
        <w:rPr>
          <w:color w:val="auto"/>
        </w:rPr>
        <w:t>3)</w:t>
      </w:r>
      <w:r>
        <w:rPr>
          <w:rFonts w:hint="eastAsia"/>
          <w:color w:val="auto"/>
        </w:rPr>
        <w:t>邮箱：qzzfcgzx@126.com</w:t>
      </w:r>
    </w:p>
    <w:p w14:paraId="01BC7412">
      <w:pPr>
        <w:widowControl/>
        <w:spacing w:line="400" w:lineRule="exact"/>
        <w:ind w:firstLine="420" w:firstLineChars="200"/>
        <w:jc w:val="left"/>
        <w:rPr>
          <w:color w:val="auto"/>
        </w:rPr>
      </w:pPr>
      <w:r>
        <w:rPr>
          <w:color w:val="auto"/>
        </w:rPr>
        <w:t>(4)</w:t>
      </w:r>
      <w:r>
        <w:rPr>
          <w:rFonts w:hint="eastAsia"/>
          <w:color w:val="auto"/>
        </w:rPr>
        <w:t>广西政采云技术支持热线：</w:t>
      </w:r>
      <w:r>
        <w:rPr>
          <w:rFonts w:hAnsi="宋体"/>
          <w:color w:val="auto"/>
        </w:rPr>
        <w:t>95763</w:t>
      </w:r>
    </w:p>
    <w:p w14:paraId="72BCF212">
      <w:pPr>
        <w:widowControl/>
        <w:spacing w:line="400" w:lineRule="exact"/>
        <w:jc w:val="left"/>
        <w:rPr>
          <w:color w:val="auto"/>
        </w:rPr>
      </w:pPr>
    </w:p>
    <w:p w14:paraId="66AAC814">
      <w:pPr>
        <w:rPr>
          <w:color w:val="auto"/>
        </w:rPr>
      </w:pPr>
    </w:p>
    <w:p w14:paraId="058B91C8">
      <w:pPr>
        <w:rPr>
          <w:color w:val="auto"/>
        </w:rPr>
      </w:pPr>
    </w:p>
    <w:p w14:paraId="6A81FD76">
      <w:pPr>
        <w:rPr>
          <w:color w:val="auto"/>
        </w:rPr>
      </w:pPr>
    </w:p>
    <w:p w14:paraId="479D34E2">
      <w:pPr>
        <w:rPr>
          <w:color w:val="auto"/>
        </w:rPr>
      </w:pPr>
    </w:p>
    <w:p w14:paraId="1191A4BE">
      <w:pPr>
        <w:rPr>
          <w:color w:val="auto"/>
        </w:rPr>
      </w:pPr>
    </w:p>
    <w:p w14:paraId="750F2207">
      <w:pPr>
        <w:rPr>
          <w:color w:val="auto"/>
        </w:rPr>
      </w:pPr>
    </w:p>
    <w:p w14:paraId="26DA5A37">
      <w:pPr>
        <w:rPr>
          <w:color w:val="auto"/>
        </w:rPr>
      </w:pPr>
    </w:p>
    <w:p w14:paraId="1AF584FB">
      <w:pPr>
        <w:rPr>
          <w:color w:val="auto"/>
        </w:rPr>
      </w:pPr>
    </w:p>
    <w:p w14:paraId="58114421">
      <w:pPr>
        <w:rPr>
          <w:color w:val="auto"/>
        </w:rPr>
      </w:pPr>
    </w:p>
    <w:p w14:paraId="78292B0B">
      <w:pPr>
        <w:rPr>
          <w:color w:val="auto"/>
        </w:rPr>
      </w:pPr>
    </w:p>
    <w:p w14:paraId="2D6D9242">
      <w:pPr>
        <w:rPr>
          <w:color w:val="auto"/>
        </w:rPr>
      </w:pPr>
    </w:p>
    <w:p w14:paraId="01E302A2">
      <w:pPr>
        <w:rPr>
          <w:color w:val="auto"/>
        </w:rPr>
      </w:pPr>
    </w:p>
    <w:p w14:paraId="59A60850">
      <w:pPr>
        <w:pStyle w:val="6"/>
        <w:rPr>
          <w:color w:val="auto"/>
        </w:rPr>
      </w:pPr>
    </w:p>
    <w:p w14:paraId="68DEB91A">
      <w:pPr>
        <w:rPr>
          <w:color w:val="auto"/>
        </w:rPr>
      </w:pPr>
    </w:p>
    <w:p w14:paraId="35C30A15">
      <w:pPr>
        <w:pStyle w:val="6"/>
        <w:rPr>
          <w:color w:val="auto"/>
        </w:rPr>
      </w:pPr>
    </w:p>
    <w:p w14:paraId="126EB027">
      <w:pPr>
        <w:rPr>
          <w:color w:val="auto"/>
        </w:rPr>
      </w:pPr>
    </w:p>
    <w:p w14:paraId="5F161830">
      <w:pPr>
        <w:rPr>
          <w:color w:val="auto"/>
        </w:rPr>
      </w:pPr>
    </w:p>
    <w:p w14:paraId="6D28864C">
      <w:pPr>
        <w:pStyle w:val="3"/>
        <w:spacing w:line="400" w:lineRule="exact"/>
        <w:rPr>
          <w:rFonts w:hint="eastAsia" w:ascii="方正小标宋_GBK" w:hAnsi="宋体" w:eastAsia="方正小标宋_GBK"/>
          <w:color w:val="auto"/>
        </w:rPr>
      </w:pPr>
      <w:bookmarkStart w:id="109" w:name="_第四章__评定标准及推荐原则"/>
      <w:bookmarkEnd w:id="109"/>
      <w:bookmarkStart w:id="110" w:name="_Toc92355026"/>
      <w:r>
        <w:rPr>
          <w:rFonts w:hint="eastAsia" w:ascii="方正小标宋_GBK" w:hAnsi="宋体" w:eastAsia="方正小标宋_GBK"/>
          <w:color w:val="auto"/>
        </w:rPr>
        <w:t>第四章  评定标准及推荐原则</w:t>
      </w:r>
      <w:bookmarkEnd w:id="110"/>
    </w:p>
    <w:p w14:paraId="1B0C27FC">
      <w:pPr>
        <w:pStyle w:val="21"/>
        <w:spacing w:line="280" w:lineRule="exact"/>
        <w:jc w:val="center"/>
        <w:rPr>
          <w:color w:val="auto"/>
        </w:rPr>
      </w:pPr>
      <w:r>
        <w:rPr>
          <w:rFonts w:hAnsi="宋体"/>
          <w:b/>
          <w:bCs/>
          <w:color w:val="auto"/>
        </w:rPr>
        <w:br w:type="page"/>
      </w:r>
    </w:p>
    <w:p w14:paraId="408C235F">
      <w:pPr>
        <w:pStyle w:val="21"/>
        <w:spacing w:line="500" w:lineRule="exact"/>
        <w:jc w:val="center"/>
        <w:rPr>
          <w:rFonts w:hint="eastAsia" w:hAnsi="宋体"/>
          <w:b/>
          <w:bCs/>
          <w:color w:val="auto"/>
          <w:sz w:val="44"/>
          <w:szCs w:val="44"/>
        </w:rPr>
      </w:pPr>
      <w:bookmarkStart w:id="111" w:name="_Hlk92463826"/>
      <w:r>
        <w:rPr>
          <w:rFonts w:hint="eastAsia" w:hAnsi="宋体"/>
          <w:b/>
          <w:bCs/>
          <w:color w:val="auto"/>
          <w:sz w:val="44"/>
          <w:szCs w:val="44"/>
        </w:rPr>
        <w:t>评定标准及推荐原则</w:t>
      </w:r>
    </w:p>
    <w:bookmarkEnd w:id="111"/>
    <w:p w14:paraId="703DA7B0">
      <w:pPr>
        <w:rPr>
          <w:color w:val="auto"/>
        </w:rPr>
      </w:pPr>
    </w:p>
    <w:p w14:paraId="1ED0377E">
      <w:pPr>
        <w:pStyle w:val="21"/>
        <w:spacing w:line="540" w:lineRule="exact"/>
        <w:rPr>
          <w:rFonts w:hint="eastAsia" w:hAnsi="宋体"/>
          <w:b/>
          <w:bCs/>
          <w:color w:val="auto"/>
        </w:rPr>
      </w:pPr>
      <w:r>
        <w:rPr>
          <w:rFonts w:hint="eastAsia" w:hAnsi="宋体"/>
          <w:b/>
          <w:bCs/>
          <w:color w:val="auto"/>
        </w:rPr>
        <w:t>一、评审原则</w:t>
      </w:r>
    </w:p>
    <w:p w14:paraId="434FBF62">
      <w:pPr>
        <w:pStyle w:val="21"/>
        <w:spacing w:line="540" w:lineRule="exact"/>
        <w:ind w:firstLine="420" w:firstLineChars="200"/>
        <w:rPr>
          <w:rFonts w:hint="eastAsia" w:hAnsi="宋体"/>
          <w:bCs/>
          <w:color w:val="auto"/>
        </w:rPr>
      </w:pPr>
      <w:r>
        <w:rPr>
          <w:rFonts w:hint="eastAsia" w:hAnsi="宋体"/>
          <w:bCs/>
          <w:color w:val="auto"/>
        </w:rPr>
        <w:t>(一)谈判小组组成：</w:t>
      </w:r>
      <w:bookmarkStart w:id="112" w:name="_Hlk89353643"/>
      <w:r>
        <w:rPr>
          <w:rFonts w:hint="eastAsia" w:hAnsi="宋体"/>
          <w:bCs/>
          <w:color w:val="auto"/>
        </w:rPr>
        <w:t>谈判小组由采购人代表和评审专家共3人以上单数组成，其中评审专家人数不得少于谈判小组成员总数的2/3。</w:t>
      </w:r>
      <w:bookmarkEnd w:id="112"/>
    </w:p>
    <w:p w14:paraId="2FBAD535">
      <w:pPr>
        <w:pStyle w:val="21"/>
        <w:spacing w:line="540" w:lineRule="exact"/>
        <w:ind w:firstLine="420" w:firstLineChars="200"/>
        <w:rPr>
          <w:rFonts w:hint="eastAsia" w:hAnsi="宋体"/>
          <w:b/>
          <w:bCs/>
          <w:color w:val="auto"/>
        </w:rPr>
      </w:pPr>
      <w:r>
        <w:rPr>
          <w:rFonts w:hint="eastAsia" w:hAnsi="宋体"/>
          <w:bCs/>
          <w:color w:val="auto"/>
        </w:rPr>
        <w:t>(二)评审依据：以竞争性谈判采购文件和响应文件为评定依据。</w:t>
      </w:r>
    </w:p>
    <w:p w14:paraId="2CCBEEAB">
      <w:pPr>
        <w:pStyle w:val="21"/>
        <w:spacing w:line="540" w:lineRule="exact"/>
        <w:rPr>
          <w:rFonts w:hint="eastAsia" w:hAnsi="宋体"/>
          <w:b/>
          <w:bCs/>
          <w:color w:val="auto"/>
        </w:rPr>
      </w:pPr>
      <w:r>
        <w:rPr>
          <w:rFonts w:hint="eastAsia" w:hAnsi="宋体"/>
          <w:b/>
          <w:bCs/>
          <w:color w:val="auto"/>
        </w:rPr>
        <w:t>二、评定标准</w:t>
      </w:r>
    </w:p>
    <w:p w14:paraId="60BCE5D8">
      <w:pPr>
        <w:pStyle w:val="21"/>
        <w:spacing w:line="540" w:lineRule="exact"/>
        <w:ind w:firstLine="420" w:firstLineChars="200"/>
        <w:rPr>
          <w:color w:val="auto"/>
        </w:rPr>
      </w:pPr>
      <w:r>
        <w:rPr>
          <w:rFonts w:hint="eastAsia"/>
          <w:color w:val="auto"/>
        </w:rPr>
        <w:t>（一）成交候选人的推荐原则：</w:t>
      </w:r>
    </w:p>
    <w:p w14:paraId="16C7A1D7">
      <w:pPr>
        <w:pStyle w:val="21"/>
        <w:spacing w:line="540" w:lineRule="exact"/>
        <w:ind w:firstLine="420" w:firstLineChars="200"/>
        <w:rPr>
          <w:color w:val="auto"/>
        </w:rPr>
      </w:pPr>
      <w:r>
        <w:rPr>
          <w:rFonts w:hint="eastAsia"/>
          <w:color w:val="auto"/>
        </w:rPr>
        <w:t>谈判小组从质量和服务均能满足采购文件实质性响应要求的供应商中，按照最后报价由低到高的顺序提出3名以上成交候选人（最后报价相同的，由谈判小组集体讨论确定排序）。</w:t>
      </w:r>
    </w:p>
    <w:p w14:paraId="1016D701">
      <w:pPr>
        <w:pStyle w:val="21"/>
        <w:spacing w:line="540" w:lineRule="exact"/>
        <w:ind w:firstLine="420" w:firstLineChars="200"/>
        <w:rPr>
          <w:color w:val="auto"/>
        </w:rPr>
      </w:pPr>
      <w:r>
        <w:rPr>
          <w:rFonts w:hint="eastAsia"/>
          <w:color w:val="auto"/>
        </w:rPr>
        <w:t>（二）落实政府采购政策：</w:t>
      </w:r>
    </w:p>
    <w:p w14:paraId="21DA048C">
      <w:pPr>
        <w:pStyle w:val="21"/>
        <w:spacing w:line="540" w:lineRule="exact"/>
        <w:ind w:firstLine="420" w:firstLineChars="200"/>
        <w:rPr>
          <w:color w:val="auto"/>
        </w:rPr>
      </w:pPr>
      <w:r>
        <w:rPr>
          <w:rFonts w:hint="eastAsia"/>
          <w:color w:val="auto"/>
        </w:rPr>
        <w:t>1.供应商提供的全部货物或服务符合《政府采购促进中小企业发展管理办法》（财库﹝2020﹞46 号）规定，并在响应文件中提供《中小企业声明函》（格式见第六章，供应商须对声明内容的真实性负责）。评审中将对小微型企业报价给予20%的扣除，用扣除后的价格参加评审。</w:t>
      </w:r>
    </w:p>
    <w:p w14:paraId="08A63A0E">
      <w:pPr>
        <w:pStyle w:val="21"/>
        <w:spacing w:line="540" w:lineRule="exact"/>
        <w:ind w:firstLine="420" w:firstLineChars="200"/>
        <w:rPr>
          <w:color w:val="auto"/>
        </w:rPr>
      </w:pPr>
      <w:r>
        <w:rPr>
          <w:color w:val="auto"/>
        </w:rPr>
        <w:t>2.</w:t>
      </w:r>
      <w:r>
        <w:rPr>
          <w:rFonts w:hint="eastAsia"/>
          <w:color w:val="auto"/>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4DE676F5">
      <w:pPr>
        <w:pStyle w:val="21"/>
        <w:spacing w:line="540" w:lineRule="exact"/>
        <w:ind w:firstLine="420" w:firstLineChars="200"/>
        <w:rPr>
          <w:color w:val="auto"/>
        </w:rPr>
      </w:pPr>
      <w:r>
        <w:rPr>
          <w:color w:val="auto"/>
        </w:rPr>
        <w:t>3</w:t>
      </w:r>
      <w:r>
        <w:rPr>
          <w:rFonts w:hint="eastAsia"/>
          <w:color w:val="auto"/>
        </w:rPr>
        <w:t>.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供应商须对声明内容的真实性负责）。</w:t>
      </w:r>
    </w:p>
    <w:p w14:paraId="7A305F0B">
      <w:pPr>
        <w:pStyle w:val="21"/>
        <w:spacing w:line="540" w:lineRule="exact"/>
        <w:ind w:firstLine="420" w:firstLineChars="200"/>
        <w:rPr>
          <w:color w:val="auto"/>
        </w:rPr>
      </w:pPr>
      <w:r>
        <w:rPr>
          <w:color w:val="auto"/>
        </w:rPr>
        <w:t>4</w:t>
      </w:r>
      <w:r>
        <w:rPr>
          <w:rFonts w:hint="eastAsia"/>
          <w:color w:val="auto"/>
        </w:rPr>
        <w:t>.采购人采购的产品属于节能产品政府采购品目清单内非标注“</w:t>
      </w:r>
      <w:r>
        <w:rPr>
          <w:rFonts w:hint="eastAsia" w:hAnsi="宋体" w:cs="宋体"/>
          <w:bCs/>
          <w:color w:val="auto"/>
          <w:lang w:bidi="ar"/>
        </w:rPr>
        <w:t>★</w:t>
      </w:r>
      <w:r>
        <w:rPr>
          <w:rFonts w:hint="eastAsia"/>
          <w:color w:val="auto"/>
        </w:rPr>
        <w:t>”的产品时，在性能、技术、服务等指标同等条件下，应当依据国家确定的认证机构出具的、处于有效期之内的节能产品、环境标志产品认证证书，对获得证书的产品实施政府优先采购。</w:t>
      </w:r>
    </w:p>
    <w:p w14:paraId="15769B8F">
      <w:pPr>
        <w:widowControl/>
        <w:spacing w:line="540" w:lineRule="exact"/>
        <w:ind w:firstLine="420" w:firstLineChars="200"/>
        <w:jc w:val="left"/>
        <w:rPr>
          <w:color w:val="auto"/>
        </w:rPr>
      </w:pPr>
      <w:r>
        <w:rPr>
          <w:color w:val="auto"/>
        </w:rPr>
        <w:br w:type="page"/>
      </w:r>
    </w:p>
    <w:p w14:paraId="10268A19">
      <w:pPr>
        <w:rPr>
          <w:color w:val="auto"/>
        </w:rPr>
      </w:pPr>
    </w:p>
    <w:p w14:paraId="68D40787">
      <w:pPr>
        <w:rPr>
          <w:color w:val="auto"/>
        </w:rPr>
      </w:pPr>
    </w:p>
    <w:p w14:paraId="5C91B1F2">
      <w:pPr>
        <w:rPr>
          <w:color w:val="auto"/>
        </w:rPr>
      </w:pPr>
    </w:p>
    <w:p w14:paraId="688C0AE8">
      <w:pPr>
        <w:rPr>
          <w:color w:val="auto"/>
        </w:rPr>
      </w:pPr>
    </w:p>
    <w:p w14:paraId="492D7BFB">
      <w:pPr>
        <w:rPr>
          <w:color w:val="auto"/>
        </w:rPr>
      </w:pPr>
    </w:p>
    <w:p w14:paraId="3D5611A7">
      <w:pPr>
        <w:rPr>
          <w:color w:val="auto"/>
        </w:rPr>
      </w:pPr>
    </w:p>
    <w:p w14:paraId="6EA996E5">
      <w:pPr>
        <w:rPr>
          <w:color w:val="auto"/>
        </w:rPr>
      </w:pPr>
    </w:p>
    <w:p w14:paraId="564F3B15">
      <w:pPr>
        <w:rPr>
          <w:color w:val="auto"/>
        </w:rPr>
      </w:pPr>
    </w:p>
    <w:p w14:paraId="4F26846D">
      <w:pPr>
        <w:rPr>
          <w:color w:val="auto"/>
        </w:rPr>
      </w:pPr>
    </w:p>
    <w:p w14:paraId="283CF83E">
      <w:pPr>
        <w:rPr>
          <w:color w:val="auto"/>
        </w:rPr>
      </w:pPr>
    </w:p>
    <w:p w14:paraId="475DB8F7">
      <w:pPr>
        <w:rPr>
          <w:color w:val="auto"/>
        </w:rPr>
      </w:pPr>
    </w:p>
    <w:p w14:paraId="467F245E">
      <w:pPr>
        <w:rPr>
          <w:color w:val="auto"/>
        </w:rPr>
      </w:pPr>
    </w:p>
    <w:p w14:paraId="0DEB481A">
      <w:pPr>
        <w:pStyle w:val="3"/>
        <w:spacing w:line="400" w:lineRule="exact"/>
        <w:rPr>
          <w:rFonts w:ascii="方正小标宋_GBK" w:eastAsia="方正小标宋_GBK"/>
          <w:color w:val="auto"/>
        </w:rPr>
      </w:pPr>
      <w:bookmarkStart w:id="113" w:name="_Toc92355027"/>
      <w:r>
        <w:rPr>
          <w:rFonts w:hint="eastAsia" w:ascii="方正小标宋_GBK" w:eastAsia="方正小标宋_GBK"/>
          <w:color w:val="auto"/>
        </w:rPr>
        <w:t>第五章  合同文本</w:t>
      </w:r>
      <w:bookmarkEnd w:id="113"/>
    </w:p>
    <w:p w14:paraId="60D8FAE8">
      <w:pPr>
        <w:pStyle w:val="21"/>
        <w:jc w:val="center"/>
        <w:rPr>
          <w:rFonts w:hint="eastAsia" w:ascii="Times New Roman" w:hAnsi="宋体"/>
          <w:b/>
          <w:bCs/>
          <w:color w:val="auto"/>
          <w:sz w:val="28"/>
          <w:szCs w:val="28"/>
        </w:rPr>
      </w:pPr>
      <w:r>
        <w:rPr>
          <w:rFonts w:hint="eastAsia" w:ascii="Times New Roman" w:hAnsi="宋体"/>
          <w:b/>
          <w:bCs/>
          <w:color w:val="auto"/>
          <w:sz w:val="28"/>
          <w:szCs w:val="28"/>
        </w:rPr>
        <w:t>（参考格式）</w:t>
      </w:r>
    </w:p>
    <w:p w14:paraId="22594214">
      <w:pPr>
        <w:pStyle w:val="21"/>
        <w:spacing w:line="500" w:lineRule="exact"/>
        <w:rPr>
          <w:rFonts w:hint="eastAsia" w:hAnsi="宋体" w:cs="宋体"/>
          <w:b/>
          <w:bCs/>
          <w:color w:val="auto"/>
          <w:spacing w:val="-20"/>
          <w:kern w:val="44"/>
          <w:sz w:val="48"/>
          <w:szCs w:val="48"/>
        </w:rPr>
      </w:pPr>
      <w:r>
        <w:rPr>
          <w:color w:val="auto"/>
        </w:rPr>
        <w:br w:type="page"/>
      </w:r>
      <w:bookmarkStart w:id="114" w:name="_Toc3995"/>
    </w:p>
    <w:p w14:paraId="43DF427D">
      <w:pPr>
        <w:pStyle w:val="2"/>
        <w:jc w:val="center"/>
        <w:rPr>
          <w:rFonts w:hint="eastAsia" w:ascii="宋体" w:hAnsi="宋体" w:cs="宋体"/>
          <w:b/>
          <w:bCs/>
          <w:color w:val="auto"/>
          <w:spacing w:val="-20"/>
          <w:kern w:val="44"/>
          <w:sz w:val="48"/>
          <w:szCs w:val="48"/>
        </w:rPr>
      </w:pPr>
    </w:p>
    <w:p w14:paraId="2A2AD50E">
      <w:pPr>
        <w:pStyle w:val="2"/>
        <w:jc w:val="center"/>
        <w:rPr>
          <w:rFonts w:hint="eastAsia" w:ascii="宋体" w:hAnsi="宋体" w:cs="宋体"/>
          <w:b/>
          <w:bCs/>
          <w:color w:val="auto"/>
          <w:spacing w:val="-20"/>
          <w:kern w:val="44"/>
          <w:sz w:val="48"/>
          <w:szCs w:val="48"/>
        </w:rPr>
      </w:pPr>
    </w:p>
    <w:p w14:paraId="690F0D8E">
      <w:pPr>
        <w:pStyle w:val="2"/>
        <w:jc w:val="center"/>
        <w:rPr>
          <w:rFonts w:hint="eastAsia" w:ascii="宋体" w:hAnsi="宋体" w:cs="宋体"/>
          <w:b/>
          <w:bCs/>
          <w:color w:val="auto"/>
          <w:spacing w:val="-20"/>
          <w:kern w:val="44"/>
          <w:sz w:val="48"/>
          <w:szCs w:val="48"/>
        </w:rPr>
      </w:pPr>
    </w:p>
    <w:p w14:paraId="7892C8EB">
      <w:pPr>
        <w:pStyle w:val="2"/>
        <w:spacing w:line="500" w:lineRule="exact"/>
        <w:jc w:val="center"/>
        <w:rPr>
          <w:rFonts w:hint="eastAsia" w:ascii="宋体" w:hAnsi="宋体" w:cs="宋体"/>
          <w:b/>
          <w:bCs/>
          <w:color w:val="auto"/>
          <w:spacing w:val="-20"/>
          <w:kern w:val="44"/>
          <w:sz w:val="48"/>
          <w:szCs w:val="48"/>
        </w:rPr>
      </w:pPr>
    </w:p>
    <w:p w14:paraId="36317E6E">
      <w:pPr>
        <w:pStyle w:val="2"/>
        <w:spacing w:line="500" w:lineRule="exact"/>
        <w:jc w:val="center"/>
        <w:rPr>
          <w:rFonts w:hint="eastAsia" w:ascii="宋体" w:hAnsi="宋体" w:cs="宋体"/>
          <w:b/>
          <w:bCs/>
          <w:color w:val="auto"/>
          <w:spacing w:val="-20"/>
          <w:kern w:val="44"/>
          <w:sz w:val="48"/>
          <w:szCs w:val="48"/>
        </w:rPr>
      </w:pPr>
      <w:r>
        <w:rPr>
          <w:rFonts w:hint="eastAsia" w:ascii="宋体" w:hAnsi="宋体" w:cs="宋体"/>
          <w:b/>
          <w:bCs/>
          <w:color w:val="auto"/>
          <w:spacing w:val="-20"/>
          <w:kern w:val="44"/>
          <w:sz w:val="48"/>
          <w:szCs w:val="48"/>
        </w:rPr>
        <w:t>政府采购货物买卖合同</w:t>
      </w:r>
    </w:p>
    <w:p w14:paraId="193D4D31">
      <w:pPr>
        <w:pStyle w:val="2"/>
        <w:spacing w:line="500" w:lineRule="exact"/>
        <w:jc w:val="center"/>
        <w:rPr>
          <w:rFonts w:hint="eastAsia" w:ascii="宋体" w:hAnsi="宋体" w:cs="宋体"/>
          <w:b/>
          <w:bCs/>
          <w:color w:val="auto"/>
          <w:spacing w:val="-20"/>
          <w:kern w:val="44"/>
          <w:sz w:val="48"/>
          <w:szCs w:val="48"/>
        </w:rPr>
      </w:pPr>
      <w:r>
        <w:rPr>
          <w:rFonts w:hint="eastAsia" w:ascii="宋体" w:hAnsi="宋体" w:cs="宋体"/>
          <w:b/>
          <w:bCs/>
          <w:color w:val="auto"/>
          <w:spacing w:val="-20"/>
          <w:kern w:val="44"/>
          <w:sz w:val="48"/>
          <w:szCs w:val="48"/>
        </w:rPr>
        <w:t>（试行）</w:t>
      </w:r>
    </w:p>
    <w:p w14:paraId="17AC6220">
      <w:pPr>
        <w:rPr>
          <w:rFonts w:hint="eastAsia" w:ascii="宋体" w:hAnsi="宋体" w:cs="宋体"/>
          <w:b/>
          <w:bCs/>
          <w:color w:val="auto"/>
          <w:spacing w:val="-20"/>
          <w:kern w:val="44"/>
          <w:sz w:val="40"/>
          <w:szCs w:val="40"/>
        </w:rPr>
      </w:pPr>
    </w:p>
    <w:p w14:paraId="277D6EDB">
      <w:pPr>
        <w:rPr>
          <w:rFonts w:hint="eastAsia" w:ascii="宋体" w:hAnsi="宋体" w:cs="宋体"/>
          <w:b/>
          <w:bCs/>
          <w:color w:val="auto"/>
          <w:spacing w:val="-20"/>
          <w:kern w:val="44"/>
          <w:sz w:val="40"/>
          <w:szCs w:val="40"/>
        </w:rPr>
      </w:pPr>
    </w:p>
    <w:p w14:paraId="7DB406F6">
      <w:pPr>
        <w:rPr>
          <w:rFonts w:hint="eastAsia" w:ascii="宋体" w:hAnsi="宋体" w:cs="宋体"/>
          <w:b/>
          <w:bCs/>
          <w:color w:val="auto"/>
          <w:spacing w:val="-20"/>
          <w:kern w:val="44"/>
          <w:sz w:val="40"/>
          <w:szCs w:val="40"/>
        </w:rPr>
      </w:pPr>
    </w:p>
    <w:p w14:paraId="03BCC7FC">
      <w:pPr>
        <w:spacing w:line="360" w:lineRule="auto"/>
        <w:ind w:left="420" w:leftChars="200"/>
        <w:rPr>
          <w:color w:val="auto"/>
          <w:sz w:val="32"/>
          <w:szCs w:val="32"/>
        </w:rPr>
      </w:pPr>
      <w:r>
        <w:rPr>
          <w:rFonts w:hint="eastAsia" w:ascii="宋体" w:hAnsi="宋体" w:cs="宋体"/>
          <w:color w:val="auto"/>
          <w:kern w:val="0"/>
          <w:sz w:val="32"/>
          <w:szCs w:val="32"/>
        </w:rPr>
        <w:t>项目名称：</w:t>
      </w:r>
      <w:r>
        <w:rPr>
          <w:rFonts w:hint="eastAsia"/>
          <w:color w:val="auto"/>
          <w:sz w:val="32"/>
          <w:szCs w:val="32"/>
          <w:u w:val="single"/>
        </w:rPr>
        <w:t xml:space="preserve">                             </w:t>
      </w:r>
    </w:p>
    <w:p w14:paraId="20A625A9">
      <w:pPr>
        <w:spacing w:line="360" w:lineRule="auto"/>
        <w:ind w:left="420" w:leftChars="200"/>
        <w:rPr>
          <w:color w:val="auto"/>
          <w:sz w:val="32"/>
          <w:szCs w:val="32"/>
          <w:u w:val="single"/>
        </w:rPr>
      </w:pPr>
      <w:r>
        <w:rPr>
          <w:rFonts w:hint="eastAsia"/>
          <w:color w:val="auto"/>
          <w:sz w:val="32"/>
          <w:szCs w:val="32"/>
        </w:rPr>
        <w:t>合同编号：</w:t>
      </w:r>
      <w:r>
        <w:rPr>
          <w:rFonts w:hint="eastAsia"/>
          <w:color w:val="auto"/>
          <w:sz w:val="32"/>
          <w:szCs w:val="32"/>
          <w:u w:val="single"/>
        </w:rPr>
        <w:t xml:space="preserve">                             </w:t>
      </w:r>
    </w:p>
    <w:p w14:paraId="492C0398">
      <w:pPr>
        <w:spacing w:line="360" w:lineRule="auto"/>
        <w:ind w:left="420" w:leftChars="200"/>
        <w:rPr>
          <w:color w:val="auto"/>
          <w:sz w:val="32"/>
          <w:szCs w:val="32"/>
        </w:rPr>
      </w:pPr>
      <w:r>
        <w:rPr>
          <w:rFonts w:hint="eastAsia"/>
          <w:color w:val="auto"/>
          <w:sz w:val="32"/>
          <w:szCs w:val="32"/>
        </w:rPr>
        <w:t>甲    方：</w:t>
      </w:r>
      <w:r>
        <w:rPr>
          <w:rFonts w:hint="eastAsia"/>
          <w:color w:val="auto"/>
          <w:sz w:val="32"/>
          <w:szCs w:val="32"/>
          <w:u w:val="single"/>
        </w:rPr>
        <w:t xml:space="preserve">                             </w:t>
      </w:r>
    </w:p>
    <w:p w14:paraId="11DD6F2F">
      <w:pPr>
        <w:spacing w:line="360" w:lineRule="auto"/>
        <w:ind w:left="420" w:leftChars="200"/>
        <w:rPr>
          <w:color w:val="auto"/>
          <w:sz w:val="32"/>
          <w:szCs w:val="32"/>
          <w:u w:val="single"/>
        </w:rPr>
      </w:pPr>
      <w:r>
        <w:rPr>
          <w:rFonts w:hint="eastAsia"/>
          <w:color w:val="auto"/>
          <w:sz w:val="32"/>
          <w:szCs w:val="32"/>
        </w:rPr>
        <w:t>乙    方：</w:t>
      </w:r>
      <w:r>
        <w:rPr>
          <w:rFonts w:hint="eastAsia"/>
          <w:color w:val="auto"/>
          <w:sz w:val="32"/>
          <w:szCs w:val="32"/>
          <w:u w:val="single"/>
        </w:rPr>
        <w:t xml:space="preserve">                             </w:t>
      </w:r>
    </w:p>
    <w:p w14:paraId="63852B0F">
      <w:pPr>
        <w:spacing w:line="360" w:lineRule="auto"/>
        <w:ind w:left="420" w:leftChars="200"/>
        <w:rPr>
          <w:color w:val="auto"/>
          <w:sz w:val="32"/>
          <w:szCs w:val="32"/>
        </w:rPr>
      </w:pPr>
      <w:r>
        <w:rPr>
          <w:rFonts w:hint="eastAsia"/>
          <w:color w:val="auto"/>
          <w:sz w:val="32"/>
          <w:szCs w:val="32"/>
        </w:rPr>
        <w:t>签订时间：</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48495273">
      <w:pPr>
        <w:rPr>
          <w:color w:val="auto"/>
        </w:rPr>
      </w:pPr>
    </w:p>
    <w:p w14:paraId="4E51BB04">
      <w:pPr>
        <w:rPr>
          <w:rFonts w:eastAsia="黑体"/>
          <w:color w:val="auto"/>
          <w:sz w:val="44"/>
          <w:szCs w:val="44"/>
        </w:rPr>
      </w:pPr>
      <w:r>
        <w:rPr>
          <w:rFonts w:eastAsia="黑体"/>
          <w:color w:val="auto"/>
          <w:sz w:val="44"/>
          <w:szCs w:val="44"/>
        </w:rPr>
        <w:br w:type="page"/>
      </w:r>
    </w:p>
    <w:p w14:paraId="1D38AB92">
      <w:pPr>
        <w:rPr>
          <w:rFonts w:eastAsia="黑体"/>
          <w:color w:val="auto"/>
          <w:sz w:val="44"/>
          <w:szCs w:val="44"/>
        </w:rPr>
      </w:pPr>
    </w:p>
    <w:p w14:paraId="432188A9">
      <w:pPr>
        <w:rPr>
          <w:rFonts w:eastAsia="黑体"/>
          <w:color w:val="auto"/>
          <w:sz w:val="44"/>
          <w:szCs w:val="44"/>
        </w:rPr>
      </w:pPr>
    </w:p>
    <w:p w14:paraId="7EC44EA3">
      <w:pPr>
        <w:jc w:val="center"/>
        <w:rPr>
          <w:rFonts w:eastAsia="黑体"/>
          <w:color w:val="auto"/>
          <w:sz w:val="44"/>
          <w:szCs w:val="44"/>
        </w:rPr>
      </w:pPr>
      <w:r>
        <w:rPr>
          <w:rFonts w:hint="eastAsia" w:eastAsia="黑体"/>
          <w:color w:val="auto"/>
          <w:sz w:val="44"/>
          <w:szCs w:val="44"/>
        </w:rPr>
        <w:t>使 用 说 明</w:t>
      </w:r>
    </w:p>
    <w:p w14:paraId="60FE0E29">
      <w:pPr>
        <w:ind w:firstLine="640" w:firstLineChars="200"/>
        <w:rPr>
          <w:rFonts w:hint="eastAsia" w:ascii="仿宋_GB2312" w:hAnsi="仿宋_GB2312" w:eastAsia="仿宋_GB2312" w:cs="仿宋_GB2312"/>
          <w:color w:val="auto"/>
          <w:sz w:val="32"/>
          <w:szCs w:val="32"/>
        </w:rPr>
      </w:pPr>
    </w:p>
    <w:p w14:paraId="30F22AA9">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1.本合同标准文本适用于购买现成货物的采购项目，不包括需要供应商定制开发、创新研发的货物采购项目。</w:t>
      </w:r>
    </w:p>
    <w:p w14:paraId="7CF58D98">
      <w:pPr>
        <w:rPr>
          <w:rFonts w:eastAsia="黑体"/>
          <w:color w:val="auto"/>
          <w:sz w:val="44"/>
          <w:szCs w:val="44"/>
        </w:rPr>
      </w:pPr>
      <w:r>
        <w:rPr>
          <w:rFonts w:hint="eastAsia" w:eastAsia="黑体"/>
          <w:color w:val="auto"/>
          <w:sz w:val="44"/>
          <w:szCs w:val="44"/>
        </w:rPr>
        <w:t xml:space="preserve">   </w:t>
      </w:r>
      <w:r>
        <w:rPr>
          <w:rFonts w:hint="eastAsia" w:ascii="仿宋_GB2312" w:hAnsi="仿宋_GB2312" w:eastAsia="仿宋_GB2312" w:cs="仿宋_GB2312"/>
          <w:color w:val="auto"/>
          <w:sz w:val="32"/>
          <w:szCs w:val="32"/>
        </w:rPr>
        <w:t>2.本合同标准文本为政府采购货物买卖合同编制提供参考，可以结合采购项目具体情况，对文本作必要的调整修订后使用。</w:t>
      </w:r>
    </w:p>
    <w:p w14:paraId="74690F15">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3.本合同标准文本各条款中，如涉及填写多家供应商、制造商，多种采购标的、分包主要内容等信息的，可根据采购项目具体情况添加信息项。</w:t>
      </w:r>
    </w:p>
    <w:p w14:paraId="6247341C">
      <w:pPr>
        <w:ind w:firstLine="880" w:firstLineChars="200"/>
        <w:rPr>
          <w:rFonts w:eastAsia="黑体"/>
          <w:color w:val="auto"/>
          <w:sz w:val="44"/>
          <w:szCs w:val="44"/>
        </w:rPr>
        <w:sectPr>
          <w:headerReference r:id="rId6" w:type="default"/>
          <w:footerReference r:id="rId7" w:type="default"/>
          <w:pgSz w:w="11906" w:h="16838"/>
          <w:pgMar w:top="1440" w:right="1800" w:bottom="1440" w:left="1800" w:header="851" w:footer="992" w:gutter="0"/>
          <w:cols w:space="425" w:num="1"/>
          <w:docGrid w:type="lines" w:linePitch="312" w:charSpace="0"/>
        </w:sectPr>
      </w:pPr>
    </w:p>
    <w:bookmarkEnd w:id="114"/>
    <w:p w14:paraId="52A11F71">
      <w:pPr>
        <w:pStyle w:val="4"/>
        <w:adjustRightInd w:val="0"/>
        <w:snapToGrid w:val="0"/>
        <w:jc w:val="center"/>
        <w:rPr>
          <w:rFonts w:hint="eastAsia" w:ascii="黑体" w:hAnsi="黑体"/>
          <w:color w:val="auto"/>
          <w:sz w:val="28"/>
          <w:szCs w:val="28"/>
        </w:rPr>
      </w:pPr>
      <w:bookmarkStart w:id="115" w:name="_Toc22209"/>
    </w:p>
    <w:p w14:paraId="47571490">
      <w:pPr>
        <w:pStyle w:val="4"/>
        <w:adjustRightInd w:val="0"/>
        <w:snapToGrid w:val="0"/>
        <w:jc w:val="center"/>
        <w:rPr>
          <w:rFonts w:hint="eastAsia" w:ascii="黑体" w:hAnsi="华文中宋"/>
          <w:b w:val="0"/>
          <w:bCs w:val="0"/>
          <w:color w:val="auto"/>
          <w:sz w:val="28"/>
          <w:szCs w:val="28"/>
        </w:rPr>
      </w:pPr>
      <w:r>
        <w:rPr>
          <w:rFonts w:hint="eastAsia" w:ascii="黑体" w:hAnsi="黑体"/>
          <w:b w:val="0"/>
          <w:bCs w:val="0"/>
          <w:color w:val="auto"/>
          <w:sz w:val="28"/>
          <w:szCs w:val="28"/>
        </w:rPr>
        <w:t xml:space="preserve">第一节 </w:t>
      </w:r>
      <w:r>
        <w:rPr>
          <w:rFonts w:hint="eastAsia" w:ascii="黑体" w:hAnsi="华文中宋"/>
          <w:b w:val="0"/>
          <w:bCs w:val="0"/>
          <w:color w:val="auto"/>
          <w:sz w:val="28"/>
          <w:szCs w:val="28"/>
        </w:rPr>
        <w:t>政府采购合同协议书</w:t>
      </w:r>
      <w:bookmarkEnd w:id="115"/>
    </w:p>
    <w:p w14:paraId="12161EF8">
      <w:pPr>
        <w:pStyle w:val="4"/>
        <w:adjustRightInd w:val="0"/>
        <w:snapToGrid w:val="0"/>
        <w:jc w:val="center"/>
        <w:rPr>
          <w:rFonts w:hint="eastAsia" w:ascii="黑体" w:hAnsi="华文中宋"/>
          <w:b w:val="0"/>
          <w:bCs w:val="0"/>
          <w:color w:val="auto"/>
          <w:sz w:val="28"/>
          <w:szCs w:val="28"/>
        </w:rPr>
      </w:pPr>
    </w:p>
    <w:p w14:paraId="0CEBCB86">
      <w:pPr>
        <w:adjustRightInd w:val="0"/>
        <w:snapToGrid w:val="0"/>
        <w:spacing w:line="400" w:lineRule="exact"/>
        <w:rPr>
          <w:rFonts w:hint="eastAsia" w:ascii="宋体" w:hAnsi="宋体"/>
          <w:color w:val="auto"/>
          <w:szCs w:val="21"/>
        </w:rPr>
      </w:pPr>
      <w:r>
        <w:rPr>
          <w:rFonts w:hint="eastAsia" w:ascii="宋体" w:hAnsi="宋体"/>
          <w:color w:val="auto"/>
          <w:szCs w:val="21"/>
        </w:rPr>
        <w:t>甲方（全称）：</w:t>
      </w:r>
      <w:r>
        <w:rPr>
          <w:rFonts w:hint="eastAsia" w:ascii="宋体" w:hAnsi="宋体"/>
          <w:color w:val="auto"/>
          <w:szCs w:val="21"/>
          <w:u w:val="single"/>
        </w:rPr>
        <w:t xml:space="preserve">                        </w:t>
      </w:r>
      <w:r>
        <w:rPr>
          <w:rFonts w:hint="eastAsia" w:ascii="宋体" w:hAnsi="宋体"/>
          <w:color w:val="auto"/>
          <w:szCs w:val="21"/>
        </w:rPr>
        <w:t>（采购人、受采购人委托签订合同的单位或采购</w:t>
      </w:r>
      <w:r>
        <w:rPr>
          <w:rFonts w:hint="eastAsia" w:ascii="宋体" w:hAnsi="宋体"/>
          <w:color w:val="auto"/>
          <w:szCs w:val="21"/>
        </w:rPr>
        <w:tab/>
      </w:r>
      <w:r>
        <w:rPr>
          <w:rFonts w:hint="eastAsia" w:ascii="宋体" w:hAnsi="宋体"/>
          <w:color w:val="auto"/>
          <w:szCs w:val="21"/>
        </w:rPr>
        <w:t xml:space="preserve">                                   文件约定的合同甲方）</w:t>
      </w:r>
    </w:p>
    <w:p w14:paraId="1108CE78">
      <w:pPr>
        <w:adjustRightInd w:val="0"/>
        <w:snapToGrid w:val="0"/>
        <w:spacing w:line="400" w:lineRule="exact"/>
        <w:rPr>
          <w:rFonts w:hint="eastAsia" w:ascii="宋体" w:hAnsi="宋体"/>
          <w:color w:val="auto"/>
          <w:szCs w:val="21"/>
        </w:rPr>
      </w:pPr>
      <w:r>
        <w:rPr>
          <w:rFonts w:hint="eastAsia" w:ascii="宋体" w:hAnsi="宋体"/>
          <w:color w:val="auto"/>
          <w:szCs w:val="21"/>
        </w:rPr>
        <w:t>乙方1（全称）：</w:t>
      </w:r>
      <w:r>
        <w:rPr>
          <w:rFonts w:hint="eastAsia" w:ascii="宋体" w:hAnsi="宋体"/>
          <w:color w:val="auto"/>
          <w:szCs w:val="21"/>
          <w:u w:val="single"/>
        </w:rPr>
        <w:t xml:space="preserve">                       </w:t>
      </w:r>
      <w:r>
        <w:rPr>
          <w:rFonts w:hint="eastAsia" w:ascii="宋体" w:hAnsi="宋体"/>
          <w:color w:val="auto"/>
          <w:szCs w:val="21"/>
        </w:rPr>
        <w:t>（供应商）</w:t>
      </w:r>
    </w:p>
    <w:p w14:paraId="54D8E7DE">
      <w:pPr>
        <w:adjustRightInd w:val="0"/>
        <w:snapToGrid w:val="0"/>
        <w:spacing w:line="400" w:lineRule="exact"/>
        <w:rPr>
          <w:rFonts w:hint="eastAsia" w:ascii="宋体" w:hAnsi="宋体"/>
          <w:color w:val="auto"/>
          <w:szCs w:val="21"/>
        </w:rPr>
      </w:pPr>
      <w:r>
        <w:rPr>
          <w:rFonts w:hint="eastAsia" w:ascii="宋体" w:hAnsi="宋体"/>
          <w:color w:val="auto"/>
          <w:szCs w:val="21"/>
        </w:rPr>
        <w:t>乙方2（全称）：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2CA2AEB3">
      <w:pPr>
        <w:adjustRightInd w:val="0"/>
        <w:snapToGrid w:val="0"/>
        <w:spacing w:line="400" w:lineRule="exact"/>
        <w:rPr>
          <w:rFonts w:hint="eastAsia" w:ascii="宋体" w:hAnsi="宋体"/>
          <w:color w:val="auto"/>
          <w:szCs w:val="21"/>
        </w:rPr>
      </w:pPr>
      <w:r>
        <w:rPr>
          <w:rFonts w:hint="eastAsia"/>
          <w:color w:val="auto"/>
        </w:rPr>
        <w:t>乙方</w:t>
      </w:r>
      <w:r>
        <w:rPr>
          <w:rFonts w:hint="eastAsia" w:ascii="宋体" w:hAnsi="宋体"/>
          <w:color w:val="auto"/>
          <w:szCs w:val="21"/>
        </w:rPr>
        <w:t>3</w:t>
      </w:r>
      <w:r>
        <w:rPr>
          <w:rFonts w:hint="eastAsia"/>
          <w:color w:val="auto"/>
        </w:rPr>
        <w:t>（全称）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08203FC0">
      <w:pPr>
        <w:spacing w:line="400" w:lineRule="exact"/>
        <w:rPr>
          <w:rFonts w:hint="eastAsia" w:ascii="宋体" w:hAnsi="宋体" w:cs="宋体"/>
          <w:color w:val="auto"/>
          <w:szCs w:val="21"/>
        </w:rPr>
      </w:pPr>
    </w:p>
    <w:p w14:paraId="32BB9A83">
      <w:pPr>
        <w:pStyle w:val="18"/>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2F97849">
      <w:pPr>
        <w:numPr>
          <w:ilvl w:val="0"/>
          <w:numId w:val="11"/>
        </w:numPr>
        <w:adjustRightInd w:val="0"/>
        <w:snapToGrid w:val="0"/>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项目信息</w:t>
      </w:r>
    </w:p>
    <w:p w14:paraId="6F963C92">
      <w:pPr>
        <w:pStyle w:val="18"/>
        <w:numPr>
          <w:ilvl w:val="0"/>
          <w:numId w:val="12"/>
        </w:numPr>
        <w:adjustRightInd w:val="0"/>
        <w:snapToGrid w:val="0"/>
        <w:spacing w:line="40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采购项目名称：</w:t>
      </w:r>
      <w:r>
        <w:rPr>
          <w:rFonts w:hint="eastAsia" w:ascii="宋体" w:hAnsi="宋体" w:eastAsia="宋体" w:cs="宋体"/>
          <w:color w:val="auto"/>
          <w:sz w:val="21"/>
          <w:szCs w:val="21"/>
          <w:u w:val="single"/>
        </w:rPr>
        <w:t xml:space="preserve">                                          </w:t>
      </w:r>
    </w:p>
    <w:p w14:paraId="006690A5">
      <w:pPr>
        <w:pStyle w:val="18"/>
        <w:numPr>
          <w:ilvl w:val="255"/>
          <w:numId w:val="0"/>
        </w:numPr>
        <w:tabs>
          <w:tab w:val="left" w:pos="999"/>
        </w:tabs>
        <w:adjustRightInd w:val="0"/>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采购项目编号：</w:t>
      </w:r>
      <w:r>
        <w:rPr>
          <w:rFonts w:hint="eastAsia" w:ascii="宋体" w:hAnsi="宋体" w:eastAsia="宋体" w:cs="宋体"/>
          <w:color w:val="auto"/>
          <w:sz w:val="21"/>
          <w:szCs w:val="21"/>
          <w:u w:val="single"/>
        </w:rPr>
        <w:t xml:space="preserve">                                          </w:t>
      </w:r>
    </w:p>
    <w:p w14:paraId="2AE854F1">
      <w:pPr>
        <w:pStyle w:val="18"/>
        <w:adjustRightInd w:val="0"/>
        <w:snapToGrid w:val="0"/>
        <w:spacing w:line="400" w:lineRule="exact"/>
        <w:ind w:firstLine="420" w:firstLineChars="200"/>
        <w:rPr>
          <w:rFonts w:hint="eastAsia" w:ascii="宋体" w:hAnsi="宋体"/>
          <w:color w:val="auto"/>
          <w:szCs w:val="21"/>
        </w:rPr>
      </w:pPr>
      <w:r>
        <w:rPr>
          <w:rFonts w:hint="eastAsia" w:ascii="宋体" w:hAnsi="宋体" w:eastAsia="宋体" w:cs="宋体"/>
          <w:color w:val="auto"/>
          <w:sz w:val="21"/>
          <w:szCs w:val="21"/>
        </w:rPr>
        <w:t>（2）采购计划编号：</w:t>
      </w:r>
      <w:r>
        <w:rPr>
          <w:rFonts w:hint="eastAsia" w:ascii="宋体" w:hAnsi="宋体" w:eastAsia="宋体" w:cs="宋体"/>
          <w:color w:val="auto"/>
          <w:sz w:val="21"/>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 xml:space="preserve"> </w:t>
      </w:r>
    </w:p>
    <w:p w14:paraId="74C7EB7D">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（3）项目内容：</w:t>
      </w:r>
    </w:p>
    <w:p w14:paraId="0EECDCDD">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 xml:space="preserve">     采购标的及数量（台/套</w:t>
      </w:r>
      <w:r>
        <w:rPr>
          <w:rFonts w:ascii="宋体" w:hAnsi="宋体"/>
          <w:color w:val="auto"/>
          <w:szCs w:val="21"/>
          <w:lang w:val="en"/>
        </w:rPr>
        <w:t>/</w:t>
      </w:r>
      <w:r>
        <w:rPr>
          <w:rFonts w:hint="eastAsia" w:ascii="宋体" w:hAnsi="宋体"/>
          <w:color w:val="auto"/>
          <w:szCs w:val="21"/>
          <w:lang w:val="en"/>
        </w:rPr>
        <w:t>个</w:t>
      </w:r>
      <w:r>
        <w:rPr>
          <w:rFonts w:ascii="宋体" w:hAnsi="宋体"/>
          <w:color w:val="auto"/>
          <w:szCs w:val="21"/>
          <w:lang w:val="en"/>
        </w:rPr>
        <w:t>/</w:t>
      </w:r>
      <w:r>
        <w:rPr>
          <w:rFonts w:hint="eastAsia" w:ascii="宋体" w:hAnsi="宋体"/>
          <w:color w:val="auto"/>
          <w:szCs w:val="21"/>
          <w:lang w:val="en"/>
        </w:rPr>
        <w:t>架</w:t>
      </w:r>
      <w:r>
        <w:rPr>
          <w:rFonts w:ascii="宋体" w:hAnsi="宋体"/>
          <w:color w:val="auto"/>
          <w:szCs w:val="21"/>
          <w:lang w:val="en"/>
        </w:rPr>
        <w:t>/</w:t>
      </w:r>
      <w:r>
        <w:rPr>
          <w:rFonts w:hint="eastAsia" w:ascii="宋体" w:hAnsi="宋体"/>
          <w:color w:val="auto"/>
          <w:szCs w:val="21"/>
          <w:lang w:val="en"/>
        </w:rPr>
        <w:t>组等</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 xml:space="preserve"> </w:t>
      </w:r>
    </w:p>
    <w:p w14:paraId="622CEF8C">
      <w:pPr>
        <w:numPr>
          <w:ilvl w:val="255"/>
          <w:numId w:val="0"/>
        </w:numPr>
        <w:adjustRightInd w:val="0"/>
        <w:snapToGrid w:val="0"/>
        <w:spacing w:line="400" w:lineRule="exact"/>
        <w:ind w:firstLine="420" w:firstLineChars="200"/>
        <w:rPr>
          <w:rFonts w:hint="eastAsia" w:ascii="宋体" w:hAnsi="宋体" w:cs="宋体"/>
          <w:color w:val="auto"/>
          <w:szCs w:val="21"/>
          <w:lang w:val="en"/>
        </w:rPr>
      </w:pPr>
      <w:r>
        <w:rPr>
          <w:rFonts w:hint="eastAsia" w:ascii="宋体" w:hAnsi="宋体"/>
          <w:color w:val="auto"/>
          <w:szCs w:val="21"/>
        </w:rPr>
        <w:t xml:space="preserve">     </w:t>
      </w:r>
      <w:r>
        <w:rPr>
          <w:rFonts w:hint="eastAsia" w:ascii="宋体" w:hAnsi="宋体" w:cs="宋体"/>
          <w:color w:val="auto"/>
          <w:szCs w:val="21"/>
        </w:rPr>
        <w:t>品牌：</w:t>
      </w:r>
      <w:r>
        <w:rPr>
          <w:rFonts w:hint="eastAsia" w:ascii="宋体" w:hAnsi="宋体" w:cs="宋体"/>
          <w:color w:val="auto"/>
          <w:szCs w:val="21"/>
          <w:u w:val="single"/>
        </w:rPr>
        <w:t xml:space="preserve">      </w:t>
      </w:r>
      <w:r>
        <w:rPr>
          <w:rFonts w:ascii="宋体" w:hAnsi="宋体" w:cs="宋体"/>
          <w:color w:val="auto"/>
          <w:szCs w:val="21"/>
          <w:u w:val="single"/>
          <w:lang w:val="en"/>
        </w:rPr>
        <w:t xml:space="preserve">   </w:t>
      </w:r>
      <w:r>
        <w:rPr>
          <w:rFonts w:hint="eastAsia" w:ascii="宋体" w:hAnsi="宋体" w:cs="宋体"/>
          <w:color w:val="auto"/>
          <w:szCs w:val="21"/>
          <w:u w:val="single"/>
        </w:rPr>
        <w:t xml:space="preserve">    </w:t>
      </w:r>
      <w:r>
        <w:rPr>
          <w:rFonts w:ascii="宋体" w:hAnsi="宋体" w:cs="宋体"/>
          <w:color w:val="auto"/>
          <w:szCs w:val="21"/>
          <w:u w:val="single"/>
          <w:lang w:val="en"/>
        </w:rPr>
        <w:t xml:space="preserve"> </w:t>
      </w:r>
      <w:r>
        <w:rPr>
          <w:rFonts w:hint="eastAsia" w:ascii="宋体" w:hAnsi="宋体" w:cs="宋体"/>
          <w:color w:val="auto"/>
          <w:szCs w:val="21"/>
          <w:u w:val="single"/>
        </w:rPr>
        <w:t xml:space="preserve"> </w:t>
      </w:r>
      <w:r>
        <w:rPr>
          <w:rFonts w:ascii="宋体" w:hAnsi="宋体" w:cs="宋体"/>
          <w:color w:val="auto"/>
          <w:szCs w:val="21"/>
          <w:lang w:val="en"/>
        </w:rPr>
        <w:t xml:space="preserve">     </w:t>
      </w:r>
      <w:r>
        <w:rPr>
          <w:rFonts w:hint="eastAsia" w:ascii="宋体" w:hAnsi="宋体" w:cs="宋体"/>
          <w:color w:val="auto"/>
          <w:szCs w:val="21"/>
        </w:rPr>
        <w:t>规格型号：</w:t>
      </w:r>
      <w:r>
        <w:rPr>
          <w:rFonts w:hint="eastAsia" w:ascii="宋体" w:hAnsi="宋体" w:cs="宋体"/>
          <w:color w:val="auto"/>
          <w:szCs w:val="21"/>
          <w:u w:val="single"/>
        </w:rPr>
        <w:t xml:space="preserve">   </w:t>
      </w:r>
      <w:r>
        <w:rPr>
          <w:rFonts w:ascii="宋体" w:hAnsi="宋体" w:cs="宋体"/>
          <w:color w:val="auto"/>
          <w:szCs w:val="21"/>
          <w:u w:val="single"/>
          <w:lang w:val="en"/>
        </w:rPr>
        <w:t xml:space="preserve">  </w:t>
      </w:r>
      <w:r>
        <w:rPr>
          <w:rFonts w:hint="eastAsia" w:ascii="宋体" w:hAnsi="宋体" w:cs="宋体"/>
          <w:color w:val="auto"/>
          <w:szCs w:val="21"/>
          <w:u w:val="single"/>
        </w:rPr>
        <w:t xml:space="preserve">       </w:t>
      </w:r>
      <w:r>
        <w:rPr>
          <w:rFonts w:ascii="宋体" w:hAnsi="宋体" w:cs="宋体"/>
          <w:color w:val="auto"/>
          <w:szCs w:val="21"/>
          <w:u w:val="single"/>
          <w:lang w:val="en"/>
        </w:rPr>
        <w:t xml:space="preserve">   </w:t>
      </w:r>
    </w:p>
    <w:p w14:paraId="6B157DD2">
      <w:pPr>
        <w:adjustRightInd w:val="0"/>
        <w:snapToGrid w:val="0"/>
        <w:spacing w:line="400" w:lineRule="exact"/>
        <w:ind w:firstLine="945" w:firstLineChars="450"/>
        <w:rPr>
          <w:rFonts w:hint="eastAsia" w:ascii="宋体" w:hAnsi="宋体"/>
          <w:color w:val="auto"/>
          <w:szCs w:val="21"/>
          <w:u w:val="single"/>
        </w:rPr>
      </w:pPr>
      <w:r>
        <w:rPr>
          <w:rFonts w:hint="eastAsia" w:ascii="宋体" w:hAnsi="宋体"/>
          <w:color w:val="auto"/>
          <w:szCs w:val="21"/>
        </w:rPr>
        <w:t>采购标的的技术要求、商务要求具体见附件。</w:t>
      </w:r>
    </w:p>
    <w:p w14:paraId="7535B43B">
      <w:pPr>
        <w:numPr>
          <w:ilvl w:val="255"/>
          <w:numId w:val="0"/>
        </w:numPr>
        <w:adjustRightInd w:val="0"/>
        <w:snapToGrid w:val="0"/>
        <w:spacing w:line="400" w:lineRule="exact"/>
        <w:ind w:firstLine="945" w:firstLineChars="450"/>
        <w:rPr>
          <w:rFonts w:hint="eastAsia" w:ascii="宋体" w:hAnsi="宋体" w:cs="宋体"/>
          <w:color w:val="auto"/>
          <w:szCs w:val="21"/>
        </w:rPr>
      </w:pPr>
      <w:r>
        <w:rPr>
          <w:rFonts w:hint="eastAsia" w:ascii="汉仪书宋二S" w:hAnsi="汉仪书宋二S" w:eastAsia="汉仪书宋二S" w:cs="汉仪书宋二S"/>
          <w:color w:val="auto"/>
          <w:szCs w:val="21"/>
        </w:rPr>
        <w:t>①</w:t>
      </w:r>
      <w:r>
        <w:rPr>
          <w:rFonts w:hint="eastAsia" w:ascii="宋体" w:hAnsi="宋体" w:cs="宋体"/>
          <w:color w:val="auto"/>
          <w:szCs w:val="21"/>
        </w:rPr>
        <w:t>涉及信息类产品，请填写该产品关键部件的品牌、型号：</w:t>
      </w:r>
    </w:p>
    <w:p w14:paraId="5F5B85F1">
      <w:pPr>
        <w:numPr>
          <w:ilvl w:val="255"/>
          <w:numId w:val="0"/>
        </w:numPr>
        <w:adjustRightInd w:val="0"/>
        <w:snapToGrid w:val="0"/>
        <w:spacing w:line="400" w:lineRule="exact"/>
        <w:ind w:firstLine="420" w:firstLineChars="200"/>
        <w:rPr>
          <w:rFonts w:hint="eastAsia" w:ascii="宋体" w:hAnsi="宋体" w:cs="宋体"/>
          <w:color w:val="auto"/>
          <w:kern w:val="0"/>
          <w:szCs w:val="21"/>
          <w:u w:val="single"/>
        </w:rPr>
      </w:pPr>
      <w:r>
        <w:rPr>
          <w:rFonts w:hint="eastAsia" w:ascii="宋体" w:hAnsi="宋体" w:cs="宋体"/>
          <w:color w:val="auto"/>
          <w:szCs w:val="21"/>
        </w:rPr>
        <w:t xml:space="preserve">     标的名称：</w:t>
      </w:r>
      <w:r>
        <w:rPr>
          <w:rFonts w:hint="eastAsia" w:ascii="宋体" w:hAnsi="宋体" w:cs="宋体"/>
          <w:color w:val="auto"/>
          <w:kern w:val="0"/>
          <w:szCs w:val="21"/>
          <w:u w:val="single"/>
        </w:rPr>
        <w:t xml:space="preserve">      </w:t>
      </w:r>
      <w:r>
        <w:rPr>
          <w:rFonts w:ascii="宋体" w:hAnsi="宋体" w:cs="宋体"/>
          <w:color w:val="auto"/>
          <w:kern w:val="0"/>
          <w:szCs w:val="21"/>
          <w:u w:val="single"/>
          <w:lang w:val="en"/>
        </w:rPr>
        <w:t xml:space="preserve">               </w:t>
      </w:r>
      <w:r>
        <w:rPr>
          <w:rFonts w:hint="eastAsia" w:ascii="宋体" w:hAnsi="宋体" w:cs="宋体"/>
          <w:color w:val="auto"/>
          <w:kern w:val="0"/>
          <w:szCs w:val="21"/>
          <w:u w:val="single"/>
        </w:rPr>
        <w:t xml:space="preserve">    </w:t>
      </w:r>
    </w:p>
    <w:p w14:paraId="1AB6763B">
      <w:pPr>
        <w:numPr>
          <w:ilvl w:val="255"/>
          <w:numId w:val="0"/>
        </w:num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     关键部件：</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r>
        <w:rPr>
          <w:rFonts w:hint="eastAsia" w:ascii="宋体" w:hAnsi="宋体" w:cs="宋体"/>
          <w:color w:val="auto"/>
          <w:szCs w:val="21"/>
        </w:rPr>
        <w:t>品牌：</w:t>
      </w:r>
      <w:r>
        <w:rPr>
          <w:rFonts w:hint="eastAsia" w:ascii="宋体" w:hAnsi="宋体" w:cs="宋体"/>
          <w:color w:val="auto"/>
          <w:szCs w:val="21"/>
          <w:u w:val="single"/>
        </w:rPr>
        <w:t xml:space="preserve">        </w:t>
      </w:r>
      <w:r>
        <w:rPr>
          <w:rFonts w:hint="eastAsia" w:ascii="宋体" w:hAnsi="宋体" w:cs="宋体"/>
          <w:color w:val="auto"/>
          <w:szCs w:val="21"/>
        </w:rPr>
        <w:t xml:space="preserve"> 型号：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36732E66">
      <w:pPr>
        <w:pStyle w:val="141"/>
        <w:ind w:firstLine="420"/>
        <w:rPr>
          <w:rFonts w:hint="eastAsia"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cs="宋体"/>
          <w:color w:val="auto"/>
          <w:kern w:val="2"/>
          <w:sz w:val="21"/>
        </w:rPr>
        <w:t>关键部件</w:t>
      </w:r>
      <w:r>
        <w:rPr>
          <w:rFonts w:hint="eastAsia" w:ascii="宋体" w:hAnsi="宋体" w:eastAsia="宋体" w:cs="宋体"/>
          <w:color w:val="auto"/>
          <w:sz w:val="21"/>
        </w:rPr>
        <w:t>：</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品牌：</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型号：</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w:t>
      </w:r>
    </w:p>
    <w:p w14:paraId="536E07A2">
      <w:pPr>
        <w:pStyle w:val="141"/>
        <w:ind w:firstLine="420"/>
        <w:rPr>
          <w:rFonts w:hint="eastAsia" w:ascii="宋体" w:hAnsi="宋体" w:eastAsia="宋体" w:cs="宋体"/>
          <w:color w:val="auto"/>
          <w:sz w:val="21"/>
        </w:rPr>
      </w:pPr>
      <w:r>
        <w:rPr>
          <w:rFonts w:hint="eastAsia" w:ascii="宋体" w:hAnsi="宋体" w:eastAsia="宋体" w:cs="宋体"/>
          <w:color w:val="auto"/>
          <w:sz w:val="21"/>
        </w:rPr>
        <w:t xml:space="preserve">     关键部件：</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品牌：</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型号：</w:t>
      </w:r>
      <w:r>
        <w:rPr>
          <w:rFonts w:hint="eastAsia" w:ascii="宋体" w:hAnsi="宋体" w:eastAsia="宋体" w:cs="宋体"/>
          <w:color w:val="auto"/>
          <w:sz w:val="21"/>
          <w:u w:val="single"/>
        </w:rPr>
        <w:t xml:space="preserve">       </w:t>
      </w:r>
    </w:p>
    <w:p w14:paraId="22CCCA89">
      <w:pPr>
        <w:pStyle w:val="141"/>
        <w:numPr>
          <w:ilvl w:val="255"/>
          <w:numId w:val="0"/>
        </w:numPr>
        <w:snapToGrid w:val="0"/>
        <w:rPr>
          <w:rFonts w:hint="eastAsia" w:ascii="宋体" w:hAnsi="宋体" w:eastAsia="宋体" w:cs="宋体"/>
          <w:color w:val="auto"/>
          <w:sz w:val="21"/>
        </w:rPr>
      </w:pPr>
      <w:r>
        <w:rPr>
          <w:rFonts w:hint="eastAsia" w:ascii="宋体" w:hAnsi="宋体" w:eastAsia="宋体" w:cs="宋体"/>
          <w:color w:val="auto"/>
          <w:sz w:val="21"/>
        </w:rPr>
        <w:t xml:space="preserve">   （注：关键部件是指财政部会同有关部门发布的政府采购需求标准规定的需要通过国家有关部门指定的测评机构开展的安全可靠测评的软硬件，如CPU芯片、操作系统、数据库等。）</w:t>
      </w:r>
    </w:p>
    <w:p w14:paraId="11E59FAD">
      <w:pPr>
        <w:pStyle w:val="141"/>
        <w:numPr>
          <w:ilvl w:val="255"/>
          <w:numId w:val="0"/>
        </w:numPr>
        <w:snapToGrid w:val="0"/>
        <w:rPr>
          <w:rFonts w:hint="eastAsia" w:ascii="宋体" w:hAnsi="宋体" w:eastAsia="宋体" w:cs="宋体"/>
          <w:color w:val="auto"/>
          <w:sz w:val="21"/>
        </w:rPr>
      </w:pPr>
      <w:r>
        <w:rPr>
          <w:rFonts w:hint="eastAsia" w:ascii="宋体" w:hAnsi="宋体" w:eastAsia="宋体" w:cs="宋体"/>
          <w:color w:val="auto"/>
          <w:sz w:val="21"/>
        </w:rPr>
        <w:t xml:space="preserve">         </w:t>
      </w:r>
      <w:r>
        <w:rPr>
          <w:rFonts w:hint="eastAsia" w:ascii="汉仪书宋二S" w:hAnsi="汉仪书宋二S" w:eastAsia="汉仪书宋二S" w:cs="汉仪书宋二S"/>
          <w:color w:val="auto"/>
          <w:sz w:val="21"/>
        </w:rPr>
        <w:t>②</w:t>
      </w:r>
      <w:r>
        <w:rPr>
          <w:rFonts w:hint="eastAsia" w:ascii="宋体" w:hAnsi="宋体" w:eastAsia="宋体" w:cs="宋体"/>
          <w:color w:val="auto"/>
          <w:sz w:val="21"/>
        </w:rPr>
        <w:t>涉及车辆采购，请填写是否属于新能源汽车：</w:t>
      </w:r>
    </w:p>
    <w:p w14:paraId="421969FE">
      <w:pPr>
        <w:pStyle w:val="141"/>
        <w:numPr>
          <w:ilvl w:val="255"/>
          <w:numId w:val="0"/>
        </w:numPr>
        <w:snapToGrid w:val="0"/>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 xml:space="preserve">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是，《政府采购品目分类目录》底级品目名称：</w:t>
      </w:r>
      <w:r>
        <w:rPr>
          <w:rFonts w:hint="eastAsia" w:ascii="宋体" w:hAnsi="宋体" w:eastAsia="宋体" w:cs="宋体"/>
          <w:color w:val="auto"/>
          <w:sz w:val="21"/>
          <w:u w:val="single"/>
        </w:rPr>
        <w:t xml:space="preserve">     </w:t>
      </w:r>
      <w:r>
        <w:rPr>
          <w:rFonts w:hint="eastAsia" w:asciiTheme="minorEastAsia" w:hAnsiTheme="minorEastAsia" w:eastAsiaTheme="minorEastAsia" w:cstheme="minorEastAsia"/>
          <w:color w:val="auto"/>
          <w:sz w:val="21"/>
        </w:rPr>
        <w:t xml:space="preserve"> 数量：</w:t>
      </w:r>
      <w:r>
        <w:rPr>
          <w:rFonts w:hint="eastAsia" w:asciiTheme="minorEastAsia" w:hAnsiTheme="minorEastAsia" w:eastAsiaTheme="minorEastAsia" w:cstheme="minorEastAsia"/>
          <w:color w:val="auto"/>
          <w:sz w:val="21"/>
          <w:u w:val="single"/>
        </w:rPr>
        <w:t xml:space="preserve"> </w:t>
      </w:r>
      <w:r>
        <w:rPr>
          <w:rFonts w:hint="eastAsia" w:ascii="宋体" w:hAnsi="宋体" w:eastAsia="宋体" w:cs="宋体"/>
          <w:color w:val="auto"/>
          <w:sz w:val="21"/>
          <w:u w:val="single"/>
        </w:rPr>
        <w:t xml:space="preserve">   </w:t>
      </w:r>
      <w:r>
        <w:rPr>
          <w:rFonts w:hint="eastAsia" w:asciiTheme="minorEastAsia" w:hAnsiTheme="minorEastAsia" w:eastAsiaTheme="minorEastAsia" w:cstheme="minorEastAsia"/>
          <w:color w:val="auto"/>
          <w:sz w:val="21"/>
        </w:rPr>
        <w:t xml:space="preserve"> 金额：</w:t>
      </w:r>
      <w:r>
        <w:rPr>
          <w:rFonts w:hint="eastAsia" w:ascii="宋体" w:hAnsi="宋体" w:eastAsia="宋体" w:cs="宋体"/>
          <w:color w:val="auto"/>
          <w:sz w:val="21"/>
          <w:u w:val="single"/>
        </w:rPr>
        <w:t xml:space="preserve">     </w:t>
      </w:r>
      <w:r>
        <w:rPr>
          <w:rFonts w:hint="eastAsia" w:asciiTheme="minorEastAsia" w:hAnsiTheme="minorEastAsia" w:eastAsiaTheme="minorEastAsia" w:cstheme="minorEastAsia"/>
          <w:color w:val="auto"/>
          <w:sz w:val="21"/>
        </w:rPr>
        <w:t xml:space="preserve"> </w:t>
      </w:r>
    </w:p>
    <w:p w14:paraId="1AAB3694">
      <w:pPr>
        <w:pStyle w:val="141"/>
        <w:numPr>
          <w:ilvl w:val="255"/>
          <w:numId w:val="0"/>
        </w:numPr>
        <w:snapToGrid w:val="0"/>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 xml:space="preserve">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否</w:t>
      </w:r>
    </w:p>
    <w:p w14:paraId="4425B2A9">
      <w:pPr>
        <w:pStyle w:val="141"/>
        <w:numPr>
          <w:ilvl w:val="255"/>
          <w:numId w:val="0"/>
        </w:numPr>
        <w:snapToGrid w:val="0"/>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 xml:space="preserve">    （</w:t>
      </w:r>
      <w:r>
        <w:rPr>
          <w:rFonts w:asciiTheme="minorEastAsia" w:hAnsiTheme="minorEastAsia" w:eastAsiaTheme="minorEastAsia" w:cstheme="minorEastAsia"/>
          <w:color w:val="auto"/>
          <w:sz w:val="21"/>
          <w:lang w:val="en"/>
        </w:rPr>
        <w:t>4</w:t>
      </w:r>
      <w:r>
        <w:rPr>
          <w:rFonts w:hint="eastAsia" w:asciiTheme="minorEastAsia" w:hAnsiTheme="minorEastAsia" w:eastAsiaTheme="minorEastAsia" w:cstheme="minorEastAsia"/>
          <w:color w:val="auto"/>
          <w:sz w:val="21"/>
        </w:rPr>
        <w:t>）政府采购组织形式：</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政府集中采购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部门集中采购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分散采购</w:t>
      </w:r>
    </w:p>
    <w:p w14:paraId="07FA940E">
      <w:pPr>
        <w:pStyle w:val="141"/>
        <w:numPr>
          <w:ilvl w:val="255"/>
          <w:numId w:val="0"/>
        </w:numPr>
        <w:snapToGrid w:val="0"/>
        <w:ind w:firstLine="420"/>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w:t>
      </w:r>
      <w:r>
        <w:rPr>
          <w:rFonts w:asciiTheme="minorEastAsia" w:hAnsiTheme="minorEastAsia" w:eastAsiaTheme="minorEastAsia" w:cstheme="minorEastAsia"/>
          <w:color w:val="auto"/>
          <w:sz w:val="21"/>
          <w:lang w:val="en"/>
        </w:rPr>
        <w:t>5</w:t>
      </w:r>
      <w:r>
        <w:rPr>
          <w:rFonts w:hint="eastAsia" w:asciiTheme="minorEastAsia" w:hAnsiTheme="minorEastAsia" w:eastAsiaTheme="minorEastAsia" w:cstheme="minorEastAsia"/>
          <w:color w:val="auto"/>
          <w:sz w:val="21"/>
        </w:rPr>
        <w:t>）政府采购方式：</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公开招标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邀请招标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竞争性谈判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竞争性磋商</w:t>
      </w:r>
    </w:p>
    <w:p w14:paraId="68D5DA29">
      <w:pPr>
        <w:pStyle w:val="141"/>
        <w:numPr>
          <w:ilvl w:val="255"/>
          <w:numId w:val="0"/>
        </w:numPr>
        <w:snapToGrid w:val="0"/>
        <w:ind w:firstLine="420"/>
        <w:rPr>
          <w:rFonts w:hint="eastAsia" w:ascii="宋体" w:hAnsi="宋体" w:eastAsia="宋体" w:cs="宋体"/>
          <w:color w:val="auto"/>
          <w:sz w:val="21"/>
          <w:u w:val="single"/>
        </w:rPr>
      </w:pPr>
      <w:r>
        <w:rPr>
          <w:rFonts w:hint="eastAsia" w:ascii="宋体" w:hAnsi="宋体" w:cs="宋体"/>
          <w:color w:val="auto"/>
        </w:rPr>
        <w:t xml:space="preserve">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询价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单一来源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框架协议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其他：</w:t>
      </w:r>
      <w:r>
        <w:rPr>
          <w:rFonts w:hint="eastAsia" w:ascii="宋体" w:hAnsi="宋体" w:eastAsia="宋体" w:cs="宋体"/>
          <w:color w:val="auto"/>
          <w:sz w:val="21"/>
          <w:u w:val="single"/>
        </w:rPr>
        <w:t xml:space="preserve">          </w:t>
      </w:r>
    </w:p>
    <w:p w14:paraId="5145CE50">
      <w:pPr>
        <w:pStyle w:val="141"/>
        <w:numPr>
          <w:ilvl w:val="255"/>
          <w:numId w:val="0"/>
        </w:numPr>
        <w:snapToGrid w:val="0"/>
        <w:ind w:firstLine="420"/>
        <w:rPr>
          <w:rFonts w:hint="eastAsia" w:ascii="宋体" w:hAnsi="宋体" w:eastAsia="宋体" w:cs="宋体"/>
          <w:color w:val="auto"/>
          <w:sz w:val="21"/>
        </w:rPr>
      </w:pPr>
      <w:r>
        <w:rPr>
          <w:rFonts w:hint="eastAsia" w:ascii="宋体" w:hAnsi="宋体" w:eastAsia="宋体" w:cs="宋体"/>
          <w:color w:val="auto"/>
          <w:sz w:val="21"/>
        </w:rPr>
        <w:t>（注：在框架协议采购的第二阶段，可选择使用该合同文本）</w:t>
      </w:r>
    </w:p>
    <w:p w14:paraId="5FEDB3EC">
      <w:pPr>
        <w:pStyle w:val="141"/>
        <w:numPr>
          <w:ilvl w:val="255"/>
          <w:numId w:val="0"/>
        </w:numPr>
        <w:snapToGrid w:val="0"/>
        <w:ind w:firstLine="220" w:firstLineChars="100"/>
        <w:rPr>
          <w:rFonts w:hint="eastAsia" w:ascii="宋体" w:hAnsi="宋体" w:eastAsia="宋体" w:cs="Times New Roman"/>
          <w:color w:val="auto"/>
          <w:kern w:val="2"/>
          <w:sz w:val="21"/>
        </w:rPr>
      </w:pPr>
      <w:r>
        <w:rPr>
          <w:rFonts w:hint="eastAsia" w:ascii="宋体" w:hAnsi="宋体"/>
          <w:color w:val="auto"/>
        </w:rPr>
        <w:t xml:space="preserve"> （</w:t>
      </w:r>
      <w:r>
        <w:rPr>
          <w:rFonts w:ascii="宋体" w:hAnsi="宋体"/>
          <w:color w:val="auto"/>
          <w:lang w:val="en"/>
        </w:rPr>
        <w:t>6</w:t>
      </w:r>
      <w:r>
        <w:rPr>
          <w:rFonts w:hint="eastAsia" w:ascii="宋体" w:hAnsi="宋体"/>
          <w:color w:val="auto"/>
        </w:rPr>
        <w:t>）</w:t>
      </w:r>
      <w:r>
        <w:rPr>
          <w:rFonts w:hint="eastAsia" w:ascii="宋体" w:hAnsi="宋体" w:eastAsia="宋体" w:cs="Times New Roman"/>
          <w:color w:val="auto"/>
          <w:kern w:val="2"/>
          <w:sz w:val="21"/>
        </w:rPr>
        <w:t>中标（成交）采购标的制造商是否为中小企业：</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 xml:space="preserve">是      </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否</w:t>
      </w:r>
    </w:p>
    <w:p w14:paraId="689D81D8">
      <w:pPr>
        <w:numPr>
          <w:ilvl w:val="255"/>
          <w:numId w:val="0"/>
        </w:numPr>
        <w:adjustRightInd w:val="0"/>
        <w:snapToGrid w:val="0"/>
        <w:spacing w:line="400" w:lineRule="exact"/>
        <w:rPr>
          <w:rFonts w:hint="eastAsia" w:ascii="宋体" w:hAnsi="宋体"/>
          <w:iCs/>
          <w:color w:val="auto"/>
          <w:szCs w:val="21"/>
        </w:rPr>
      </w:pPr>
      <w:r>
        <w:rPr>
          <w:rFonts w:hint="eastAsia" w:ascii="宋体" w:hAnsi="宋体"/>
          <w:color w:val="auto"/>
          <w:szCs w:val="21"/>
        </w:rPr>
        <w:t xml:space="preserve">         本合同是否为专门面向中小企业的采购合同（中小企业预留合同）：</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54361CBB">
      <w:pPr>
        <w:numPr>
          <w:ilvl w:val="255"/>
          <w:numId w:val="0"/>
        </w:numPr>
        <w:adjustRightInd w:val="0"/>
        <w:snapToGrid w:val="0"/>
        <w:spacing w:line="400" w:lineRule="exact"/>
        <w:rPr>
          <w:rFonts w:hint="eastAsia" w:ascii="宋体" w:hAnsi="宋体"/>
          <w:iCs/>
          <w:color w:val="auto"/>
          <w:szCs w:val="21"/>
        </w:rPr>
      </w:pPr>
      <w:r>
        <w:rPr>
          <w:rFonts w:hint="eastAsia"/>
          <w:color w:val="auto"/>
        </w:rPr>
        <w:t xml:space="preserve">         若本项目不专门面向中小企业采购，是否给予小微企业评审优惠：</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12C16277">
      <w:pPr>
        <w:numPr>
          <w:ilvl w:val="255"/>
          <w:numId w:val="0"/>
        </w:numPr>
        <w:adjustRightInd w:val="0"/>
        <w:snapToGrid w:val="0"/>
        <w:spacing w:line="400" w:lineRule="exact"/>
        <w:rPr>
          <w:rFonts w:hint="eastAsia" w:ascii="宋体" w:hAnsi="宋体"/>
          <w:iCs/>
          <w:color w:val="auto"/>
          <w:szCs w:val="21"/>
        </w:rPr>
      </w:pPr>
      <w:r>
        <w:rPr>
          <w:rFonts w:hint="eastAsia"/>
          <w:color w:val="auto"/>
        </w:rPr>
        <w:t xml:space="preserve">         中标（成交）采购标的制造商是否为残疾人福利性单位：</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7FA228EF">
      <w:pPr>
        <w:snapToGrid w:val="0"/>
        <w:spacing w:line="400" w:lineRule="exact"/>
        <w:rPr>
          <w:color w:val="auto"/>
        </w:rPr>
      </w:pPr>
      <w:r>
        <w:rPr>
          <w:rFonts w:hint="eastAsia"/>
          <w:color w:val="auto"/>
        </w:rPr>
        <w:t xml:space="preserve">         中标（成交）采购标的制造商是否为监狱企业：</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339DC7B7">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w:t>
      </w:r>
      <w:r>
        <w:rPr>
          <w:rFonts w:ascii="宋体" w:hAnsi="宋体"/>
          <w:color w:val="auto"/>
          <w:szCs w:val="21"/>
          <w:lang w:val="en"/>
        </w:rPr>
        <w:t>7</w:t>
      </w:r>
      <w:r>
        <w:rPr>
          <w:rFonts w:hint="eastAsia" w:ascii="宋体" w:hAnsi="宋体"/>
          <w:color w:val="auto"/>
          <w:szCs w:val="21"/>
        </w:rPr>
        <w:t>）合同是否分包：</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17AEC9DF">
      <w:pPr>
        <w:adjustRightInd w:val="0"/>
        <w:snapToGrid w:val="0"/>
        <w:spacing w:line="400" w:lineRule="exact"/>
        <w:ind w:firstLine="840" w:firstLineChars="400"/>
        <w:rPr>
          <w:rFonts w:hint="eastAsia" w:ascii="宋体" w:hAnsi="宋体"/>
          <w:color w:val="auto"/>
          <w:szCs w:val="21"/>
          <w:u w:val="single"/>
        </w:rPr>
      </w:pPr>
      <w:r>
        <w:rPr>
          <w:rFonts w:hint="eastAsia" w:ascii="宋体" w:hAnsi="宋体"/>
          <w:color w:val="auto"/>
          <w:szCs w:val="21"/>
        </w:rPr>
        <w:t xml:space="preserve"> 分包主要内容：</w:t>
      </w:r>
      <w:r>
        <w:rPr>
          <w:rFonts w:hint="eastAsia" w:ascii="宋体" w:hAnsi="宋体"/>
          <w:color w:val="auto"/>
          <w:szCs w:val="21"/>
          <w:u w:val="single"/>
        </w:rPr>
        <w:t xml:space="preserve">                                            </w:t>
      </w:r>
    </w:p>
    <w:p w14:paraId="486F5899">
      <w:pPr>
        <w:adjustRightInd w:val="0"/>
        <w:snapToGrid w:val="0"/>
        <w:spacing w:line="400" w:lineRule="exact"/>
        <w:ind w:firstLine="840" w:firstLineChars="400"/>
        <w:rPr>
          <w:rFonts w:hint="eastAsia" w:ascii="宋体" w:hAnsi="宋体"/>
          <w:color w:val="auto"/>
          <w:szCs w:val="21"/>
        </w:rPr>
      </w:pPr>
      <w:r>
        <w:rPr>
          <w:rFonts w:hint="eastAsia" w:ascii="宋体" w:hAnsi="宋体"/>
          <w:color w:val="auto"/>
          <w:szCs w:val="21"/>
        </w:rPr>
        <w:t xml:space="preserve"> 分包供应商/制造商名称（如供应商和制造商不同，请分别填写）：</w:t>
      </w:r>
    </w:p>
    <w:p w14:paraId="1F29AD48">
      <w:pPr>
        <w:adjustRightInd w:val="0"/>
        <w:snapToGrid w:val="0"/>
        <w:spacing w:line="400" w:lineRule="exact"/>
        <w:ind w:firstLine="840" w:firstLineChars="400"/>
        <w:rPr>
          <w:rFonts w:hint="eastAsia" w:ascii="宋体" w:hAnsi="宋体"/>
          <w:color w:val="auto"/>
          <w:szCs w:val="21"/>
          <w:u w:val="single"/>
        </w:rPr>
      </w:pPr>
      <w:r>
        <w:rPr>
          <w:rFonts w:hint="eastAsia" w:ascii="宋体" w:hAnsi="宋体"/>
          <w:color w:val="auto"/>
          <w:szCs w:val="21"/>
        </w:rPr>
        <w:t xml:space="preserve"> </w:t>
      </w:r>
      <w:r>
        <w:rPr>
          <w:rFonts w:hint="eastAsia" w:ascii="宋体" w:hAnsi="宋体"/>
          <w:color w:val="auto"/>
          <w:szCs w:val="21"/>
          <w:u w:val="single"/>
        </w:rPr>
        <w:t xml:space="preserve">                                                          </w:t>
      </w:r>
    </w:p>
    <w:p w14:paraId="43374179">
      <w:pPr>
        <w:adjustRightInd w:val="0"/>
        <w:snapToGrid w:val="0"/>
        <w:spacing w:line="400" w:lineRule="exact"/>
        <w:ind w:firstLine="840" w:firstLineChars="400"/>
        <w:rPr>
          <w:rFonts w:hint="eastAsia" w:ascii="宋体" w:hAnsi="宋体"/>
          <w:color w:val="auto"/>
          <w:szCs w:val="21"/>
        </w:rPr>
      </w:pPr>
      <w:r>
        <w:rPr>
          <w:rFonts w:hint="eastAsia" w:ascii="宋体" w:hAnsi="宋体"/>
          <w:color w:val="auto"/>
          <w:szCs w:val="21"/>
        </w:rPr>
        <w:t xml:space="preserve"> 分包供应商/制造商类型（如果供应商和制造商不同，只填写制造商类型）：</w:t>
      </w:r>
    </w:p>
    <w:p w14:paraId="1A155652">
      <w:pPr>
        <w:adjustRightInd w:val="0"/>
        <w:snapToGrid w:val="0"/>
        <w:spacing w:line="400" w:lineRule="exact"/>
        <w:ind w:firstLine="840" w:firstLineChars="400"/>
        <w:rPr>
          <w:rFonts w:hint="eastAsia"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大型企业  </w:t>
      </w:r>
      <w:r>
        <w:rPr>
          <w:rFonts w:hint="eastAsia" w:ascii="宋体" w:hAnsi="宋体"/>
          <w:iCs/>
          <w:color w:val="auto"/>
          <w:szCs w:val="21"/>
        </w:rPr>
        <w:sym w:font="Wingdings" w:char="00A8"/>
      </w:r>
      <w:r>
        <w:rPr>
          <w:rFonts w:hint="eastAsia" w:ascii="宋体" w:hAnsi="宋体"/>
          <w:iCs/>
          <w:color w:val="auto"/>
          <w:szCs w:val="21"/>
        </w:rPr>
        <w:t xml:space="preserve">中型企业  </w:t>
      </w:r>
      <w:r>
        <w:rPr>
          <w:rFonts w:hint="eastAsia" w:ascii="宋体" w:hAnsi="宋体"/>
          <w:iCs/>
          <w:color w:val="auto"/>
          <w:szCs w:val="21"/>
        </w:rPr>
        <w:sym w:font="Wingdings" w:char="00A8"/>
      </w:r>
      <w:r>
        <w:rPr>
          <w:rFonts w:hint="eastAsia" w:ascii="宋体" w:hAnsi="宋体"/>
          <w:iCs/>
          <w:color w:val="auto"/>
          <w:szCs w:val="21"/>
        </w:rPr>
        <w:t xml:space="preserve">小微型企业  </w:t>
      </w:r>
    </w:p>
    <w:p w14:paraId="47DA8EC1">
      <w:pPr>
        <w:adjustRightInd w:val="0"/>
        <w:snapToGrid w:val="0"/>
        <w:spacing w:line="400" w:lineRule="exact"/>
        <w:ind w:firstLine="840" w:firstLineChars="400"/>
        <w:rPr>
          <w:rFonts w:eastAsia="华文楷体"/>
          <w:color w:val="auto"/>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残疾人福利性单位 </w:t>
      </w:r>
      <w:r>
        <w:rPr>
          <w:rFonts w:hint="eastAsia" w:ascii="宋体" w:hAnsi="宋体"/>
          <w:iCs/>
          <w:color w:val="auto"/>
          <w:szCs w:val="21"/>
        </w:rPr>
        <w:sym w:font="Wingdings" w:char="00A8"/>
      </w:r>
      <w:r>
        <w:rPr>
          <w:rFonts w:hint="eastAsia" w:ascii="宋体" w:hAnsi="宋体"/>
          <w:iCs/>
          <w:color w:val="auto"/>
          <w:szCs w:val="21"/>
        </w:rPr>
        <w:t xml:space="preserve">监狱企业 </w:t>
      </w:r>
      <w:r>
        <w:rPr>
          <w:rFonts w:hint="eastAsia" w:ascii="宋体" w:hAnsi="宋体"/>
          <w:iCs/>
          <w:color w:val="auto"/>
          <w:szCs w:val="21"/>
        </w:rPr>
        <w:sym w:font="Wingdings" w:char="00A8"/>
      </w:r>
      <w:r>
        <w:rPr>
          <w:rFonts w:hint="eastAsia" w:ascii="宋体" w:hAnsi="宋体"/>
          <w:iCs/>
          <w:color w:val="auto"/>
          <w:szCs w:val="21"/>
        </w:rPr>
        <w:t>其他</w:t>
      </w:r>
    </w:p>
    <w:p w14:paraId="41103B8B">
      <w:pPr>
        <w:numPr>
          <w:ilvl w:val="255"/>
          <w:numId w:val="0"/>
        </w:numPr>
        <w:adjustRightInd w:val="0"/>
        <w:snapToGrid w:val="0"/>
        <w:spacing w:line="400" w:lineRule="exact"/>
        <w:rPr>
          <w:rFonts w:hint="eastAsia" w:ascii="宋体" w:hAnsi="宋体" w:cs="宋体"/>
          <w:iCs/>
          <w:color w:val="auto"/>
          <w:szCs w:val="21"/>
        </w:rPr>
      </w:pPr>
      <w:r>
        <w:rPr>
          <w:rFonts w:hint="eastAsia" w:ascii="宋体" w:hAnsi="宋体"/>
          <w:color w:val="auto"/>
          <w:szCs w:val="21"/>
        </w:rPr>
        <w:t xml:space="preserve">    </w:t>
      </w:r>
      <w:r>
        <w:rPr>
          <w:rFonts w:hint="eastAsia" w:ascii="宋体" w:hAnsi="宋体" w:cs="宋体"/>
          <w:color w:val="auto"/>
          <w:szCs w:val="21"/>
        </w:rPr>
        <w:t>（</w:t>
      </w:r>
      <w:r>
        <w:rPr>
          <w:rFonts w:ascii="宋体" w:hAnsi="宋体" w:cs="宋体"/>
          <w:color w:val="auto"/>
          <w:szCs w:val="21"/>
          <w:lang w:val="en"/>
        </w:rPr>
        <w:t>8</w:t>
      </w:r>
      <w:r>
        <w:rPr>
          <w:rFonts w:hint="eastAsia" w:ascii="宋体" w:hAnsi="宋体" w:cs="宋体"/>
          <w:color w:val="auto"/>
          <w:szCs w:val="21"/>
        </w:rPr>
        <w:t>）中标（成交）供应商是否为外商投资企业：</w:t>
      </w:r>
      <w:r>
        <w:rPr>
          <w:rFonts w:hint="eastAsia" w:ascii="宋体" w:hAnsi="宋体" w:cs="宋体"/>
          <w:iCs/>
          <w:color w:val="auto"/>
          <w:szCs w:val="21"/>
        </w:rPr>
        <w:sym w:font="Wingdings" w:char="00A8"/>
      </w:r>
      <w:r>
        <w:rPr>
          <w:rFonts w:hint="eastAsia" w:ascii="宋体" w:hAnsi="宋体" w:cs="宋体"/>
          <w:iCs/>
          <w:color w:val="auto"/>
          <w:szCs w:val="21"/>
        </w:rPr>
        <w:t xml:space="preserve">是       </w:t>
      </w:r>
      <w:r>
        <w:rPr>
          <w:rFonts w:hint="eastAsia" w:ascii="宋体" w:hAnsi="宋体" w:cs="宋体"/>
          <w:iCs/>
          <w:color w:val="auto"/>
          <w:szCs w:val="21"/>
        </w:rPr>
        <w:sym w:font="Wingdings" w:char="00A8"/>
      </w:r>
      <w:r>
        <w:rPr>
          <w:rFonts w:hint="eastAsia" w:ascii="宋体" w:hAnsi="宋体" w:cs="宋体"/>
          <w:iCs/>
          <w:color w:val="auto"/>
          <w:szCs w:val="21"/>
        </w:rPr>
        <w:t>否</w:t>
      </w:r>
    </w:p>
    <w:p w14:paraId="18154C1F">
      <w:pPr>
        <w:pStyle w:val="141"/>
        <w:tabs>
          <w:tab w:val="left" w:pos="1340"/>
        </w:tabs>
        <w:ind w:firstLine="420"/>
        <w:rPr>
          <w:rFonts w:hint="eastAsia" w:ascii="宋体" w:hAnsi="宋体" w:eastAsia="宋体" w:cs="宋体"/>
          <w:color w:val="auto"/>
          <w:sz w:val="21"/>
          <w:u w:val="single"/>
        </w:rPr>
      </w:pPr>
      <w:r>
        <w:rPr>
          <w:rFonts w:hint="eastAsia" w:ascii="宋体" w:hAnsi="宋体" w:eastAsia="宋体" w:cs="宋体"/>
          <w:color w:val="auto"/>
          <w:sz w:val="21"/>
        </w:rPr>
        <w:t xml:space="preserve">     外商投资企业类型：</w:t>
      </w:r>
      <w:r>
        <w:rPr>
          <w:rFonts w:hint="eastAsia" w:ascii="宋体" w:hAnsi="宋体" w:eastAsia="宋体" w:cs="宋体"/>
          <w:iCs/>
          <w:color w:val="auto"/>
          <w:sz w:val="21"/>
        </w:rPr>
        <w:sym w:font="Wingdings" w:char="00A8"/>
      </w:r>
      <w:r>
        <w:rPr>
          <w:rFonts w:hint="eastAsia" w:ascii="宋体" w:hAnsi="宋体" w:eastAsia="宋体" w:cs="宋体"/>
          <w:color w:val="auto"/>
          <w:sz w:val="21"/>
        </w:rPr>
        <w:t xml:space="preserve">全部由外国投资者投资  </w:t>
      </w:r>
      <w:r>
        <w:rPr>
          <w:rFonts w:hint="eastAsia" w:ascii="宋体" w:hAnsi="宋体" w:eastAsia="宋体" w:cs="宋体"/>
          <w:iCs/>
          <w:color w:val="auto"/>
          <w:sz w:val="21"/>
        </w:rPr>
        <w:sym w:font="Wingdings" w:char="00A8"/>
      </w:r>
      <w:r>
        <w:rPr>
          <w:rFonts w:hint="eastAsia" w:ascii="宋体" w:hAnsi="宋体" w:eastAsia="宋体" w:cs="宋体"/>
          <w:iCs/>
          <w:color w:val="auto"/>
          <w:sz w:val="21"/>
        </w:rPr>
        <w:t>部分由外国投资者投资</w:t>
      </w:r>
    </w:p>
    <w:p w14:paraId="06A3F8A7">
      <w:pPr>
        <w:numPr>
          <w:ilvl w:val="255"/>
          <w:numId w:val="0"/>
        </w:num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lang w:val="en"/>
        </w:rPr>
        <w:t>9</w:t>
      </w:r>
      <w:r>
        <w:rPr>
          <w:rFonts w:hint="eastAsia" w:ascii="宋体" w:hAnsi="宋体" w:cs="宋体"/>
          <w:color w:val="auto"/>
          <w:szCs w:val="21"/>
        </w:rPr>
        <w:t>）是否涉及进口产品：</w:t>
      </w:r>
    </w:p>
    <w:p w14:paraId="5888F738">
      <w:pPr>
        <w:numPr>
          <w:ilvl w:val="255"/>
          <w:numId w:val="0"/>
        </w:numPr>
        <w:adjustRightInd w:val="0"/>
        <w:snapToGrid w:val="0"/>
        <w:spacing w:line="400" w:lineRule="exact"/>
        <w:ind w:firstLine="840" w:firstLineChars="400"/>
        <w:rPr>
          <w:rFonts w:hint="eastAsia" w:ascii="宋体" w:hAnsi="宋体" w:cs="宋体"/>
          <w:color w:val="auto"/>
          <w:szCs w:val="21"/>
          <w:u w:val="single"/>
        </w:rPr>
      </w:pPr>
      <w:r>
        <w:rPr>
          <w:rFonts w:hint="eastAsia" w:ascii="宋体" w:hAnsi="宋体" w:cs="宋体"/>
          <w:color w:val="auto"/>
          <w:szCs w:val="21"/>
        </w:rPr>
        <w:t xml:space="preserve"> </w:t>
      </w:r>
      <w:r>
        <w:rPr>
          <w:rFonts w:hint="eastAsia" w:ascii="宋体" w:hAnsi="宋体" w:cs="宋体"/>
          <w:color w:val="auto"/>
          <w:szCs w:val="21"/>
        </w:rPr>
        <w:sym w:font="Wingdings" w:char="00A8"/>
      </w:r>
      <w:r>
        <w:rPr>
          <w:rFonts w:hint="eastAsia" w:ascii="宋体" w:hAnsi="宋体" w:cs="宋体"/>
          <w:color w:val="auto"/>
          <w:szCs w:val="21"/>
        </w:rPr>
        <w:t>是，《政府采购品目分类目录》底级品目名称：</w:t>
      </w:r>
      <w:r>
        <w:rPr>
          <w:rFonts w:hint="eastAsia" w:ascii="宋体" w:hAnsi="宋体" w:cs="宋体"/>
          <w:color w:val="auto"/>
          <w:szCs w:val="21"/>
          <w:u w:val="single"/>
        </w:rPr>
        <w:t xml:space="preserve">         </w:t>
      </w:r>
      <w:r>
        <w:rPr>
          <w:rFonts w:hint="eastAsia" w:ascii="宋体" w:hAnsi="宋体" w:cs="宋体"/>
          <w:color w:val="auto"/>
          <w:szCs w:val="21"/>
        </w:rPr>
        <w:t xml:space="preserve"> 金额：</w:t>
      </w:r>
      <w:r>
        <w:rPr>
          <w:rFonts w:hint="eastAsia" w:ascii="宋体" w:hAnsi="宋体" w:cs="宋体"/>
          <w:color w:val="auto"/>
          <w:szCs w:val="21"/>
          <w:u w:val="single"/>
        </w:rPr>
        <w:t xml:space="preserve">        </w:t>
      </w:r>
    </w:p>
    <w:p w14:paraId="24DE52FD">
      <w:pPr>
        <w:numPr>
          <w:ilvl w:val="255"/>
          <w:numId w:val="0"/>
        </w:numPr>
        <w:adjustRightInd w:val="0"/>
        <w:snapToGrid w:val="0"/>
        <w:spacing w:line="400" w:lineRule="exact"/>
        <w:ind w:firstLine="840" w:firstLineChars="400"/>
        <w:rPr>
          <w:rFonts w:hint="eastAsia" w:ascii="宋体" w:hAnsi="宋体"/>
          <w:color w:val="auto"/>
          <w:szCs w:val="21"/>
        </w:rPr>
      </w:pPr>
      <w:r>
        <w:rPr>
          <w:rFonts w:hint="eastAsia" w:ascii="宋体" w:hAnsi="宋体" w:cs="宋体"/>
          <w:color w:val="auto"/>
          <w:szCs w:val="21"/>
        </w:rPr>
        <w:t xml:space="preserve">        国别：</w:t>
      </w:r>
      <w:r>
        <w:rPr>
          <w:rFonts w:hint="eastAsia" w:ascii="宋体" w:hAnsi="宋体" w:cs="宋体"/>
          <w:color w:val="auto"/>
          <w:szCs w:val="21"/>
          <w:u w:val="single"/>
        </w:rPr>
        <w:t xml:space="preserve">        </w:t>
      </w:r>
      <w:r>
        <w:rPr>
          <w:rFonts w:hint="eastAsia" w:ascii="宋体" w:hAnsi="宋体" w:cs="宋体"/>
          <w:color w:val="auto"/>
          <w:szCs w:val="21"/>
        </w:rPr>
        <w:t xml:space="preserve"> 品牌：</w:t>
      </w:r>
      <w:r>
        <w:rPr>
          <w:rFonts w:hint="eastAsia" w:ascii="宋体" w:hAnsi="宋体" w:cs="宋体"/>
          <w:color w:val="auto"/>
          <w:szCs w:val="21"/>
          <w:u w:val="single"/>
        </w:rPr>
        <w:t xml:space="preserve">        </w:t>
      </w:r>
      <w:r>
        <w:rPr>
          <w:rFonts w:hint="eastAsia" w:ascii="宋体" w:hAnsi="宋体" w:cs="宋体"/>
          <w:color w:val="auto"/>
          <w:szCs w:val="21"/>
        </w:rPr>
        <w:t xml:space="preserve"> 规格型号：</w:t>
      </w:r>
      <w:r>
        <w:rPr>
          <w:rFonts w:hint="eastAsia" w:ascii="宋体" w:hAnsi="宋体" w:cs="宋体"/>
          <w:color w:val="auto"/>
          <w:szCs w:val="21"/>
          <w:u w:val="single"/>
        </w:rPr>
        <w:t xml:space="preserve">        </w:t>
      </w:r>
      <w:r>
        <w:rPr>
          <w:rFonts w:hint="eastAsia" w:ascii="宋体" w:hAnsi="宋体"/>
          <w:color w:val="auto"/>
          <w:szCs w:val="21"/>
        </w:rPr>
        <w:t xml:space="preserve">      </w:t>
      </w:r>
    </w:p>
    <w:p w14:paraId="0C469FE6">
      <w:pPr>
        <w:adjustRightInd w:val="0"/>
        <w:snapToGrid w:val="0"/>
        <w:spacing w:line="400" w:lineRule="exact"/>
        <w:ind w:firstLine="840" w:firstLineChars="400"/>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rPr>
        <w:sym w:font="Wingdings" w:char="00A8"/>
      </w:r>
      <w:r>
        <w:rPr>
          <w:rFonts w:hint="eastAsia" w:ascii="宋体" w:hAnsi="宋体"/>
          <w:color w:val="auto"/>
          <w:szCs w:val="21"/>
        </w:rPr>
        <w:t>否</w:t>
      </w:r>
    </w:p>
    <w:p w14:paraId="452959A3">
      <w:pPr>
        <w:numPr>
          <w:ilvl w:val="255"/>
          <w:numId w:val="0"/>
        </w:numPr>
        <w:tabs>
          <w:tab w:val="left" w:pos="740"/>
        </w:tabs>
        <w:adjustRightInd w:val="0"/>
        <w:snapToGrid w:val="0"/>
        <w:spacing w:line="400" w:lineRule="exact"/>
        <w:rPr>
          <w:rFonts w:hint="eastAsia" w:ascii="宋体" w:hAnsi="宋体"/>
          <w:color w:val="auto"/>
          <w:szCs w:val="21"/>
        </w:rPr>
      </w:pPr>
      <w:r>
        <w:rPr>
          <w:rFonts w:hint="eastAsia" w:ascii="宋体" w:hAnsi="宋体"/>
          <w:color w:val="auto"/>
          <w:szCs w:val="21"/>
        </w:rPr>
        <w:t xml:space="preserve">    （1</w:t>
      </w:r>
      <w:r>
        <w:rPr>
          <w:rFonts w:ascii="宋体" w:hAnsi="宋体"/>
          <w:color w:val="auto"/>
          <w:szCs w:val="21"/>
          <w:lang w:val="en"/>
        </w:rPr>
        <w:t>0</w:t>
      </w:r>
      <w:r>
        <w:rPr>
          <w:rFonts w:hint="eastAsia" w:ascii="宋体" w:hAnsi="宋体"/>
          <w:color w:val="auto"/>
          <w:szCs w:val="21"/>
        </w:rPr>
        <w:t>）是否涉及节能产品：</w:t>
      </w:r>
    </w:p>
    <w:p w14:paraId="3FF186E2">
      <w:pPr>
        <w:numPr>
          <w:ilvl w:val="255"/>
          <w:numId w:val="0"/>
        </w:numPr>
        <w:tabs>
          <w:tab w:val="left" w:pos="740"/>
        </w:tabs>
        <w:adjustRightInd w:val="0"/>
        <w:snapToGrid w:val="0"/>
        <w:spacing w:line="400" w:lineRule="exact"/>
        <w:rPr>
          <w:rFonts w:hint="eastAsia" w:ascii="宋体" w:hAnsi="宋体"/>
          <w:iCs/>
          <w:color w:val="auto"/>
          <w:szCs w:val="21"/>
        </w:rPr>
      </w:pPr>
      <w:r>
        <w:rPr>
          <w:rFonts w:hint="eastAsia" w:ascii="宋体" w:hAnsi="宋体"/>
          <w:color w:val="auto"/>
          <w:szCs w:val="21"/>
        </w:rPr>
        <w:t xml:space="preserve">         </w:t>
      </w:r>
      <w:r>
        <w:rPr>
          <w:rFonts w:hint="eastAsia" w:ascii="宋体" w:hAnsi="宋体"/>
          <w:color w:val="auto"/>
          <w:szCs w:val="21"/>
        </w:rPr>
        <w:sym w:font="Wingdings" w:char="00A8"/>
      </w:r>
      <w:r>
        <w:rPr>
          <w:rFonts w:hint="eastAsia" w:ascii="宋体" w:hAnsi="宋体"/>
          <w:color w:val="auto"/>
          <w:szCs w:val="21"/>
        </w:rPr>
        <w:t>是，《节能产品政府采购品目清单》的底级品目名称：</w:t>
      </w:r>
      <w:r>
        <w:rPr>
          <w:rFonts w:hint="eastAsia" w:ascii="宋体" w:hAnsi="宋体"/>
          <w:color w:val="auto"/>
          <w:szCs w:val="21"/>
          <w:u w:val="single"/>
        </w:rPr>
        <w:t xml:space="preserve">         </w:t>
      </w:r>
      <w:r>
        <w:rPr>
          <w:rFonts w:hint="eastAsia" w:ascii="宋体" w:hAnsi="宋体"/>
          <w:iCs/>
          <w:color w:val="auto"/>
          <w:szCs w:val="21"/>
        </w:rPr>
        <w:t xml:space="preserve">     </w:t>
      </w:r>
    </w:p>
    <w:p w14:paraId="5EEB4BAB">
      <w:pPr>
        <w:numPr>
          <w:ilvl w:val="255"/>
          <w:numId w:val="0"/>
        </w:numPr>
        <w:tabs>
          <w:tab w:val="left" w:pos="740"/>
        </w:tabs>
        <w:adjustRightInd w:val="0"/>
        <w:snapToGrid w:val="0"/>
        <w:spacing w:line="400" w:lineRule="exact"/>
        <w:rPr>
          <w:rFonts w:hint="eastAsia"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强制采购       </w:t>
      </w:r>
      <w:r>
        <w:rPr>
          <w:rFonts w:hint="eastAsia" w:ascii="宋体" w:hAnsi="宋体"/>
          <w:iCs/>
          <w:color w:val="auto"/>
          <w:szCs w:val="21"/>
        </w:rPr>
        <w:sym w:font="Wingdings" w:char="00A8"/>
      </w:r>
      <w:r>
        <w:rPr>
          <w:rFonts w:hint="eastAsia" w:ascii="宋体" w:hAnsi="宋体"/>
          <w:iCs/>
          <w:color w:val="auto"/>
          <w:szCs w:val="21"/>
        </w:rPr>
        <w:t xml:space="preserve">优先采购    </w:t>
      </w:r>
    </w:p>
    <w:p w14:paraId="4506F916">
      <w:pPr>
        <w:numPr>
          <w:ilvl w:val="255"/>
          <w:numId w:val="0"/>
        </w:numPr>
        <w:tabs>
          <w:tab w:val="left" w:pos="740"/>
        </w:tabs>
        <w:adjustRightInd w:val="0"/>
        <w:snapToGrid w:val="0"/>
        <w:spacing w:line="400" w:lineRule="exact"/>
        <w:rPr>
          <w:rFonts w:hint="eastAsia" w:ascii="宋体" w:hAnsi="宋体"/>
          <w:color w:val="auto"/>
          <w:szCs w:val="21"/>
        </w:rPr>
      </w:pPr>
      <w:r>
        <w:rPr>
          <w:rFonts w:hint="eastAsia" w:ascii="宋体" w:hAnsi="宋体"/>
          <w:iCs/>
          <w:color w:val="auto"/>
          <w:szCs w:val="21"/>
        </w:rPr>
        <w:t xml:space="preserve">         </w:t>
      </w:r>
      <w:r>
        <w:rPr>
          <w:rFonts w:hint="eastAsia" w:ascii="宋体" w:hAnsi="宋体"/>
          <w:color w:val="auto"/>
          <w:szCs w:val="21"/>
        </w:rPr>
        <w:sym w:font="Wingdings" w:char="00A8"/>
      </w:r>
      <w:r>
        <w:rPr>
          <w:rFonts w:hint="eastAsia" w:ascii="宋体" w:hAnsi="宋体"/>
          <w:color w:val="auto"/>
          <w:szCs w:val="21"/>
        </w:rPr>
        <w:t>否</w:t>
      </w:r>
    </w:p>
    <w:p w14:paraId="2CF6D432">
      <w:pPr>
        <w:numPr>
          <w:ilvl w:val="255"/>
          <w:numId w:val="0"/>
        </w:numPr>
        <w:tabs>
          <w:tab w:val="left" w:pos="740"/>
        </w:tabs>
        <w:adjustRightInd w:val="0"/>
        <w:snapToGrid w:val="0"/>
        <w:spacing w:line="400" w:lineRule="exact"/>
        <w:rPr>
          <w:rFonts w:hint="eastAsia" w:ascii="宋体" w:hAnsi="宋体"/>
          <w:color w:val="auto"/>
          <w:szCs w:val="21"/>
        </w:rPr>
      </w:pPr>
      <w:r>
        <w:rPr>
          <w:rFonts w:hint="eastAsia" w:ascii="宋体" w:hAnsi="宋体"/>
          <w:color w:val="auto"/>
          <w:szCs w:val="21"/>
        </w:rPr>
        <w:t xml:space="preserve">          是否涉及环境标志产品：</w:t>
      </w:r>
    </w:p>
    <w:p w14:paraId="068F36AB">
      <w:pPr>
        <w:numPr>
          <w:ilvl w:val="255"/>
          <w:numId w:val="0"/>
        </w:numPr>
        <w:tabs>
          <w:tab w:val="left" w:pos="740"/>
        </w:tabs>
        <w:adjustRightInd w:val="0"/>
        <w:snapToGrid w:val="0"/>
        <w:spacing w:line="400" w:lineRule="exact"/>
        <w:rPr>
          <w:rFonts w:hint="eastAsia" w:ascii="宋体" w:hAnsi="宋体"/>
          <w:color w:val="auto"/>
          <w:szCs w:val="21"/>
        </w:rPr>
      </w:pPr>
      <w:r>
        <w:rPr>
          <w:rFonts w:hint="eastAsia" w:ascii="宋体" w:hAnsi="宋体"/>
          <w:color w:val="auto"/>
          <w:szCs w:val="21"/>
        </w:rPr>
        <w:t xml:space="preserve">         </w:t>
      </w:r>
      <w:r>
        <w:rPr>
          <w:rFonts w:hint="eastAsia" w:ascii="宋体" w:hAnsi="宋体"/>
          <w:color w:val="auto"/>
          <w:szCs w:val="21"/>
        </w:rPr>
        <w:sym w:font="Wingdings" w:char="00A8"/>
      </w:r>
      <w:r>
        <w:rPr>
          <w:rFonts w:hint="eastAsia" w:ascii="宋体" w:hAnsi="宋体"/>
          <w:color w:val="auto"/>
          <w:szCs w:val="21"/>
        </w:rPr>
        <w:t>是，《环境标志产品政府采购品目清单》的底级品目名称：</w:t>
      </w:r>
      <w:r>
        <w:rPr>
          <w:rFonts w:hint="eastAsia" w:ascii="宋体" w:hAnsi="宋体"/>
          <w:color w:val="auto"/>
          <w:szCs w:val="21"/>
          <w:u w:val="single"/>
        </w:rPr>
        <w:t xml:space="preserve">         </w:t>
      </w:r>
      <w:r>
        <w:rPr>
          <w:rFonts w:hint="eastAsia" w:ascii="宋体" w:hAnsi="宋体"/>
          <w:iCs/>
          <w:color w:val="auto"/>
          <w:szCs w:val="21"/>
        </w:rPr>
        <w:t xml:space="preserve"> </w:t>
      </w:r>
    </w:p>
    <w:p w14:paraId="66962D3E">
      <w:pPr>
        <w:numPr>
          <w:ilvl w:val="255"/>
          <w:numId w:val="0"/>
        </w:numPr>
        <w:tabs>
          <w:tab w:val="left" w:pos="740"/>
        </w:tabs>
        <w:adjustRightInd w:val="0"/>
        <w:snapToGrid w:val="0"/>
        <w:spacing w:line="400" w:lineRule="exact"/>
        <w:rPr>
          <w:rFonts w:hint="eastAsia"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强制采购       </w:t>
      </w:r>
      <w:r>
        <w:rPr>
          <w:rFonts w:hint="eastAsia" w:ascii="宋体" w:hAnsi="宋体"/>
          <w:iCs/>
          <w:color w:val="auto"/>
          <w:szCs w:val="21"/>
        </w:rPr>
        <w:sym w:font="Wingdings" w:char="00A8"/>
      </w:r>
      <w:r>
        <w:rPr>
          <w:rFonts w:hint="eastAsia" w:ascii="宋体" w:hAnsi="宋体"/>
          <w:iCs/>
          <w:color w:val="auto"/>
          <w:szCs w:val="21"/>
        </w:rPr>
        <w:t xml:space="preserve">优先采购    </w:t>
      </w:r>
    </w:p>
    <w:p w14:paraId="4DDA9694">
      <w:pPr>
        <w:numPr>
          <w:ilvl w:val="255"/>
          <w:numId w:val="0"/>
        </w:numPr>
        <w:tabs>
          <w:tab w:val="left" w:pos="740"/>
        </w:tabs>
        <w:adjustRightInd w:val="0"/>
        <w:snapToGrid w:val="0"/>
        <w:spacing w:line="400" w:lineRule="exact"/>
        <w:rPr>
          <w:rFonts w:hint="eastAsia" w:ascii="宋体" w:hAnsi="宋体"/>
          <w:color w:val="auto"/>
          <w:szCs w:val="21"/>
        </w:rPr>
      </w:pPr>
      <w:r>
        <w:rPr>
          <w:rFonts w:hint="eastAsia" w:ascii="宋体" w:hAnsi="宋体"/>
          <w:iCs/>
          <w:color w:val="auto"/>
          <w:szCs w:val="21"/>
        </w:rPr>
        <w:t xml:space="preserve">         </w:t>
      </w:r>
      <w:r>
        <w:rPr>
          <w:rFonts w:hint="eastAsia" w:ascii="宋体" w:hAnsi="宋体"/>
          <w:color w:val="auto"/>
          <w:szCs w:val="21"/>
        </w:rPr>
        <w:sym w:font="Wingdings" w:char="00A8"/>
      </w:r>
      <w:r>
        <w:rPr>
          <w:rFonts w:hint="eastAsia" w:ascii="宋体" w:hAnsi="宋体"/>
          <w:color w:val="auto"/>
          <w:szCs w:val="21"/>
        </w:rPr>
        <w:t>否</w:t>
      </w:r>
    </w:p>
    <w:p w14:paraId="3010DAC0">
      <w:pPr>
        <w:pStyle w:val="141"/>
        <w:numPr>
          <w:ilvl w:val="255"/>
          <w:numId w:val="0"/>
        </w:numPr>
        <w:snapToGrid w:val="0"/>
        <w:rPr>
          <w:rFonts w:hint="eastAsia" w:ascii="宋体" w:hAnsi="宋体" w:eastAsia="宋体" w:cs="Times New Roman"/>
          <w:color w:val="auto"/>
          <w:kern w:val="2"/>
          <w:sz w:val="21"/>
        </w:rPr>
      </w:pPr>
      <w:r>
        <w:rPr>
          <w:rFonts w:hint="eastAsia" w:ascii="宋体" w:hAnsi="宋体"/>
          <w:color w:val="auto"/>
          <w:sz w:val="21"/>
        </w:rPr>
        <w:t xml:space="preserve">          </w:t>
      </w:r>
      <w:r>
        <w:rPr>
          <w:rFonts w:hint="eastAsia" w:ascii="宋体" w:hAnsi="宋体" w:eastAsia="宋体" w:cs="Times New Roman"/>
          <w:color w:val="auto"/>
          <w:kern w:val="2"/>
          <w:sz w:val="21"/>
        </w:rPr>
        <w:t xml:space="preserve">是否涉及绿色产品： </w:t>
      </w:r>
    </w:p>
    <w:p w14:paraId="15C16AC2">
      <w:pPr>
        <w:pStyle w:val="141"/>
        <w:ind w:firstLine="420" w:firstLineChars="0"/>
        <w:rPr>
          <w:rFonts w:hint="eastAsia" w:ascii="宋体" w:hAnsi="宋体" w:eastAsia="宋体"/>
          <w:color w:val="auto"/>
          <w:u w:val="single"/>
        </w:rPr>
      </w:pPr>
      <w:r>
        <w:rPr>
          <w:rFonts w:hint="eastAsia" w:ascii="宋体" w:hAnsi="宋体" w:eastAsia="宋体" w:cs="Times New Roman"/>
          <w:color w:val="auto"/>
          <w:kern w:val="2"/>
          <w:sz w:val="21"/>
        </w:rPr>
        <w:t xml:space="preserve">     </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是，绿色产品政府采购相关政策确定的底级品目名称：</w:t>
      </w:r>
      <w:r>
        <w:rPr>
          <w:rFonts w:hint="eastAsia" w:ascii="宋体" w:hAnsi="宋体" w:eastAsia="宋体"/>
          <w:color w:val="auto"/>
          <w:u w:val="single"/>
        </w:rPr>
        <w:t xml:space="preserve">         </w:t>
      </w:r>
    </w:p>
    <w:p w14:paraId="1ADC50A7">
      <w:pPr>
        <w:numPr>
          <w:ilvl w:val="255"/>
          <w:numId w:val="0"/>
        </w:numPr>
        <w:tabs>
          <w:tab w:val="left" w:pos="740"/>
        </w:tabs>
        <w:adjustRightInd w:val="0"/>
        <w:snapToGrid w:val="0"/>
        <w:spacing w:line="400" w:lineRule="exact"/>
        <w:rPr>
          <w:rFonts w:hint="eastAsia"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强制采购       </w:t>
      </w:r>
      <w:r>
        <w:rPr>
          <w:rFonts w:hint="eastAsia" w:ascii="宋体" w:hAnsi="宋体"/>
          <w:iCs/>
          <w:color w:val="auto"/>
          <w:szCs w:val="21"/>
        </w:rPr>
        <w:sym w:font="Wingdings" w:char="00A8"/>
      </w:r>
      <w:r>
        <w:rPr>
          <w:rFonts w:hint="eastAsia" w:ascii="宋体" w:hAnsi="宋体"/>
          <w:iCs/>
          <w:color w:val="auto"/>
          <w:szCs w:val="21"/>
        </w:rPr>
        <w:t xml:space="preserve">优先采购    </w:t>
      </w:r>
    </w:p>
    <w:p w14:paraId="65B6C912">
      <w:pPr>
        <w:pStyle w:val="141"/>
        <w:ind w:firstLine="420" w:firstLineChars="0"/>
        <w:rPr>
          <w:rFonts w:hint="eastAsia" w:ascii="宋体" w:hAnsi="宋体"/>
          <w:color w:val="auto"/>
          <w:sz w:val="21"/>
        </w:rPr>
      </w:pPr>
      <w:r>
        <w:rPr>
          <w:rFonts w:hint="eastAsia" w:ascii="宋体" w:hAnsi="宋体" w:eastAsia="宋体" w:cs="Times New Roman"/>
          <w:color w:val="auto"/>
          <w:kern w:val="2"/>
          <w:sz w:val="21"/>
        </w:rPr>
        <w:t xml:space="preserve">     </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否</w:t>
      </w:r>
    </w:p>
    <w:p w14:paraId="3F922894">
      <w:pPr>
        <w:numPr>
          <w:ilvl w:val="255"/>
          <w:numId w:val="0"/>
        </w:numPr>
        <w:adjustRightInd w:val="0"/>
        <w:snapToGrid w:val="0"/>
        <w:spacing w:line="400" w:lineRule="exact"/>
        <w:rPr>
          <w:rFonts w:hint="eastAsia" w:ascii="宋体" w:hAnsi="宋体"/>
          <w:color w:val="auto"/>
          <w:szCs w:val="21"/>
        </w:rPr>
      </w:pPr>
      <w:r>
        <w:rPr>
          <w:rFonts w:hint="eastAsia" w:ascii="宋体" w:hAnsi="宋体"/>
          <w:color w:val="auto"/>
          <w:szCs w:val="21"/>
        </w:rPr>
        <w:t xml:space="preserve">    （1</w:t>
      </w:r>
      <w:r>
        <w:rPr>
          <w:rFonts w:ascii="宋体" w:hAnsi="宋体"/>
          <w:color w:val="auto"/>
          <w:szCs w:val="21"/>
          <w:lang w:val="en"/>
        </w:rPr>
        <w:t>1</w:t>
      </w:r>
      <w:r>
        <w:rPr>
          <w:rFonts w:hint="eastAsia" w:ascii="宋体" w:hAnsi="宋体"/>
          <w:color w:val="auto"/>
          <w:szCs w:val="21"/>
        </w:rPr>
        <w:t>）涉及商品包装和快递包装的，是否参考《商品包装政府采购需求标准（试行）》、《快递包装政府采购需求标准（试行）》明确产品及相关快递服务的具体包装要求：</w:t>
      </w:r>
    </w:p>
    <w:p w14:paraId="5ABF2B2A">
      <w:pPr>
        <w:numPr>
          <w:ilvl w:val="255"/>
          <w:numId w:val="0"/>
        </w:numPr>
        <w:adjustRightInd w:val="0"/>
        <w:snapToGrid w:val="0"/>
        <w:spacing w:line="400" w:lineRule="exact"/>
        <w:ind w:firstLine="840" w:firstLineChars="400"/>
        <w:rPr>
          <w:rFonts w:hint="eastAsia"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 xml:space="preserve">是       </w:t>
      </w:r>
      <w:r>
        <w:rPr>
          <w:rFonts w:hint="eastAsia" w:ascii="宋体" w:hAnsi="宋体"/>
          <w:color w:val="auto"/>
          <w:szCs w:val="21"/>
        </w:rPr>
        <w:sym w:font="Wingdings" w:char="00A8"/>
      </w:r>
      <w:r>
        <w:rPr>
          <w:rFonts w:hint="eastAsia" w:ascii="宋体" w:hAnsi="宋体"/>
          <w:color w:val="auto"/>
          <w:szCs w:val="21"/>
        </w:rPr>
        <w:t xml:space="preserve">否      </w:t>
      </w:r>
      <w:r>
        <w:rPr>
          <w:rFonts w:hint="eastAsia" w:ascii="宋体" w:hAnsi="宋体"/>
          <w:color w:val="auto"/>
          <w:szCs w:val="21"/>
        </w:rPr>
        <w:sym w:font="Wingdings" w:char="00A8"/>
      </w:r>
      <w:r>
        <w:rPr>
          <w:rFonts w:hint="eastAsia" w:ascii="宋体" w:hAnsi="宋体"/>
          <w:color w:val="auto"/>
          <w:szCs w:val="21"/>
        </w:rPr>
        <w:t>不涉及</w:t>
      </w:r>
    </w:p>
    <w:p w14:paraId="0D001AAF">
      <w:pPr>
        <w:numPr>
          <w:ilvl w:val="0"/>
          <w:numId w:val="11"/>
        </w:numPr>
        <w:adjustRightInd w:val="0"/>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合同金额</w:t>
      </w:r>
    </w:p>
    <w:p w14:paraId="3D070386">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（1）合同金额小写：</w:t>
      </w:r>
      <w:r>
        <w:rPr>
          <w:rFonts w:hint="eastAsia" w:ascii="宋体" w:hAnsi="宋体"/>
          <w:color w:val="auto"/>
          <w:szCs w:val="21"/>
          <w:u w:val="single"/>
        </w:rPr>
        <w:t xml:space="preserve">                           </w:t>
      </w:r>
    </w:p>
    <w:p w14:paraId="070E8AD5">
      <w:pPr>
        <w:adjustRightInd w:val="0"/>
        <w:snapToGrid w:val="0"/>
        <w:spacing w:line="400" w:lineRule="exact"/>
        <w:rPr>
          <w:rFonts w:hint="eastAsia" w:ascii="宋体" w:hAnsi="宋体"/>
          <w:color w:val="auto"/>
          <w:szCs w:val="21"/>
          <w:u w:val="single"/>
        </w:rPr>
      </w:pPr>
      <w:r>
        <w:rPr>
          <w:rFonts w:hint="eastAsia" w:ascii="宋体" w:hAnsi="宋体"/>
          <w:color w:val="auto"/>
          <w:szCs w:val="21"/>
        </w:rPr>
        <w:t xml:space="preserve">                 大写：</w:t>
      </w:r>
      <w:r>
        <w:rPr>
          <w:rFonts w:hint="eastAsia" w:ascii="宋体" w:hAnsi="宋体"/>
          <w:color w:val="auto"/>
          <w:szCs w:val="21"/>
          <w:u w:val="single"/>
        </w:rPr>
        <w:t xml:space="preserve">                           </w:t>
      </w:r>
    </w:p>
    <w:p w14:paraId="09E2486F">
      <w:pPr>
        <w:adjustRightInd w:val="0"/>
        <w:snapToGrid w:val="0"/>
        <w:spacing w:line="400" w:lineRule="exact"/>
        <w:rPr>
          <w:rFonts w:hint="eastAsia" w:ascii="宋体" w:hAnsi="宋体"/>
          <w:color w:val="auto"/>
          <w:szCs w:val="21"/>
        </w:rPr>
      </w:pPr>
      <w:r>
        <w:rPr>
          <w:rFonts w:hint="eastAsia" w:ascii="宋体" w:hAnsi="宋体"/>
          <w:color w:val="auto"/>
          <w:szCs w:val="21"/>
        </w:rPr>
        <w:t xml:space="preserve">         分包金额（如有）小写：</w:t>
      </w:r>
      <w:r>
        <w:rPr>
          <w:rFonts w:hint="eastAsia" w:ascii="宋体" w:hAnsi="宋体"/>
          <w:color w:val="auto"/>
          <w:szCs w:val="21"/>
          <w:u w:val="single"/>
        </w:rPr>
        <w:t xml:space="preserve">                   </w:t>
      </w:r>
    </w:p>
    <w:p w14:paraId="52C5DEF7">
      <w:pPr>
        <w:adjustRightInd w:val="0"/>
        <w:snapToGrid w:val="0"/>
        <w:spacing w:line="400" w:lineRule="exact"/>
        <w:rPr>
          <w:rFonts w:hint="eastAsia" w:ascii="宋体" w:hAnsi="宋体"/>
          <w:color w:val="auto"/>
          <w:szCs w:val="21"/>
          <w:u w:val="single"/>
        </w:rPr>
      </w:pPr>
      <w:r>
        <w:rPr>
          <w:rFonts w:hint="eastAsia" w:ascii="宋体" w:hAnsi="宋体"/>
          <w:color w:val="auto"/>
          <w:szCs w:val="21"/>
        </w:rPr>
        <w:t xml:space="preserve">                     大写：</w:t>
      </w:r>
      <w:r>
        <w:rPr>
          <w:rFonts w:hint="eastAsia" w:ascii="宋体" w:hAnsi="宋体"/>
          <w:color w:val="auto"/>
          <w:szCs w:val="21"/>
          <w:u w:val="single"/>
        </w:rPr>
        <w:t xml:space="preserve">                       </w:t>
      </w:r>
    </w:p>
    <w:p w14:paraId="0121301E">
      <w:pPr>
        <w:adjustRightInd w:val="0"/>
        <w:snapToGrid w:val="0"/>
        <w:spacing w:line="400" w:lineRule="exact"/>
        <w:rPr>
          <w:rFonts w:hint="eastAsia" w:ascii="宋体" w:hAnsi="宋体"/>
          <w:color w:val="auto"/>
          <w:szCs w:val="21"/>
        </w:rPr>
      </w:pPr>
      <w:r>
        <w:rPr>
          <w:rFonts w:hint="eastAsia" w:ascii="宋体" w:hAnsi="宋体"/>
          <w:color w:val="auto"/>
          <w:szCs w:val="21"/>
        </w:rPr>
        <w:t xml:space="preserve">    （注：固定单价合同应填写单价和最高限价）</w:t>
      </w:r>
    </w:p>
    <w:p w14:paraId="1276F23E">
      <w:pPr>
        <w:numPr>
          <w:ilvl w:val="255"/>
          <w:numId w:val="0"/>
        </w:numPr>
        <w:adjustRightInd w:val="0"/>
        <w:snapToGrid w:val="0"/>
        <w:spacing w:line="400" w:lineRule="exact"/>
        <w:rPr>
          <w:rFonts w:hint="eastAsia" w:ascii="宋体" w:hAnsi="宋体"/>
          <w:color w:val="auto"/>
          <w:szCs w:val="21"/>
        </w:rPr>
      </w:pPr>
      <w:r>
        <w:rPr>
          <w:rFonts w:hint="eastAsia" w:ascii="宋体" w:hAnsi="宋体"/>
          <w:color w:val="auto"/>
          <w:szCs w:val="21"/>
        </w:rPr>
        <w:t xml:space="preserve">    （2）合同定价方式（采用组合定价方式的，可以勾选多项）：</w:t>
      </w:r>
    </w:p>
    <w:p w14:paraId="1AF07F84">
      <w:pPr>
        <w:adjustRightInd w:val="0"/>
        <w:snapToGrid w:val="0"/>
        <w:spacing w:line="400" w:lineRule="exact"/>
        <w:ind w:firstLine="420" w:firstLineChars="200"/>
        <w:rPr>
          <w:rFonts w:hint="eastAsia" w:ascii="宋体" w:hAnsi="宋体"/>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固定总价 </w:t>
      </w:r>
      <w:r>
        <w:rPr>
          <w:rFonts w:hint="eastAsia" w:ascii="宋体" w:hAnsi="宋体"/>
          <w:iCs/>
          <w:color w:val="auto"/>
          <w:szCs w:val="21"/>
        </w:rPr>
        <w:sym w:font="Wingdings" w:char="00A8"/>
      </w:r>
      <w:r>
        <w:rPr>
          <w:rFonts w:hint="eastAsia" w:ascii="宋体" w:hAnsi="宋体"/>
          <w:iCs/>
          <w:color w:val="auto"/>
          <w:szCs w:val="21"/>
        </w:rPr>
        <w:t xml:space="preserve">固定单价 </w:t>
      </w:r>
      <w:r>
        <w:rPr>
          <w:rFonts w:hint="eastAsia" w:ascii="宋体" w:hAnsi="宋体"/>
          <w:iCs/>
          <w:color w:val="auto"/>
          <w:szCs w:val="21"/>
        </w:rPr>
        <w:sym w:font="Wingdings" w:char="00A8"/>
      </w:r>
      <w:r>
        <w:rPr>
          <w:rFonts w:hint="eastAsia" w:ascii="宋体" w:hAnsi="宋体"/>
          <w:iCs/>
          <w:color w:val="auto"/>
          <w:szCs w:val="21"/>
        </w:rPr>
        <w:t xml:space="preserve">固定费率 </w:t>
      </w:r>
      <w:r>
        <w:rPr>
          <w:rFonts w:hint="eastAsia" w:ascii="宋体" w:hAnsi="宋体"/>
          <w:iCs/>
          <w:color w:val="auto"/>
          <w:szCs w:val="21"/>
        </w:rPr>
        <w:sym w:font="Wingdings" w:char="00A8"/>
      </w:r>
      <w:r>
        <w:rPr>
          <w:rFonts w:hint="eastAsia" w:ascii="宋体" w:hAnsi="宋体"/>
          <w:iCs/>
          <w:color w:val="auto"/>
          <w:szCs w:val="21"/>
        </w:rPr>
        <w:t xml:space="preserve">成本补偿 </w:t>
      </w:r>
      <w:r>
        <w:rPr>
          <w:rFonts w:hint="eastAsia" w:ascii="宋体" w:hAnsi="宋体"/>
          <w:iCs/>
          <w:color w:val="auto"/>
          <w:szCs w:val="21"/>
        </w:rPr>
        <w:sym w:font="Wingdings" w:char="00A8"/>
      </w:r>
      <w:r>
        <w:rPr>
          <w:rFonts w:hint="eastAsia" w:ascii="宋体" w:hAnsi="宋体"/>
          <w:iCs/>
          <w:color w:val="auto"/>
          <w:szCs w:val="21"/>
        </w:rPr>
        <w:t xml:space="preserve">绩效激励 </w:t>
      </w:r>
      <w:r>
        <w:rPr>
          <w:rFonts w:hint="eastAsia" w:ascii="宋体" w:hAnsi="宋体"/>
          <w:iCs/>
          <w:color w:val="auto"/>
          <w:szCs w:val="21"/>
        </w:rPr>
        <w:sym w:font="Wingdings" w:char="00A8"/>
      </w:r>
      <w:r>
        <w:rPr>
          <w:rFonts w:hint="eastAsia" w:ascii="宋体" w:hAnsi="宋体"/>
          <w:iCs/>
          <w:color w:val="auto"/>
          <w:szCs w:val="21"/>
        </w:rPr>
        <w:t>其他</w:t>
      </w:r>
      <w:r>
        <w:rPr>
          <w:rFonts w:hint="eastAsia" w:ascii="宋体" w:hAnsi="宋体"/>
          <w:color w:val="auto"/>
          <w:szCs w:val="21"/>
          <w:u w:val="single"/>
        </w:rPr>
        <w:t xml:space="preserve">       </w:t>
      </w:r>
    </w:p>
    <w:p w14:paraId="697463DE">
      <w:pPr>
        <w:pStyle w:val="91"/>
        <w:spacing w:line="400" w:lineRule="exact"/>
        <w:rPr>
          <w:color w:val="auto"/>
        </w:rPr>
      </w:pPr>
      <w:r>
        <w:rPr>
          <w:rFonts w:hint="eastAsia" w:ascii="宋体" w:hAnsi="宋体"/>
          <w:color w:val="auto"/>
        </w:rPr>
        <w:t>（3）付款方式（按项目实际勾选填写）：</w:t>
      </w:r>
    </w:p>
    <w:p w14:paraId="0E2421D6">
      <w:pPr>
        <w:adjustRightInd w:val="0"/>
        <w:snapToGrid w:val="0"/>
        <w:spacing w:line="400" w:lineRule="exact"/>
        <w:ind w:firstLine="630" w:firstLineChars="300"/>
        <w:rPr>
          <w:rFonts w:hint="eastAsia"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全额付款：</w:t>
      </w:r>
      <w:r>
        <w:rPr>
          <w:rFonts w:hint="eastAsia" w:ascii="宋体" w:hAnsi="宋体"/>
          <w:color w:val="auto"/>
          <w:szCs w:val="21"/>
          <w:u w:val="single"/>
        </w:rPr>
        <w:t xml:space="preserve">     （应明确一次性支付合同款项的条件）                    </w:t>
      </w:r>
    </w:p>
    <w:p w14:paraId="7A4A91DF">
      <w:pPr>
        <w:snapToGrid w:val="0"/>
        <w:spacing w:line="400" w:lineRule="exact"/>
        <w:ind w:firstLine="630" w:firstLineChars="300"/>
        <w:rPr>
          <w:color w:val="auto"/>
        </w:rPr>
      </w:pPr>
      <w:r>
        <w:rPr>
          <w:rFonts w:hint="eastAsia" w:ascii="宋体" w:hAnsi="宋体"/>
          <w:color w:val="auto"/>
          <w:szCs w:val="21"/>
        </w:rPr>
        <w:sym w:font="Wingdings" w:char="00A8"/>
      </w:r>
      <w:r>
        <w:rPr>
          <w:rFonts w:hint="eastAsia" w:ascii="宋体" w:hAnsi="宋体"/>
          <w:color w:val="auto"/>
          <w:szCs w:val="21"/>
        </w:rPr>
        <w:t>分期付款：</w:t>
      </w:r>
      <w:r>
        <w:rPr>
          <w:rFonts w:hint="eastAsia" w:ascii="宋体" w:hAnsi="宋体"/>
          <w:color w:val="auto"/>
          <w:szCs w:val="21"/>
          <w:u w:val="single"/>
        </w:rPr>
        <w:t xml:space="preserve">  （应明确分期支付合同款项的各期比例和支付条件，各期支付条件应与分期履约验收情况挂钩） </w:t>
      </w:r>
      <w:r>
        <w:rPr>
          <w:rFonts w:hint="eastAsia" w:ascii="宋体" w:hAnsi="宋体"/>
          <w:color w:val="auto"/>
          <w:szCs w:val="21"/>
        </w:rPr>
        <w:t>，其中涉及预付款的：</w:t>
      </w:r>
      <w:r>
        <w:rPr>
          <w:rFonts w:hint="eastAsia" w:ascii="宋体" w:hAnsi="宋体"/>
          <w:color w:val="auto"/>
          <w:szCs w:val="21"/>
          <w:u w:val="single"/>
        </w:rPr>
        <w:t xml:space="preserve"> （应明确预付款的支付比例和支付条件） </w:t>
      </w:r>
    </w:p>
    <w:p w14:paraId="2CB4CE62">
      <w:pPr>
        <w:adjustRightInd w:val="0"/>
        <w:snapToGrid w:val="0"/>
        <w:spacing w:line="400" w:lineRule="exact"/>
        <w:ind w:firstLine="630" w:firstLineChars="300"/>
        <w:rPr>
          <w:rFonts w:hint="eastAsia"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成本补偿：</w:t>
      </w:r>
      <w:r>
        <w:rPr>
          <w:rFonts w:hint="eastAsia" w:ascii="宋体" w:hAnsi="宋体"/>
          <w:color w:val="auto"/>
          <w:szCs w:val="21"/>
          <w:u w:val="single"/>
        </w:rPr>
        <w:t xml:space="preserve">      （应明确按照成本补偿方式的支付方式和支付条件）   </w:t>
      </w:r>
    </w:p>
    <w:p w14:paraId="61C24D6D">
      <w:pPr>
        <w:adjustRightInd w:val="0"/>
        <w:snapToGrid w:val="0"/>
        <w:spacing w:line="400" w:lineRule="exact"/>
        <w:ind w:firstLine="630" w:firstLineChars="300"/>
        <w:rPr>
          <w:rFonts w:hint="eastAsia"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绩效激励：</w:t>
      </w:r>
      <w:r>
        <w:rPr>
          <w:rFonts w:hint="eastAsia" w:ascii="宋体" w:hAnsi="宋体"/>
          <w:color w:val="auto"/>
          <w:szCs w:val="21"/>
          <w:u w:val="single"/>
        </w:rPr>
        <w:t xml:space="preserve">      （应明确按照绩效激励方式的支付方式和支付条件）   </w:t>
      </w:r>
    </w:p>
    <w:p w14:paraId="1CD58AD7">
      <w:pPr>
        <w:numPr>
          <w:ilvl w:val="0"/>
          <w:numId w:val="11"/>
        </w:numPr>
        <w:adjustRightInd w:val="0"/>
        <w:snapToGrid w:val="0"/>
        <w:spacing w:line="400" w:lineRule="exact"/>
        <w:ind w:firstLine="422" w:firstLineChars="200"/>
        <w:rPr>
          <w:rFonts w:hint="eastAsia" w:ascii="宋体" w:hAnsi="宋体"/>
          <w:b/>
          <w:color w:val="auto"/>
          <w:szCs w:val="21"/>
          <w:u w:val="single"/>
        </w:rPr>
      </w:pPr>
      <w:r>
        <w:rPr>
          <w:rFonts w:hint="eastAsia" w:ascii="宋体" w:hAnsi="宋体"/>
          <w:b/>
          <w:color w:val="auto"/>
          <w:szCs w:val="21"/>
        </w:rPr>
        <w:t>合同履行</w:t>
      </w:r>
    </w:p>
    <w:p w14:paraId="20D3582C">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（1）起始日期：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日，完成日期：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4726F395">
      <w:pPr>
        <w:adjustRightInd w:val="0"/>
        <w:snapToGrid w:val="0"/>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rPr>
        <w:t>（2）履约地点</w:t>
      </w:r>
      <w:r>
        <w:rPr>
          <w:rFonts w:hint="eastAsia" w:ascii="宋体" w:hAnsi="宋体" w:cs="宋体"/>
          <w:bCs/>
          <w:color w:val="auto"/>
          <w:szCs w:val="21"/>
        </w:rPr>
        <w:t>：</w:t>
      </w:r>
      <w:r>
        <w:rPr>
          <w:rFonts w:hint="eastAsia" w:ascii="宋体" w:hAnsi="宋体" w:cs="宋体"/>
          <w:color w:val="auto"/>
          <w:szCs w:val="21"/>
          <w:u w:val="single"/>
        </w:rPr>
        <w:t xml:space="preserve">                             </w:t>
      </w:r>
    </w:p>
    <w:p w14:paraId="7A122A5E">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bCs/>
          <w:color w:val="auto"/>
          <w:szCs w:val="21"/>
        </w:rPr>
        <w:t>（3）履约担保：</w:t>
      </w:r>
      <w:r>
        <w:rPr>
          <w:rFonts w:hint="eastAsia" w:ascii="宋体" w:hAnsi="宋体" w:cs="宋体"/>
          <w:color w:val="auto"/>
        </w:rPr>
        <w:t>是否收取履约保证金：</w:t>
      </w:r>
      <w:r>
        <w:rPr>
          <w:rFonts w:hint="eastAsia" w:ascii="宋体" w:hAnsi="宋体" w:cs="宋体"/>
          <w:color w:val="auto"/>
          <w:szCs w:val="21"/>
        </w:rPr>
        <w:sym w:font="Wingdings" w:char="00A8"/>
      </w:r>
      <w:r>
        <w:rPr>
          <w:rFonts w:hint="eastAsia" w:ascii="宋体" w:hAnsi="宋体" w:cs="宋体"/>
          <w:color w:val="auto"/>
          <w:szCs w:val="21"/>
        </w:rPr>
        <w:t xml:space="preserve">是    </w:t>
      </w:r>
      <w:r>
        <w:rPr>
          <w:rFonts w:hint="eastAsia" w:ascii="宋体" w:hAnsi="宋体" w:cs="宋体"/>
          <w:color w:val="auto"/>
          <w:szCs w:val="21"/>
        </w:rPr>
        <w:sym w:font="Wingdings" w:char="00A8"/>
      </w:r>
      <w:r>
        <w:rPr>
          <w:rFonts w:hint="eastAsia" w:ascii="宋体" w:hAnsi="宋体" w:cs="宋体"/>
          <w:color w:val="auto"/>
          <w:szCs w:val="21"/>
        </w:rPr>
        <w:t>否</w:t>
      </w:r>
    </w:p>
    <w:p w14:paraId="4DA3B679">
      <w:pPr>
        <w:pStyle w:val="141"/>
        <w:rPr>
          <w:rFonts w:hint="eastAsia" w:ascii="宋体" w:hAnsi="宋体" w:eastAsia="宋体" w:cs="宋体"/>
          <w:color w:val="auto"/>
          <w:sz w:val="21"/>
        </w:rPr>
      </w:pPr>
      <w:r>
        <w:rPr>
          <w:rFonts w:hint="eastAsia" w:ascii="宋体" w:hAnsi="宋体" w:cs="宋体"/>
          <w:bCs/>
          <w:color w:val="auto"/>
        </w:rPr>
        <w:t xml:space="preserve">  </w:t>
      </w:r>
      <w:r>
        <w:rPr>
          <w:rFonts w:hint="eastAsia" w:ascii="宋体" w:hAnsi="宋体" w:eastAsia="宋体" w:cs="宋体"/>
          <w:color w:val="auto"/>
          <w:sz w:val="21"/>
        </w:rPr>
        <w:t xml:space="preserve">  收取履约保证金形式：</w:t>
      </w:r>
      <w:r>
        <w:rPr>
          <w:rFonts w:hint="eastAsia" w:ascii="宋体" w:hAnsi="宋体" w:eastAsia="宋体" w:cs="宋体"/>
          <w:bCs/>
          <w:color w:val="auto"/>
          <w:sz w:val="21"/>
          <w:u w:val="single"/>
        </w:rPr>
        <w:t xml:space="preserve">                            </w:t>
      </w:r>
    </w:p>
    <w:p w14:paraId="653CC1CE">
      <w:pPr>
        <w:pStyle w:val="141"/>
        <w:ind w:firstLine="420"/>
        <w:rPr>
          <w:rFonts w:hint="eastAsia" w:ascii="宋体" w:hAnsi="宋体" w:eastAsia="宋体" w:cs="宋体"/>
          <w:color w:val="auto"/>
          <w:sz w:val="21"/>
        </w:rPr>
      </w:pPr>
      <w:r>
        <w:rPr>
          <w:rFonts w:hint="eastAsia" w:ascii="宋体" w:hAnsi="宋体" w:eastAsia="宋体" w:cs="宋体"/>
          <w:color w:val="auto"/>
          <w:sz w:val="21"/>
        </w:rPr>
        <w:t xml:space="preserve">    收取履约保证金金额：</w:t>
      </w:r>
      <w:r>
        <w:rPr>
          <w:rFonts w:hint="eastAsia" w:ascii="宋体" w:hAnsi="宋体" w:eastAsia="宋体" w:cs="宋体"/>
          <w:bCs/>
          <w:color w:val="auto"/>
          <w:sz w:val="21"/>
          <w:u w:val="single"/>
        </w:rPr>
        <w:t xml:space="preserve">                            </w:t>
      </w:r>
    </w:p>
    <w:p w14:paraId="0EA19FA0">
      <w:pPr>
        <w:snapToGrid w:val="0"/>
        <w:spacing w:line="400" w:lineRule="exact"/>
        <w:ind w:firstLine="420" w:firstLineChars="200"/>
        <w:rPr>
          <w:rFonts w:hint="eastAsia" w:ascii="宋体" w:hAnsi="宋体" w:cs="宋体"/>
          <w:color w:val="auto"/>
        </w:rPr>
      </w:pPr>
      <w:r>
        <w:rPr>
          <w:rFonts w:hint="eastAsia" w:ascii="宋体" w:hAnsi="宋体" w:cs="宋体"/>
          <w:bCs/>
          <w:color w:val="auto"/>
          <w:szCs w:val="21"/>
        </w:rPr>
        <w:t xml:space="preserve">    履约担保期限：</w:t>
      </w:r>
      <w:r>
        <w:rPr>
          <w:rFonts w:hint="eastAsia" w:ascii="宋体" w:hAnsi="宋体" w:cs="宋体"/>
          <w:bCs/>
          <w:color w:val="auto"/>
          <w:szCs w:val="21"/>
          <w:u w:val="single"/>
        </w:rPr>
        <w:t xml:space="preserve">                                  </w:t>
      </w:r>
    </w:p>
    <w:p w14:paraId="6196F489">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（4）分期履行要求：</w:t>
      </w:r>
      <w:r>
        <w:rPr>
          <w:rFonts w:hint="eastAsia" w:ascii="宋体" w:hAnsi="宋体" w:cs="宋体"/>
          <w:bCs/>
          <w:color w:val="auto"/>
          <w:szCs w:val="21"/>
          <w:u w:val="single"/>
        </w:rPr>
        <w:t xml:space="preserve">                                                        </w:t>
      </w:r>
    </w:p>
    <w:p w14:paraId="4420F819">
      <w:pPr>
        <w:adjustRightInd w:val="0"/>
        <w:snapToGrid w:val="0"/>
        <w:spacing w:line="400" w:lineRule="exact"/>
        <w:ind w:firstLine="420" w:firstLineChars="200"/>
        <w:rPr>
          <w:rFonts w:hint="eastAsia" w:ascii="宋体" w:hAnsi="宋体" w:cs="宋体"/>
          <w:color w:val="auto"/>
          <w:szCs w:val="21"/>
          <w:u w:val="single"/>
        </w:rPr>
      </w:pPr>
      <w:r>
        <w:rPr>
          <w:rFonts w:hint="eastAsia" w:ascii="宋体" w:hAnsi="宋体" w:cs="宋体"/>
          <w:bCs/>
          <w:color w:val="auto"/>
          <w:szCs w:val="21"/>
        </w:rPr>
        <w:t>（5）风险处置措施和替代方案：</w:t>
      </w:r>
      <w:r>
        <w:rPr>
          <w:rFonts w:hint="eastAsia" w:ascii="宋体" w:hAnsi="宋体" w:cs="宋体"/>
          <w:color w:val="auto"/>
          <w:szCs w:val="21"/>
          <w:u w:val="single"/>
        </w:rPr>
        <w:t xml:space="preserve">                                                               </w:t>
      </w:r>
    </w:p>
    <w:p w14:paraId="62C03FDD">
      <w:pPr>
        <w:numPr>
          <w:ilvl w:val="0"/>
          <w:numId w:val="11"/>
        </w:numPr>
        <w:adjustRightInd w:val="0"/>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合同验收</w:t>
      </w:r>
    </w:p>
    <w:p w14:paraId="054E42C1">
      <w:pPr>
        <w:numPr>
          <w:ilvl w:val="0"/>
          <w:numId w:val="13"/>
        </w:numPr>
        <w:adjustRightInd w:val="0"/>
        <w:snapToGrid w:val="0"/>
        <w:spacing w:line="400" w:lineRule="exact"/>
        <w:ind w:firstLine="420" w:firstLineChars="200"/>
        <w:rPr>
          <w:rFonts w:hint="eastAsia" w:ascii="宋体" w:hAnsi="宋体"/>
          <w:bCs/>
          <w:color w:val="auto"/>
          <w:szCs w:val="21"/>
        </w:rPr>
      </w:pPr>
      <w:r>
        <w:rPr>
          <w:rFonts w:hint="eastAsia" w:ascii="宋体" w:hAnsi="宋体"/>
          <w:bCs/>
          <w:color w:val="auto"/>
          <w:szCs w:val="21"/>
        </w:rPr>
        <w:t>验收组织方式：</w:t>
      </w:r>
      <w:r>
        <w:rPr>
          <w:rFonts w:hint="eastAsia" w:ascii="宋体" w:hAnsi="宋体" w:cs="宋体"/>
          <w:color w:val="auto"/>
          <w:szCs w:val="21"/>
        </w:rPr>
        <w:sym w:font="Wingdings" w:char="00A8"/>
      </w:r>
      <w:r>
        <w:rPr>
          <w:rFonts w:hint="eastAsia" w:ascii="宋体" w:hAnsi="宋体"/>
          <w:bCs/>
          <w:color w:val="auto"/>
          <w:szCs w:val="21"/>
        </w:rPr>
        <w:t xml:space="preserve">自行组织 </w:t>
      </w:r>
      <w:r>
        <w:rPr>
          <w:rFonts w:hint="eastAsia" w:ascii="宋体" w:hAnsi="宋体" w:cs="宋体"/>
          <w:color w:val="auto"/>
          <w:szCs w:val="21"/>
        </w:rPr>
        <w:sym w:font="Wingdings" w:char="00A8"/>
      </w:r>
      <w:r>
        <w:rPr>
          <w:rFonts w:hint="eastAsia" w:ascii="宋体" w:hAnsi="宋体"/>
          <w:bCs/>
          <w:color w:val="auto"/>
          <w:szCs w:val="21"/>
        </w:rPr>
        <w:t>委托第三方组织</w:t>
      </w:r>
    </w:p>
    <w:p w14:paraId="4FA5CE23">
      <w:pPr>
        <w:adjustRightInd w:val="0"/>
        <w:snapToGrid w:val="0"/>
        <w:spacing w:line="400" w:lineRule="exact"/>
        <w:rPr>
          <w:rFonts w:hint="eastAsia" w:ascii="宋体" w:hAnsi="宋体"/>
          <w:bCs/>
          <w:color w:val="auto"/>
          <w:szCs w:val="21"/>
        </w:rPr>
      </w:pPr>
      <w:r>
        <w:rPr>
          <w:rFonts w:hint="eastAsia" w:ascii="宋体" w:hAnsi="宋体"/>
          <w:bCs/>
          <w:color w:val="auto"/>
          <w:szCs w:val="21"/>
        </w:rPr>
        <w:t xml:space="preserve">         验收主体：</w:t>
      </w:r>
      <w:r>
        <w:rPr>
          <w:rFonts w:hint="eastAsia" w:ascii="宋体" w:hAnsi="宋体"/>
          <w:bCs/>
          <w:color w:val="auto"/>
          <w:szCs w:val="21"/>
          <w:u w:val="single"/>
        </w:rPr>
        <w:t xml:space="preserve">                  </w:t>
      </w:r>
    </w:p>
    <w:p w14:paraId="603D681B">
      <w:pPr>
        <w:adjustRightInd w:val="0"/>
        <w:snapToGrid w:val="0"/>
        <w:spacing w:line="400" w:lineRule="exact"/>
        <w:rPr>
          <w:rFonts w:hint="eastAsia" w:ascii="宋体" w:hAnsi="宋体"/>
          <w:bCs/>
          <w:color w:val="auto"/>
          <w:szCs w:val="21"/>
        </w:rPr>
      </w:pPr>
      <w:r>
        <w:rPr>
          <w:rFonts w:hint="eastAsia" w:ascii="宋体" w:hAnsi="宋体"/>
          <w:bCs/>
          <w:color w:val="auto"/>
          <w:szCs w:val="21"/>
        </w:rPr>
        <w:t xml:space="preserve">        是否邀请本项目的其他供应商参加验收：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636F2248">
      <w:pPr>
        <w:adjustRightInd w:val="0"/>
        <w:snapToGrid w:val="0"/>
        <w:spacing w:line="400" w:lineRule="exact"/>
        <w:ind w:firstLine="840" w:firstLineChars="400"/>
        <w:rPr>
          <w:rFonts w:hint="eastAsia" w:ascii="宋体" w:hAnsi="宋体"/>
          <w:bCs/>
          <w:color w:val="auto"/>
          <w:szCs w:val="21"/>
        </w:rPr>
      </w:pPr>
      <w:r>
        <w:rPr>
          <w:rFonts w:hint="eastAsia" w:ascii="宋体" w:hAnsi="宋体"/>
          <w:bCs/>
          <w:color w:val="auto"/>
          <w:szCs w:val="21"/>
        </w:rPr>
        <w:t>是否邀请专家参加验收：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5F124F7B">
      <w:pPr>
        <w:adjustRightInd w:val="0"/>
        <w:snapToGrid w:val="0"/>
        <w:spacing w:line="400" w:lineRule="exact"/>
        <w:ind w:firstLine="840" w:firstLineChars="400"/>
        <w:rPr>
          <w:rFonts w:hint="eastAsia" w:ascii="宋体" w:hAnsi="宋体"/>
          <w:bCs/>
          <w:color w:val="auto"/>
          <w:szCs w:val="21"/>
        </w:rPr>
      </w:pPr>
      <w:r>
        <w:rPr>
          <w:rFonts w:hint="eastAsia" w:ascii="宋体" w:hAnsi="宋体"/>
          <w:bCs/>
          <w:color w:val="auto"/>
          <w:szCs w:val="21"/>
        </w:rPr>
        <w:t>是否邀请服务对象参加验收：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53F8CAFB">
      <w:pPr>
        <w:adjustRightInd w:val="0"/>
        <w:snapToGrid w:val="0"/>
        <w:spacing w:line="400" w:lineRule="exact"/>
        <w:ind w:firstLine="840" w:firstLineChars="400"/>
        <w:rPr>
          <w:rFonts w:hint="eastAsia" w:ascii="宋体" w:hAnsi="宋体"/>
          <w:bCs/>
          <w:color w:val="auto"/>
          <w:szCs w:val="21"/>
        </w:rPr>
      </w:pPr>
      <w:r>
        <w:rPr>
          <w:rFonts w:hint="eastAsia" w:ascii="宋体" w:hAnsi="宋体"/>
          <w:bCs/>
          <w:color w:val="auto"/>
          <w:szCs w:val="21"/>
        </w:rPr>
        <w:t>是否邀请第三方检测机构参加验收：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50B6334C">
      <w:pPr>
        <w:adjustRightInd w:val="0"/>
        <w:snapToGrid w:val="0"/>
        <w:spacing w:line="400" w:lineRule="exact"/>
        <w:ind w:firstLine="840" w:firstLineChars="400"/>
        <w:rPr>
          <w:rFonts w:hint="eastAsia" w:ascii="宋体" w:hAnsi="宋体"/>
          <w:bCs/>
          <w:color w:val="auto"/>
          <w:szCs w:val="21"/>
        </w:rPr>
      </w:pPr>
      <w:r>
        <w:rPr>
          <w:rFonts w:hint="eastAsia" w:ascii="宋体" w:hAnsi="宋体"/>
          <w:bCs/>
          <w:color w:val="auto"/>
          <w:szCs w:val="21"/>
        </w:rPr>
        <w:t>是否进行抽查检测：</w:t>
      </w:r>
      <w:r>
        <w:rPr>
          <w:rFonts w:hint="eastAsia" w:ascii="宋体" w:hAnsi="宋体" w:cs="宋体"/>
          <w:color w:val="auto"/>
          <w:szCs w:val="21"/>
        </w:rPr>
        <w:sym w:font="Wingdings" w:char="00A8"/>
      </w:r>
      <w:r>
        <w:rPr>
          <w:rFonts w:hint="eastAsia" w:ascii="宋体" w:hAnsi="宋体"/>
          <w:bCs/>
          <w:color w:val="auto"/>
          <w:szCs w:val="21"/>
        </w:rPr>
        <w:t>是，抽查比例：</w:t>
      </w:r>
      <w:r>
        <w:rPr>
          <w:rFonts w:hint="eastAsia" w:ascii="宋体" w:hAnsi="宋体"/>
          <w:bCs/>
          <w:color w:val="auto"/>
          <w:szCs w:val="21"/>
          <w:u w:val="single"/>
        </w:rPr>
        <w:t xml:space="preserve">        </w:t>
      </w:r>
      <w:r>
        <w:rPr>
          <w:rFonts w:hint="eastAsia" w:ascii="宋体" w:hAnsi="宋体"/>
          <w:bCs/>
          <w:color w:val="auto"/>
          <w:szCs w:val="21"/>
        </w:rPr>
        <w:t xml:space="preserve"> </w:t>
      </w:r>
      <w:r>
        <w:rPr>
          <w:rFonts w:hint="eastAsia" w:ascii="宋体" w:hAnsi="宋体" w:cs="宋体"/>
          <w:color w:val="auto"/>
          <w:szCs w:val="21"/>
        </w:rPr>
        <w:sym w:font="Wingdings" w:char="00A8"/>
      </w:r>
      <w:r>
        <w:rPr>
          <w:rFonts w:hint="eastAsia" w:ascii="宋体" w:hAnsi="宋体"/>
          <w:bCs/>
          <w:color w:val="auto"/>
          <w:szCs w:val="21"/>
        </w:rPr>
        <w:t>否</w:t>
      </w:r>
    </w:p>
    <w:p w14:paraId="2113E430">
      <w:pPr>
        <w:adjustRightInd w:val="0"/>
        <w:snapToGrid w:val="0"/>
        <w:spacing w:line="400" w:lineRule="exact"/>
        <w:ind w:firstLine="840" w:firstLineChars="400"/>
        <w:rPr>
          <w:rFonts w:hint="eastAsia" w:ascii="宋体" w:hAnsi="宋体"/>
          <w:bCs/>
          <w:color w:val="auto"/>
          <w:szCs w:val="21"/>
          <w:u w:val="single"/>
        </w:rPr>
      </w:pPr>
      <w:r>
        <w:rPr>
          <w:rFonts w:hint="eastAsia" w:ascii="宋体" w:hAnsi="宋体"/>
          <w:bCs/>
          <w:color w:val="auto"/>
          <w:szCs w:val="21"/>
        </w:rPr>
        <w:t>是否存在破坏性检测：</w:t>
      </w:r>
      <w:r>
        <w:rPr>
          <w:rFonts w:hint="eastAsia" w:ascii="宋体" w:hAnsi="宋体" w:cs="宋体"/>
          <w:color w:val="auto"/>
          <w:szCs w:val="21"/>
        </w:rPr>
        <w:sym w:font="Wingdings" w:char="00A8"/>
      </w:r>
      <w:r>
        <w:rPr>
          <w:rFonts w:hint="eastAsia" w:ascii="宋体" w:hAnsi="宋体"/>
          <w:bCs/>
          <w:color w:val="auto"/>
          <w:szCs w:val="21"/>
        </w:rPr>
        <w:t>是，</w:t>
      </w:r>
      <w:r>
        <w:rPr>
          <w:rFonts w:hint="eastAsia" w:ascii="宋体" w:hAnsi="宋体"/>
          <w:bCs/>
          <w:color w:val="auto"/>
          <w:szCs w:val="21"/>
          <w:u w:val="single"/>
        </w:rPr>
        <w:t>（应明确对被破坏的检测产品的处理方式）</w:t>
      </w:r>
    </w:p>
    <w:p w14:paraId="3FFED593">
      <w:pPr>
        <w:adjustRightInd w:val="0"/>
        <w:snapToGrid w:val="0"/>
        <w:spacing w:line="400" w:lineRule="exact"/>
        <w:ind w:firstLine="840" w:firstLineChars="400"/>
        <w:rPr>
          <w:rFonts w:hint="eastAsia" w:ascii="宋体" w:hAnsi="宋体"/>
          <w:bCs/>
          <w:color w:val="auto"/>
          <w:szCs w:val="21"/>
        </w:rPr>
      </w:pPr>
      <w:r>
        <w:rPr>
          <w:rFonts w:hint="eastAsia" w:ascii="宋体" w:hAnsi="宋体"/>
          <w:bCs/>
          <w:color w:val="auto"/>
          <w:szCs w:val="21"/>
        </w:rPr>
        <w:t xml:space="preserve">                    </w:t>
      </w:r>
      <w:r>
        <w:rPr>
          <w:rFonts w:hint="eastAsia" w:ascii="宋体" w:hAnsi="宋体" w:cs="宋体"/>
          <w:color w:val="auto"/>
          <w:szCs w:val="21"/>
        </w:rPr>
        <w:sym w:font="Wingdings" w:char="00A8"/>
      </w:r>
      <w:r>
        <w:rPr>
          <w:rFonts w:hint="eastAsia" w:ascii="宋体" w:hAnsi="宋体"/>
          <w:bCs/>
          <w:color w:val="auto"/>
          <w:szCs w:val="21"/>
        </w:rPr>
        <w:t>否</w:t>
      </w:r>
    </w:p>
    <w:p w14:paraId="31CF0CE5">
      <w:pPr>
        <w:adjustRightInd w:val="0"/>
        <w:snapToGrid w:val="0"/>
        <w:spacing w:line="400" w:lineRule="exact"/>
        <w:ind w:firstLine="840" w:firstLineChars="400"/>
        <w:rPr>
          <w:rFonts w:hint="eastAsia" w:ascii="宋体" w:hAnsi="宋体"/>
          <w:bCs/>
          <w:color w:val="auto"/>
          <w:szCs w:val="21"/>
          <w:u w:val="single"/>
        </w:rPr>
      </w:pPr>
      <w:r>
        <w:rPr>
          <w:rFonts w:hint="eastAsia" w:ascii="宋体" w:hAnsi="宋体"/>
          <w:bCs/>
          <w:color w:val="auto"/>
          <w:szCs w:val="21"/>
        </w:rPr>
        <w:t>验收组织的其他事项：</w:t>
      </w:r>
      <w:r>
        <w:rPr>
          <w:rFonts w:hint="eastAsia" w:ascii="宋体" w:hAnsi="宋体"/>
          <w:bCs/>
          <w:color w:val="auto"/>
          <w:szCs w:val="21"/>
          <w:u w:val="single"/>
        </w:rPr>
        <w:t xml:space="preserve">                </w:t>
      </w:r>
    </w:p>
    <w:p w14:paraId="39D9F205">
      <w:pPr>
        <w:adjustRightInd w:val="0"/>
        <w:snapToGrid w:val="0"/>
        <w:spacing w:line="400" w:lineRule="exact"/>
        <w:ind w:firstLine="420" w:firstLineChars="200"/>
        <w:rPr>
          <w:rFonts w:hint="eastAsia" w:ascii="宋体" w:hAnsi="宋体"/>
          <w:bCs/>
          <w:color w:val="auto"/>
          <w:szCs w:val="21"/>
          <w:u w:val="single"/>
        </w:rPr>
      </w:pPr>
      <w:r>
        <w:rPr>
          <w:rFonts w:hint="eastAsia" w:ascii="宋体" w:hAnsi="宋体"/>
          <w:bCs/>
          <w:color w:val="auto"/>
          <w:szCs w:val="21"/>
        </w:rPr>
        <w:t>（2）履约验收时间：</w:t>
      </w:r>
      <w:r>
        <w:rPr>
          <w:rFonts w:hint="eastAsia" w:ascii="宋体" w:hAnsi="宋体"/>
          <w:bCs/>
          <w:color w:val="auto"/>
          <w:szCs w:val="21"/>
          <w:u w:val="single"/>
        </w:rPr>
        <w:t xml:space="preserve">（计划于何时验收/供应商提出验收申请之日起   日内组织验收） </w:t>
      </w:r>
    </w:p>
    <w:p w14:paraId="77CB820E">
      <w:pPr>
        <w:adjustRightInd w:val="0"/>
        <w:snapToGrid w:val="0"/>
        <w:spacing w:line="400" w:lineRule="exact"/>
        <w:ind w:firstLine="420" w:firstLineChars="200"/>
        <w:rPr>
          <w:rFonts w:hint="eastAsia" w:ascii="宋体" w:hAnsi="宋体"/>
          <w:bCs/>
          <w:color w:val="auto"/>
          <w:szCs w:val="21"/>
        </w:rPr>
      </w:pPr>
      <w:r>
        <w:rPr>
          <w:rFonts w:hint="eastAsia" w:ascii="宋体" w:hAnsi="宋体"/>
          <w:bCs/>
          <w:color w:val="auto"/>
          <w:szCs w:val="21"/>
        </w:rPr>
        <w:t>（3）履约验收方式：</w:t>
      </w:r>
      <w:r>
        <w:rPr>
          <w:rFonts w:hint="eastAsia" w:ascii="宋体" w:hAnsi="宋体" w:cs="宋体"/>
          <w:color w:val="auto"/>
          <w:szCs w:val="21"/>
        </w:rPr>
        <w:sym w:font="Wingdings" w:char="00A8"/>
      </w:r>
      <w:r>
        <w:rPr>
          <w:rFonts w:hint="eastAsia" w:ascii="宋体" w:hAnsi="宋体"/>
          <w:bCs/>
          <w:color w:val="auto"/>
          <w:szCs w:val="21"/>
        </w:rPr>
        <w:t xml:space="preserve">一次性验收         </w:t>
      </w:r>
    </w:p>
    <w:p w14:paraId="43F2C8DB">
      <w:pPr>
        <w:adjustRightInd w:val="0"/>
        <w:snapToGrid w:val="0"/>
        <w:spacing w:line="400" w:lineRule="exact"/>
        <w:rPr>
          <w:rFonts w:hint="eastAsia" w:ascii="宋体" w:hAnsi="宋体"/>
          <w:bCs/>
          <w:color w:val="auto"/>
          <w:szCs w:val="21"/>
        </w:rPr>
      </w:pPr>
      <w:r>
        <w:rPr>
          <w:rFonts w:hint="eastAsia" w:ascii="宋体" w:hAnsi="宋体"/>
          <w:bCs/>
          <w:color w:val="auto"/>
          <w:szCs w:val="21"/>
        </w:rPr>
        <w:t xml:space="preserve">                       </w:t>
      </w:r>
      <w:r>
        <w:rPr>
          <w:rFonts w:hint="eastAsia" w:ascii="宋体" w:hAnsi="宋体" w:cs="宋体"/>
          <w:color w:val="auto"/>
          <w:szCs w:val="21"/>
        </w:rPr>
        <w:sym w:font="Wingdings" w:char="00A8"/>
      </w:r>
      <w:r>
        <w:rPr>
          <w:rFonts w:hint="eastAsia" w:ascii="宋体" w:hAnsi="宋体"/>
          <w:bCs/>
          <w:color w:val="auto"/>
          <w:szCs w:val="21"/>
        </w:rPr>
        <w:t>分期/分项验收：</w:t>
      </w:r>
      <w:r>
        <w:rPr>
          <w:rFonts w:hint="eastAsia" w:ascii="宋体" w:hAnsi="宋体"/>
          <w:bCs/>
          <w:color w:val="auto"/>
          <w:szCs w:val="21"/>
          <w:u w:val="single"/>
        </w:rPr>
        <w:t xml:space="preserve"> （应明确分期</w:t>
      </w:r>
      <w:r>
        <w:rPr>
          <w:rFonts w:ascii="宋体" w:hAnsi="宋体"/>
          <w:bCs/>
          <w:color w:val="auto"/>
          <w:szCs w:val="21"/>
          <w:u w:val="single"/>
          <w:lang w:val="en"/>
        </w:rPr>
        <w:t>/</w:t>
      </w:r>
      <w:r>
        <w:rPr>
          <w:rFonts w:hint="eastAsia" w:ascii="宋体" w:hAnsi="宋体"/>
          <w:bCs/>
          <w:color w:val="auto"/>
          <w:szCs w:val="21"/>
          <w:u w:val="single"/>
          <w:lang w:val="en"/>
        </w:rPr>
        <w:t>分项验收的工作安排</w:t>
      </w:r>
      <w:r>
        <w:rPr>
          <w:rFonts w:hint="eastAsia" w:ascii="宋体" w:hAnsi="宋体"/>
          <w:bCs/>
          <w:color w:val="auto"/>
          <w:szCs w:val="21"/>
          <w:u w:val="single"/>
        </w:rPr>
        <w:t xml:space="preserve">）  </w:t>
      </w:r>
    </w:p>
    <w:p w14:paraId="4EE7D867">
      <w:pPr>
        <w:adjustRightInd w:val="0"/>
        <w:snapToGrid w:val="0"/>
        <w:spacing w:line="400" w:lineRule="exact"/>
        <w:ind w:firstLine="420" w:firstLineChars="200"/>
        <w:rPr>
          <w:rFonts w:hint="eastAsia" w:ascii="宋体" w:hAnsi="宋体"/>
          <w:bCs/>
          <w:color w:val="auto"/>
          <w:szCs w:val="21"/>
        </w:rPr>
      </w:pPr>
      <w:r>
        <w:rPr>
          <w:rFonts w:hint="eastAsia" w:ascii="宋体" w:hAnsi="宋体"/>
          <w:bCs/>
          <w:color w:val="auto"/>
          <w:szCs w:val="21"/>
        </w:rPr>
        <w:t>（4）履约验收程序：</w:t>
      </w:r>
      <w:r>
        <w:rPr>
          <w:rFonts w:hint="eastAsia" w:ascii="宋体" w:hAnsi="宋体"/>
          <w:bCs/>
          <w:color w:val="auto"/>
          <w:szCs w:val="21"/>
          <w:u w:val="single"/>
        </w:rPr>
        <w:t xml:space="preserve">                                         </w:t>
      </w:r>
    </w:p>
    <w:p w14:paraId="62D5B780">
      <w:pPr>
        <w:adjustRightInd w:val="0"/>
        <w:snapToGrid w:val="0"/>
        <w:spacing w:line="400" w:lineRule="exact"/>
        <w:ind w:firstLine="420" w:firstLineChars="200"/>
        <w:rPr>
          <w:rFonts w:hint="eastAsia" w:ascii="宋体" w:hAnsi="宋体"/>
          <w:bCs/>
          <w:color w:val="auto"/>
          <w:szCs w:val="21"/>
          <w:u w:val="single"/>
        </w:rPr>
      </w:pPr>
      <w:r>
        <w:rPr>
          <w:rFonts w:hint="eastAsia" w:ascii="宋体" w:hAnsi="宋体"/>
          <w:bCs/>
          <w:color w:val="auto"/>
          <w:szCs w:val="21"/>
        </w:rPr>
        <w:t>（5）履约验收的内容：</w:t>
      </w:r>
      <w:r>
        <w:rPr>
          <w:rFonts w:hint="eastAsia" w:ascii="宋体" w:hAnsi="宋体"/>
          <w:bCs/>
          <w:color w:val="auto"/>
          <w:szCs w:val="21"/>
          <w:u w:val="single"/>
        </w:rPr>
        <w:t xml:space="preserve"> （应当包括每一项技术和商务要求的履约情况，特别是落实政府采购扶持中小企业，支持绿色发展和乡村振兴等政策情况）                                      </w:t>
      </w:r>
    </w:p>
    <w:p w14:paraId="35636EE0">
      <w:pPr>
        <w:adjustRightInd w:val="0"/>
        <w:snapToGrid w:val="0"/>
        <w:spacing w:line="400" w:lineRule="exact"/>
        <w:ind w:firstLine="420" w:firstLineChars="200"/>
        <w:rPr>
          <w:rFonts w:hint="eastAsia" w:ascii="宋体" w:hAnsi="宋体"/>
          <w:bCs/>
          <w:color w:val="auto"/>
          <w:szCs w:val="21"/>
          <w:u w:val="single"/>
        </w:rPr>
      </w:pPr>
      <w:r>
        <w:rPr>
          <w:rFonts w:hint="eastAsia" w:ascii="宋体" w:hAnsi="宋体"/>
          <w:bCs/>
          <w:color w:val="auto"/>
          <w:szCs w:val="21"/>
        </w:rPr>
        <w:t>（6）履约验收标准：</w:t>
      </w:r>
      <w:r>
        <w:rPr>
          <w:rFonts w:hint="eastAsia" w:ascii="宋体" w:hAnsi="宋体"/>
          <w:bCs/>
          <w:color w:val="auto"/>
          <w:szCs w:val="21"/>
          <w:u w:val="single"/>
        </w:rPr>
        <w:t xml:space="preserve">                                         </w:t>
      </w:r>
    </w:p>
    <w:p w14:paraId="0D6F9B20">
      <w:pPr>
        <w:pStyle w:val="141"/>
        <w:ind w:firstLine="420"/>
        <w:rPr>
          <w:rFonts w:hint="eastAsia" w:ascii="宋体" w:hAnsi="宋体" w:eastAsia="宋体" w:cs="宋体"/>
          <w:color w:val="auto"/>
          <w:sz w:val="21"/>
        </w:rPr>
      </w:pPr>
      <w:r>
        <w:rPr>
          <w:rFonts w:hint="eastAsia" w:ascii="宋体" w:hAnsi="宋体" w:eastAsia="宋体" w:cs="宋体"/>
          <w:bCs/>
          <w:color w:val="auto"/>
          <w:sz w:val="21"/>
        </w:rPr>
        <w:t>（7）是否以采购活动中供应商提供的样品作为参考：</w:t>
      </w:r>
      <w:r>
        <w:rPr>
          <w:rFonts w:hint="eastAsia" w:ascii="宋体" w:hAnsi="宋体" w:eastAsia="宋体" w:cs="宋体"/>
          <w:color w:val="auto"/>
          <w:sz w:val="21"/>
        </w:rPr>
        <w:sym w:font="Wingdings" w:char="00A8"/>
      </w:r>
      <w:r>
        <w:rPr>
          <w:rFonts w:hint="eastAsia" w:ascii="宋体" w:hAnsi="宋体" w:eastAsia="宋体" w:cs="宋体"/>
          <w:bCs/>
          <w:color w:val="auto"/>
          <w:sz w:val="21"/>
        </w:rPr>
        <w:t xml:space="preserve">是  </w:t>
      </w:r>
      <w:r>
        <w:rPr>
          <w:rFonts w:hint="eastAsia" w:ascii="宋体" w:hAnsi="宋体" w:eastAsia="宋体" w:cs="宋体"/>
          <w:color w:val="auto"/>
          <w:sz w:val="21"/>
        </w:rPr>
        <w:sym w:font="Wingdings" w:char="00A8"/>
      </w:r>
      <w:r>
        <w:rPr>
          <w:rFonts w:hint="eastAsia" w:ascii="宋体" w:hAnsi="宋体" w:eastAsia="宋体" w:cs="宋体"/>
          <w:bCs/>
          <w:color w:val="auto"/>
          <w:sz w:val="21"/>
        </w:rPr>
        <w:t>否</w:t>
      </w:r>
    </w:p>
    <w:p w14:paraId="5BB3EC16">
      <w:pPr>
        <w:adjustRightInd w:val="0"/>
        <w:snapToGrid w:val="0"/>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（8）履约验收其他事项：</w:t>
      </w:r>
      <w:r>
        <w:rPr>
          <w:rFonts w:hint="eastAsia" w:ascii="宋体" w:hAnsi="宋体" w:cs="宋体"/>
          <w:bCs/>
          <w:color w:val="auto"/>
          <w:szCs w:val="21"/>
          <w:u w:val="single"/>
        </w:rPr>
        <w:t xml:space="preserve">      （产权过户登记等）          </w:t>
      </w:r>
    </w:p>
    <w:p w14:paraId="62C4A8B9">
      <w:pPr>
        <w:numPr>
          <w:ilvl w:val="0"/>
          <w:numId w:val="11"/>
        </w:numPr>
        <w:adjustRightInd w:val="0"/>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组成合同的文件</w:t>
      </w:r>
    </w:p>
    <w:p w14:paraId="15B62656">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本协议书与下列文件一起构成合同文件，如下述文件之间有任何抵触、矛盾或歧义，应按以下顺序解释：</w:t>
      </w:r>
    </w:p>
    <w:p w14:paraId="7BDE2498">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（1）政府采购合同协议书及其变更、补充协议</w:t>
      </w:r>
    </w:p>
    <w:p w14:paraId="4D7EBA1F">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（2）政府采购合同专用条款</w:t>
      </w:r>
    </w:p>
    <w:p w14:paraId="1E4136F7">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（3）政府采购合同通用条款</w:t>
      </w:r>
    </w:p>
    <w:p w14:paraId="7998EAE7">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（4）中标（成交）通知书</w:t>
      </w:r>
    </w:p>
    <w:p w14:paraId="4DF2B574">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（5）投标（响应）文件</w:t>
      </w:r>
    </w:p>
    <w:p w14:paraId="304D1107">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（6）采购文件</w:t>
      </w:r>
    </w:p>
    <w:p w14:paraId="593382B1">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（7）有关技术文件，图纸</w:t>
      </w:r>
    </w:p>
    <w:p w14:paraId="4B29572B">
      <w:pPr>
        <w:pStyle w:val="141"/>
        <w:ind w:firstLine="420"/>
        <w:rPr>
          <w:rFonts w:hint="eastAsia" w:ascii="宋体" w:hAnsi="宋体" w:eastAsia="宋体" w:cs="宋体"/>
          <w:color w:val="auto"/>
          <w:kern w:val="2"/>
          <w:sz w:val="21"/>
        </w:rPr>
      </w:pPr>
      <w:r>
        <w:rPr>
          <w:rFonts w:hint="eastAsia" w:ascii="宋体" w:hAnsi="宋体" w:eastAsia="宋体" w:cs="宋体"/>
          <w:color w:val="auto"/>
          <w:sz w:val="21"/>
        </w:rPr>
        <w:t>（8）</w:t>
      </w:r>
      <w:r>
        <w:rPr>
          <w:rFonts w:hint="eastAsia" w:ascii="宋体" w:hAnsi="宋体" w:eastAsia="宋体" w:cs="宋体"/>
          <w:color w:val="auto"/>
          <w:kern w:val="2"/>
          <w:sz w:val="21"/>
        </w:rPr>
        <w:t>国家法律、行政法规和规章制度规定或合同约定的作为合同组成部分的其他文件</w:t>
      </w:r>
    </w:p>
    <w:p w14:paraId="3542F2C5">
      <w:pPr>
        <w:numPr>
          <w:ilvl w:val="0"/>
          <w:numId w:val="11"/>
        </w:numPr>
        <w:adjustRightInd w:val="0"/>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合同生效</w:t>
      </w:r>
    </w:p>
    <w:p w14:paraId="2F94F908">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本合同自</w:t>
      </w:r>
      <w:r>
        <w:rPr>
          <w:rFonts w:hint="eastAsia" w:ascii="宋体" w:hAnsi="宋体"/>
          <w:color w:val="auto"/>
          <w:szCs w:val="21"/>
          <w:u w:val="single"/>
        </w:rPr>
        <w:t xml:space="preserve">                             </w:t>
      </w:r>
      <w:r>
        <w:rPr>
          <w:rFonts w:hint="eastAsia" w:ascii="宋体" w:hAnsi="宋体"/>
          <w:color w:val="auto"/>
          <w:szCs w:val="21"/>
        </w:rPr>
        <w:t>生效。</w:t>
      </w:r>
    </w:p>
    <w:p w14:paraId="79BD8F6F">
      <w:pPr>
        <w:numPr>
          <w:ilvl w:val="0"/>
          <w:numId w:val="11"/>
        </w:numPr>
        <w:adjustRightInd w:val="0"/>
        <w:snapToGrid w:val="0"/>
        <w:spacing w:line="400" w:lineRule="exact"/>
        <w:ind w:firstLine="422" w:firstLineChars="200"/>
        <w:rPr>
          <w:rFonts w:hint="eastAsia" w:ascii="宋体" w:hAnsi="宋体"/>
          <w:b/>
          <w:color w:val="auto"/>
          <w:szCs w:val="21"/>
        </w:rPr>
      </w:pPr>
      <w:r>
        <w:rPr>
          <w:rFonts w:hint="eastAsia" w:ascii="宋体" w:hAnsi="宋体"/>
          <w:b/>
          <w:color w:val="auto"/>
          <w:szCs w:val="21"/>
        </w:rPr>
        <w:t>合同份数</w:t>
      </w:r>
    </w:p>
    <w:p w14:paraId="76D5F9BE">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本合同一式</w:t>
      </w:r>
      <w:r>
        <w:rPr>
          <w:rFonts w:hint="eastAsia" w:ascii="宋体" w:hAnsi="宋体"/>
          <w:color w:val="auto"/>
          <w:szCs w:val="21"/>
          <w:u w:val="single"/>
        </w:rPr>
        <w:t xml:space="preserve">    </w:t>
      </w:r>
      <w:r>
        <w:rPr>
          <w:rFonts w:hint="eastAsia" w:ascii="宋体" w:hAnsi="宋体"/>
          <w:color w:val="auto"/>
          <w:szCs w:val="21"/>
        </w:rPr>
        <w:t>份，甲方执</w:t>
      </w:r>
      <w:r>
        <w:rPr>
          <w:rFonts w:hint="eastAsia" w:ascii="宋体" w:hAnsi="宋体"/>
          <w:color w:val="auto"/>
          <w:szCs w:val="21"/>
          <w:u w:val="single"/>
        </w:rPr>
        <w:t xml:space="preserve">    </w:t>
      </w:r>
      <w:r>
        <w:rPr>
          <w:rFonts w:hint="eastAsia" w:ascii="宋体" w:hAnsi="宋体"/>
          <w:color w:val="auto"/>
          <w:szCs w:val="21"/>
        </w:rPr>
        <w:t>份，乙方执</w:t>
      </w:r>
      <w:r>
        <w:rPr>
          <w:rFonts w:hint="eastAsia" w:ascii="宋体" w:hAnsi="宋体"/>
          <w:color w:val="auto"/>
          <w:szCs w:val="21"/>
          <w:u w:val="single"/>
        </w:rPr>
        <w:t xml:space="preserve">    </w:t>
      </w:r>
      <w:r>
        <w:rPr>
          <w:rFonts w:hint="eastAsia" w:ascii="宋体" w:hAnsi="宋体"/>
          <w:color w:val="auto"/>
          <w:szCs w:val="21"/>
        </w:rPr>
        <w:t>份，均具有同等法律效力。</w:t>
      </w:r>
    </w:p>
    <w:p w14:paraId="583390DA">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合同订立时间：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3845C049">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rPr>
        <w:t>合同订立地点：</w:t>
      </w:r>
      <w:r>
        <w:rPr>
          <w:rFonts w:hint="eastAsia" w:ascii="宋体" w:hAnsi="宋体"/>
          <w:color w:val="auto"/>
          <w:szCs w:val="21"/>
          <w:u w:val="single"/>
        </w:rPr>
        <w:t xml:space="preserve">                           </w:t>
      </w:r>
    </w:p>
    <w:p w14:paraId="58DE1334">
      <w:pPr>
        <w:adjustRightInd w:val="0"/>
        <w:snapToGrid w:val="0"/>
        <w:spacing w:line="400" w:lineRule="exact"/>
        <w:ind w:firstLine="420" w:firstLineChars="200"/>
        <w:rPr>
          <w:color w:val="auto"/>
        </w:rPr>
      </w:pPr>
      <w:r>
        <w:rPr>
          <w:rFonts w:hint="eastAsia" w:ascii="宋体" w:hAnsi="宋体"/>
          <w:color w:val="auto"/>
          <w:szCs w:val="21"/>
        </w:rPr>
        <w:t>附件：具体标的及其技术要求和商务要求、联合协议、分包意向协议等。</w:t>
      </w:r>
    </w:p>
    <w:p w14:paraId="5D0F2D66">
      <w:pPr>
        <w:pStyle w:val="91"/>
        <w:spacing w:line="400" w:lineRule="exact"/>
        <w:rPr>
          <w:color w:val="auto"/>
        </w:rPr>
      </w:pPr>
    </w:p>
    <w:p w14:paraId="096D4357">
      <w:pPr>
        <w:pStyle w:val="4"/>
        <w:rPr>
          <w:rFonts w:hint="eastAsia" w:ascii="宋体" w:hAnsi="宋体"/>
          <w:b w:val="0"/>
          <w:bCs w:val="0"/>
          <w:color w:val="auto"/>
          <w:sz w:val="21"/>
          <w:szCs w:val="21"/>
        </w:rPr>
      </w:pPr>
      <w:r>
        <w:rPr>
          <w:color w:val="auto"/>
          <w:lang w:val="en"/>
        </w:rPr>
        <w:t xml:space="preserve">   </w:t>
      </w:r>
    </w:p>
    <w:p w14:paraId="64073C71">
      <w:pPr>
        <w:rPr>
          <w:color w:val="auto"/>
        </w:rPr>
      </w:pPr>
      <w:r>
        <w:rPr>
          <w:rFonts w:hint="eastAsia"/>
          <w:color w:val="auto"/>
        </w:rPr>
        <w:br w:type="page"/>
      </w:r>
    </w:p>
    <w:p w14:paraId="6A6161CB">
      <w:pPr>
        <w:pStyle w:val="91"/>
        <w:rPr>
          <w:color w:val="auto"/>
        </w:rPr>
      </w:pPr>
    </w:p>
    <w:tbl>
      <w:tblPr>
        <w:tblStyle w:val="37"/>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50"/>
        <w:gridCol w:w="2869"/>
        <w:gridCol w:w="2354"/>
        <w:gridCol w:w="2517"/>
      </w:tblGrid>
      <w:tr w14:paraId="61FF6F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A693844">
            <w:pPr>
              <w:adjustRightInd w:val="0"/>
              <w:snapToGrid w:val="0"/>
              <w:spacing w:line="300" w:lineRule="exact"/>
              <w:jc w:val="center"/>
              <w:rPr>
                <w:color w:val="auto"/>
              </w:rPr>
            </w:pPr>
            <w:r>
              <w:rPr>
                <w:color w:val="auto"/>
                <w:szCs w:val="21"/>
              </w:rPr>
              <w:t>甲方</w:t>
            </w:r>
            <w:r>
              <w:rPr>
                <w:rFonts w:hint="eastAsia"/>
                <w:color w:val="auto"/>
                <w:szCs w:val="21"/>
              </w:rPr>
              <w:t>（采购人</w:t>
            </w:r>
            <w:r>
              <w:rPr>
                <w:rFonts w:hint="eastAsia" w:ascii="宋体" w:hAnsi="宋体"/>
                <w:color w:val="auto"/>
                <w:szCs w:val="21"/>
              </w:rPr>
              <w:t>、受采购人委托签订合同的单位或</w:t>
            </w:r>
            <w:r>
              <w:rPr>
                <w:rFonts w:hint="eastAsia"/>
                <w:color w:val="auto"/>
                <w:szCs w:val="21"/>
              </w:rPr>
              <w:t>采购文件约定的合同甲方）</w:t>
            </w:r>
          </w:p>
        </w:tc>
        <w:tc>
          <w:tcPr>
            <w:tcW w:w="2437" w:type="pct"/>
            <w:gridSpan w:val="2"/>
            <w:tcBorders>
              <w:left w:val="single" w:color="auto" w:sz="2" w:space="0"/>
              <w:bottom w:val="single" w:color="auto" w:sz="2" w:space="0"/>
            </w:tcBorders>
            <w:vAlign w:val="center"/>
          </w:tcPr>
          <w:p w14:paraId="17A5E10F">
            <w:pPr>
              <w:adjustRightInd w:val="0"/>
              <w:snapToGrid w:val="0"/>
              <w:spacing w:line="300" w:lineRule="exact"/>
              <w:jc w:val="center"/>
              <w:rPr>
                <w:color w:val="auto"/>
              </w:rPr>
            </w:pPr>
            <w:r>
              <w:rPr>
                <w:color w:val="auto"/>
                <w:szCs w:val="21"/>
              </w:rPr>
              <w:t>乙方</w:t>
            </w:r>
            <w:r>
              <w:rPr>
                <w:rFonts w:hint="eastAsia"/>
                <w:color w:val="auto"/>
                <w:szCs w:val="21"/>
              </w:rPr>
              <w:t>（供应商）</w:t>
            </w:r>
          </w:p>
        </w:tc>
      </w:tr>
      <w:tr w14:paraId="4E5B89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4676491">
            <w:pPr>
              <w:adjustRightInd w:val="0"/>
              <w:snapToGrid w:val="0"/>
              <w:spacing w:line="300" w:lineRule="exact"/>
              <w:jc w:val="center"/>
              <w:rPr>
                <w:color w:val="auto"/>
                <w:szCs w:val="21"/>
              </w:rPr>
            </w:pPr>
            <w:r>
              <w:rPr>
                <w:color w:val="auto"/>
                <w:szCs w:val="21"/>
              </w:rPr>
              <w:t>单位名称</w:t>
            </w:r>
            <w:r>
              <w:rPr>
                <w:rFonts w:hint="eastAsia"/>
                <w:color w:val="auto"/>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5B7C826C">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9A44096">
            <w:pPr>
              <w:adjustRightInd w:val="0"/>
              <w:snapToGrid w:val="0"/>
              <w:spacing w:line="300" w:lineRule="exact"/>
              <w:jc w:val="center"/>
              <w:rPr>
                <w:color w:val="auto"/>
                <w:szCs w:val="21"/>
              </w:rPr>
            </w:pPr>
            <w:r>
              <w:rPr>
                <w:color w:val="auto"/>
                <w:szCs w:val="21"/>
              </w:rPr>
              <w:t>单位名称</w:t>
            </w:r>
            <w:r>
              <w:rPr>
                <w:rFonts w:hint="eastAsia"/>
                <w:color w:val="auto"/>
                <w:szCs w:val="21"/>
              </w:rPr>
              <w:t>（公章或合同章）</w:t>
            </w:r>
          </w:p>
        </w:tc>
        <w:tc>
          <w:tcPr>
            <w:tcW w:w="1259" w:type="pct"/>
            <w:tcBorders>
              <w:top w:val="single" w:color="auto" w:sz="2" w:space="0"/>
              <w:left w:val="single" w:color="auto" w:sz="2" w:space="0"/>
              <w:bottom w:val="single" w:color="auto" w:sz="2" w:space="0"/>
            </w:tcBorders>
            <w:vAlign w:val="center"/>
          </w:tcPr>
          <w:p w14:paraId="3F8CC1E8">
            <w:pPr>
              <w:adjustRightInd w:val="0"/>
              <w:snapToGrid w:val="0"/>
              <w:spacing w:line="300" w:lineRule="exact"/>
              <w:jc w:val="center"/>
              <w:rPr>
                <w:color w:val="auto"/>
                <w:spacing w:val="20"/>
                <w:szCs w:val="21"/>
              </w:rPr>
            </w:pPr>
          </w:p>
        </w:tc>
      </w:tr>
      <w:tr w14:paraId="049473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C6AAEB9">
            <w:pPr>
              <w:adjustRightInd w:val="0"/>
              <w:snapToGrid w:val="0"/>
              <w:spacing w:line="300" w:lineRule="exact"/>
              <w:jc w:val="center"/>
              <w:rPr>
                <w:color w:val="auto"/>
                <w:szCs w:val="21"/>
              </w:rPr>
            </w:pPr>
            <w:r>
              <w:rPr>
                <w:color w:val="auto"/>
                <w:szCs w:val="21"/>
              </w:rPr>
              <w:t>法定代表人</w:t>
            </w:r>
          </w:p>
          <w:p w14:paraId="7B0FE000">
            <w:pPr>
              <w:adjustRightInd w:val="0"/>
              <w:snapToGrid w:val="0"/>
              <w:spacing w:line="300" w:lineRule="exact"/>
              <w:ind w:firstLine="100" w:firstLineChars="48"/>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1436" w:type="pct"/>
            <w:vMerge w:val="restart"/>
            <w:tcBorders>
              <w:top w:val="single" w:color="auto" w:sz="2" w:space="0"/>
              <w:left w:val="single" w:color="auto" w:sz="2" w:space="0"/>
              <w:right w:val="single" w:color="auto" w:sz="2" w:space="0"/>
            </w:tcBorders>
            <w:vAlign w:val="center"/>
          </w:tcPr>
          <w:p w14:paraId="541D3E85">
            <w:pPr>
              <w:adjustRightInd w:val="0"/>
              <w:snapToGrid w:val="0"/>
              <w:spacing w:line="300" w:lineRule="exact"/>
              <w:jc w:val="center"/>
              <w:rPr>
                <w:color w:val="auto"/>
                <w:szCs w:val="21"/>
              </w:rPr>
            </w:pPr>
          </w:p>
        </w:tc>
        <w:tc>
          <w:tcPr>
            <w:tcW w:w="1178" w:type="pct"/>
            <w:tcBorders>
              <w:top w:val="single" w:color="auto" w:sz="2" w:space="0"/>
              <w:left w:val="single" w:color="auto" w:sz="2" w:space="0"/>
              <w:right w:val="single" w:color="auto" w:sz="2" w:space="0"/>
            </w:tcBorders>
            <w:vAlign w:val="center"/>
          </w:tcPr>
          <w:p w14:paraId="2B89F0B9">
            <w:pPr>
              <w:adjustRightInd w:val="0"/>
              <w:snapToGrid w:val="0"/>
              <w:spacing w:line="300" w:lineRule="exact"/>
              <w:jc w:val="center"/>
              <w:rPr>
                <w:color w:val="auto"/>
                <w:szCs w:val="21"/>
              </w:rPr>
            </w:pPr>
            <w:r>
              <w:rPr>
                <w:color w:val="auto"/>
                <w:szCs w:val="21"/>
              </w:rPr>
              <w:t>法定代表人</w:t>
            </w:r>
          </w:p>
          <w:p w14:paraId="40B09CF1">
            <w:pPr>
              <w:adjustRightInd w:val="0"/>
              <w:snapToGrid w:val="0"/>
              <w:spacing w:line="300" w:lineRule="exact"/>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1259" w:type="pct"/>
            <w:tcBorders>
              <w:top w:val="single" w:color="auto" w:sz="2" w:space="0"/>
              <w:left w:val="single" w:color="auto" w:sz="2" w:space="0"/>
              <w:bottom w:val="single" w:color="auto" w:sz="2" w:space="0"/>
            </w:tcBorders>
            <w:vAlign w:val="center"/>
          </w:tcPr>
          <w:p w14:paraId="2F8DB5D4">
            <w:pPr>
              <w:adjustRightInd w:val="0"/>
              <w:snapToGrid w:val="0"/>
              <w:spacing w:line="300" w:lineRule="exact"/>
              <w:jc w:val="center"/>
              <w:rPr>
                <w:color w:val="auto"/>
                <w:szCs w:val="21"/>
              </w:rPr>
            </w:pPr>
          </w:p>
        </w:tc>
      </w:tr>
      <w:tr w14:paraId="7AF962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C6C94D1">
            <w:pPr>
              <w:adjustRightInd w:val="0"/>
              <w:snapToGrid w:val="0"/>
              <w:spacing w:line="300" w:lineRule="exact"/>
              <w:jc w:val="center"/>
              <w:rPr>
                <w:color w:val="auto"/>
                <w:szCs w:val="21"/>
              </w:rPr>
            </w:pPr>
          </w:p>
        </w:tc>
        <w:tc>
          <w:tcPr>
            <w:tcW w:w="1436" w:type="pct"/>
            <w:vMerge w:val="continue"/>
            <w:tcBorders>
              <w:left w:val="single" w:color="auto" w:sz="2" w:space="0"/>
              <w:bottom w:val="single" w:color="auto" w:sz="2" w:space="0"/>
              <w:right w:val="single" w:color="auto" w:sz="2" w:space="0"/>
            </w:tcBorders>
            <w:vAlign w:val="center"/>
          </w:tcPr>
          <w:p w14:paraId="39A2E227">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F76C20F">
            <w:pPr>
              <w:adjustRightInd w:val="0"/>
              <w:snapToGrid w:val="0"/>
              <w:spacing w:line="300" w:lineRule="exact"/>
              <w:jc w:val="center"/>
              <w:rPr>
                <w:color w:val="auto"/>
                <w:szCs w:val="21"/>
              </w:rPr>
            </w:pPr>
            <w:r>
              <w:rPr>
                <w:rFonts w:hint="eastAsia"/>
                <w:color w:val="auto"/>
                <w:szCs w:val="21"/>
              </w:rPr>
              <w:t>拥有者性别</w:t>
            </w:r>
          </w:p>
        </w:tc>
        <w:tc>
          <w:tcPr>
            <w:tcW w:w="1259" w:type="pct"/>
            <w:tcBorders>
              <w:top w:val="single" w:color="auto" w:sz="2" w:space="0"/>
              <w:left w:val="single" w:color="auto" w:sz="2" w:space="0"/>
              <w:bottom w:val="single" w:color="auto" w:sz="2" w:space="0"/>
            </w:tcBorders>
            <w:vAlign w:val="center"/>
          </w:tcPr>
          <w:p w14:paraId="6EF6FCC7">
            <w:pPr>
              <w:adjustRightInd w:val="0"/>
              <w:snapToGrid w:val="0"/>
              <w:spacing w:line="300" w:lineRule="exact"/>
              <w:jc w:val="center"/>
              <w:rPr>
                <w:color w:val="auto"/>
                <w:spacing w:val="20"/>
                <w:szCs w:val="21"/>
              </w:rPr>
            </w:pPr>
          </w:p>
        </w:tc>
      </w:tr>
      <w:tr w14:paraId="4031CC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F44BEC9">
            <w:pPr>
              <w:adjustRightInd w:val="0"/>
              <w:snapToGrid w:val="0"/>
              <w:spacing w:line="300" w:lineRule="exact"/>
              <w:jc w:val="center"/>
              <w:rPr>
                <w:color w:val="auto"/>
                <w:szCs w:val="21"/>
              </w:rPr>
            </w:pPr>
            <w:r>
              <w:rPr>
                <w:rFonts w:hint="eastAsia"/>
                <w:color w:val="auto"/>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22950E99">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E832A57">
            <w:pPr>
              <w:adjustRightInd w:val="0"/>
              <w:snapToGrid w:val="0"/>
              <w:spacing w:line="300" w:lineRule="exact"/>
              <w:jc w:val="center"/>
              <w:rPr>
                <w:color w:val="auto"/>
                <w:szCs w:val="21"/>
              </w:rPr>
            </w:pPr>
            <w:r>
              <w:rPr>
                <w:rFonts w:hint="eastAsia"/>
                <w:color w:val="auto"/>
                <w:szCs w:val="21"/>
              </w:rPr>
              <w:t>住  所</w:t>
            </w:r>
          </w:p>
        </w:tc>
        <w:tc>
          <w:tcPr>
            <w:tcW w:w="1259" w:type="pct"/>
            <w:tcBorders>
              <w:top w:val="single" w:color="auto" w:sz="2" w:space="0"/>
              <w:left w:val="single" w:color="auto" w:sz="2" w:space="0"/>
              <w:bottom w:val="single" w:color="auto" w:sz="2" w:space="0"/>
            </w:tcBorders>
            <w:vAlign w:val="center"/>
          </w:tcPr>
          <w:p w14:paraId="167A8434">
            <w:pPr>
              <w:adjustRightInd w:val="0"/>
              <w:snapToGrid w:val="0"/>
              <w:spacing w:line="300" w:lineRule="exact"/>
              <w:jc w:val="center"/>
              <w:rPr>
                <w:color w:val="auto"/>
                <w:spacing w:val="20"/>
                <w:szCs w:val="21"/>
              </w:rPr>
            </w:pPr>
          </w:p>
        </w:tc>
      </w:tr>
      <w:tr w14:paraId="2C9B30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A7F04F6">
            <w:pPr>
              <w:adjustRightInd w:val="0"/>
              <w:snapToGrid w:val="0"/>
              <w:spacing w:line="300" w:lineRule="exact"/>
              <w:jc w:val="center"/>
              <w:rPr>
                <w:color w:val="auto"/>
                <w:szCs w:val="21"/>
              </w:rPr>
            </w:pPr>
            <w:r>
              <w:rPr>
                <w:color w:val="auto"/>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A15A522">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19F131F">
            <w:pPr>
              <w:adjustRightInd w:val="0"/>
              <w:snapToGrid w:val="0"/>
              <w:spacing w:line="300" w:lineRule="exact"/>
              <w:jc w:val="center"/>
              <w:rPr>
                <w:color w:val="auto"/>
                <w:szCs w:val="21"/>
              </w:rPr>
            </w:pPr>
            <w:r>
              <w:rPr>
                <w:color w:val="auto"/>
                <w:szCs w:val="21"/>
              </w:rPr>
              <w:t>联 系 人</w:t>
            </w:r>
          </w:p>
        </w:tc>
        <w:tc>
          <w:tcPr>
            <w:tcW w:w="1259" w:type="pct"/>
            <w:tcBorders>
              <w:top w:val="single" w:color="auto" w:sz="2" w:space="0"/>
              <w:left w:val="single" w:color="auto" w:sz="2" w:space="0"/>
              <w:bottom w:val="single" w:color="auto" w:sz="2" w:space="0"/>
            </w:tcBorders>
            <w:vAlign w:val="center"/>
          </w:tcPr>
          <w:p w14:paraId="3A1D598E">
            <w:pPr>
              <w:adjustRightInd w:val="0"/>
              <w:snapToGrid w:val="0"/>
              <w:spacing w:line="300" w:lineRule="exact"/>
              <w:jc w:val="center"/>
              <w:rPr>
                <w:color w:val="auto"/>
                <w:spacing w:val="20"/>
                <w:szCs w:val="21"/>
              </w:rPr>
            </w:pPr>
          </w:p>
        </w:tc>
      </w:tr>
      <w:tr w14:paraId="799C50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0F5BA4B">
            <w:pPr>
              <w:adjustRightInd w:val="0"/>
              <w:snapToGrid w:val="0"/>
              <w:spacing w:line="300" w:lineRule="exact"/>
              <w:jc w:val="center"/>
              <w:rPr>
                <w:color w:val="auto"/>
                <w:szCs w:val="21"/>
              </w:rPr>
            </w:pPr>
            <w:r>
              <w:rPr>
                <w:color w:val="auto"/>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6D9C739">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117D150">
            <w:pPr>
              <w:adjustRightInd w:val="0"/>
              <w:snapToGrid w:val="0"/>
              <w:spacing w:line="300" w:lineRule="exact"/>
              <w:jc w:val="center"/>
              <w:rPr>
                <w:color w:val="auto"/>
                <w:szCs w:val="21"/>
              </w:rPr>
            </w:pPr>
            <w:r>
              <w:rPr>
                <w:color w:val="auto"/>
                <w:szCs w:val="21"/>
              </w:rPr>
              <w:t>联系电话</w:t>
            </w:r>
          </w:p>
        </w:tc>
        <w:tc>
          <w:tcPr>
            <w:tcW w:w="1259" w:type="pct"/>
            <w:tcBorders>
              <w:top w:val="single" w:color="auto" w:sz="2" w:space="0"/>
              <w:left w:val="single" w:color="auto" w:sz="2" w:space="0"/>
              <w:bottom w:val="single" w:color="auto" w:sz="2" w:space="0"/>
            </w:tcBorders>
            <w:vAlign w:val="center"/>
          </w:tcPr>
          <w:p w14:paraId="357FAB0F">
            <w:pPr>
              <w:adjustRightInd w:val="0"/>
              <w:snapToGrid w:val="0"/>
              <w:spacing w:line="300" w:lineRule="exact"/>
              <w:jc w:val="center"/>
              <w:rPr>
                <w:color w:val="auto"/>
                <w:spacing w:val="20"/>
                <w:szCs w:val="21"/>
              </w:rPr>
            </w:pPr>
          </w:p>
        </w:tc>
      </w:tr>
      <w:tr w14:paraId="4A2F21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CA991B1">
            <w:pPr>
              <w:adjustRightInd w:val="0"/>
              <w:snapToGrid w:val="0"/>
              <w:spacing w:line="300" w:lineRule="exact"/>
              <w:jc w:val="center"/>
              <w:rPr>
                <w:color w:val="auto"/>
                <w:szCs w:val="21"/>
              </w:rPr>
            </w:pPr>
            <w:r>
              <w:rPr>
                <w:rFonts w:hint="eastAsia"/>
                <w:color w:val="auto"/>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E20463D">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A142216">
            <w:pPr>
              <w:adjustRightInd w:val="0"/>
              <w:snapToGrid w:val="0"/>
              <w:spacing w:line="300" w:lineRule="exact"/>
              <w:jc w:val="center"/>
              <w:rPr>
                <w:color w:val="auto"/>
                <w:szCs w:val="21"/>
              </w:rPr>
            </w:pPr>
            <w:r>
              <w:rPr>
                <w:rFonts w:hint="eastAsia"/>
                <w:color w:val="auto"/>
                <w:szCs w:val="21"/>
              </w:rPr>
              <w:t>通信地址</w:t>
            </w:r>
          </w:p>
        </w:tc>
        <w:tc>
          <w:tcPr>
            <w:tcW w:w="1259" w:type="pct"/>
            <w:tcBorders>
              <w:top w:val="single" w:color="auto" w:sz="2" w:space="0"/>
              <w:left w:val="single" w:color="auto" w:sz="2" w:space="0"/>
              <w:bottom w:val="single" w:color="auto" w:sz="2" w:space="0"/>
            </w:tcBorders>
            <w:vAlign w:val="center"/>
          </w:tcPr>
          <w:p w14:paraId="25B95667">
            <w:pPr>
              <w:adjustRightInd w:val="0"/>
              <w:snapToGrid w:val="0"/>
              <w:spacing w:line="300" w:lineRule="exact"/>
              <w:jc w:val="center"/>
              <w:rPr>
                <w:color w:val="auto"/>
                <w:spacing w:val="20"/>
                <w:szCs w:val="21"/>
              </w:rPr>
            </w:pPr>
          </w:p>
        </w:tc>
      </w:tr>
      <w:tr w14:paraId="1DC526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4E28028">
            <w:pPr>
              <w:adjustRightInd w:val="0"/>
              <w:snapToGrid w:val="0"/>
              <w:spacing w:line="300" w:lineRule="exact"/>
              <w:jc w:val="center"/>
              <w:rPr>
                <w:color w:val="auto"/>
                <w:szCs w:val="21"/>
              </w:rPr>
            </w:pPr>
            <w:r>
              <w:rPr>
                <w:color w:val="auto"/>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76511A7">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5377D47">
            <w:pPr>
              <w:adjustRightInd w:val="0"/>
              <w:snapToGrid w:val="0"/>
              <w:spacing w:line="300" w:lineRule="exact"/>
              <w:jc w:val="center"/>
              <w:rPr>
                <w:color w:val="auto"/>
                <w:szCs w:val="21"/>
              </w:rPr>
            </w:pPr>
            <w:r>
              <w:rPr>
                <w:color w:val="auto"/>
                <w:szCs w:val="21"/>
              </w:rPr>
              <w:t>邮政编码</w:t>
            </w:r>
          </w:p>
        </w:tc>
        <w:tc>
          <w:tcPr>
            <w:tcW w:w="1259" w:type="pct"/>
            <w:tcBorders>
              <w:top w:val="single" w:color="auto" w:sz="2" w:space="0"/>
              <w:left w:val="single" w:color="auto" w:sz="2" w:space="0"/>
              <w:bottom w:val="single" w:color="auto" w:sz="2" w:space="0"/>
            </w:tcBorders>
            <w:vAlign w:val="center"/>
          </w:tcPr>
          <w:p w14:paraId="0CD1E447">
            <w:pPr>
              <w:adjustRightInd w:val="0"/>
              <w:snapToGrid w:val="0"/>
              <w:spacing w:line="300" w:lineRule="exact"/>
              <w:jc w:val="center"/>
              <w:rPr>
                <w:color w:val="auto"/>
                <w:spacing w:val="20"/>
                <w:szCs w:val="21"/>
              </w:rPr>
            </w:pPr>
          </w:p>
        </w:tc>
      </w:tr>
      <w:tr w14:paraId="13C9F1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14D2242">
            <w:pPr>
              <w:adjustRightInd w:val="0"/>
              <w:snapToGrid w:val="0"/>
              <w:spacing w:line="300" w:lineRule="exact"/>
              <w:jc w:val="center"/>
              <w:rPr>
                <w:color w:val="auto"/>
                <w:szCs w:val="21"/>
              </w:rPr>
            </w:pPr>
            <w:r>
              <w:rPr>
                <w:rFonts w:hint="eastAsia"/>
                <w:color w:val="auto"/>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1A9E9FD">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A396DA7">
            <w:pPr>
              <w:adjustRightInd w:val="0"/>
              <w:snapToGrid w:val="0"/>
              <w:spacing w:line="300" w:lineRule="exact"/>
              <w:jc w:val="center"/>
              <w:rPr>
                <w:color w:val="auto"/>
                <w:szCs w:val="21"/>
              </w:rPr>
            </w:pPr>
            <w:r>
              <w:rPr>
                <w:rFonts w:hint="eastAsia"/>
                <w:color w:val="auto"/>
                <w:szCs w:val="21"/>
              </w:rPr>
              <w:t>电子邮箱</w:t>
            </w:r>
          </w:p>
        </w:tc>
        <w:tc>
          <w:tcPr>
            <w:tcW w:w="1259" w:type="pct"/>
            <w:tcBorders>
              <w:top w:val="single" w:color="auto" w:sz="2" w:space="0"/>
              <w:left w:val="single" w:color="auto" w:sz="2" w:space="0"/>
              <w:bottom w:val="single" w:color="auto" w:sz="2" w:space="0"/>
            </w:tcBorders>
            <w:vAlign w:val="center"/>
          </w:tcPr>
          <w:p w14:paraId="0E1A80DE">
            <w:pPr>
              <w:adjustRightInd w:val="0"/>
              <w:snapToGrid w:val="0"/>
              <w:spacing w:line="300" w:lineRule="exact"/>
              <w:jc w:val="center"/>
              <w:rPr>
                <w:color w:val="auto"/>
                <w:spacing w:val="20"/>
                <w:szCs w:val="21"/>
              </w:rPr>
            </w:pPr>
          </w:p>
        </w:tc>
      </w:tr>
      <w:tr w14:paraId="34AA1B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32E5F31">
            <w:pPr>
              <w:adjustRightInd w:val="0"/>
              <w:snapToGrid w:val="0"/>
              <w:spacing w:line="300" w:lineRule="exact"/>
              <w:jc w:val="center"/>
              <w:rPr>
                <w:color w:val="auto"/>
                <w:szCs w:val="21"/>
              </w:rPr>
            </w:pPr>
            <w:r>
              <w:rPr>
                <w:rFonts w:hint="eastAsia"/>
                <w:color w:val="auto"/>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57556736">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4BCFFEF">
            <w:pPr>
              <w:adjustRightInd w:val="0"/>
              <w:snapToGrid w:val="0"/>
              <w:spacing w:line="300" w:lineRule="exact"/>
              <w:jc w:val="center"/>
              <w:rPr>
                <w:color w:val="auto"/>
                <w:szCs w:val="21"/>
              </w:rPr>
            </w:pPr>
            <w:r>
              <w:rPr>
                <w:rFonts w:hint="eastAsia"/>
                <w:color w:val="auto"/>
                <w:szCs w:val="21"/>
              </w:rPr>
              <w:t>统一社会信用代码</w:t>
            </w:r>
          </w:p>
        </w:tc>
        <w:tc>
          <w:tcPr>
            <w:tcW w:w="1259" w:type="pct"/>
            <w:tcBorders>
              <w:top w:val="single" w:color="auto" w:sz="2" w:space="0"/>
              <w:left w:val="single" w:color="auto" w:sz="2" w:space="0"/>
              <w:bottom w:val="single" w:color="auto" w:sz="2" w:space="0"/>
            </w:tcBorders>
            <w:vAlign w:val="center"/>
          </w:tcPr>
          <w:p w14:paraId="2D6EAE5A">
            <w:pPr>
              <w:adjustRightInd w:val="0"/>
              <w:snapToGrid w:val="0"/>
              <w:spacing w:line="300" w:lineRule="exact"/>
              <w:jc w:val="center"/>
              <w:rPr>
                <w:color w:val="auto"/>
                <w:spacing w:val="20"/>
                <w:szCs w:val="21"/>
              </w:rPr>
            </w:pPr>
          </w:p>
        </w:tc>
      </w:tr>
      <w:tr w14:paraId="3E52FA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276847F">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AD16ECE">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2A3EC10">
            <w:pPr>
              <w:adjustRightInd w:val="0"/>
              <w:snapToGrid w:val="0"/>
              <w:spacing w:line="300" w:lineRule="exact"/>
              <w:jc w:val="center"/>
              <w:rPr>
                <w:color w:val="auto"/>
                <w:szCs w:val="21"/>
              </w:rPr>
            </w:pPr>
            <w:r>
              <w:rPr>
                <w:color w:val="auto"/>
                <w:szCs w:val="21"/>
              </w:rPr>
              <w:t>开户名称</w:t>
            </w:r>
          </w:p>
        </w:tc>
        <w:tc>
          <w:tcPr>
            <w:tcW w:w="1259" w:type="pct"/>
            <w:tcBorders>
              <w:top w:val="single" w:color="auto" w:sz="2" w:space="0"/>
              <w:left w:val="single" w:color="auto" w:sz="2" w:space="0"/>
              <w:bottom w:val="single" w:color="auto" w:sz="2" w:space="0"/>
            </w:tcBorders>
            <w:vAlign w:val="center"/>
          </w:tcPr>
          <w:p w14:paraId="036C75C9">
            <w:pPr>
              <w:adjustRightInd w:val="0"/>
              <w:snapToGrid w:val="0"/>
              <w:spacing w:line="300" w:lineRule="exact"/>
              <w:jc w:val="center"/>
              <w:rPr>
                <w:color w:val="auto"/>
                <w:spacing w:val="20"/>
                <w:szCs w:val="21"/>
              </w:rPr>
            </w:pPr>
          </w:p>
        </w:tc>
      </w:tr>
      <w:tr w14:paraId="67BF1F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5360BA8">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45648CD">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F57110A">
            <w:pPr>
              <w:adjustRightInd w:val="0"/>
              <w:snapToGrid w:val="0"/>
              <w:spacing w:line="300" w:lineRule="exact"/>
              <w:jc w:val="center"/>
              <w:rPr>
                <w:color w:val="auto"/>
                <w:szCs w:val="21"/>
              </w:rPr>
            </w:pPr>
            <w:r>
              <w:rPr>
                <w:color w:val="auto"/>
                <w:szCs w:val="21"/>
              </w:rPr>
              <w:t>开户银行</w:t>
            </w:r>
          </w:p>
        </w:tc>
        <w:tc>
          <w:tcPr>
            <w:tcW w:w="1259" w:type="pct"/>
            <w:tcBorders>
              <w:top w:val="single" w:color="auto" w:sz="2" w:space="0"/>
              <w:left w:val="single" w:color="auto" w:sz="2" w:space="0"/>
              <w:bottom w:val="single" w:color="auto" w:sz="2" w:space="0"/>
            </w:tcBorders>
            <w:vAlign w:val="center"/>
          </w:tcPr>
          <w:p w14:paraId="03C0B383">
            <w:pPr>
              <w:adjustRightInd w:val="0"/>
              <w:snapToGrid w:val="0"/>
              <w:spacing w:line="300" w:lineRule="exact"/>
              <w:jc w:val="center"/>
              <w:rPr>
                <w:color w:val="auto"/>
                <w:spacing w:val="20"/>
                <w:szCs w:val="21"/>
              </w:rPr>
            </w:pPr>
          </w:p>
        </w:tc>
      </w:tr>
      <w:tr w14:paraId="749474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07D502BC">
            <w:pPr>
              <w:adjustRightInd w:val="0"/>
              <w:snapToGrid w:val="0"/>
              <w:spacing w:line="300" w:lineRule="exact"/>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C58435D">
            <w:pPr>
              <w:adjustRightInd w:val="0"/>
              <w:snapToGrid w:val="0"/>
              <w:spacing w:line="300" w:lineRule="exact"/>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F730969">
            <w:pPr>
              <w:adjustRightInd w:val="0"/>
              <w:snapToGrid w:val="0"/>
              <w:spacing w:line="300" w:lineRule="exact"/>
              <w:jc w:val="center"/>
              <w:rPr>
                <w:color w:val="auto"/>
                <w:szCs w:val="21"/>
              </w:rPr>
            </w:pPr>
            <w:r>
              <w:rPr>
                <w:color w:val="auto"/>
                <w:szCs w:val="21"/>
              </w:rPr>
              <w:t>银行账号</w:t>
            </w:r>
          </w:p>
        </w:tc>
        <w:tc>
          <w:tcPr>
            <w:tcW w:w="1259" w:type="pct"/>
            <w:tcBorders>
              <w:top w:val="single" w:color="auto" w:sz="2" w:space="0"/>
              <w:left w:val="single" w:color="auto" w:sz="2" w:space="0"/>
              <w:bottom w:val="single" w:color="auto" w:sz="2" w:space="0"/>
            </w:tcBorders>
            <w:vAlign w:val="center"/>
          </w:tcPr>
          <w:p w14:paraId="1BA9DC63">
            <w:pPr>
              <w:adjustRightInd w:val="0"/>
              <w:snapToGrid w:val="0"/>
              <w:spacing w:line="300" w:lineRule="exact"/>
              <w:jc w:val="center"/>
              <w:rPr>
                <w:color w:val="auto"/>
                <w:spacing w:val="20"/>
                <w:szCs w:val="21"/>
              </w:rPr>
            </w:pPr>
          </w:p>
        </w:tc>
      </w:tr>
      <w:tr w14:paraId="22FEF9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7C0DCE4">
            <w:pPr>
              <w:pStyle w:val="18"/>
              <w:adjustRightInd w:val="0"/>
              <w:snapToGrid w:val="0"/>
              <w:spacing w:before="156" w:beforeLines="50" w:line="360" w:lineRule="auto"/>
              <w:ind w:firstLine="1126"/>
              <w:jc w:val="left"/>
              <w:rPr>
                <w:color w:val="auto"/>
                <w:spacing w:val="20"/>
                <w:szCs w:val="21"/>
              </w:rPr>
            </w:pPr>
            <w:r>
              <w:rPr>
                <w:rFonts w:hint="eastAsia" w:ascii="宋体" w:hAnsi="宋体"/>
                <w:color w:val="auto"/>
                <w:szCs w:val="21"/>
              </w:rPr>
              <w:t>注：涉及联合体或其他合同主体的信息应按上表格式加列。</w:t>
            </w:r>
          </w:p>
        </w:tc>
      </w:tr>
    </w:tbl>
    <w:p w14:paraId="7FFAEC86">
      <w:pPr>
        <w:pStyle w:val="4"/>
        <w:adjustRightInd w:val="0"/>
        <w:snapToGrid w:val="0"/>
        <w:spacing w:before="156" w:beforeLines="50"/>
        <w:jc w:val="center"/>
        <w:rPr>
          <w:rFonts w:hint="eastAsia" w:ascii="黑体" w:hAnsi="黑体"/>
          <w:color w:val="auto"/>
          <w:sz w:val="28"/>
          <w:szCs w:val="28"/>
        </w:rPr>
      </w:pPr>
      <w:r>
        <w:rPr>
          <w:rFonts w:ascii="宋体" w:hAnsi="宋体"/>
          <w:color w:val="auto"/>
          <w:sz w:val="21"/>
          <w:szCs w:val="21"/>
          <w:u w:val="single"/>
        </w:rPr>
        <w:br w:type="page"/>
      </w:r>
      <w:bookmarkStart w:id="116" w:name="_Toc27624"/>
      <w:r>
        <w:rPr>
          <w:rFonts w:hint="eastAsia" w:ascii="黑体" w:hAnsi="黑体"/>
          <w:b w:val="0"/>
          <w:bCs w:val="0"/>
          <w:color w:val="auto"/>
          <w:sz w:val="28"/>
          <w:szCs w:val="28"/>
        </w:rPr>
        <w:t>第二节 政府采购合同通用条款</w:t>
      </w:r>
      <w:bookmarkEnd w:id="116"/>
    </w:p>
    <w:p w14:paraId="484093D7">
      <w:pPr>
        <w:tabs>
          <w:tab w:val="left" w:pos="8820"/>
          <w:tab w:val="left" w:pos="9345"/>
          <w:tab w:val="left" w:pos="9765"/>
        </w:tabs>
        <w:adjustRightInd w:val="0"/>
        <w:snapToGrid w:val="0"/>
        <w:spacing w:line="400" w:lineRule="exact"/>
        <w:jc w:val="left"/>
        <w:rPr>
          <w:rFonts w:hint="eastAsia" w:ascii="宋体" w:hAnsi="宋体"/>
          <w:b/>
          <w:bCs/>
          <w:color w:val="auto"/>
          <w:sz w:val="24"/>
        </w:rPr>
      </w:pPr>
      <w:r>
        <w:rPr>
          <w:rFonts w:hint="eastAsia" w:ascii="宋体" w:hAnsi="宋体"/>
          <w:b/>
          <w:color w:val="auto"/>
          <w:sz w:val="24"/>
        </w:rPr>
        <w:t xml:space="preserve">1. </w:t>
      </w:r>
      <w:r>
        <w:rPr>
          <w:rFonts w:hint="eastAsia" w:ascii="宋体" w:hAnsi="宋体"/>
          <w:b/>
          <w:bCs/>
          <w:color w:val="auto"/>
          <w:sz w:val="24"/>
        </w:rPr>
        <w:t>定义</w:t>
      </w:r>
    </w:p>
    <w:p w14:paraId="368AD00C">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1.1合同当事人</w:t>
      </w:r>
    </w:p>
    <w:p w14:paraId="017317D3">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（1）采购人（以下称甲方）是指使用财政性资金，通过政府采购方式向供应商购买货物及其相关服务的国家机关、事业单位、团体组织。</w:t>
      </w:r>
    </w:p>
    <w:p w14:paraId="6D6C380F">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（2）供应商（以下称乙方）是指参加政府采购活动并且中标（成交），向采购人提供合同约定的货物及其相关服务的法人、非法人组织或者自然人。</w:t>
      </w:r>
    </w:p>
    <w:p w14:paraId="772D27DE">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（3）其他合同主体是指除采购人和供应商以外，</w:t>
      </w:r>
      <w:r>
        <w:rPr>
          <w:rFonts w:hint="eastAsia" w:ascii="宋体" w:hAnsi="宋体" w:cs="宋体"/>
          <w:bCs/>
          <w:color w:val="auto"/>
          <w:szCs w:val="21"/>
        </w:rPr>
        <w:t>依法参与合同缔结或履行，享有权利、承担义务的合同当事人</w:t>
      </w:r>
      <w:r>
        <w:rPr>
          <w:rFonts w:hint="eastAsia" w:ascii="宋体" w:hAnsi="宋体"/>
          <w:color w:val="auto"/>
          <w:szCs w:val="21"/>
        </w:rPr>
        <w:t>。</w:t>
      </w:r>
    </w:p>
    <w:p w14:paraId="75E6CB95">
      <w:pPr>
        <w:tabs>
          <w:tab w:val="left" w:pos="570"/>
          <w:tab w:val="left" w:pos="9240"/>
          <w:tab w:val="left" w:pos="9555"/>
        </w:tabs>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1.2本合同下列术语应解释为：</w:t>
      </w:r>
    </w:p>
    <w:p w14:paraId="3E4DE6C1">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（1）“合同”系指</w:t>
      </w:r>
      <w:r>
        <w:rPr>
          <w:rFonts w:hint="eastAsia" w:ascii="宋体" w:hAnsi="宋体" w:cs="宋体"/>
          <w:bCs/>
          <w:color w:val="auto"/>
          <w:szCs w:val="21"/>
        </w:rPr>
        <w:t>合同当事人意思表示达成一致的任何协议，包括签署的</w:t>
      </w:r>
      <w:r>
        <w:rPr>
          <w:rFonts w:hint="eastAsia" w:ascii="宋体" w:hAnsi="宋体"/>
          <w:color w:val="auto"/>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rPr>
        <w:t>国家法律、行政法规和规章制度规定或合同约定的作为合同组成部分的其他文件</w:t>
      </w:r>
      <w:r>
        <w:rPr>
          <w:rFonts w:hint="eastAsia" w:ascii="宋体" w:hAnsi="宋体"/>
          <w:color w:val="auto"/>
          <w:szCs w:val="21"/>
        </w:rPr>
        <w:t>。</w:t>
      </w:r>
    </w:p>
    <w:p w14:paraId="00D4FFFA">
      <w:pPr>
        <w:tabs>
          <w:tab w:val="left" w:pos="570"/>
          <w:tab w:val="left" w:pos="9240"/>
          <w:tab w:val="left" w:pos="9555"/>
        </w:tabs>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（2）“合同价款”系指根据本合同规定乙方在全面履行合同义务后甲方应支付给乙方的价款。</w:t>
      </w:r>
    </w:p>
    <w:p w14:paraId="6098E095">
      <w:pPr>
        <w:tabs>
          <w:tab w:val="left" w:pos="570"/>
          <w:tab w:val="left" w:pos="9240"/>
          <w:tab w:val="left" w:pos="9555"/>
        </w:tabs>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（3）“货物”系指乙方根据本合同规定须向甲方提供的各种形态和种类的物品，包括原材料、设备、产品（包括软件）及相关的其备品备件、工具、手册及</w:t>
      </w:r>
      <w:r>
        <w:rPr>
          <w:rFonts w:ascii="宋体" w:hAnsi="宋体"/>
          <w:color w:val="auto"/>
          <w:szCs w:val="21"/>
          <w:lang w:val="en"/>
        </w:rPr>
        <w:t>其他</w:t>
      </w:r>
      <w:r>
        <w:rPr>
          <w:rFonts w:hint="eastAsia" w:ascii="宋体" w:hAnsi="宋体"/>
          <w:color w:val="auto"/>
          <w:szCs w:val="21"/>
        </w:rPr>
        <w:t>技术资料和材料等。</w:t>
      </w:r>
    </w:p>
    <w:p w14:paraId="74345EC7">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（4）“相关服务”系指根据合同规定，乙方应提供的与货物有关的技术、管理和</w:t>
      </w:r>
      <w:r>
        <w:rPr>
          <w:rFonts w:ascii="宋体" w:hAnsi="宋体"/>
          <w:color w:val="auto"/>
          <w:szCs w:val="21"/>
          <w:lang w:val="en"/>
        </w:rPr>
        <w:t>其他</w:t>
      </w:r>
      <w:r>
        <w:rPr>
          <w:rFonts w:hint="eastAsia" w:ascii="宋体" w:hAnsi="宋体"/>
          <w:color w:val="auto"/>
          <w:szCs w:val="21"/>
        </w:rPr>
        <w:t>服务，包括但不限于：管理和质量保证、运输、保险、检验、现场准备、安装、集成、调试、培训、维修、废弃处置、技术支持等以及合同中规定乙方应承担的</w:t>
      </w:r>
      <w:r>
        <w:rPr>
          <w:rFonts w:ascii="宋体" w:hAnsi="宋体"/>
          <w:color w:val="auto"/>
          <w:szCs w:val="21"/>
          <w:lang w:val="en"/>
        </w:rPr>
        <w:t>其他</w:t>
      </w:r>
      <w:r>
        <w:rPr>
          <w:rFonts w:hint="eastAsia" w:ascii="宋体" w:hAnsi="宋体"/>
          <w:color w:val="auto"/>
          <w:szCs w:val="21"/>
        </w:rPr>
        <w:t>义务。</w:t>
      </w:r>
    </w:p>
    <w:p w14:paraId="134C2C81">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（5）“分包”系指中标（成交）供应商按采购文件、投标（响应）文件的规定，根据分包意向协议，将中标（成交）项目中的部分履约内容，分给具有相应资质条件的供应商履行合同的行为。</w:t>
      </w:r>
    </w:p>
    <w:p w14:paraId="4467705B">
      <w:pPr>
        <w:tabs>
          <w:tab w:val="left" w:pos="570"/>
          <w:tab w:val="left" w:pos="9240"/>
          <w:tab w:val="left" w:pos="9555"/>
        </w:tabs>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rPr>
        <w:t>政府采购合同专用条款</w:t>
      </w:r>
      <w:r>
        <w:rPr>
          <w:rFonts w:hint="eastAsia" w:ascii="宋体" w:hAnsi="宋体"/>
          <w:color w:val="auto"/>
          <w:szCs w:val="21"/>
        </w:rPr>
        <w:t>】。</w:t>
      </w:r>
    </w:p>
    <w:p w14:paraId="5CFD4451">
      <w:pPr>
        <w:tabs>
          <w:tab w:val="left" w:pos="570"/>
          <w:tab w:val="left" w:pos="9240"/>
          <w:tab w:val="left" w:pos="9555"/>
        </w:tabs>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（7）其他术语解释，见【</w:t>
      </w:r>
      <w:r>
        <w:rPr>
          <w:rFonts w:hint="eastAsia" w:ascii="宋体" w:hAnsi="宋体"/>
          <w:b/>
          <w:bCs/>
          <w:color w:val="auto"/>
          <w:szCs w:val="21"/>
        </w:rPr>
        <w:t>政府采购合同专用条款</w:t>
      </w:r>
      <w:r>
        <w:rPr>
          <w:rFonts w:hint="eastAsia" w:ascii="宋体" w:hAnsi="宋体"/>
          <w:color w:val="auto"/>
          <w:szCs w:val="21"/>
        </w:rPr>
        <w:t>】。</w:t>
      </w:r>
    </w:p>
    <w:p w14:paraId="3E52A1B8">
      <w:pPr>
        <w:numPr>
          <w:ilvl w:val="0"/>
          <w:numId w:val="14"/>
        </w:num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color w:val="auto"/>
          <w:sz w:val="24"/>
        </w:rPr>
        <w:t>合同标的及金额</w:t>
      </w:r>
    </w:p>
    <w:p w14:paraId="41328158">
      <w:pPr>
        <w:autoSpaceDE w:val="0"/>
        <w:autoSpaceDN w:val="0"/>
        <w:adjustRightInd w:val="0"/>
        <w:snapToGrid w:val="0"/>
        <w:spacing w:line="400" w:lineRule="exact"/>
        <w:ind w:firstLine="420" w:firstLineChars="200"/>
        <w:jc w:val="left"/>
        <w:rPr>
          <w:rFonts w:hint="eastAsia" w:ascii="宋体" w:hAnsi="宋体"/>
          <w:b/>
          <w:bCs/>
          <w:i/>
          <w:iCs/>
          <w:color w:val="auto"/>
          <w:szCs w:val="21"/>
        </w:rPr>
      </w:pPr>
      <w:r>
        <w:rPr>
          <w:rFonts w:hint="eastAsia" w:ascii="宋体" w:hAnsi="宋体"/>
          <w:color w:val="auto"/>
          <w:szCs w:val="21"/>
        </w:rPr>
        <w:t>2.1 合同标的及金额应与中标（成交）结果一致。乙方为履行本合同而发生的所有费用均应包含在合同价款中，甲方不再另行支付</w:t>
      </w:r>
      <w:r>
        <w:rPr>
          <w:rFonts w:ascii="宋体" w:hAnsi="宋体"/>
          <w:color w:val="auto"/>
          <w:szCs w:val="21"/>
          <w:lang w:val="en"/>
        </w:rPr>
        <w:t>其他</w:t>
      </w:r>
      <w:r>
        <w:rPr>
          <w:rFonts w:hint="eastAsia" w:ascii="宋体" w:hAnsi="宋体"/>
          <w:color w:val="auto"/>
          <w:szCs w:val="21"/>
        </w:rPr>
        <w:t>任何费用。</w:t>
      </w:r>
    </w:p>
    <w:p w14:paraId="1C282058">
      <w:pPr>
        <w:adjustRightInd w:val="0"/>
        <w:snapToGrid w:val="0"/>
        <w:spacing w:line="400" w:lineRule="exact"/>
        <w:jc w:val="left"/>
        <w:rPr>
          <w:rFonts w:hint="eastAsia" w:ascii="宋体" w:hAnsi="宋体"/>
          <w:b/>
          <w:color w:val="auto"/>
          <w:sz w:val="24"/>
        </w:rPr>
      </w:pPr>
      <w:r>
        <w:rPr>
          <w:rFonts w:hint="eastAsia" w:ascii="宋体" w:hAnsi="宋体"/>
          <w:b/>
          <w:color w:val="auto"/>
          <w:sz w:val="24"/>
        </w:rPr>
        <w:t>3. 履行合同的时间、地点和方式</w:t>
      </w:r>
    </w:p>
    <w:p w14:paraId="07222E9C">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3.1 </w:t>
      </w:r>
      <w:r>
        <w:rPr>
          <w:rFonts w:hint="eastAsia" w:ascii="宋体" w:hAnsi="宋体" w:cs="宋体"/>
          <w:color w:val="auto"/>
          <w:szCs w:val="21"/>
        </w:rPr>
        <w:t>乙方应当在约定的时间、地点，按照约定方式履行合同。</w:t>
      </w:r>
    </w:p>
    <w:p w14:paraId="00C8AAAD">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4. 甲方的权利和义务</w:t>
      </w:r>
    </w:p>
    <w:p w14:paraId="03958B0C">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4.1</w:t>
      </w:r>
      <w:r>
        <w:rPr>
          <w:rFonts w:ascii="宋体" w:hAnsi="宋体"/>
          <w:color w:val="auto"/>
          <w:szCs w:val="21"/>
        </w:rPr>
        <w:t xml:space="preserve"> 签署合同后，甲方</w:t>
      </w:r>
      <w:r>
        <w:rPr>
          <w:rFonts w:hint="eastAsia" w:ascii="宋体" w:hAnsi="宋体"/>
          <w:color w:val="auto"/>
          <w:szCs w:val="21"/>
        </w:rPr>
        <w:t>应</w:t>
      </w:r>
      <w:r>
        <w:rPr>
          <w:rFonts w:ascii="宋体" w:hAnsi="宋体"/>
          <w:color w:val="auto"/>
          <w:szCs w:val="21"/>
        </w:rPr>
        <w:t>确定</w:t>
      </w:r>
      <w:r>
        <w:rPr>
          <w:rFonts w:hint="eastAsia" w:ascii="宋体" w:hAnsi="宋体"/>
          <w:color w:val="auto"/>
          <w:szCs w:val="21"/>
        </w:rPr>
        <w:t>项目负责人（或项目联系人）</w:t>
      </w:r>
      <w:r>
        <w:rPr>
          <w:rFonts w:ascii="宋体" w:hAnsi="宋体"/>
          <w:color w:val="auto"/>
          <w:szCs w:val="21"/>
        </w:rPr>
        <w:t>，负责与本合同有关的事务。</w:t>
      </w:r>
      <w:r>
        <w:rPr>
          <w:rFonts w:hint="eastAsia" w:ascii="宋体" w:hAnsi="宋体"/>
          <w:color w:val="auto"/>
          <w:szCs w:val="21"/>
        </w:rPr>
        <w:t>甲方有权对乙方的履约行为进行检查，并</w:t>
      </w:r>
      <w:r>
        <w:rPr>
          <w:rFonts w:ascii="宋体" w:hAnsi="宋体"/>
          <w:color w:val="auto"/>
          <w:szCs w:val="21"/>
        </w:rPr>
        <w:t>及时确认乙方提交的事项</w:t>
      </w:r>
      <w:r>
        <w:rPr>
          <w:rFonts w:hint="eastAsia" w:ascii="宋体" w:hAnsi="宋体"/>
          <w:color w:val="auto"/>
          <w:szCs w:val="21"/>
        </w:rPr>
        <w:t>。甲方应当</w:t>
      </w:r>
      <w:r>
        <w:rPr>
          <w:rFonts w:ascii="宋体" w:hAnsi="宋体"/>
          <w:color w:val="auto"/>
          <w:szCs w:val="21"/>
        </w:rPr>
        <w:t>配合乙方完成</w:t>
      </w:r>
      <w:r>
        <w:rPr>
          <w:rFonts w:hint="eastAsia" w:ascii="宋体" w:hAnsi="宋体"/>
          <w:color w:val="auto"/>
          <w:szCs w:val="21"/>
        </w:rPr>
        <w:t>相关项目</w:t>
      </w:r>
      <w:r>
        <w:rPr>
          <w:rFonts w:ascii="宋体" w:hAnsi="宋体"/>
          <w:color w:val="auto"/>
          <w:szCs w:val="21"/>
        </w:rPr>
        <w:t>实施工作。</w:t>
      </w:r>
    </w:p>
    <w:p w14:paraId="141EC89D">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4.2 </w:t>
      </w:r>
      <w:r>
        <w:rPr>
          <w:rFonts w:ascii="宋体" w:hAnsi="宋体"/>
          <w:color w:val="auto"/>
          <w:szCs w:val="21"/>
        </w:rPr>
        <w:t>甲方有权要求乙方按时提交各阶段有关</w:t>
      </w:r>
      <w:r>
        <w:rPr>
          <w:rFonts w:hint="eastAsia" w:ascii="宋体" w:hAnsi="宋体"/>
          <w:color w:val="auto"/>
          <w:szCs w:val="21"/>
        </w:rPr>
        <w:t>安排计划</w:t>
      </w:r>
      <w:r>
        <w:rPr>
          <w:rFonts w:ascii="宋体" w:hAnsi="宋体"/>
          <w:color w:val="auto"/>
          <w:szCs w:val="21"/>
        </w:rPr>
        <w:t>，并有权</w:t>
      </w:r>
      <w:r>
        <w:rPr>
          <w:rFonts w:hint="eastAsia" w:ascii="宋体" w:hAnsi="宋体"/>
          <w:color w:val="auto"/>
          <w:szCs w:val="21"/>
        </w:rPr>
        <w:t>定期核对乙方提供货物数量、规格、质量等内容。甲方</w:t>
      </w:r>
      <w:r>
        <w:rPr>
          <w:rFonts w:ascii="宋体" w:hAnsi="宋体"/>
          <w:color w:val="auto"/>
          <w:szCs w:val="21"/>
        </w:rPr>
        <w:t>有权督促乙方工作并要求乙方</w:t>
      </w:r>
      <w:r>
        <w:rPr>
          <w:rFonts w:hint="eastAsia" w:ascii="宋体" w:hAnsi="宋体"/>
          <w:color w:val="auto"/>
          <w:szCs w:val="21"/>
        </w:rPr>
        <w:t>更</w:t>
      </w:r>
      <w:r>
        <w:rPr>
          <w:rFonts w:ascii="宋体" w:hAnsi="宋体"/>
          <w:color w:val="auto"/>
          <w:szCs w:val="21"/>
        </w:rPr>
        <w:t>换不符合要求的</w:t>
      </w:r>
      <w:r>
        <w:rPr>
          <w:rFonts w:hint="eastAsia" w:ascii="宋体" w:hAnsi="宋体"/>
          <w:color w:val="auto"/>
          <w:szCs w:val="21"/>
        </w:rPr>
        <w:t>货物</w:t>
      </w:r>
      <w:r>
        <w:rPr>
          <w:rFonts w:ascii="宋体" w:hAnsi="宋体"/>
          <w:color w:val="auto"/>
          <w:szCs w:val="21"/>
        </w:rPr>
        <w:t>。</w:t>
      </w:r>
    </w:p>
    <w:p w14:paraId="7C881660">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w:t>
      </w:r>
      <w:r>
        <w:rPr>
          <w:rFonts w:ascii="宋体" w:hAnsi="宋体"/>
          <w:color w:val="auto"/>
          <w:szCs w:val="21"/>
        </w:rPr>
        <w:t>3</w:t>
      </w:r>
      <w:r>
        <w:rPr>
          <w:rFonts w:hint="eastAsia" w:ascii="宋体" w:hAnsi="宋体"/>
          <w:color w:val="auto"/>
          <w:szCs w:val="21"/>
        </w:rPr>
        <w:t xml:space="preserve"> </w:t>
      </w:r>
      <w:r>
        <w:rPr>
          <w:rFonts w:ascii="宋体" w:hAnsi="宋体"/>
          <w:color w:val="auto"/>
          <w:szCs w:val="21"/>
        </w:rPr>
        <w:t>甲方</w:t>
      </w:r>
      <w:r>
        <w:rPr>
          <w:rFonts w:hint="eastAsia" w:ascii="宋体" w:hAnsi="宋体"/>
          <w:color w:val="auto"/>
          <w:szCs w:val="21"/>
        </w:rPr>
        <w:t>有权要求乙方对缺陷部分予以修复，并按合同约定享有货物保修及其他合同约定的权利。</w:t>
      </w:r>
    </w:p>
    <w:p w14:paraId="48C15A02">
      <w:pPr>
        <w:snapToGrid w:val="0"/>
        <w:spacing w:line="400" w:lineRule="exact"/>
        <w:ind w:firstLine="420" w:firstLineChars="200"/>
        <w:rPr>
          <w:rFonts w:eastAsia="华文楷体"/>
          <w:color w:val="auto"/>
        </w:rPr>
      </w:pPr>
      <w:r>
        <w:rPr>
          <w:rFonts w:ascii="宋体" w:hAnsi="宋体"/>
          <w:color w:val="auto"/>
          <w:szCs w:val="21"/>
        </w:rPr>
        <w:t>4.4 甲方应当按照合同约定及时对交付的货物进行验收</w:t>
      </w:r>
      <w:r>
        <w:rPr>
          <w:rFonts w:hint="eastAsia" w:ascii="宋体" w:hAnsi="宋体"/>
          <w:color w:val="auto"/>
          <w:szCs w:val="21"/>
        </w:rPr>
        <w:t>，</w:t>
      </w:r>
      <w:r>
        <w:rPr>
          <w:rFonts w:hint="eastAsia" w:ascii="宋体" w:hAnsi="宋体" w:cs="宋体"/>
          <w:color w:val="auto"/>
          <w:szCs w:val="21"/>
        </w:rPr>
        <w:t>未</w:t>
      </w:r>
      <w:r>
        <w:rPr>
          <w:rFonts w:hint="eastAsia" w:ascii="宋体" w:hAnsi="宋体"/>
          <w:color w:val="auto"/>
          <w:szCs w:val="21"/>
        </w:rPr>
        <w:t>在</w:t>
      </w:r>
      <w:r>
        <w:rPr>
          <w:rFonts w:hint="eastAsia" w:ascii="宋体" w:hAnsi="宋体" w:cs="宋体"/>
          <w:b/>
          <w:bCs/>
          <w:color w:val="auto"/>
          <w:szCs w:val="21"/>
        </w:rPr>
        <w:t>【政府采购合同专用条款】</w:t>
      </w:r>
      <w:r>
        <w:rPr>
          <w:rFonts w:hint="eastAsia" w:ascii="宋体" w:hAnsi="宋体" w:cs="宋体"/>
          <w:color w:val="auto"/>
          <w:szCs w:val="21"/>
        </w:rPr>
        <w:t>约定的期限内对乙方履约提出任何异议或者向乙方作出任何说明的，</w:t>
      </w:r>
      <w:r>
        <w:rPr>
          <w:rFonts w:hint="eastAsia" w:ascii="宋体" w:hAnsi="宋体"/>
          <w:color w:val="auto"/>
          <w:szCs w:val="21"/>
        </w:rPr>
        <w:t>视为验收通过。</w:t>
      </w:r>
    </w:p>
    <w:p w14:paraId="473A387A">
      <w:pPr>
        <w:autoSpaceDE w:val="0"/>
        <w:autoSpaceDN w:val="0"/>
        <w:adjustRightInd w:val="0"/>
        <w:snapToGrid w:val="0"/>
        <w:spacing w:line="400" w:lineRule="exact"/>
        <w:ind w:firstLine="420" w:firstLineChars="200"/>
        <w:jc w:val="left"/>
        <w:rPr>
          <w:rFonts w:hint="eastAsia" w:ascii="宋体" w:hAnsi="宋体"/>
          <w:color w:val="auto"/>
          <w:szCs w:val="21"/>
        </w:rPr>
      </w:pPr>
      <w:r>
        <w:rPr>
          <w:rFonts w:ascii="宋体" w:hAnsi="宋体"/>
          <w:color w:val="auto"/>
          <w:szCs w:val="21"/>
        </w:rPr>
        <w:t>4</w:t>
      </w:r>
      <w:r>
        <w:rPr>
          <w:rFonts w:hint="eastAsia" w:ascii="宋体" w:hAnsi="宋体"/>
          <w:color w:val="auto"/>
          <w:szCs w:val="21"/>
        </w:rPr>
        <w:t>.</w:t>
      </w:r>
      <w:r>
        <w:rPr>
          <w:rFonts w:ascii="宋体" w:hAnsi="宋体"/>
          <w:color w:val="auto"/>
          <w:szCs w:val="21"/>
        </w:rPr>
        <w:t xml:space="preserve">5 </w:t>
      </w:r>
      <w:r>
        <w:rPr>
          <w:rFonts w:hint="eastAsia" w:ascii="宋体" w:hAnsi="宋体"/>
          <w:color w:val="auto"/>
          <w:szCs w:val="21"/>
        </w:rPr>
        <w:t>甲方应当根据合同约定及时向乙方支付合同价款</w:t>
      </w:r>
      <w:r>
        <w:rPr>
          <w:rFonts w:ascii="宋体" w:hAnsi="宋体"/>
          <w:color w:val="auto"/>
          <w:szCs w:val="21"/>
        </w:rPr>
        <w:t>，不得以内部人员变更、履行内部付款流程等为由，拒绝或迟延支付。</w:t>
      </w:r>
    </w:p>
    <w:p w14:paraId="602635E2">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4.6</w:t>
      </w:r>
      <w:r>
        <w:rPr>
          <w:rFonts w:ascii="宋体" w:hAnsi="宋体"/>
          <w:color w:val="auto"/>
          <w:szCs w:val="21"/>
        </w:rPr>
        <w:t xml:space="preserve"> </w:t>
      </w:r>
      <w:r>
        <w:rPr>
          <w:rFonts w:hint="eastAsia" w:ascii="宋体" w:hAnsi="宋体"/>
          <w:color w:val="auto"/>
          <w:szCs w:val="21"/>
        </w:rPr>
        <w:t>国家法律法规规定及</w:t>
      </w:r>
      <w:r>
        <w:rPr>
          <w:rFonts w:hint="eastAsia" w:ascii="宋体" w:hAnsi="宋体" w:cs="宋体"/>
          <w:b/>
          <w:bCs/>
          <w:color w:val="auto"/>
          <w:szCs w:val="21"/>
        </w:rPr>
        <w:t>【政府采购合同专用条款】</w:t>
      </w:r>
      <w:r>
        <w:rPr>
          <w:rFonts w:hint="eastAsia" w:ascii="宋体" w:hAnsi="宋体"/>
          <w:color w:val="auto"/>
          <w:szCs w:val="21"/>
        </w:rPr>
        <w:t>约定应由甲方承担的其他义务和责任。</w:t>
      </w:r>
    </w:p>
    <w:p w14:paraId="348E2B7B">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5. 乙方的权利和义务</w:t>
      </w:r>
    </w:p>
    <w:p w14:paraId="2B196D47">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5.1 </w:t>
      </w:r>
      <w:r>
        <w:rPr>
          <w:rFonts w:ascii="宋体" w:hAnsi="宋体"/>
          <w:color w:val="auto"/>
          <w:szCs w:val="21"/>
        </w:rPr>
        <w:t>签署合同后，乙方</w:t>
      </w:r>
      <w:r>
        <w:rPr>
          <w:rFonts w:hint="eastAsia" w:ascii="宋体" w:hAnsi="宋体"/>
          <w:color w:val="auto"/>
          <w:szCs w:val="21"/>
        </w:rPr>
        <w:t>应</w:t>
      </w:r>
      <w:r>
        <w:rPr>
          <w:rFonts w:ascii="宋体" w:hAnsi="宋体"/>
          <w:color w:val="auto"/>
          <w:szCs w:val="21"/>
        </w:rPr>
        <w:t>确定</w:t>
      </w:r>
      <w:r>
        <w:rPr>
          <w:rFonts w:hint="eastAsia" w:ascii="宋体" w:hAnsi="宋体"/>
          <w:color w:val="auto"/>
          <w:szCs w:val="21"/>
        </w:rPr>
        <w:t>项目负责人（或项目联系人）</w:t>
      </w:r>
      <w:r>
        <w:rPr>
          <w:rFonts w:ascii="宋体" w:hAnsi="宋体"/>
          <w:color w:val="auto"/>
          <w:szCs w:val="21"/>
        </w:rPr>
        <w:t>，负责与本合同有关的事务。</w:t>
      </w:r>
    </w:p>
    <w:p w14:paraId="0EBA6555">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5.</w:t>
      </w:r>
      <w:r>
        <w:rPr>
          <w:rFonts w:ascii="宋体" w:hAnsi="宋体"/>
          <w:color w:val="auto"/>
          <w:szCs w:val="21"/>
        </w:rPr>
        <w:t>2 乙方应按照合同要求</w:t>
      </w:r>
      <w:r>
        <w:rPr>
          <w:rFonts w:hint="eastAsia" w:ascii="宋体" w:hAnsi="宋体"/>
          <w:color w:val="auto"/>
          <w:szCs w:val="21"/>
        </w:rPr>
        <w:t>履约</w:t>
      </w:r>
      <w:r>
        <w:rPr>
          <w:rFonts w:ascii="宋体" w:hAnsi="宋体"/>
          <w:color w:val="auto"/>
          <w:szCs w:val="21"/>
        </w:rPr>
        <w:t>，充分合理安排，确保</w:t>
      </w:r>
      <w:r>
        <w:rPr>
          <w:rFonts w:hint="eastAsia" w:ascii="宋体" w:hAnsi="宋体"/>
          <w:color w:val="auto"/>
          <w:szCs w:val="21"/>
        </w:rPr>
        <w:t>提供的货物及相关服务符合合同有关</w:t>
      </w:r>
      <w:r>
        <w:rPr>
          <w:rFonts w:ascii="宋体" w:hAnsi="宋体"/>
          <w:color w:val="auto"/>
          <w:szCs w:val="21"/>
        </w:rPr>
        <w:t>要求</w:t>
      </w:r>
      <w:r>
        <w:rPr>
          <w:rFonts w:hint="eastAsia" w:ascii="宋体" w:hAnsi="宋体"/>
          <w:color w:val="auto"/>
          <w:szCs w:val="21"/>
        </w:rPr>
        <w:t>。接受项目行业管理部门及政府有关部门的指导，配合甲方的履约检查及验收，并</w:t>
      </w:r>
      <w:r>
        <w:rPr>
          <w:rFonts w:ascii="宋体" w:hAnsi="宋体"/>
          <w:color w:val="auto"/>
          <w:szCs w:val="21"/>
        </w:rPr>
        <w:t>负责项目实施过程中的所有协调工作。</w:t>
      </w:r>
    </w:p>
    <w:p w14:paraId="5F3F243C">
      <w:pPr>
        <w:pStyle w:val="2"/>
        <w:spacing w:line="400" w:lineRule="exact"/>
        <w:ind w:firstLine="422" w:firstLineChars="176"/>
        <w:rPr>
          <w:rFonts w:hint="eastAsia" w:ascii="宋体" w:hAnsi="宋体" w:cs="宋体"/>
          <w:color w:val="auto"/>
          <w:szCs w:val="21"/>
        </w:rPr>
      </w:pPr>
      <w:r>
        <w:rPr>
          <w:rFonts w:hint="eastAsia" w:ascii="宋体" w:hAnsi="宋体"/>
          <w:color w:val="auto"/>
          <w:szCs w:val="21"/>
        </w:rPr>
        <w:t>5.</w:t>
      </w:r>
      <w:r>
        <w:rPr>
          <w:rFonts w:ascii="宋体" w:hAnsi="宋体"/>
          <w:color w:val="auto"/>
          <w:szCs w:val="21"/>
        </w:rPr>
        <w:t>3</w:t>
      </w:r>
      <w:r>
        <w:rPr>
          <w:rFonts w:hint="eastAsia" w:ascii="宋体" w:hAnsi="宋体"/>
          <w:color w:val="auto"/>
          <w:szCs w:val="21"/>
        </w:rPr>
        <w:t>乙方有权</w:t>
      </w:r>
      <w:r>
        <w:rPr>
          <w:rFonts w:hint="eastAsia" w:ascii="宋体" w:hAnsi="宋体" w:cs="宋体"/>
          <w:color w:val="auto"/>
          <w:szCs w:val="21"/>
        </w:rPr>
        <w:t>根据合同约定向甲方收取合同价款。</w:t>
      </w:r>
    </w:p>
    <w:p w14:paraId="56A347DF">
      <w:pPr>
        <w:pStyle w:val="2"/>
        <w:spacing w:line="400" w:lineRule="exact"/>
        <w:ind w:firstLine="422" w:firstLineChars="176"/>
        <w:rPr>
          <w:rFonts w:hint="eastAsia" w:ascii="宋体" w:hAnsi="宋体" w:cs="宋体"/>
          <w:color w:val="auto"/>
          <w:szCs w:val="21"/>
        </w:rPr>
      </w:pPr>
      <w:r>
        <w:rPr>
          <w:rFonts w:hint="eastAsia" w:ascii="宋体" w:hAnsi="宋体"/>
          <w:color w:val="auto"/>
          <w:szCs w:val="21"/>
        </w:rPr>
        <w:t>5.</w:t>
      </w:r>
      <w:r>
        <w:rPr>
          <w:rFonts w:ascii="宋体" w:hAnsi="宋体"/>
          <w:color w:val="auto"/>
          <w:szCs w:val="21"/>
        </w:rPr>
        <w:t>4</w:t>
      </w:r>
      <w:r>
        <w:rPr>
          <w:rFonts w:hint="eastAsia" w:ascii="宋体" w:hAnsi="宋体" w:cs="宋体"/>
          <w:color w:val="auto"/>
          <w:szCs w:val="21"/>
        </w:rPr>
        <w:t>国家法律法规规定</w:t>
      </w:r>
      <w:r>
        <w:rPr>
          <w:rFonts w:hint="eastAsia" w:ascii="宋体" w:hAnsi="宋体"/>
          <w:color w:val="auto"/>
          <w:szCs w:val="21"/>
        </w:rPr>
        <w:t>及</w:t>
      </w:r>
      <w:r>
        <w:rPr>
          <w:rFonts w:hint="eastAsia" w:ascii="宋体" w:hAnsi="宋体" w:cs="宋体"/>
          <w:b/>
          <w:bCs/>
          <w:color w:val="auto"/>
          <w:szCs w:val="21"/>
        </w:rPr>
        <w:t>【政府采购合同专用条款】</w:t>
      </w:r>
      <w:r>
        <w:rPr>
          <w:rFonts w:hint="eastAsia" w:ascii="宋体" w:hAnsi="宋体" w:cs="宋体"/>
          <w:color w:val="auto"/>
          <w:szCs w:val="21"/>
        </w:rPr>
        <w:t>约定应由乙方承担的其他义务和责任。</w:t>
      </w:r>
    </w:p>
    <w:p w14:paraId="06D54B34">
      <w:pPr>
        <w:numPr>
          <w:ilvl w:val="0"/>
          <w:numId w:val="15"/>
        </w:num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合同履行</w:t>
      </w:r>
    </w:p>
    <w:p w14:paraId="31F5825D">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6.1 甲乙双方应当按照</w:t>
      </w:r>
      <w:r>
        <w:rPr>
          <w:rFonts w:hint="eastAsia" w:ascii="宋体" w:hAnsi="宋体" w:cs="宋体"/>
          <w:b/>
          <w:bCs/>
          <w:color w:val="auto"/>
          <w:szCs w:val="21"/>
        </w:rPr>
        <w:t>【政府采购合同专用条款】</w:t>
      </w:r>
      <w:r>
        <w:rPr>
          <w:rFonts w:hint="eastAsia" w:ascii="宋体" w:hAnsi="宋体"/>
          <w:color w:val="auto"/>
          <w:szCs w:val="21"/>
        </w:rPr>
        <w:t>约定顺序履行合同义务；如果没有先后顺序的，应当同时履行。</w:t>
      </w:r>
    </w:p>
    <w:p w14:paraId="5E9705B2">
      <w:pPr>
        <w:autoSpaceDE w:val="0"/>
        <w:autoSpaceDN w:val="0"/>
        <w:adjustRightInd w:val="0"/>
        <w:snapToGrid w:val="0"/>
        <w:spacing w:line="400" w:lineRule="exact"/>
        <w:ind w:firstLine="420" w:firstLineChars="200"/>
        <w:jc w:val="left"/>
        <w:rPr>
          <w:color w:val="auto"/>
        </w:rPr>
      </w:pPr>
      <w:r>
        <w:rPr>
          <w:rFonts w:hint="eastAsia" w:ascii="宋体" w:hAnsi="宋体"/>
          <w:color w:val="auto"/>
          <w:szCs w:val="21"/>
        </w:rPr>
        <w:t>6.2 甲乙双方按照合同约定顺序履行合同义务时，应当先履行一方未履行的，后履行一方有权拒绝其履行请求。先履行一方履行不符合约定的，后履行一方有权拒绝其相应的履行请求。</w:t>
      </w:r>
    </w:p>
    <w:p w14:paraId="340290C7">
      <w:pPr>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7. 货物包装、运输、保险和交付要求</w:t>
      </w:r>
    </w:p>
    <w:p w14:paraId="23D1A338">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7.1 本合同</w:t>
      </w:r>
      <w:r>
        <w:rPr>
          <w:rFonts w:hint="eastAsia" w:ascii="宋体" w:hAnsi="宋体"/>
          <w:bCs/>
          <w:color w:val="auto"/>
          <w:szCs w:val="21"/>
        </w:rPr>
        <w:t>涉及商品包装、快递包装的，</w:t>
      </w:r>
      <w:r>
        <w:rPr>
          <w:rFonts w:hint="eastAsia" w:ascii="宋体" w:hAnsi="宋体"/>
          <w:color w:val="auto"/>
          <w:szCs w:val="21"/>
        </w:rPr>
        <w:t>除</w:t>
      </w:r>
      <w:r>
        <w:rPr>
          <w:rFonts w:hint="eastAsia" w:ascii="宋体" w:hAnsi="宋体"/>
          <w:b/>
          <w:color w:val="auto"/>
          <w:szCs w:val="21"/>
        </w:rPr>
        <w:t>【政府采购合同专用条款】</w:t>
      </w:r>
      <w:r>
        <w:rPr>
          <w:rFonts w:hint="eastAsia" w:ascii="宋体" w:hAnsi="宋体"/>
          <w:bCs/>
          <w:color w:val="auto"/>
          <w:szCs w:val="21"/>
        </w:rPr>
        <w:t>另有约定外，</w:t>
      </w:r>
      <w:r>
        <w:rPr>
          <w:rFonts w:hint="eastAsia" w:ascii="宋体" w:hAnsi="宋体"/>
          <w:color w:val="auto"/>
          <w:szCs w:val="21"/>
        </w:rPr>
        <w:t>包装应适应远距离运输、防潮、防震、防锈和防野蛮装卸等要求，确保货物安全无损地运抵</w:t>
      </w:r>
      <w:r>
        <w:rPr>
          <w:rFonts w:hint="eastAsia" w:ascii="宋体" w:hAnsi="宋体"/>
          <w:b/>
          <w:color w:val="auto"/>
          <w:szCs w:val="21"/>
        </w:rPr>
        <w:t>【政府采购合同专用条款】</w:t>
      </w:r>
      <w:r>
        <w:rPr>
          <w:rFonts w:hint="eastAsia" w:ascii="宋体" w:hAnsi="宋体"/>
          <w:bCs/>
          <w:color w:val="auto"/>
          <w:szCs w:val="21"/>
        </w:rPr>
        <w:t>约定的</w:t>
      </w:r>
      <w:r>
        <w:rPr>
          <w:rFonts w:hint="eastAsia" w:ascii="宋体" w:hAnsi="宋体"/>
          <w:color w:val="auto"/>
          <w:szCs w:val="21"/>
        </w:rPr>
        <w:t>指定现场。</w:t>
      </w:r>
    </w:p>
    <w:p w14:paraId="62DFD632">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7.2 除</w:t>
      </w:r>
      <w:r>
        <w:rPr>
          <w:rFonts w:hint="eastAsia" w:ascii="宋体" w:hAnsi="宋体"/>
          <w:b/>
          <w:color w:val="auto"/>
          <w:szCs w:val="21"/>
        </w:rPr>
        <w:t>【政府采购合同专用条款】</w:t>
      </w:r>
      <w:r>
        <w:rPr>
          <w:rFonts w:hint="eastAsia" w:ascii="宋体" w:hAnsi="宋体"/>
          <w:bCs/>
          <w:color w:val="auto"/>
          <w:szCs w:val="21"/>
        </w:rPr>
        <w:t>另有约定外，</w:t>
      </w:r>
      <w:r>
        <w:rPr>
          <w:rFonts w:hint="eastAsia" w:ascii="宋体" w:hAnsi="宋体"/>
          <w:color w:val="auto"/>
          <w:szCs w:val="21"/>
        </w:rPr>
        <w:t>乙方负责办理将货物运抵本合同规定的交货地点，并装卸、交付至甲方的一切运输事项，相关费用应包含在合同价款中。</w:t>
      </w:r>
    </w:p>
    <w:p w14:paraId="7CA1C1A2">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7.3 货物保险要求按</w:t>
      </w:r>
      <w:r>
        <w:rPr>
          <w:rFonts w:hint="eastAsia" w:ascii="宋体" w:hAnsi="宋体"/>
          <w:b/>
          <w:color w:val="auto"/>
          <w:szCs w:val="21"/>
        </w:rPr>
        <w:t>【政府采购合同专用条款】</w:t>
      </w:r>
      <w:r>
        <w:rPr>
          <w:rFonts w:hint="eastAsia" w:ascii="宋体" w:hAnsi="宋体"/>
          <w:bCs/>
          <w:color w:val="auto"/>
          <w:szCs w:val="21"/>
        </w:rPr>
        <w:t>规定执行</w:t>
      </w:r>
      <w:r>
        <w:rPr>
          <w:rFonts w:hint="eastAsia" w:ascii="宋体" w:hAnsi="宋体"/>
          <w:color w:val="auto"/>
          <w:szCs w:val="21"/>
        </w:rPr>
        <w:t>。</w:t>
      </w:r>
    </w:p>
    <w:p w14:paraId="543F2B87">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08B575F">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7.5 </w:t>
      </w:r>
      <w:r>
        <w:rPr>
          <w:rFonts w:hint="eastAsia" w:ascii="宋体" w:hAnsi="宋体" w:cs="宋体"/>
          <w:color w:val="auto"/>
          <w:szCs w:val="21"/>
        </w:rPr>
        <w:t>乙方在运输到达之前应提前通知甲方，并提示货物运输装卸的注意事项，甲方配合乙方做好货物的接收工作。</w:t>
      </w:r>
    </w:p>
    <w:p w14:paraId="6B173E59">
      <w:pPr>
        <w:pStyle w:val="141"/>
        <w:ind w:firstLine="420"/>
        <w:rPr>
          <w:rFonts w:hint="eastAsia"/>
          <w:color w:val="auto"/>
          <w:sz w:val="21"/>
        </w:rPr>
      </w:pPr>
      <w:r>
        <w:rPr>
          <w:rFonts w:hint="eastAsia" w:ascii="宋体" w:hAnsi="宋体" w:eastAsia="宋体" w:cs="Times New Roman"/>
          <w:color w:val="auto"/>
          <w:kern w:val="2"/>
          <w:sz w:val="21"/>
        </w:rPr>
        <w:t>7.6 如因包装、运输问题导致货物损毁、丢失或者品质下降，甲方有权要求降价、换货、拒收部分或整批货物，由此产生的费用和损失，均由乙方承担。</w:t>
      </w:r>
    </w:p>
    <w:p w14:paraId="33986B9C">
      <w:pPr>
        <w:adjustRightInd w:val="0"/>
        <w:snapToGrid w:val="0"/>
        <w:spacing w:line="400" w:lineRule="exact"/>
        <w:jc w:val="left"/>
        <w:rPr>
          <w:rFonts w:hint="eastAsia" w:ascii="宋体" w:hAnsi="宋体"/>
          <w:b/>
          <w:color w:val="auto"/>
          <w:sz w:val="24"/>
        </w:rPr>
      </w:pPr>
      <w:r>
        <w:rPr>
          <w:rFonts w:hint="eastAsia" w:ascii="宋体" w:hAnsi="宋体"/>
          <w:b/>
          <w:color w:val="auto"/>
          <w:sz w:val="24"/>
        </w:rPr>
        <w:t>8. 质量标准和保证</w:t>
      </w:r>
    </w:p>
    <w:p w14:paraId="2D451E0B">
      <w:pPr>
        <w:pStyle w:val="21"/>
        <w:adjustRightInd w:val="0"/>
        <w:snapToGrid w:val="0"/>
        <w:spacing w:line="400" w:lineRule="exact"/>
        <w:ind w:firstLine="420" w:firstLineChars="200"/>
        <w:jc w:val="left"/>
        <w:rPr>
          <w:rFonts w:hint="eastAsia" w:hAnsi="宋体"/>
          <w:b/>
          <w:color w:val="auto"/>
        </w:rPr>
      </w:pPr>
      <w:r>
        <w:rPr>
          <w:rFonts w:hint="eastAsia" w:hAnsi="宋体"/>
          <w:color w:val="auto"/>
        </w:rPr>
        <w:t>8.1 质量标准</w:t>
      </w:r>
    </w:p>
    <w:p w14:paraId="10E8B416">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（1）本合同下提供的货物应符合合同</w:t>
      </w:r>
      <w:r>
        <w:rPr>
          <w:rFonts w:hint="eastAsia" w:ascii="宋体" w:hAnsi="宋体" w:cs="宋体"/>
          <w:color w:val="auto"/>
          <w:szCs w:val="21"/>
        </w:rPr>
        <w:t>约定的品牌、规格型号、技术性能、配置、质量、数量等要求。</w:t>
      </w:r>
      <w:r>
        <w:rPr>
          <w:rFonts w:hint="eastAsia" w:ascii="宋体" w:hAnsi="宋体"/>
          <w:color w:val="auto"/>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23A2788">
      <w:pPr>
        <w:pStyle w:val="21"/>
        <w:adjustRightInd w:val="0"/>
        <w:snapToGrid w:val="0"/>
        <w:spacing w:line="400" w:lineRule="exact"/>
        <w:ind w:firstLine="420" w:firstLineChars="200"/>
        <w:jc w:val="left"/>
        <w:rPr>
          <w:rFonts w:hint="eastAsia" w:hAnsi="宋体"/>
          <w:color w:val="auto"/>
        </w:rPr>
      </w:pPr>
      <w:r>
        <w:rPr>
          <w:rFonts w:hint="eastAsia" w:hAnsi="宋体"/>
          <w:color w:val="auto"/>
        </w:rPr>
        <w:t>（2）采用中华人民共和国法定计量单位。</w:t>
      </w:r>
    </w:p>
    <w:p w14:paraId="2D83D98B">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（3）乙方所提供的货物应符合国家有关安全、环保、卫生的规定。</w:t>
      </w:r>
    </w:p>
    <w:p w14:paraId="2C5A846C">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（4）乙方应向甲方提交所提供货物的技术文件，包括相应的中文技术文件，如：产品目录、图纸、操作手册、使用说明、维护手册或服务指南等。上述文件应包装好随货物一同发运。</w:t>
      </w:r>
    </w:p>
    <w:p w14:paraId="5924A58B">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8.2 保证</w:t>
      </w:r>
    </w:p>
    <w:p w14:paraId="0507640C">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（1）乙方应保证提供的货物完全符合合同规定的质量、规格和性能要求。乙方应保证货物在正确安装、正常使用和保养条件下，</w:t>
      </w:r>
      <w:r>
        <w:rPr>
          <w:rFonts w:hint="eastAsia" w:ascii="宋体" w:hAnsi="宋体" w:cs="宋体"/>
          <w:color w:val="auto"/>
          <w:szCs w:val="21"/>
        </w:rPr>
        <w:t>在其使用寿命期内具备合同约定的性能</w:t>
      </w:r>
      <w:r>
        <w:rPr>
          <w:rFonts w:hint="eastAsia" w:ascii="宋体" w:hAnsi="宋体"/>
          <w:color w:val="auto"/>
          <w:szCs w:val="21"/>
        </w:rPr>
        <w:t>。存在质量保证期的，货物最终交付验收合格后在</w:t>
      </w:r>
      <w:r>
        <w:rPr>
          <w:rFonts w:hint="eastAsia" w:ascii="宋体" w:hAnsi="宋体"/>
          <w:b/>
          <w:color w:val="auto"/>
          <w:szCs w:val="21"/>
        </w:rPr>
        <w:t>【政府采购合同专用条款】</w:t>
      </w:r>
      <w:r>
        <w:rPr>
          <w:rFonts w:hint="eastAsia" w:ascii="宋体" w:hAnsi="宋体"/>
          <w:color w:val="auto"/>
          <w:szCs w:val="21"/>
        </w:rPr>
        <w:t>规定或乙方书面承诺（两者以较长的为准）的质量保证期内，本保证保持有效。</w:t>
      </w:r>
    </w:p>
    <w:p w14:paraId="3094F97E">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（2）在质量保证期内所发现的缺陷，甲方应尽快以书面形式通知乙方。</w:t>
      </w:r>
    </w:p>
    <w:p w14:paraId="1CA4E1FB">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（3）乙方收到通知后，应在</w:t>
      </w:r>
      <w:r>
        <w:rPr>
          <w:rFonts w:hint="eastAsia" w:ascii="宋体" w:hAnsi="宋体"/>
          <w:b/>
          <w:color w:val="auto"/>
          <w:szCs w:val="21"/>
        </w:rPr>
        <w:t>【政府采购合同专用条款】</w:t>
      </w:r>
      <w:r>
        <w:rPr>
          <w:rFonts w:hint="eastAsia" w:ascii="宋体" w:hAnsi="宋体"/>
          <w:color w:val="auto"/>
          <w:szCs w:val="21"/>
        </w:rPr>
        <w:t>规定的响应时间内以合理的速度免费维修或更换有缺陷的货物或部件。</w:t>
      </w:r>
    </w:p>
    <w:p w14:paraId="64ED7C6A">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4FAB2745">
      <w:pPr>
        <w:adjustRightInd w:val="0"/>
        <w:snapToGrid w:val="0"/>
        <w:spacing w:line="400" w:lineRule="exact"/>
        <w:ind w:firstLine="420" w:firstLineChars="200"/>
        <w:jc w:val="left"/>
        <w:rPr>
          <w:color w:val="auto"/>
        </w:rPr>
      </w:pPr>
      <w:r>
        <w:rPr>
          <w:rFonts w:hint="eastAsia" w:ascii="宋体" w:hAnsi="宋体"/>
          <w:color w:val="auto"/>
          <w:szCs w:val="21"/>
        </w:rPr>
        <w:t>（5）乙方在约定的时间内未能弥补缺陷，甲方可采取必要的补救措施，但其风险和费用将由乙方承担，甲方根据合同约定对乙方行使的其他权利不受影响。</w:t>
      </w:r>
    </w:p>
    <w:p w14:paraId="543324B9">
      <w:pPr>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9. 权利瑕疵担保</w:t>
      </w:r>
    </w:p>
    <w:p w14:paraId="34803685">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9.1 乙方保证对其出售的货物享有合法的权利。</w:t>
      </w:r>
    </w:p>
    <w:p w14:paraId="5AEEFFB5">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9.2 </w:t>
      </w:r>
      <w:r>
        <w:rPr>
          <w:rFonts w:hint="eastAsia" w:ascii="宋体" w:hAnsi="宋体" w:cs="宋体"/>
          <w:color w:val="auto"/>
          <w:szCs w:val="15"/>
        </w:rPr>
        <w:t>乙方保证在交付的货物上不存在抵押权等担保物权。</w:t>
      </w:r>
    </w:p>
    <w:p w14:paraId="6D7B92C3">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9.3 如甲方使用上述货物构成对第三人侵权的，则由乙方承担全部责任。</w:t>
      </w:r>
    </w:p>
    <w:p w14:paraId="6CF78824">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10. 知识产权保护</w:t>
      </w:r>
    </w:p>
    <w:p w14:paraId="52704B18">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10.1 乙方对其所销售的货物应当享有知识产权或经权利人合法授权，保证没有侵犯任何第三人的知识产权等权利。</w:t>
      </w:r>
      <w:bookmarkStart w:id="117" w:name="_Hlk163047038"/>
      <w:r>
        <w:rPr>
          <w:rFonts w:hint="eastAsia" w:ascii="宋体" w:hAnsi="宋体" w:cs="宋体"/>
          <w:color w:val="auto"/>
          <w:szCs w:val="15"/>
        </w:rPr>
        <w:t>因违反前述约定对第三人构成侵权的，应当由乙方向第三人承担法律责任；甲方依法向第三人赔偿后，有权向乙方追偿。甲方有其他损失的，乙方应当赔偿</w:t>
      </w:r>
      <w:bookmarkEnd w:id="117"/>
      <w:r>
        <w:rPr>
          <w:rFonts w:hint="eastAsia" w:ascii="宋体" w:hAnsi="宋体"/>
          <w:color w:val="auto"/>
          <w:szCs w:val="21"/>
        </w:rPr>
        <w:t>。</w:t>
      </w:r>
    </w:p>
    <w:p w14:paraId="2CD6FF56">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11. 保密义务</w:t>
      </w:r>
    </w:p>
    <w:p w14:paraId="686364CA">
      <w:pPr>
        <w:autoSpaceDE w:val="0"/>
        <w:autoSpaceDN w:val="0"/>
        <w:adjustRightInd w:val="0"/>
        <w:snapToGrid w:val="0"/>
        <w:spacing w:line="400" w:lineRule="exact"/>
        <w:ind w:firstLine="420" w:firstLineChars="200"/>
        <w:jc w:val="left"/>
        <w:rPr>
          <w:rFonts w:hint="eastAsia" w:ascii="宋体" w:hAnsi="宋体" w:cs="宋体"/>
          <w:color w:val="auto"/>
          <w:szCs w:val="15"/>
        </w:rPr>
      </w:pPr>
      <w:r>
        <w:rPr>
          <w:rFonts w:hint="eastAsia" w:ascii="宋体" w:hAnsi="宋体" w:cs="宋体"/>
          <w:color w:val="auto"/>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rPr>
        <w:t>【政府采购合同专用条款】</w:t>
      </w:r>
      <w:r>
        <w:rPr>
          <w:rFonts w:hint="eastAsia" w:ascii="宋体" w:hAnsi="宋体" w:cs="宋体"/>
          <w:color w:val="auto"/>
          <w:szCs w:val="15"/>
        </w:rPr>
        <w:t>中约定。</w:t>
      </w:r>
    </w:p>
    <w:p w14:paraId="2500376F">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12. 合同价款支付</w:t>
      </w:r>
    </w:p>
    <w:p w14:paraId="5A03671D">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12.1 合同价款支付按照国库集中支付制度及财政管理相关规定执行。</w:t>
      </w:r>
    </w:p>
    <w:p w14:paraId="0281889D">
      <w:pPr>
        <w:pStyle w:val="4"/>
        <w:ind w:firstLine="420" w:firstLineChars="200"/>
        <w:rPr>
          <w:rFonts w:eastAsia="宋体"/>
          <w:color w:val="auto"/>
        </w:rPr>
      </w:pPr>
      <w:r>
        <w:rPr>
          <w:rFonts w:hint="eastAsia" w:ascii="宋体" w:hAnsi="宋体"/>
          <w:b w:val="0"/>
          <w:bCs w:val="0"/>
          <w:color w:val="auto"/>
          <w:sz w:val="21"/>
          <w:szCs w:val="21"/>
        </w:rPr>
        <w:t xml:space="preserve">12.2 </w:t>
      </w:r>
      <w:r>
        <w:rPr>
          <w:rFonts w:hint="eastAsia" w:ascii="宋体" w:hAnsi="宋体" w:eastAsia="宋体"/>
          <w:b w:val="0"/>
          <w:bCs w:val="0"/>
          <w:color w:val="auto"/>
          <w:sz w:val="21"/>
          <w:szCs w:val="21"/>
        </w:rPr>
        <w:t>对于满足合同约定支付条件的，甲方原则上应当自收到发票后10个工作日内将资金支付到合同约定的</w:t>
      </w:r>
      <w:r>
        <w:rPr>
          <w:rFonts w:hint="eastAsia" w:ascii="宋体" w:hAnsi="宋体"/>
          <w:b w:val="0"/>
          <w:bCs w:val="0"/>
          <w:color w:val="auto"/>
          <w:sz w:val="21"/>
          <w:szCs w:val="21"/>
        </w:rPr>
        <w:t>乙方</w:t>
      </w:r>
      <w:r>
        <w:rPr>
          <w:rFonts w:hint="eastAsia" w:ascii="宋体" w:hAnsi="宋体" w:eastAsia="宋体"/>
          <w:b w:val="0"/>
          <w:bCs w:val="0"/>
          <w:color w:val="auto"/>
          <w:sz w:val="21"/>
          <w:szCs w:val="21"/>
        </w:rPr>
        <w:t>账户，不得以机构变动、人员更替、政策调整等为由迟延付款，不得将采购文件和合同中未规定的义务作为向乙方付款的条件。具体合同价款支付时间在【</w:t>
      </w:r>
      <w:r>
        <w:rPr>
          <w:rFonts w:hint="eastAsia" w:ascii="宋体" w:hAnsi="宋体" w:eastAsia="宋体"/>
          <w:color w:val="auto"/>
          <w:sz w:val="21"/>
          <w:szCs w:val="21"/>
        </w:rPr>
        <w:t>政府采购合同专用条款</w:t>
      </w:r>
      <w:r>
        <w:rPr>
          <w:rFonts w:hint="eastAsia" w:ascii="宋体" w:hAnsi="宋体" w:eastAsia="宋体"/>
          <w:b w:val="0"/>
          <w:bCs w:val="0"/>
          <w:color w:val="auto"/>
          <w:sz w:val="21"/>
          <w:szCs w:val="21"/>
        </w:rPr>
        <w:t>】中</w:t>
      </w:r>
      <w:r>
        <w:rPr>
          <w:rFonts w:hint="eastAsia" w:ascii="宋体" w:hAnsi="宋体"/>
          <w:b w:val="0"/>
          <w:bCs w:val="0"/>
          <w:color w:val="auto"/>
          <w:sz w:val="21"/>
          <w:szCs w:val="21"/>
        </w:rPr>
        <w:t>约</w:t>
      </w:r>
      <w:r>
        <w:rPr>
          <w:rFonts w:hint="eastAsia" w:ascii="宋体" w:hAnsi="宋体" w:eastAsia="宋体"/>
          <w:b w:val="0"/>
          <w:bCs w:val="0"/>
          <w:color w:val="auto"/>
          <w:sz w:val="21"/>
          <w:szCs w:val="21"/>
        </w:rPr>
        <w:t>定。</w:t>
      </w:r>
    </w:p>
    <w:p w14:paraId="660AAB80">
      <w:pPr>
        <w:pStyle w:val="2"/>
        <w:spacing w:line="400" w:lineRule="exact"/>
        <w:rPr>
          <w:rFonts w:hint="eastAsia" w:ascii="宋体" w:hAnsi="宋体"/>
          <w:b/>
          <w:bCs/>
          <w:color w:val="auto"/>
        </w:rPr>
      </w:pPr>
      <w:r>
        <w:rPr>
          <w:rFonts w:hint="eastAsia" w:ascii="宋体" w:hAnsi="宋体"/>
          <w:b/>
          <w:bCs/>
          <w:color w:val="auto"/>
        </w:rPr>
        <w:t>13. 履约保证金</w:t>
      </w:r>
    </w:p>
    <w:p w14:paraId="05645921">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13.1 </w:t>
      </w:r>
      <w:r>
        <w:rPr>
          <w:rFonts w:hint="eastAsia" w:ascii="宋体" w:hAnsi="宋体" w:cs="宋体"/>
          <w:color w:val="auto"/>
          <w:szCs w:val="15"/>
        </w:rPr>
        <w:t>乙方应当以支票、汇票、本票或者金融机构、担保机构出具的保函等非现金形式提交。</w:t>
      </w:r>
    </w:p>
    <w:p w14:paraId="3516E706">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13.2 如果乙方出现</w:t>
      </w:r>
      <w:r>
        <w:rPr>
          <w:rFonts w:hint="eastAsia" w:ascii="宋体" w:hAnsi="宋体" w:cs="宋体"/>
          <w:b/>
          <w:bCs/>
          <w:color w:val="auto"/>
          <w:szCs w:val="15"/>
        </w:rPr>
        <w:t>【政府采购合同专用条款】</w:t>
      </w:r>
      <w:r>
        <w:rPr>
          <w:rFonts w:hint="eastAsia" w:ascii="宋体" w:hAnsi="宋体" w:cs="宋体"/>
          <w:color w:val="auto"/>
          <w:szCs w:val="15"/>
        </w:rPr>
        <w:t>约定情形的</w:t>
      </w:r>
      <w:r>
        <w:rPr>
          <w:rFonts w:hint="eastAsia" w:ascii="宋体" w:hAnsi="宋体"/>
          <w:color w:val="auto"/>
          <w:szCs w:val="21"/>
        </w:rPr>
        <w:t>，履约保证金不予退还；如果乙方未能按合同约定全面履行义务，甲方有权从履约保证金中取得补偿或赔偿，且不影响甲方要求乙方承担合同约定的超过履约保证金的违约责任的权利。</w:t>
      </w:r>
    </w:p>
    <w:p w14:paraId="6254AECF">
      <w:pPr>
        <w:spacing w:line="400" w:lineRule="exact"/>
        <w:ind w:firstLine="420"/>
        <w:rPr>
          <w:color w:val="auto"/>
        </w:rPr>
      </w:pPr>
      <w:r>
        <w:rPr>
          <w:rFonts w:hint="eastAsia" w:ascii="宋体" w:hAnsi="宋体"/>
          <w:color w:val="auto"/>
          <w:szCs w:val="21"/>
        </w:rPr>
        <w:t>13.3 甲方在项目通过验收后按照</w:t>
      </w:r>
      <w:r>
        <w:rPr>
          <w:rFonts w:hint="eastAsia" w:ascii="宋体" w:hAnsi="宋体"/>
          <w:b/>
          <w:color w:val="auto"/>
          <w:szCs w:val="21"/>
        </w:rPr>
        <w:t>【政府采购合同专用条款】</w:t>
      </w:r>
      <w:r>
        <w:rPr>
          <w:rFonts w:hint="eastAsia" w:ascii="宋体" w:hAnsi="宋体"/>
          <w:color w:val="auto"/>
          <w:szCs w:val="21"/>
        </w:rPr>
        <w:t>规定的时间内将履约保证金退还乙方；逾期退还的，乙方可要求甲方支付违约金，违约金按照</w:t>
      </w:r>
      <w:r>
        <w:rPr>
          <w:rFonts w:hint="eastAsia" w:ascii="宋体" w:hAnsi="宋体"/>
          <w:b/>
          <w:color w:val="auto"/>
          <w:szCs w:val="21"/>
        </w:rPr>
        <w:t>【政府采购合同专用条款】</w:t>
      </w:r>
      <w:r>
        <w:rPr>
          <w:rFonts w:hint="eastAsia" w:ascii="宋体" w:hAnsi="宋体"/>
          <w:color w:val="auto"/>
          <w:szCs w:val="21"/>
        </w:rPr>
        <w:t>规定支付。</w:t>
      </w:r>
    </w:p>
    <w:p w14:paraId="5A2EDDF1">
      <w:pPr>
        <w:autoSpaceDE w:val="0"/>
        <w:autoSpaceDN w:val="0"/>
        <w:adjustRightInd w:val="0"/>
        <w:snapToGrid w:val="0"/>
        <w:spacing w:line="400" w:lineRule="exact"/>
        <w:jc w:val="left"/>
        <w:rPr>
          <w:rFonts w:hint="eastAsia" w:ascii="宋体" w:hAnsi="宋体"/>
          <w:b/>
          <w:color w:val="auto"/>
          <w:sz w:val="24"/>
        </w:rPr>
      </w:pPr>
      <w:r>
        <w:rPr>
          <w:rFonts w:hint="eastAsia" w:ascii="宋体" w:hAnsi="宋体"/>
          <w:b/>
          <w:bCs/>
          <w:color w:val="auto"/>
          <w:sz w:val="24"/>
        </w:rPr>
        <w:t xml:space="preserve">14. </w:t>
      </w:r>
      <w:r>
        <w:rPr>
          <w:rFonts w:hint="eastAsia"/>
          <w:b/>
          <w:color w:val="auto"/>
          <w:sz w:val="24"/>
        </w:rPr>
        <w:t>售后</w:t>
      </w:r>
      <w:r>
        <w:rPr>
          <w:rFonts w:hint="eastAsia" w:ascii="宋体" w:hAnsi="宋体"/>
          <w:b/>
          <w:color w:val="auto"/>
          <w:sz w:val="24"/>
        </w:rPr>
        <w:t>服务</w:t>
      </w:r>
    </w:p>
    <w:p w14:paraId="2F188ED0">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14.1 除项目不涉及或采购活动中明确约定无须承担外，乙方还应提供下列服务：</w:t>
      </w:r>
    </w:p>
    <w:p w14:paraId="0FF16C99">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（1）货物的现场移动、安装、调试、启动监督及技术支持；</w:t>
      </w:r>
    </w:p>
    <w:p w14:paraId="111E665F">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（2）提供货物组装和维修所需的专用工具和辅助材料；</w:t>
      </w:r>
    </w:p>
    <w:p w14:paraId="11EDE9E1">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（3）在</w:t>
      </w:r>
      <w:r>
        <w:rPr>
          <w:rFonts w:hint="eastAsia" w:ascii="宋体" w:hAnsi="宋体" w:cs="宋体"/>
          <w:b/>
          <w:bCs/>
          <w:color w:val="auto"/>
          <w:szCs w:val="15"/>
        </w:rPr>
        <w:t>【政府采购合同专用条款】</w:t>
      </w:r>
      <w:r>
        <w:rPr>
          <w:rFonts w:hint="eastAsia" w:ascii="宋体" w:hAnsi="宋体"/>
          <w:color w:val="auto"/>
          <w:szCs w:val="21"/>
        </w:rPr>
        <w:t>约定的期限内对所有的货物实施运行监督、维修，但前提条件是该服务并不能免除乙方在质量保证期内所承担的义务；</w:t>
      </w:r>
    </w:p>
    <w:p w14:paraId="715F8280">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（4）在制造商所在地或指定现场就货物的安装、启动、运营、维护、废弃处置等对甲方操作人员进行培训</w:t>
      </w:r>
      <w:r>
        <w:rPr>
          <w:rFonts w:hint="eastAsia" w:ascii="宋体" w:hAnsi="宋体" w:cs="宋体"/>
          <w:color w:val="auto"/>
          <w:szCs w:val="15"/>
        </w:rPr>
        <w:t>；</w:t>
      </w:r>
    </w:p>
    <w:p w14:paraId="74588008">
      <w:pPr>
        <w:pStyle w:val="141"/>
        <w:ind w:firstLine="420"/>
        <w:rPr>
          <w:rFonts w:hint="eastAsia" w:ascii="宋体" w:hAnsi="宋体" w:eastAsia="宋体" w:cs="宋体"/>
          <w:color w:val="auto"/>
          <w:sz w:val="21"/>
        </w:rPr>
      </w:pPr>
      <w:r>
        <w:rPr>
          <w:rFonts w:hint="eastAsia" w:ascii="宋体" w:hAnsi="宋体" w:eastAsia="宋体" w:cs="宋体"/>
          <w:color w:val="auto"/>
          <w:sz w:val="21"/>
        </w:rPr>
        <w:t>（5）依照法律、行政法规的规定或者按照</w:t>
      </w:r>
      <w:r>
        <w:rPr>
          <w:rFonts w:hint="eastAsia" w:ascii="宋体" w:hAnsi="宋体" w:eastAsia="宋体" w:cs="宋体"/>
          <w:b/>
          <w:bCs/>
          <w:color w:val="auto"/>
          <w:sz w:val="21"/>
        </w:rPr>
        <w:t>【政府采购合同专用条款】</w:t>
      </w:r>
      <w:r>
        <w:rPr>
          <w:rFonts w:hint="eastAsia" w:ascii="宋体" w:hAnsi="宋体" w:eastAsia="宋体" w:cs="宋体"/>
          <w:color w:val="auto"/>
          <w:sz w:val="21"/>
        </w:rPr>
        <w:t>约定，货物在有效使用年限届满后应予回收的，乙方负有自行或者委托第三人对货物予以回收的义务；</w:t>
      </w:r>
    </w:p>
    <w:p w14:paraId="147DB809">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（6）</w:t>
      </w:r>
      <w:r>
        <w:rPr>
          <w:rFonts w:hint="eastAsia" w:ascii="宋体" w:hAnsi="宋体"/>
          <w:b/>
          <w:color w:val="auto"/>
          <w:szCs w:val="21"/>
        </w:rPr>
        <w:t>【政府采购合同专用条款】</w:t>
      </w:r>
      <w:r>
        <w:rPr>
          <w:rFonts w:hint="eastAsia" w:ascii="宋体" w:hAnsi="宋体"/>
          <w:color w:val="auto"/>
          <w:szCs w:val="21"/>
        </w:rPr>
        <w:t>规定由乙方提供的其他服务。</w:t>
      </w:r>
    </w:p>
    <w:p w14:paraId="06DE4234">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14.2 乙方提供的售后服务的费用已包含在合同价款中，甲方不再另行支付。</w:t>
      </w:r>
    </w:p>
    <w:p w14:paraId="46A2A49F">
      <w:pPr>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15. 违约责任</w:t>
      </w:r>
    </w:p>
    <w:p w14:paraId="292AE6A5">
      <w:pPr>
        <w:adjustRightInd w:val="0"/>
        <w:snapToGrid w:val="0"/>
        <w:spacing w:line="400" w:lineRule="exact"/>
        <w:ind w:firstLine="420" w:firstLineChars="200"/>
        <w:jc w:val="left"/>
        <w:rPr>
          <w:rFonts w:hint="eastAsia" w:ascii="宋体" w:hAnsi="宋体"/>
          <w:bCs/>
          <w:color w:val="auto"/>
          <w:szCs w:val="21"/>
        </w:rPr>
      </w:pPr>
      <w:r>
        <w:rPr>
          <w:rFonts w:hint="eastAsia" w:ascii="宋体" w:hAnsi="宋体"/>
          <w:bCs/>
          <w:color w:val="auto"/>
          <w:szCs w:val="21"/>
        </w:rPr>
        <w:t>15.1质量瑕疵的违约责任</w:t>
      </w:r>
    </w:p>
    <w:p w14:paraId="1B83F5A5">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乙方提供的产品不符合合同约定的质量标准或存在产品质量缺陷，甲方有权要求乙方根据</w:t>
      </w:r>
      <w:r>
        <w:rPr>
          <w:rFonts w:hint="eastAsia" w:ascii="宋体" w:hAnsi="宋体"/>
          <w:b/>
          <w:color w:val="auto"/>
          <w:szCs w:val="21"/>
        </w:rPr>
        <w:t>【政府采购合同专用条款】</w:t>
      </w:r>
      <w:r>
        <w:rPr>
          <w:rFonts w:hint="eastAsia" w:ascii="宋体" w:hAnsi="宋体"/>
          <w:bCs/>
          <w:color w:val="auto"/>
          <w:szCs w:val="21"/>
        </w:rPr>
        <w:t>要求</w:t>
      </w:r>
      <w:r>
        <w:rPr>
          <w:rFonts w:hint="eastAsia" w:ascii="宋体" w:hAnsi="宋体"/>
          <w:color w:val="auto"/>
          <w:szCs w:val="21"/>
        </w:rPr>
        <w:t>及时修理、重作、更换，并承担由此给甲方造成的损失。</w:t>
      </w:r>
    </w:p>
    <w:p w14:paraId="325AC908">
      <w:pPr>
        <w:autoSpaceDE w:val="0"/>
        <w:autoSpaceDN w:val="0"/>
        <w:adjustRightInd w:val="0"/>
        <w:snapToGrid w:val="0"/>
        <w:spacing w:line="400" w:lineRule="exact"/>
        <w:ind w:firstLine="420" w:firstLineChars="200"/>
        <w:jc w:val="left"/>
        <w:rPr>
          <w:rFonts w:hint="eastAsia" w:ascii="宋体" w:hAnsi="宋体"/>
          <w:bCs/>
          <w:color w:val="auto"/>
          <w:szCs w:val="21"/>
        </w:rPr>
      </w:pPr>
      <w:r>
        <w:rPr>
          <w:rFonts w:hint="eastAsia" w:ascii="宋体" w:hAnsi="宋体"/>
          <w:bCs/>
          <w:color w:val="auto"/>
          <w:szCs w:val="21"/>
        </w:rPr>
        <w:t>15.2 迟延交货的违约责任</w:t>
      </w:r>
    </w:p>
    <w:p w14:paraId="429A07CC">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CBA7294">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（2）如果乙方没有按照合同规定的时间交货和提供相关服务，甲方有权从货款中扣除误期赔偿费而不影响合同项下的其他补救方法，赔偿费按</w:t>
      </w:r>
      <w:r>
        <w:rPr>
          <w:rFonts w:hint="eastAsia" w:ascii="宋体" w:hAnsi="宋体"/>
          <w:b/>
          <w:color w:val="auto"/>
          <w:szCs w:val="21"/>
        </w:rPr>
        <w:t>【政府采购合同专用条款】</w:t>
      </w:r>
      <w:r>
        <w:rPr>
          <w:rFonts w:hint="eastAsia" w:ascii="宋体" w:hAnsi="宋体"/>
          <w:color w:val="auto"/>
          <w:szCs w:val="21"/>
        </w:rPr>
        <w:t>规定执行。如果涉及公共利益，且赔偿金额无法弥补公共利益损失，甲方可要求继续履行或者采取其他补救措施。</w:t>
      </w:r>
    </w:p>
    <w:p w14:paraId="6F5DF53F">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15.3 迟延支付的违约责任</w:t>
      </w:r>
    </w:p>
    <w:p w14:paraId="3DCA22C0">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甲方存在迟延支付乙方合同款项的，应当承担</w:t>
      </w:r>
      <w:r>
        <w:rPr>
          <w:rFonts w:hint="eastAsia" w:ascii="宋体" w:hAnsi="宋体"/>
          <w:b/>
          <w:bCs/>
          <w:color w:val="auto"/>
          <w:szCs w:val="21"/>
        </w:rPr>
        <w:t>【政府采购合同专用条款】</w:t>
      </w:r>
      <w:r>
        <w:rPr>
          <w:rFonts w:hint="eastAsia" w:ascii="宋体" w:hAnsi="宋体"/>
          <w:color w:val="auto"/>
          <w:szCs w:val="21"/>
        </w:rPr>
        <w:t>规定的逾期付款利息。</w:t>
      </w:r>
    </w:p>
    <w:p w14:paraId="183FE495">
      <w:pPr>
        <w:adjustRightInd w:val="0"/>
        <w:snapToGrid w:val="0"/>
        <w:spacing w:line="400" w:lineRule="exact"/>
        <w:ind w:firstLine="420" w:firstLineChars="200"/>
        <w:jc w:val="left"/>
        <w:rPr>
          <w:rFonts w:hint="eastAsia" w:ascii="宋体" w:hAnsi="宋体"/>
          <w:color w:val="auto"/>
          <w:szCs w:val="21"/>
        </w:rPr>
      </w:pPr>
      <w:r>
        <w:rPr>
          <w:rFonts w:hint="eastAsia" w:ascii="宋体" w:hAnsi="宋体"/>
          <w:bCs/>
          <w:color w:val="auto"/>
          <w:szCs w:val="21"/>
        </w:rPr>
        <w:t>15.4其他违约责任根据项目实际需要按</w:t>
      </w:r>
      <w:r>
        <w:rPr>
          <w:rFonts w:hint="eastAsia" w:ascii="宋体" w:hAnsi="宋体"/>
          <w:b/>
          <w:bCs/>
          <w:color w:val="auto"/>
          <w:szCs w:val="21"/>
        </w:rPr>
        <w:t>【政府采购合同专用条款】</w:t>
      </w:r>
      <w:r>
        <w:rPr>
          <w:rFonts w:hint="eastAsia" w:ascii="宋体" w:hAnsi="宋体"/>
          <w:color w:val="auto"/>
          <w:szCs w:val="21"/>
        </w:rPr>
        <w:t>规定执行。</w:t>
      </w:r>
    </w:p>
    <w:p w14:paraId="7E66BD36">
      <w:pPr>
        <w:numPr>
          <w:ilvl w:val="0"/>
          <w:numId w:val="16"/>
        </w:numPr>
        <w:autoSpaceDE w:val="0"/>
        <w:autoSpaceDN w:val="0"/>
        <w:adjustRightInd w:val="0"/>
        <w:snapToGrid w:val="0"/>
        <w:spacing w:line="400" w:lineRule="exact"/>
        <w:jc w:val="left"/>
        <w:rPr>
          <w:rFonts w:hint="eastAsia" w:ascii="宋体" w:hAnsi="宋体"/>
          <w:b/>
          <w:color w:val="auto"/>
          <w:sz w:val="24"/>
        </w:rPr>
      </w:pPr>
      <w:r>
        <w:rPr>
          <w:rFonts w:hint="eastAsia" w:ascii="宋体" w:hAnsi="宋体"/>
          <w:b/>
          <w:color w:val="auto"/>
          <w:sz w:val="24"/>
        </w:rPr>
        <w:t>合同变更、中止与终止</w:t>
      </w:r>
    </w:p>
    <w:p w14:paraId="798002DD">
      <w:pPr>
        <w:adjustRightInd w:val="0"/>
        <w:snapToGrid w:val="0"/>
        <w:spacing w:line="400" w:lineRule="exact"/>
        <w:jc w:val="left"/>
        <w:rPr>
          <w:rFonts w:hint="eastAsia" w:ascii="宋体" w:hAnsi="宋体"/>
          <w:color w:val="auto"/>
          <w:szCs w:val="21"/>
        </w:rPr>
      </w:pPr>
      <w:r>
        <w:rPr>
          <w:rFonts w:hint="eastAsia" w:ascii="宋体" w:hAnsi="宋体"/>
          <w:color w:val="auto"/>
          <w:szCs w:val="21"/>
        </w:rPr>
        <w:t xml:space="preserve">    16.1合同的变更</w:t>
      </w:r>
    </w:p>
    <w:p w14:paraId="0C33ED1A">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政府采购合同履行中，在不改变合同其他条款的前提下，甲方可以在合同价款10%的范围内追加与合同标的相同的货物，并就此与乙方协商一致后签订补充协议。</w:t>
      </w:r>
    </w:p>
    <w:p w14:paraId="2ED4EE01">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16.2合同的中止</w:t>
      </w:r>
    </w:p>
    <w:p w14:paraId="6A69504B">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（1）合同履行过程中因供应商就采购文件、采购过程或结果提起投诉的，甲方认为有必要的，可以中止合同的履行。</w:t>
      </w:r>
    </w:p>
    <w:p w14:paraId="2AE41EF9">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D747BAA">
      <w:pPr>
        <w:pStyle w:val="141"/>
        <w:ind w:firstLine="420"/>
        <w:jc w:val="both"/>
        <w:rPr>
          <w:rFonts w:hint="eastAsia"/>
          <w:color w:val="auto"/>
          <w:sz w:val="21"/>
        </w:rPr>
      </w:pPr>
      <w:r>
        <w:rPr>
          <w:rFonts w:hint="eastAsia" w:ascii="宋体" w:hAnsi="宋体" w:eastAsia="宋体" w:cs="宋体"/>
          <w:color w:val="auto"/>
          <w:sz w:val="21"/>
        </w:rPr>
        <w:t>（3）乙方分立、合并或者变更住所的，应当及时以书面形式告知甲方。乙方没有及时告知甲方，致使合同履行发生困难的，甲方可以中止合同履行并要求乙方承担由此给甲方造成的损失。</w:t>
      </w:r>
    </w:p>
    <w:p w14:paraId="0C966C61">
      <w:pPr>
        <w:snapToGrid w:val="0"/>
        <w:spacing w:line="400" w:lineRule="exact"/>
        <w:ind w:firstLine="420" w:firstLineChars="200"/>
        <w:jc w:val="left"/>
        <w:rPr>
          <w:color w:val="auto"/>
        </w:rPr>
      </w:pPr>
      <w:r>
        <w:rPr>
          <w:rFonts w:hint="eastAsia" w:ascii="宋体" w:hAnsi="宋体"/>
          <w:color w:val="auto"/>
          <w:szCs w:val="21"/>
        </w:rPr>
        <w:t>（4）甲方不得以行政区划调整、政府换届、机构或者职能调整以及相关责任人更替为由中止合同。</w:t>
      </w:r>
    </w:p>
    <w:p w14:paraId="3401A7CD">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16.3合同的终止</w:t>
      </w:r>
    </w:p>
    <w:p w14:paraId="063B9491">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（1）合同因有效期限届满而终止；</w:t>
      </w:r>
    </w:p>
    <w:p w14:paraId="2CC0C7FC">
      <w:pPr>
        <w:snapToGrid w:val="0"/>
        <w:spacing w:line="400" w:lineRule="exact"/>
        <w:ind w:firstLine="420" w:firstLineChars="200"/>
        <w:rPr>
          <w:rFonts w:hint="eastAsia" w:ascii="宋体" w:hAnsi="宋体" w:cs="宋体"/>
          <w:color w:val="auto"/>
          <w:szCs w:val="21"/>
        </w:rPr>
      </w:pPr>
      <w:r>
        <w:rPr>
          <w:rFonts w:hint="eastAsia" w:ascii="宋体" w:hAnsi="宋体"/>
          <w:color w:val="auto"/>
          <w:szCs w:val="21"/>
        </w:rPr>
        <w:t>（2）乙方未按合同约定履行，构成根本性违约的，甲方有权终止合同，</w:t>
      </w:r>
      <w:r>
        <w:rPr>
          <w:rFonts w:hint="eastAsia" w:ascii="宋体" w:hAnsi="宋体" w:cs="宋体"/>
          <w:color w:val="auto"/>
          <w:szCs w:val="21"/>
        </w:rPr>
        <w:t>并追究乙方的违约责任</w:t>
      </w:r>
      <w:r>
        <w:rPr>
          <w:rFonts w:hint="eastAsia" w:ascii="宋体" w:hAnsi="宋体"/>
          <w:color w:val="auto"/>
          <w:szCs w:val="21"/>
        </w:rPr>
        <w:t>。</w:t>
      </w:r>
    </w:p>
    <w:p w14:paraId="659BBB62">
      <w:pPr>
        <w:pStyle w:val="141"/>
        <w:rPr>
          <w:rFonts w:hint="eastAsia" w:ascii="宋体" w:hAnsi="宋体"/>
          <w:color w:val="auto"/>
        </w:rPr>
      </w:pPr>
      <w:r>
        <w:rPr>
          <w:rFonts w:hint="eastAsia" w:ascii="宋体" w:hAnsi="宋体"/>
          <w:color w:val="auto"/>
        </w:rPr>
        <w:t xml:space="preserve">16.4 </w:t>
      </w:r>
      <w:r>
        <w:rPr>
          <w:rFonts w:hint="eastAsia" w:ascii="宋体" w:hAnsi="宋体" w:eastAsia="宋体" w:cs="Times New Roman"/>
          <w:color w:val="auto"/>
          <w:kern w:val="2"/>
          <w:sz w:val="21"/>
        </w:rPr>
        <w:t>涉及国家利益、社会公共利益的情形</w:t>
      </w:r>
    </w:p>
    <w:p w14:paraId="2D09F019">
      <w:pPr>
        <w:pStyle w:val="141"/>
        <w:ind w:firstLine="420"/>
        <w:jc w:val="both"/>
        <w:rPr>
          <w:rFonts w:hint="eastAsia"/>
          <w:color w:val="auto"/>
          <w:sz w:val="21"/>
        </w:rPr>
      </w:pPr>
      <w:r>
        <w:rPr>
          <w:rFonts w:hint="eastAsia" w:ascii="宋体" w:hAnsi="宋体" w:eastAsia="宋体" w:cs="宋体"/>
          <w:color w:val="auto"/>
          <w:sz w:val="21"/>
        </w:rPr>
        <w:t>政府采购合同继续履行将损害国家利益和社会公共利益的，双方当事人应当变更、中止或者终止合同。有过错的一方应当承担赔偿责任，双方都有过错的，各自承担相应的责任。</w:t>
      </w:r>
    </w:p>
    <w:p w14:paraId="72081D6A">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17. 合同分包</w:t>
      </w:r>
    </w:p>
    <w:p w14:paraId="5F12E412">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17.1 乙方不得将合同转包给其他供应商。涉及合同分包的，乙方应根据采购文件和投标（响应）文件规定进行合同分包。</w:t>
      </w:r>
    </w:p>
    <w:p w14:paraId="5F0F4599">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17.2 乙方执行政府采购政策向中小企业依法分包的，乙方应当按采购文件和投标（响应）文件签订分包意向协议，分包意向协议属于本合同组成部分。</w:t>
      </w:r>
    </w:p>
    <w:p w14:paraId="10F44E74">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18. 不可抗力</w:t>
      </w:r>
    </w:p>
    <w:p w14:paraId="25EF7DAA">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18.1 不可抗力是指合同双方不能预见、不能避免且不能克服的客观情况。</w:t>
      </w:r>
    </w:p>
    <w:p w14:paraId="1D0175A5">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18.2 任何一方对由于不可抗力造成的部分或全部不能履行合同不承担违约责任。但迟延履行后发生不可抗力的，不能免除责任。</w:t>
      </w:r>
    </w:p>
    <w:p w14:paraId="2786E73F">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0BC67CD">
      <w:pPr>
        <w:autoSpaceDE w:val="0"/>
        <w:autoSpaceDN w:val="0"/>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19. 解决争议的方法</w:t>
      </w:r>
    </w:p>
    <w:p w14:paraId="7F1D6388">
      <w:pPr>
        <w:pStyle w:val="141"/>
        <w:ind w:firstLine="420"/>
        <w:jc w:val="both"/>
        <w:rPr>
          <w:rFonts w:hint="eastAsia" w:ascii="宋体" w:hAnsi="宋体" w:eastAsia="宋体" w:cs="宋体"/>
          <w:color w:val="auto"/>
          <w:sz w:val="21"/>
        </w:rPr>
      </w:pPr>
      <w:r>
        <w:rPr>
          <w:rFonts w:hint="eastAsia" w:ascii="宋体" w:hAnsi="宋体" w:eastAsia="宋体" w:cs="宋体"/>
          <w:color w:val="auto"/>
          <w:sz w:val="21"/>
        </w:rPr>
        <w:t>19.1 因本合同及合同有关事项发生的争议，由甲乙双方友好协商解决。协商不成时，可以向有关组织申请调解。合同一方或双方不愿调解或调解不成的，可以通过仲裁或诉讼的方式解决争议。</w:t>
      </w:r>
    </w:p>
    <w:p w14:paraId="764B5F46">
      <w:pPr>
        <w:pStyle w:val="141"/>
        <w:ind w:firstLine="420"/>
        <w:jc w:val="both"/>
        <w:rPr>
          <w:rFonts w:hint="eastAsia" w:ascii="宋体" w:hAnsi="宋体" w:eastAsia="宋体" w:cs="宋体"/>
          <w:color w:val="auto"/>
          <w:sz w:val="21"/>
        </w:rPr>
      </w:pPr>
      <w:r>
        <w:rPr>
          <w:rFonts w:hint="eastAsia" w:ascii="宋体" w:hAnsi="宋体" w:eastAsia="宋体" w:cs="宋体"/>
          <w:color w:val="auto"/>
          <w:sz w:val="21"/>
        </w:rPr>
        <w:t>19.2 选择仲裁的，应在</w:t>
      </w:r>
      <w:r>
        <w:rPr>
          <w:rFonts w:hint="eastAsia" w:ascii="宋体" w:hAnsi="宋体" w:eastAsia="宋体" w:cs="宋体"/>
          <w:b/>
          <w:bCs/>
          <w:color w:val="auto"/>
          <w:sz w:val="21"/>
        </w:rPr>
        <w:t>【政府采购合同专用条款】</w:t>
      </w:r>
      <w:r>
        <w:rPr>
          <w:rFonts w:hint="eastAsia" w:ascii="宋体" w:hAnsi="宋体" w:eastAsia="宋体" w:cs="宋体"/>
          <w:color w:val="auto"/>
          <w:sz w:val="21"/>
        </w:rPr>
        <w:t>中明确仲裁机构及仲裁地；通过诉讼方式解决的，可以在</w:t>
      </w:r>
      <w:r>
        <w:rPr>
          <w:rFonts w:hint="eastAsia" w:ascii="宋体" w:hAnsi="宋体" w:eastAsia="宋体" w:cs="宋体"/>
          <w:b/>
          <w:bCs/>
          <w:color w:val="auto"/>
          <w:sz w:val="21"/>
        </w:rPr>
        <w:t>【政府采购合同专用条款】</w:t>
      </w:r>
      <w:r>
        <w:rPr>
          <w:rFonts w:hint="eastAsia" w:ascii="宋体" w:hAnsi="宋体" w:eastAsia="宋体" w:cs="宋体"/>
          <w:color w:val="auto"/>
          <w:sz w:val="21"/>
        </w:rPr>
        <w:t>中进一步约定选择与争议有实际联系的地点的人民法院管辖，但管辖法院的约定不得违反级别管辖和专属管辖的规定。</w:t>
      </w:r>
    </w:p>
    <w:p w14:paraId="316C7AE4">
      <w:pPr>
        <w:pStyle w:val="141"/>
        <w:ind w:firstLine="420"/>
        <w:jc w:val="both"/>
        <w:rPr>
          <w:rFonts w:hint="eastAsia" w:ascii="宋体" w:hAnsi="宋体" w:eastAsia="宋体" w:cs="宋体"/>
          <w:color w:val="auto"/>
          <w:sz w:val="21"/>
        </w:rPr>
      </w:pPr>
      <w:r>
        <w:rPr>
          <w:rFonts w:hint="eastAsia" w:ascii="宋体" w:hAnsi="宋体" w:eastAsia="宋体" w:cs="宋体"/>
          <w:color w:val="auto"/>
          <w:sz w:val="21"/>
        </w:rPr>
        <w:t>19.3 如甲乙双方有争议的事项不影响合同其他部分的履行，在争议解决期间，合同其他部分应当继续履行。</w:t>
      </w:r>
    </w:p>
    <w:p w14:paraId="55D6A5EA">
      <w:pPr>
        <w:autoSpaceDE w:val="0"/>
        <w:autoSpaceDN w:val="0"/>
        <w:adjustRightInd w:val="0"/>
        <w:snapToGrid w:val="0"/>
        <w:spacing w:line="400" w:lineRule="exact"/>
        <w:jc w:val="left"/>
        <w:rPr>
          <w:rFonts w:hint="eastAsia" w:ascii="宋体" w:hAnsi="宋体"/>
          <w:color w:val="auto"/>
          <w:sz w:val="24"/>
        </w:rPr>
      </w:pPr>
      <w:r>
        <w:rPr>
          <w:rFonts w:hint="eastAsia" w:ascii="宋体" w:hAnsi="宋体"/>
          <w:b/>
          <w:color w:val="auto"/>
          <w:sz w:val="24"/>
        </w:rPr>
        <w:t>20. 政府采购政策</w:t>
      </w:r>
    </w:p>
    <w:p w14:paraId="11FD37C7">
      <w:pPr>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 xml:space="preserve">20.1 </w:t>
      </w:r>
      <w:r>
        <w:rPr>
          <w:rFonts w:hint="eastAsia" w:ascii="宋体" w:hAnsi="宋体" w:cs="宋体"/>
          <w:color w:val="auto"/>
          <w:lang w:val="en-GB"/>
        </w:rPr>
        <w:t>本合同应当按照规定执行政府采购政策。</w:t>
      </w:r>
    </w:p>
    <w:p w14:paraId="6B58B0A8">
      <w:pPr>
        <w:autoSpaceDE w:val="0"/>
        <w:autoSpaceDN w:val="0"/>
        <w:adjustRightInd w:val="0"/>
        <w:snapToGrid w:val="0"/>
        <w:spacing w:line="400" w:lineRule="exact"/>
        <w:ind w:firstLine="420" w:firstLineChars="200"/>
        <w:jc w:val="left"/>
        <w:rPr>
          <w:rFonts w:hint="eastAsia" w:ascii="宋体" w:hAnsi="宋体"/>
          <w:color w:val="auto"/>
          <w:szCs w:val="21"/>
        </w:rPr>
      </w:pPr>
      <w:r>
        <w:rPr>
          <w:rFonts w:ascii="宋体" w:hAnsi="宋体"/>
          <w:color w:val="auto"/>
          <w:szCs w:val="21"/>
        </w:rPr>
        <w:t>2</w:t>
      </w:r>
      <w:r>
        <w:rPr>
          <w:rFonts w:hint="eastAsia" w:ascii="宋体" w:hAnsi="宋体"/>
          <w:color w:val="auto"/>
          <w:szCs w:val="21"/>
        </w:rPr>
        <w:t>0.2 本合同依法执行政府采购政策的方式和内容，属于合同履约验收的范围。</w:t>
      </w:r>
      <w:r>
        <w:rPr>
          <w:rFonts w:hint="eastAsia" w:ascii="宋体" w:hAnsi="宋体" w:cs="宋体"/>
          <w:color w:val="auto"/>
        </w:rPr>
        <w:t>甲乙双方</w:t>
      </w:r>
      <w:r>
        <w:rPr>
          <w:rFonts w:hint="eastAsia" w:ascii="宋体" w:hAnsi="宋体" w:cs="宋体"/>
          <w:color w:val="auto"/>
          <w:lang w:val="en-GB"/>
        </w:rPr>
        <w:t>未按规定要求执行政府采购政策造成损失的</w:t>
      </w:r>
      <w:r>
        <w:rPr>
          <w:rFonts w:hint="eastAsia" w:ascii="宋体" w:hAnsi="宋体"/>
          <w:color w:val="auto"/>
          <w:szCs w:val="21"/>
        </w:rPr>
        <w:t>，有过错的一方应当承担赔偿责任，双方都有过错的，各自承担相应的责任。</w:t>
      </w:r>
    </w:p>
    <w:p w14:paraId="33E98D72">
      <w:pPr>
        <w:pStyle w:val="2"/>
        <w:spacing w:line="400" w:lineRule="exact"/>
        <w:ind w:firstLine="480" w:firstLineChars="200"/>
        <w:rPr>
          <w:color w:val="auto"/>
        </w:rPr>
      </w:pPr>
      <w:r>
        <w:rPr>
          <w:rFonts w:ascii="宋体" w:hAnsi="宋体"/>
          <w:color w:val="auto"/>
          <w:szCs w:val="21"/>
        </w:rPr>
        <w:t>2</w:t>
      </w:r>
      <w:r>
        <w:rPr>
          <w:rFonts w:hint="eastAsia" w:ascii="宋体" w:hAnsi="宋体"/>
          <w:color w:val="auto"/>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8C06BD9">
      <w:pPr>
        <w:autoSpaceDE w:val="0"/>
        <w:autoSpaceDN w:val="0"/>
        <w:adjustRightInd w:val="0"/>
        <w:snapToGrid w:val="0"/>
        <w:spacing w:line="400" w:lineRule="exact"/>
        <w:jc w:val="left"/>
        <w:rPr>
          <w:rFonts w:hint="eastAsia" w:ascii="宋体" w:hAnsi="宋体"/>
          <w:b/>
          <w:color w:val="auto"/>
          <w:sz w:val="24"/>
        </w:rPr>
      </w:pPr>
      <w:r>
        <w:rPr>
          <w:rFonts w:hint="eastAsia" w:ascii="宋体" w:hAnsi="宋体"/>
          <w:b/>
          <w:color w:val="auto"/>
          <w:sz w:val="24"/>
        </w:rPr>
        <w:t>21. 法律适用</w:t>
      </w:r>
    </w:p>
    <w:p w14:paraId="6F12229F">
      <w:pPr>
        <w:pStyle w:val="141"/>
        <w:ind w:firstLine="420"/>
        <w:jc w:val="both"/>
        <w:rPr>
          <w:rFonts w:hint="eastAsia" w:ascii="宋体" w:hAnsi="宋体" w:eastAsia="宋体" w:cs="宋体"/>
          <w:color w:val="auto"/>
          <w:sz w:val="21"/>
        </w:rPr>
      </w:pPr>
      <w:r>
        <w:rPr>
          <w:rFonts w:hint="eastAsia" w:ascii="宋体" w:hAnsi="宋体" w:eastAsia="宋体" w:cs="宋体"/>
          <w:color w:val="auto"/>
          <w:sz w:val="21"/>
        </w:rPr>
        <w:t>21.1 本合同的订立、生效、解释、履行及与本合同有关的争议解决，均适用法律、行政法规。</w:t>
      </w:r>
    </w:p>
    <w:p w14:paraId="27039C64">
      <w:pPr>
        <w:pStyle w:val="141"/>
        <w:ind w:firstLine="420"/>
        <w:jc w:val="both"/>
        <w:rPr>
          <w:rFonts w:hint="eastAsia" w:ascii="宋体" w:hAnsi="宋体" w:eastAsia="宋体" w:cs="宋体"/>
          <w:color w:val="auto"/>
          <w:sz w:val="21"/>
        </w:rPr>
      </w:pPr>
      <w:r>
        <w:rPr>
          <w:rFonts w:hint="eastAsia" w:ascii="宋体" w:hAnsi="宋体" w:eastAsia="宋体" w:cs="宋体"/>
          <w:color w:val="auto"/>
          <w:sz w:val="21"/>
        </w:rPr>
        <w:t>21.2 本合同条款与法律、行政法规的强制性规定不一致的，双方当事人应按照法律、行政法规的强制性规定修改本合同的相关条款。</w:t>
      </w:r>
    </w:p>
    <w:p w14:paraId="7877DEA4">
      <w:pPr>
        <w:numPr>
          <w:ilvl w:val="255"/>
          <w:numId w:val="0"/>
        </w:numPr>
        <w:autoSpaceDE w:val="0"/>
        <w:autoSpaceDN w:val="0"/>
        <w:adjustRightInd w:val="0"/>
        <w:snapToGrid w:val="0"/>
        <w:spacing w:line="400" w:lineRule="exact"/>
        <w:jc w:val="left"/>
        <w:rPr>
          <w:rFonts w:hint="eastAsia" w:ascii="宋体" w:hAnsi="宋体"/>
          <w:b/>
          <w:color w:val="auto"/>
          <w:sz w:val="24"/>
        </w:rPr>
      </w:pPr>
      <w:r>
        <w:rPr>
          <w:rFonts w:hint="eastAsia" w:ascii="宋体" w:hAnsi="宋体"/>
          <w:b/>
          <w:color w:val="auto"/>
          <w:sz w:val="24"/>
        </w:rPr>
        <w:t>22. 通知</w:t>
      </w:r>
    </w:p>
    <w:p w14:paraId="5CB24CCB">
      <w:pPr>
        <w:pStyle w:val="141"/>
        <w:ind w:firstLine="420"/>
        <w:jc w:val="both"/>
        <w:rPr>
          <w:rFonts w:hint="eastAsia" w:ascii="宋体" w:hAnsi="宋体" w:eastAsia="宋体" w:cs="宋体"/>
          <w:color w:val="auto"/>
          <w:sz w:val="21"/>
        </w:rPr>
      </w:pPr>
      <w:r>
        <w:rPr>
          <w:rFonts w:hint="eastAsia" w:ascii="宋体" w:hAnsi="宋体" w:eastAsia="宋体" w:cs="宋体"/>
          <w:color w:val="auto"/>
          <w:sz w:val="21"/>
        </w:rPr>
        <w:t>22.1 本合同任何一方向对方发出的通知、信件、数据电文等，应当发送至本合同第一部分《政府采购合同协议书》所约定的通讯地址、联系人、联系电话或电子邮箱。</w:t>
      </w:r>
    </w:p>
    <w:p w14:paraId="32040F5B">
      <w:pPr>
        <w:pStyle w:val="141"/>
        <w:ind w:firstLine="0" w:firstLineChars="0"/>
        <w:jc w:val="both"/>
        <w:rPr>
          <w:rFonts w:hint="eastAsia"/>
          <w:color w:val="auto"/>
          <w:sz w:val="21"/>
        </w:rPr>
      </w:pPr>
      <w:r>
        <w:rPr>
          <w:rFonts w:hint="eastAsia" w:ascii="宋体" w:hAnsi="宋体" w:eastAsia="宋体" w:cs="宋体"/>
          <w:color w:val="auto"/>
          <w:sz w:val="21"/>
        </w:rPr>
        <w:t xml:space="preserve">    22.2 一方当事人变更名称、住所、联系人、联系电话或电子邮箱等信息的，应当在变更后3日内及时书面通知对方，对方实际收到变更通知前的送达仍为有效送达。</w:t>
      </w:r>
    </w:p>
    <w:p w14:paraId="1DACDC06">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22.3本合同一方给另一方的通知均应采用书面形式，传真或快递送到本合同中规定的对方的地址和办理签收手续。</w:t>
      </w:r>
    </w:p>
    <w:p w14:paraId="3912651A">
      <w:pPr>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22.4通知以送达之日或通知书中规定的生效之日起生效，两者中以较迟之日为准。</w:t>
      </w:r>
    </w:p>
    <w:p w14:paraId="30C5DDD4">
      <w:pPr>
        <w:numPr>
          <w:ilvl w:val="0"/>
          <w:numId w:val="17"/>
        </w:numPr>
        <w:adjustRightInd w:val="0"/>
        <w:snapToGrid w:val="0"/>
        <w:spacing w:line="400" w:lineRule="exact"/>
        <w:jc w:val="left"/>
        <w:rPr>
          <w:rFonts w:hint="eastAsia" w:ascii="宋体" w:hAnsi="宋体"/>
          <w:b/>
          <w:bCs/>
          <w:color w:val="auto"/>
          <w:sz w:val="24"/>
        </w:rPr>
      </w:pPr>
      <w:r>
        <w:rPr>
          <w:rFonts w:hint="eastAsia" w:ascii="宋体" w:hAnsi="宋体"/>
          <w:b/>
          <w:bCs/>
          <w:color w:val="auto"/>
          <w:sz w:val="24"/>
        </w:rPr>
        <w:t>合同未尽事项</w:t>
      </w:r>
    </w:p>
    <w:p w14:paraId="1304F898">
      <w:pPr>
        <w:adjustRightInd w:val="0"/>
        <w:snapToGrid w:val="0"/>
        <w:spacing w:line="400" w:lineRule="exact"/>
        <w:ind w:firstLine="420" w:firstLineChars="200"/>
        <w:jc w:val="left"/>
        <w:rPr>
          <w:rFonts w:hint="eastAsia" w:ascii="宋体" w:hAnsi="宋体"/>
          <w:bCs/>
          <w:color w:val="auto"/>
          <w:szCs w:val="21"/>
        </w:rPr>
      </w:pPr>
      <w:r>
        <w:rPr>
          <w:rFonts w:hint="eastAsia" w:ascii="宋体" w:hAnsi="宋体"/>
          <w:bCs/>
          <w:color w:val="auto"/>
          <w:szCs w:val="21"/>
        </w:rPr>
        <w:t>23.1合同未尽事项见</w:t>
      </w:r>
      <w:r>
        <w:rPr>
          <w:rFonts w:hint="eastAsia" w:ascii="宋体" w:hAnsi="宋体"/>
          <w:b/>
          <w:color w:val="auto"/>
          <w:szCs w:val="21"/>
        </w:rPr>
        <w:t>【政府采购合同专用条款】</w:t>
      </w:r>
      <w:r>
        <w:rPr>
          <w:rFonts w:hint="eastAsia" w:ascii="宋体" w:hAnsi="宋体"/>
          <w:bCs/>
          <w:color w:val="auto"/>
          <w:szCs w:val="21"/>
        </w:rPr>
        <w:t>。</w:t>
      </w:r>
    </w:p>
    <w:p w14:paraId="0472D106">
      <w:pPr>
        <w:adjustRightInd w:val="0"/>
        <w:snapToGrid w:val="0"/>
        <w:spacing w:line="400" w:lineRule="exact"/>
        <w:jc w:val="left"/>
        <w:rPr>
          <w:rFonts w:hint="eastAsia" w:ascii="黑体" w:hAnsi="华文中宋" w:eastAsia="黑体"/>
          <w:color w:val="auto"/>
          <w:sz w:val="28"/>
          <w:szCs w:val="28"/>
        </w:rPr>
      </w:pPr>
      <w:r>
        <w:rPr>
          <w:rFonts w:hint="eastAsia" w:ascii="宋体" w:hAnsi="宋体"/>
          <w:bCs/>
          <w:color w:val="auto"/>
          <w:szCs w:val="21"/>
        </w:rPr>
        <w:t xml:space="preserve">    23.2 合同附件与合同正文具有同等的法律效力。</w:t>
      </w:r>
      <w:bookmarkStart w:id="118" w:name="_Toc20313"/>
    </w:p>
    <w:p w14:paraId="244B8D44">
      <w:pPr>
        <w:adjustRightInd w:val="0"/>
        <w:snapToGrid w:val="0"/>
        <w:jc w:val="center"/>
        <w:rPr>
          <w:rFonts w:hint="eastAsia" w:ascii="黑体" w:hAnsi="华文中宋" w:eastAsia="黑体"/>
          <w:color w:val="auto"/>
          <w:sz w:val="28"/>
          <w:szCs w:val="28"/>
        </w:rPr>
      </w:pPr>
      <w:r>
        <w:rPr>
          <w:rFonts w:hint="eastAsia" w:ascii="黑体" w:hAnsi="华文中宋" w:eastAsia="黑体"/>
          <w:color w:val="auto"/>
          <w:sz w:val="28"/>
          <w:szCs w:val="28"/>
        </w:rPr>
        <w:br w:type="page"/>
      </w:r>
    </w:p>
    <w:p w14:paraId="08EFAC86">
      <w:pPr>
        <w:pStyle w:val="4"/>
        <w:adjustRightInd w:val="0"/>
        <w:snapToGrid w:val="0"/>
        <w:jc w:val="center"/>
        <w:rPr>
          <w:rFonts w:hint="eastAsia" w:ascii="黑体" w:hAnsi="华文中宋"/>
          <w:b w:val="0"/>
          <w:bCs w:val="0"/>
          <w:color w:val="auto"/>
          <w:sz w:val="28"/>
          <w:szCs w:val="28"/>
        </w:rPr>
      </w:pPr>
      <w:r>
        <w:rPr>
          <w:rFonts w:hint="eastAsia" w:ascii="黑体" w:hAnsi="华文中宋"/>
          <w:b w:val="0"/>
          <w:bCs w:val="0"/>
          <w:color w:val="auto"/>
          <w:sz w:val="28"/>
          <w:szCs w:val="28"/>
        </w:rPr>
        <w:t>第三节 政府采购合同专用条款</w:t>
      </w:r>
      <w:bookmarkEnd w:id="118"/>
    </w:p>
    <w:tbl>
      <w:tblPr>
        <w:tblStyle w:val="3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1EE97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D32DAB">
            <w:pPr>
              <w:adjustRightInd w:val="0"/>
              <w:snapToGrid w:val="0"/>
              <w:jc w:val="center"/>
              <w:rPr>
                <w:rFonts w:hint="eastAsia" w:ascii="宋体" w:hAnsi="宋体"/>
                <w:color w:val="auto"/>
                <w:szCs w:val="21"/>
              </w:rPr>
            </w:pPr>
            <w:r>
              <w:rPr>
                <w:rFonts w:hint="eastAsia" w:ascii="宋体" w:hAnsi="宋体"/>
                <w:color w:val="auto"/>
                <w:szCs w:val="21"/>
              </w:rPr>
              <w:t>第二节</w:t>
            </w:r>
          </w:p>
          <w:p w14:paraId="692591F6">
            <w:pPr>
              <w:adjustRightInd w:val="0"/>
              <w:snapToGrid w:val="0"/>
              <w:jc w:val="center"/>
              <w:rPr>
                <w:rFonts w:hint="eastAsia" w:ascii="宋体" w:hAnsi="宋体"/>
                <w:color w:val="auto"/>
                <w:szCs w:val="21"/>
              </w:rPr>
            </w:pPr>
            <w:r>
              <w:rPr>
                <w:rFonts w:hint="eastAsia" w:ascii="宋体" w:hAnsi="宋体"/>
                <w:color w:val="auto"/>
                <w:szCs w:val="21"/>
              </w:rPr>
              <w:t>第1.2（6）项</w:t>
            </w:r>
          </w:p>
        </w:tc>
        <w:tc>
          <w:tcPr>
            <w:tcW w:w="1742" w:type="dxa"/>
            <w:vAlign w:val="center"/>
          </w:tcPr>
          <w:p w14:paraId="10C0C725">
            <w:pPr>
              <w:adjustRightInd w:val="0"/>
              <w:snapToGrid w:val="0"/>
              <w:jc w:val="left"/>
              <w:rPr>
                <w:rFonts w:hint="eastAsia" w:ascii="宋体" w:hAnsi="宋体"/>
                <w:color w:val="auto"/>
                <w:szCs w:val="21"/>
              </w:rPr>
            </w:pPr>
            <w:r>
              <w:rPr>
                <w:rFonts w:hint="eastAsia" w:ascii="宋体" w:hAnsi="宋体"/>
                <w:color w:val="auto"/>
                <w:szCs w:val="21"/>
              </w:rPr>
              <w:t>联合体具体要求</w:t>
            </w:r>
          </w:p>
        </w:tc>
        <w:tc>
          <w:tcPr>
            <w:tcW w:w="5170" w:type="dxa"/>
            <w:vAlign w:val="center"/>
          </w:tcPr>
          <w:p w14:paraId="7EA6E778">
            <w:pPr>
              <w:adjustRightInd w:val="0"/>
              <w:snapToGrid w:val="0"/>
              <w:jc w:val="left"/>
              <w:rPr>
                <w:rFonts w:hint="eastAsia" w:ascii="宋体" w:hAnsi="宋体"/>
                <w:color w:val="auto"/>
                <w:szCs w:val="21"/>
              </w:rPr>
            </w:pPr>
          </w:p>
        </w:tc>
      </w:tr>
      <w:tr w14:paraId="14EADF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35598C3">
            <w:pPr>
              <w:adjustRightInd w:val="0"/>
              <w:snapToGrid w:val="0"/>
              <w:jc w:val="center"/>
              <w:rPr>
                <w:rFonts w:hint="eastAsia" w:ascii="宋体" w:hAnsi="宋体"/>
                <w:color w:val="auto"/>
                <w:szCs w:val="21"/>
              </w:rPr>
            </w:pPr>
            <w:r>
              <w:rPr>
                <w:rFonts w:hint="eastAsia" w:ascii="宋体" w:hAnsi="宋体"/>
                <w:color w:val="auto"/>
                <w:szCs w:val="21"/>
              </w:rPr>
              <w:t>第二节</w:t>
            </w:r>
          </w:p>
          <w:p w14:paraId="45BE67FA">
            <w:pPr>
              <w:adjustRightInd w:val="0"/>
              <w:snapToGrid w:val="0"/>
              <w:jc w:val="center"/>
              <w:rPr>
                <w:rFonts w:hint="eastAsia" w:ascii="宋体" w:hAnsi="宋体"/>
                <w:color w:val="auto"/>
                <w:szCs w:val="21"/>
              </w:rPr>
            </w:pPr>
            <w:r>
              <w:rPr>
                <w:rFonts w:hint="eastAsia" w:ascii="宋体" w:hAnsi="宋体"/>
                <w:color w:val="auto"/>
                <w:szCs w:val="21"/>
              </w:rPr>
              <w:t>第1.2（7）项</w:t>
            </w:r>
          </w:p>
        </w:tc>
        <w:tc>
          <w:tcPr>
            <w:tcW w:w="1742" w:type="dxa"/>
            <w:vAlign w:val="center"/>
          </w:tcPr>
          <w:p w14:paraId="3043C359">
            <w:pPr>
              <w:adjustRightInd w:val="0"/>
              <w:snapToGrid w:val="0"/>
              <w:jc w:val="left"/>
              <w:rPr>
                <w:rFonts w:hint="eastAsia" w:ascii="宋体" w:hAnsi="宋体"/>
                <w:color w:val="auto"/>
                <w:szCs w:val="21"/>
              </w:rPr>
            </w:pPr>
            <w:r>
              <w:rPr>
                <w:rFonts w:hint="eastAsia" w:ascii="宋体" w:hAnsi="宋体"/>
                <w:color w:val="auto"/>
                <w:szCs w:val="21"/>
              </w:rPr>
              <w:t>其他术语解释</w:t>
            </w:r>
          </w:p>
        </w:tc>
        <w:tc>
          <w:tcPr>
            <w:tcW w:w="5170" w:type="dxa"/>
            <w:vAlign w:val="center"/>
          </w:tcPr>
          <w:p w14:paraId="3E609136">
            <w:pPr>
              <w:adjustRightInd w:val="0"/>
              <w:snapToGrid w:val="0"/>
              <w:jc w:val="left"/>
              <w:rPr>
                <w:rFonts w:hint="eastAsia" w:ascii="宋体" w:hAnsi="宋体"/>
                <w:color w:val="auto"/>
                <w:szCs w:val="21"/>
              </w:rPr>
            </w:pPr>
          </w:p>
        </w:tc>
      </w:tr>
      <w:tr w14:paraId="05BF7B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F976E0">
            <w:pPr>
              <w:adjustRightInd w:val="0"/>
              <w:snapToGrid w:val="0"/>
              <w:jc w:val="center"/>
              <w:rPr>
                <w:rFonts w:hint="eastAsia" w:ascii="宋体" w:hAnsi="宋体"/>
                <w:color w:val="auto"/>
                <w:szCs w:val="21"/>
              </w:rPr>
            </w:pPr>
            <w:r>
              <w:rPr>
                <w:rFonts w:hint="eastAsia" w:ascii="宋体" w:hAnsi="宋体"/>
                <w:color w:val="auto"/>
                <w:szCs w:val="21"/>
              </w:rPr>
              <w:t>第二节</w:t>
            </w:r>
          </w:p>
          <w:p w14:paraId="1BE0B0C6">
            <w:pPr>
              <w:adjustRightInd w:val="0"/>
              <w:snapToGrid w:val="0"/>
              <w:jc w:val="center"/>
              <w:rPr>
                <w:rFonts w:hint="eastAsia" w:ascii="宋体" w:hAnsi="宋体"/>
                <w:color w:val="auto"/>
                <w:szCs w:val="21"/>
              </w:rPr>
            </w:pPr>
            <w:r>
              <w:rPr>
                <w:rFonts w:hint="eastAsia" w:ascii="宋体" w:hAnsi="宋体"/>
                <w:color w:val="auto"/>
                <w:szCs w:val="21"/>
              </w:rPr>
              <w:t>第4.4款</w:t>
            </w:r>
          </w:p>
        </w:tc>
        <w:tc>
          <w:tcPr>
            <w:tcW w:w="1742" w:type="dxa"/>
            <w:vAlign w:val="center"/>
          </w:tcPr>
          <w:p w14:paraId="78E971C7">
            <w:pPr>
              <w:adjustRightInd w:val="0"/>
              <w:snapToGrid w:val="0"/>
              <w:jc w:val="left"/>
              <w:rPr>
                <w:rFonts w:hint="eastAsia" w:ascii="宋体" w:hAnsi="宋体"/>
                <w:color w:val="auto"/>
                <w:szCs w:val="21"/>
              </w:rPr>
            </w:pPr>
            <w:r>
              <w:rPr>
                <w:rFonts w:hint="eastAsia" w:ascii="宋体" w:hAnsi="宋体"/>
                <w:color w:val="auto"/>
                <w:szCs w:val="21"/>
              </w:rPr>
              <w:t>履约验收中甲方提出异议或作出说明的期限</w:t>
            </w:r>
          </w:p>
        </w:tc>
        <w:tc>
          <w:tcPr>
            <w:tcW w:w="5170" w:type="dxa"/>
            <w:vAlign w:val="center"/>
          </w:tcPr>
          <w:p w14:paraId="41DEF0AE">
            <w:pPr>
              <w:adjustRightInd w:val="0"/>
              <w:snapToGrid w:val="0"/>
              <w:jc w:val="left"/>
              <w:rPr>
                <w:rFonts w:hint="eastAsia" w:ascii="宋体" w:hAnsi="宋体"/>
                <w:color w:val="auto"/>
                <w:szCs w:val="21"/>
              </w:rPr>
            </w:pPr>
          </w:p>
        </w:tc>
      </w:tr>
      <w:tr w14:paraId="7C5434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2EC26D">
            <w:pPr>
              <w:adjustRightInd w:val="0"/>
              <w:snapToGrid w:val="0"/>
              <w:jc w:val="center"/>
              <w:rPr>
                <w:rFonts w:hint="eastAsia" w:ascii="宋体" w:hAnsi="宋体"/>
                <w:color w:val="auto"/>
                <w:szCs w:val="21"/>
              </w:rPr>
            </w:pPr>
            <w:r>
              <w:rPr>
                <w:rFonts w:hint="eastAsia" w:ascii="宋体" w:hAnsi="宋体"/>
                <w:color w:val="auto"/>
                <w:szCs w:val="21"/>
              </w:rPr>
              <w:t>第二节</w:t>
            </w:r>
          </w:p>
          <w:p w14:paraId="7E4CA06D">
            <w:pPr>
              <w:adjustRightInd w:val="0"/>
              <w:snapToGrid w:val="0"/>
              <w:jc w:val="center"/>
              <w:rPr>
                <w:rFonts w:hint="eastAsia" w:ascii="宋体" w:hAnsi="宋体"/>
                <w:color w:val="auto"/>
                <w:szCs w:val="21"/>
              </w:rPr>
            </w:pPr>
            <w:r>
              <w:rPr>
                <w:rFonts w:hint="eastAsia" w:ascii="宋体" w:hAnsi="宋体"/>
                <w:color w:val="auto"/>
                <w:szCs w:val="21"/>
              </w:rPr>
              <w:t>第4.6款</w:t>
            </w:r>
          </w:p>
        </w:tc>
        <w:tc>
          <w:tcPr>
            <w:tcW w:w="1742" w:type="dxa"/>
            <w:vAlign w:val="center"/>
          </w:tcPr>
          <w:p w14:paraId="42753615">
            <w:pPr>
              <w:adjustRightInd w:val="0"/>
              <w:snapToGrid w:val="0"/>
              <w:jc w:val="left"/>
              <w:rPr>
                <w:rFonts w:hint="eastAsia" w:ascii="宋体" w:hAnsi="宋体"/>
                <w:color w:val="auto"/>
                <w:szCs w:val="21"/>
              </w:rPr>
            </w:pPr>
            <w:r>
              <w:rPr>
                <w:rFonts w:hint="eastAsia" w:ascii="宋体" w:hAnsi="宋体"/>
                <w:color w:val="auto"/>
                <w:szCs w:val="21"/>
              </w:rPr>
              <w:t>约定甲方承担的其他义务和责任</w:t>
            </w:r>
          </w:p>
        </w:tc>
        <w:tc>
          <w:tcPr>
            <w:tcW w:w="5170" w:type="dxa"/>
            <w:vAlign w:val="center"/>
          </w:tcPr>
          <w:p w14:paraId="75D765F7">
            <w:pPr>
              <w:adjustRightInd w:val="0"/>
              <w:snapToGrid w:val="0"/>
              <w:jc w:val="left"/>
              <w:rPr>
                <w:rFonts w:hint="eastAsia" w:ascii="宋体" w:hAnsi="宋体"/>
                <w:color w:val="auto"/>
                <w:szCs w:val="21"/>
              </w:rPr>
            </w:pPr>
          </w:p>
        </w:tc>
      </w:tr>
      <w:tr w14:paraId="7F3184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F76F79">
            <w:pPr>
              <w:adjustRightInd w:val="0"/>
              <w:snapToGrid w:val="0"/>
              <w:jc w:val="center"/>
              <w:rPr>
                <w:rFonts w:hint="eastAsia" w:ascii="宋体" w:hAnsi="宋体"/>
                <w:color w:val="auto"/>
                <w:szCs w:val="21"/>
              </w:rPr>
            </w:pPr>
            <w:r>
              <w:rPr>
                <w:rFonts w:hint="eastAsia" w:ascii="宋体" w:hAnsi="宋体"/>
                <w:color w:val="auto"/>
                <w:szCs w:val="21"/>
              </w:rPr>
              <w:t>第二节</w:t>
            </w:r>
          </w:p>
          <w:p w14:paraId="16B6478C">
            <w:pPr>
              <w:snapToGrid w:val="0"/>
              <w:jc w:val="center"/>
              <w:rPr>
                <w:color w:val="auto"/>
              </w:rPr>
            </w:pPr>
            <w:r>
              <w:rPr>
                <w:rFonts w:hint="eastAsia" w:ascii="宋体" w:hAnsi="宋体"/>
                <w:color w:val="auto"/>
                <w:szCs w:val="21"/>
              </w:rPr>
              <w:t>第5.4款</w:t>
            </w:r>
          </w:p>
        </w:tc>
        <w:tc>
          <w:tcPr>
            <w:tcW w:w="1742" w:type="dxa"/>
            <w:vAlign w:val="center"/>
          </w:tcPr>
          <w:p w14:paraId="42FF3CF0">
            <w:pPr>
              <w:adjustRightInd w:val="0"/>
              <w:snapToGrid w:val="0"/>
              <w:jc w:val="left"/>
              <w:rPr>
                <w:rFonts w:hint="eastAsia" w:ascii="宋体" w:hAnsi="宋体"/>
                <w:color w:val="auto"/>
                <w:szCs w:val="21"/>
              </w:rPr>
            </w:pPr>
            <w:r>
              <w:rPr>
                <w:rFonts w:hint="eastAsia" w:ascii="宋体" w:hAnsi="宋体"/>
                <w:color w:val="auto"/>
                <w:szCs w:val="21"/>
              </w:rPr>
              <w:t>约定乙方承担的其他义务和责任</w:t>
            </w:r>
          </w:p>
        </w:tc>
        <w:tc>
          <w:tcPr>
            <w:tcW w:w="5170" w:type="dxa"/>
            <w:vAlign w:val="center"/>
          </w:tcPr>
          <w:p w14:paraId="1B39A408">
            <w:pPr>
              <w:adjustRightInd w:val="0"/>
              <w:snapToGrid w:val="0"/>
              <w:jc w:val="left"/>
              <w:rPr>
                <w:rFonts w:hint="eastAsia" w:ascii="宋体" w:hAnsi="宋体"/>
                <w:color w:val="auto"/>
                <w:szCs w:val="21"/>
              </w:rPr>
            </w:pPr>
          </w:p>
        </w:tc>
      </w:tr>
      <w:tr w14:paraId="71DE60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3EB0B5">
            <w:pPr>
              <w:adjustRightInd w:val="0"/>
              <w:snapToGrid w:val="0"/>
              <w:jc w:val="center"/>
              <w:rPr>
                <w:rFonts w:hint="eastAsia" w:ascii="宋体" w:hAnsi="宋体"/>
                <w:color w:val="auto"/>
                <w:szCs w:val="21"/>
              </w:rPr>
            </w:pPr>
            <w:r>
              <w:rPr>
                <w:rFonts w:hint="eastAsia" w:ascii="宋体" w:hAnsi="宋体"/>
                <w:color w:val="auto"/>
                <w:szCs w:val="21"/>
              </w:rPr>
              <w:t>第二节</w:t>
            </w:r>
          </w:p>
          <w:p w14:paraId="1E3CEB99">
            <w:pPr>
              <w:snapToGrid w:val="0"/>
              <w:jc w:val="center"/>
              <w:rPr>
                <w:rFonts w:hint="eastAsia" w:ascii="宋体" w:hAnsi="宋体"/>
                <w:color w:val="auto"/>
                <w:szCs w:val="21"/>
              </w:rPr>
            </w:pPr>
            <w:r>
              <w:rPr>
                <w:rFonts w:hint="eastAsia" w:ascii="宋体" w:hAnsi="宋体"/>
                <w:color w:val="auto"/>
                <w:szCs w:val="21"/>
              </w:rPr>
              <w:t>第6.1款</w:t>
            </w:r>
          </w:p>
        </w:tc>
        <w:tc>
          <w:tcPr>
            <w:tcW w:w="1742" w:type="dxa"/>
            <w:vAlign w:val="center"/>
          </w:tcPr>
          <w:p w14:paraId="29F4B363">
            <w:pPr>
              <w:adjustRightInd w:val="0"/>
              <w:snapToGrid w:val="0"/>
              <w:jc w:val="left"/>
              <w:rPr>
                <w:rFonts w:hint="eastAsia" w:ascii="宋体" w:hAnsi="宋体"/>
                <w:color w:val="auto"/>
                <w:szCs w:val="21"/>
              </w:rPr>
            </w:pPr>
            <w:r>
              <w:rPr>
                <w:rFonts w:hint="eastAsia" w:ascii="宋体" w:hAnsi="宋体"/>
                <w:color w:val="auto"/>
                <w:szCs w:val="21"/>
              </w:rPr>
              <w:t>履行合同义务的顺序</w:t>
            </w:r>
          </w:p>
        </w:tc>
        <w:tc>
          <w:tcPr>
            <w:tcW w:w="5170" w:type="dxa"/>
            <w:vAlign w:val="center"/>
          </w:tcPr>
          <w:p w14:paraId="523320A6">
            <w:pPr>
              <w:adjustRightInd w:val="0"/>
              <w:snapToGrid w:val="0"/>
              <w:jc w:val="left"/>
              <w:rPr>
                <w:rFonts w:hint="eastAsia" w:ascii="宋体" w:hAnsi="宋体"/>
                <w:color w:val="auto"/>
                <w:szCs w:val="21"/>
              </w:rPr>
            </w:pPr>
          </w:p>
        </w:tc>
      </w:tr>
      <w:tr w14:paraId="631EF6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1DD5907">
            <w:pPr>
              <w:adjustRightInd w:val="0"/>
              <w:snapToGrid w:val="0"/>
              <w:jc w:val="center"/>
              <w:rPr>
                <w:rFonts w:hint="eastAsia" w:ascii="宋体" w:hAnsi="宋体"/>
                <w:color w:val="auto"/>
                <w:szCs w:val="21"/>
              </w:rPr>
            </w:pPr>
            <w:r>
              <w:rPr>
                <w:rFonts w:hint="eastAsia" w:ascii="宋体" w:hAnsi="宋体"/>
                <w:color w:val="auto"/>
                <w:szCs w:val="21"/>
              </w:rPr>
              <w:t>第二节</w:t>
            </w:r>
          </w:p>
          <w:p w14:paraId="156E363F">
            <w:pPr>
              <w:adjustRightInd w:val="0"/>
              <w:snapToGrid w:val="0"/>
              <w:jc w:val="center"/>
              <w:rPr>
                <w:rFonts w:hint="eastAsia" w:ascii="宋体" w:hAnsi="宋体"/>
                <w:color w:val="auto"/>
                <w:szCs w:val="21"/>
              </w:rPr>
            </w:pPr>
            <w:r>
              <w:rPr>
                <w:rFonts w:hint="eastAsia" w:ascii="宋体" w:hAnsi="宋体"/>
                <w:color w:val="auto"/>
                <w:szCs w:val="21"/>
              </w:rPr>
              <w:t>第7.1款</w:t>
            </w:r>
          </w:p>
        </w:tc>
        <w:tc>
          <w:tcPr>
            <w:tcW w:w="1742" w:type="dxa"/>
            <w:vAlign w:val="center"/>
          </w:tcPr>
          <w:p w14:paraId="2E027AD7">
            <w:pPr>
              <w:adjustRightInd w:val="0"/>
              <w:snapToGrid w:val="0"/>
              <w:jc w:val="left"/>
              <w:rPr>
                <w:rFonts w:hint="eastAsia" w:ascii="宋体" w:hAnsi="宋体"/>
                <w:color w:val="auto"/>
                <w:szCs w:val="21"/>
              </w:rPr>
            </w:pPr>
            <w:r>
              <w:rPr>
                <w:rFonts w:hint="eastAsia" w:ascii="宋体" w:hAnsi="宋体"/>
                <w:color w:val="auto"/>
                <w:szCs w:val="21"/>
              </w:rPr>
              <w:t>包装特殊要求</w:t>
            </w:r>
          </w:p>
        </w:tc>
        <w:tc>
          <w:tcPr>
            <w:tcW w:w="5170" w:type="dxa"/>
            <w:vAlign w:val="center"/>
          </w:tcPr>
          <w:p w14:paraId="06BD33CB">
            <w:pPr>
              <w:rPr>
                <w:color w:val="auto"/>
              </w:rPr>
            </w:pPr>
          </w:p>
        </w:tc>
      </w:tr>
      <w:tr w14:paraId="45E591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CE8C902">
            <w:pPr>
              <w:adjustRightInd w:val="0"/>
              <w:snapToGrid w:val="0"/>
              <w:jc w:val="center"/>
              <w:rPr>
                <w:rFonts w:hint="eastAsia" w:ascii="宋体" w:hAnsi="宋体"/>
                <w:color w:val="auto"/>
                <w:szCs w:val="21"/>
              </w:rPr>
            </w:pPr>
          </w:p>
        </w:tc>
        <w:tc>
          <w:tcPr>
            <w:tcW w:w="1742" w:type="dxa"/>
            <w:vAlign w:val="center"/>
          </w:tcPr>
          <w:p w14:paraId="2C55816E">
            <w:pPr>
              <w:adjustRightInd w:val="0"/>
              <w:snapToGrid w:val="0"/>
              <w:jc w:val="left"/>
              <w:rPr>
                <w:rFonts w:hint="eastAsia" w:ascii="宋体" w:hAnsi="宋体"/>
                <w:color w:val="auto"/>
                <w:szCs w:val="21"/>
              </w:rPr>
            </w:pPr>
            <w:r>
              <w:rPr>
                <w:rFonts w:hint="eastAsia" w:ascii="宋体" w:hAnsi="宋体"/>
                <w:color w:val="auto"/>
                <w:szCs w:val="21"/>
              </w:rPr>
              <w:t>指定现场</w:t>
            </w:r>
          </w:p>
        </w:tc>
        <w:tc>
          <w:tcPr>
            <w:tcW w:w="5170" w:type="dxa"/>
            <w:vAlign w:val="center"/>
          </w:tcPr>
          <w:p w14:paraId="5673413E">
            <w:pPr>
              <w:rPr>
                <w:color w:val="auto"/>
              </w:rPr>
            </w:pPr>
          </w:p>
        </w:tc>
      </w:tr>
      <w:tr w14:paraId="51C706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72" w:hRule="atLeast"/>
        </w:trPr>
        <w:tc>
          <w:tcPr>
            <w:tcW w:w="1607" w:type="dxa"/>
            <w:vAlign w:val="center"/>
          </w:tcPr>
          <w:p w14:paraId="65A768F5">
            <w:pPr>
              <w:adjustRightInd w:val="0"/>
              <w:snapToGrid w:val="0"/>
              <w:jc w:val="center"/>
              <w:rPr>
                <w:rFonts w:hint="eastAsia" w:ascii="宋体" w:hAnsi="宋体"/>
                <w:color w:val="auto"/>
                <w:szCs w:val="21"/>
              </w:rPr>
            </w:pPr>
            <w:r>
              <w:rPr>
                <w:rFonts w:hint="eastAsia" w:ascii="宋体" w:hAnsi="宋体"/>
                <w:color w:val="auto"/>
                <w:szCs w:val="21"/>
              </w:rPr>
              <w:t>第二节</w:t>
            </w:r>
          </w:p>
          <w:p w14:paraId="0CC111D6">
            <w:pPr>
              <w:adjustRightInd w:val="0"/>
              <w:snapToGrid w:val="0"/>
              <w:jc w:val="center"/>
              <w:rPr>
                <w:rFonts w:hint="eastAsia" w:ascii="宋体" w:hAnsi="宋体"/>
                <w:color w:val="auto"/>
                <w:szCs w:val="21"/>
              </w:rPr>
            </w:pPr>
            <w:r>
              <w:rPr>
                <w:rFonts w:hint="eastAsia" w:ascii="宋体" w:hAnsi="宋体"/>
                <w:color w:val="auto"/>
                <w:szCs w:val="21"/>
              </w:rPr>
              <w:t>第7.2款</w:t>
            </w:r>
          </w:p>
        </w:tc>
        <w:tc>
          <w:tcPr>
            <w:tcW w:w="1742" w:type="dxa"/>
            <w:vAlign w:val="center"/>
          </w:tcPr>
          <w:p w14:paraId="7114E254">
            <w:pPr>
              <w:adjustRightInd w:val="0"/>
              <w:snapToGrid w:val="0"/>
              <w:jc w:val="left"/>
              <w:rPr>
                <w:rFonts w:hint="eastAsia" w:ascii="宋体" w:hAnsi="宋体"/>
                <w:color w:val="auto"/>
                <w:szCs w:val="21"/>
              </w:rPr>
            </w:pPr>
            <w:r>
              <w:rPr>
                <w:rFonts w:hint="eastAsia" w:ascii="宋体" w:hAnsi="宋体"/>
                <w:color w:val="auto"/>
                <w:szCs w:val="21"/>
              </w:rPr>
              <w:t>运输特殊要求</w:t>
            </w:r>
          </w:p>
        </w:tc>
        <w:tc>
          <w:tcPr>
            <w:tcW w:w="5170" w:type="dxa"/>
            <w:vAlign w:val="center"/>
          </w:tcPr>
          <w:p w14:paraId="2AE366DB">
            <w:pPr>
              <w:rPr>
                <w:color w:val="auto"/>
              </w:rPr>
            </w:pPr>
          </w:p>
        </w:tc>
      </w:tr>
      <w:tr w14:paraId="374388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F9C1BF1">
            <w:pPr>
              <w:adjustRightInd w:val="0"/>
              <w:snapToGrid w:val="0"/>
              <w:jc w:val="center"/>
              <w:rPr>
                <w:rFonts w:hint="eastAsia" w:ascii="宋体" w:hAnsi="宋体"/>
                <w:color w:val="auto"/>
                <w:szCs w:val="21"/>
              </w:rPr>
            </w:pPr>
            <w:r>
              <w:rPr>
                <w:rFonts w:hint="eastAsia" w:ascii="宋体" w:hAnsi="宋体"/>
                <w:color w:val="auto"/>
                <w:szCs w:val="21"/>
              </w:rPr>
              <w:t>第二节</w:t>
            </w:r>
          </w:p>
          <w:p w14:paraId="2F08AF9F">
            <w:pPr>
              <w:adjustRightInd w:val="0"/>
              <w:snapToGrid w:val="0"/>
              <w:jc w:val="center"/>
              <w:rPr>
                <w:rFonts w:hint="eastAsia" w:ascii="宋体" w:hAnsi="宋体"/>
                <w:color w:val="auto"/>
                <w:szCs w:val="21"/>
              </w:rPr>
            </w:pPr>
            <w:r>
              <w:rPr>
                <w:rFonts w:hint="eastAsia" w:ascii="宋体" w:hAnsi="宋体"/>
                <w:color w:val="auto"/>
                <w:szCs w:val="21"/>
              </w:rPr>
              <w:t>第7.3款</w:t>
            </w:r>
          </w:p>
        </w:tc>
        <w:tc>
          <w:tcPr>
            <w:tcW w:w="1742" w:type="dxa"/>
            <w:vAlign w:val="center"/>
          </w:tcPr>
          <w:p w14:paraId="629EAC2B">
            <w:pPr>
              <w:adjustRightInd w:val="0"/>
              <w:snapToGrid w:val="0"/>
              <w:jc w:val="left"/>
              <w:rPr>
                <w:rFonts w:hint="eastAsia" w:ascii="宋体" w:hAnsi="宋体"/>
                <w:color w:val="auto"/>
                <w:szCs w:val="21"/>
              </w:rPr>
            </w:pPr>
            <w:r>
              <w:rPr>
                <w:rFonts w:hint="eastAsia" w:ascii="宋体" w:hAnsi="宋体"/>
                <w:color w:val="auto"/>
                <w:szCs w:val="21"/>
              </w:rPr>
              <w:t>保险要求</w:t>
            </w:r>
          </w:p>
        </w:tc>
        <w:tc>
          <w:tcPr>
            <w:tcW w:w="5170" w:type="dxa"/>
            <w:vAlign w:val="center"/>
          </w:tcPr>
          <w:p w14:paraId="11B45C47">
            <w:pPr>
              <w:rPr>
                <w:color w:val="auto"/>
              </w:rPr>
            </w:pPr>
          </w:p>
        </w:tc>
      </w:tr>
      <w:tr w14:paraId="6936E2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D83899">
            <w:pPr>
              <w:adjustRightInd w:val="0"/>
              <w:snapToGrid w:val="0"/>
              <w:jc w:val="center"/>
              <w:rPr>
                <w:rFonts w:hint="eastAsia" w:ascii="宋体" w:hAnsi="宋体"/>
                <w:color w:val="auto"/>
                <w:szCs w:val="21"/>
              </w:rPr>
            </w:pPr>
            <w:r>
              <w:rPr>
                <w:rFonts w:hint="eastAsia" w:ascii="宋体" w:hAnsi="宋体"/>
                <w:color w:val="auto"/>
                <w:szCs w:val="21"/>
              </w:rPr>
              <w:t>第二节</w:t>
            </w:r>
          </w:p>
          <w:p w14:paraId="30FF6EF0">
            <w:pPr>
              <w:adjustRightInd w:val="0"/>
              <w:snapToGrid w:val="0"/>
              <w:jc w:val="center"/>
              <w:rPr>
                <w:rFonts w:hint="eastAsia" w:ascii="宋体" w:hAnsi="宋体"/>
                <w:color w:val="auto"/>
                <w:szCs w:val="21"/>
              </w:rPr>
            </w:pPr>
            <w:r>
              <w:rPr>
                <w:rFonts w:hint="eastAsia" w:ascii="宋体" w:hAnsi="宋体"/>
                <w:color w:val="auto"/>
                <w:szCs w:val="21"/>
              </w:rPr>
              <w:t>第8.2（1）项</w:t>
            </w:r>
          </w:p>
        </w:tc>
        <w:tc>
          <w:tcPr>
            <w:tcW w:w="1742" w:type="dxa"/>
            <w:vAlign w:val="center"/>
          </w:tcPr>
          <w:p w14:paraId="4A3A317B">
            <w:pPr>
              <w:adjustRightInd w:val="0"/>
              <w:snapToGrid w:val="0"/>
              <w:jc w:val="left"/>
              <w:rPr>
                <w:rFonts w:hint="eastAsia" w:ascii="宋体" w:hAnsi="宋体"/>
                <w:color w:val="auto"/>
                <w:szCs w:val="21"/>
              </w:rPr>
            </w:pPr>
            <w:r>
              <w:rPr>
                <w:rFonts w:hint="eastAsia" w:ascii="宋体" w:hAnsi="宋体"/>
                <w:color w:val="auto"/>
                <w:szCs w:val="21"/>
              </w:rPr>
              <w:t>质量保证期</w:t>
            </w:r>
          </w:p>
        </w:tc>
        <w:tc>
          <w:tcPr>
            <w:tcW w:w="5170" w:type="dxa"/>
            <w:vAlign w:val="center"/>
          </w:tcPr>
          <w:p w14:paraId="05EE0771">
            <w:pPr>
              <w:autoSpaceDE w:val="0"/>
              <w:autoSpaceDN w:val="0"/>
              <w:adjustRightInd w:val="0"/>
              <w:snapToGrid w:val="0"/>
              <w:ind w:firstLine="420" w:firstLineChars="200"/>
              <w:jc w:val="left"/>
              <w:rPr>
                <w:rFonts w:hint="eastAsia" w:ascii="宋体" w:hAnsi="宋体"/>
                <w:color w:val="auto"/>
                <w:szCs w:val="21"/>
              </w:rPr>
            </w:pPr>
          </w:p>
        </w:tc>
      </w:tr>
      <w:tr w14:paraId="37E4E1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44B9BD">
            <w:pPr>
              <w:adjustRightInd w:val="0"/>
              <w:snapToGrid w:val="0"/>
              <w:jc w:val="center"/>
              <w:rPr>
                <w:rFonts w:hint="eastAsia" w:ascii="宋体" w:hAnsi="宋体"/>
                <w:color w:val="auto"/>
                <w:szCs w:val="21"/>
              </w:rPr>
            </w:pPr>
            <w:r>
              <w:rPr>
                <w:rFonts w:hint="eastAsia" w:ascii="宋体" w:hAnsi="宋体"/>
                <w:color w:val="auto"/>
                <w:szCs w:val="21"/>
              </w:rPr>
              <w:t>第二节</w:t>
            </w:r>
          </w:p>
          <w:p w14:paraId="01F72BAA">
            <w:pPr>
              <w:adjustRightInd w:val="0"/>
              <w:snapToGrid w:val="0"/>
              <w:jc w:val="center"/>
              <w:rPr>
                <w:rFonts w:hint="eastAsia" w:ascii="宋体" w:hAnsi="宋体"/>
                <w:color w:val="auto"/>
                <w:szCs w:val="21"/>
              </w:rPr>
            </w:pPr>
            <w:r>
              <w:rPr>
                <w:rFonts w:hint="eastAsia" w:ascii="宋体" w:hAnsi="宋体"/>
                <w:color w:val="auto"/>
                <w:szCs w:val="21"/>
              </w:rPr>
              <w:t>第8.2（3）项</w:t>
            </w:r>
          </w:p>
        </w:tc>
        <w:tc>
          <w:tcPr>
            <w:tcW w:w="1742" w:type="dxa"/>
            <w:vAlign w:val="center"/>
          </w:tcPr>
          <w:p w14:paraId="50F3D35D">
            <w:pPr>
              <w:adjustRightInd w:val="0"/>
              <w:snapToGrid w:val="0"/>
              <w:jc w:val="left"/>
              <w:rPr>
                <w:rFonts w:hint="eastAsia" w:ascii="宋体" w:hAnsi="宋体"/>
                <w:color w:val="auto"/>
                <w:szCs w:val="21"/>
              </w:rPr>
            </w:pPr>
            <w:r>
              <w:rPr>
                <w:rFonts w:hint="eastAsia" w:ascii="宋体" w:hAnsi="宋体"/>
                <w:color w:val="auto"/>
                <w:szCs w:val="21"/>
              </w:rPr>
              <w:t>货物质量缺陷</w:t>
            </w:r>
          </w:p>
          <w:p w14:paraId="5B899FDD">
            <w:pPr>
              <w:adjustRightInd w:val="0"/>
              <w:snapToGrid w:val="0"/>
              <w:jc w:val="left"/>
              <w:rPr>
                <w:rFonts w:hint="eastAsia" w:ascii="宋体" w:hAnsi="宋体"/>
                <w:color w:val="auto"/>
                <w:szCs w:val="21"/>
              </w:rPr>
            </w:pPr>
            <w:r>
              <w:rPr>
                <w:rFonts w:hint="eastAsia" w:ascii="宋体" w:hAnsi="宋体"/>
                <w:color w:val="auto"/>
                <w:szCs w:val="21"/>
              </w:rPr>
              <w:t>响应时间</w:t>
            </w:r>
          </w:p>
        </w:tc>
        <w:tc>
          <w:tcPr>
            <w:tcW w:w="5170" w:type="dxa"/>
            <w:vAlign w:val="center"/>
          </w:tcPr>
          <w:p w14:paraId="4092F4F2">
            <w:pPr>
              <w:adjustRightInd w:val="0"/>
              <w:snapToGrid w:val="0"/>
              <w:jc w:val="left"/>
              <w:rPr>
                <w:rFonts w:hint="eastAsia" w:ascii="宋体" w:hAnsi="宋体"/>
                <w:color w:val="auto"/>
                <w:szCs w:val="21"/>
              </w:rPr>
            </w:pPr>
          </w:p>
        </w:tc>
      </w:tr>
      <w:tr w14:paraId="02A844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3B9132">
            <w:pPr>
              <w:snapToGrid w:val="0"/>
              <w:jc w:val="center"/>
              <w:rPr>
                <w:rFonts w:hint="eastAsia" w:ascii="宋体" w:hAnsi="宋体" w:cs="宋体"/>
                <w:color w:val="auto"/>
                <w:szCs w:val="21"/>
              </w:rPr>
            </w:pPr>
            <w:r>
              <w:rPr>
                <w:rFonts w:hint="eastAsia" w:ascii="宋体" w:hAnsi="宋体" w:cs="宋体"/>
                <w:color w:val="auto"/>
                <w:szCs w:val="21"/>
              </w:rPr>
              <w:t>第二节</w:t>
            </w:r>
          </w:p>
          <w:p w14:paraId="6B6456B3">
            <w:pPr>
              <w:pStyle w:val="141"/>
              <w:ind w:firstLine="0" w:firstLineChars="0"/>
              <w:jc w:val="center"/>
              <w:rPr>
                <w:rFonts w:hint="eastAsia"/>
                <w:color w:val="auto"/>
              </w:rPr>
            </w:pPr>
            <w:r>
              <w:rPr>
                <w:rFonts w:hint="eastAsia" w:ascii="宋体" w:hAnsi="宋体" w:eastAsia="宋体" w:cs="宋体"/>
                <w:color w:val="auto"/>
              </w:rPr>
              <w:t>第11.1款</w:t>
            </w:r>
          </w:p>
        </w:tc>
        <w:tc>
          <w:tcPr>
            <w:tcW w:w="1742" w:type="dxa"/>
            <w:vAlign w:val="center"/>
          </w:tcPr>
          <w:p w14:paraId="3EAF579F">
            <w:pPr>
              <w:adjustRightInd w:val="0"/>
              <w:snapToGrid w:val="0"/>
              <w:rPr>
                <w:rFonts w:hint="eastAsia" w:ascii="宋体" w:hAnsi="宋体"/>
                <w:color w:val="auto"/>
                <w:szCs w:val="21"/>
              </w:rPr>
            </w:pPr>
            <w:r>
              <w:rPr>
                <w:rFonts w:hint="eastAsia" w:ascii="宋体" w:hAnsi="宋体"/>
                <w:color w:val="auto"/>
                <w:szCs w:val="21"/>
              </w:rPr>
              <w:t>其他应当保密的信息</w:t>
            </w:r>
          </w:p>
        </w:tc>
        <w:tc>
          <w:tcPr>
            <w:tcW w:w="5170" w:type="dxa"/>
            <w:vAlign w:val="center"/>
          </w:tcPr>
          <w:p w14:paraId="078CC818">
            <w:pPr>
              <w:adjustRightInd w:val="0"/>
              <w:snapToGrid w:val="0"/>
              <w:jc w:val="left"/>
              <w:rPr>
                <w:rFonts w:hint="eastAsia" w:ascii="宋体" w:hAnsi="宋体"/>
                <w:color w:val="auto"/>
                <w:szCs w:val="21"/>
              </w:rPr>
            </w:pPr>
          </w:p>
        </w:tc>
      </w:tr>
      <w:tr w14:paraId="3DE4C6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8B559AC">
            <w:pPr>
              <w:adjustRightInd w:val="0"/>
              <w:snapToGrid w:val="0"/>
              <w:jc w:val="center"/>
              <w:rPr>
                <w:rFonts w:hint="eastAsia" w:ascii="宋体" w:hAnsi="宋体"/>
                <w:color w:val="auto"/>
                <w:szCs w:val="21"/>
              </w:rPr>
            </w:pPr>
            <w:r>
              <w:rPr>
                <w:rFonts w:hint="eastAsia" w:ascii="宋体" w:hAnsi="宋体"/>
                <w:color w:val="auto"/>
                <w:szCs w:val="21"/>
              </w:rPr>
              <w:t>第二节</w:t>
            </w:r>
          </w:p>
          <w:p w14:paraId="036E2742">
            <w:pPr>
              <w:adjustRightInd w:val="0"/>
              <w:snapToGrid w:val="0"/>
              <w:jc w:val="center"/>
              <w:rPr>
                <w:rFonts w:hint="eastAsia" w:ascii="宋体" w:hAnsi="宋体"/>
                <w:color w:val="auto"/>
                <w:szCs w:val="21"/>
              </w:rPr>
            </w:pPr>
            <w:r>
              <w:rPr>
                <w:rFonts w:hint="eastAsia" w:ascii="宋体" w:hAnsi="宋体"/>
                <w:color w:val="auto"/>
                <w:szCs w:val="21"/>
              </w:rPr>
              <w:t>第12.2款</w:t>
            </w:r>
          </w:p>
        </w:tc>
        <w:tc>
          <w:tcPr>
            <w:tcW w:w="1742" w:type="dxa"/>
            <w:vAlign w:val="center"/>
          </w:tcPr>
          <w:p w14:paraId="095E4E3D">
            <w:pPr>
              <w:adjustRightInd w:val="0"/>
              <w:snapToGrid w:val="0"/>
              <w:jc w:val="left"/>
              <w:rPr>
                <w:rFonts w:hint="eastAsia" w:ascii="宋体" w:hAnsi="宋体"/>
                <w:color w:val="auto"/>
                <w:szCs w:val="21"/>
              </w:rPr>
            </w:pPr>
            <w:r>
              <w:rPr>
                <w:rFonts w:hint="eastAsia" w:ascii="宋体" w:hAnsi="宋体"/>
                <w:color w:val="auto"/>
                <w:szCs w:val="21"/>
              </w:rPr>
              <w:t>合同价款支付时间</w:t>
            </w:r>
          </w:p>
        </w:tc>
        <w:tc>
          <w:tcPr>
            <w:tcW w:w="5170" w:type="dxa"/>
            <w:vAlign w:val="center"/>
          </w:tcPr>
          <w:p w14:paraId="74C167F9">
            <w:pPr>
              <w:adjustRightInd w:val="0"/>
              <w:snapToGrid w:val="0"/>
              <w:jc w:val="left"/>
              <w:rPr>
                <w:rFonts w:hint="eastAsia" w:ascii="宋体" w:hAnsi="宋体"/>
                <w:color w:val="auto"/>
                <w:szCs w:val="21"/>
              </w:rPr>
            </w:pPr>
          </w:p>
        </w:tc>
      </w:tr>
      <w:tr w14:paraId="4FDB23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B48631F">
            <w:pPr>
              <w:adjustRightInd w:val="0"/>
              <w:snapToGrid w:val="0"/>
              <w:jc w:val="center"/>
              <w:rPr>
                <w:rFonts w:hint="eastAsia" w:ascii="宋体" w:hAnsi="宋体"/>
                <w:color w:val="auto"/>
                <w:szCs w:val="21"/>
              </w:rPr>
            </w:pPr>
            <w:r>
              <w:rPr>
                <w:rFonts w:hint="eastAsia" w:ascii="宋体" w:hAnsi="宋体"/>
                <w:color w:val="auto"/>
                <w:szCs w:val="21"/>
              </w:rPr>
              <w:t>第二节</w:t>
            </w:r>
          </w:p>
          <w:p w14:paraId="6BC41FF9">
            <w:pPr>
              <w:adjustRightInd w:val="0"/>
              <w:snapToGrid w:val="0"/>
              <w:jc w:val="center"/>
              <w:rPr>
                <w:rFonts w:hint="eastAsia" w:ascii="宋体" w:hAnsi="宋体"/>
                <w:color w:val="auto"/>
                <w:szCs w:val="21"/>
              </w:rPr>
            </w:pPr>
            <w:r>
              <w:rPr>
                <w:rFonts w:hint="eastAsia" w:ascii="宋体" w:hAnsi="宋体"/>
                <w:color w:val="auto"/>
                <w:szCs w:val="21"/>
              </w:rPr>
              <w:t>第13.2款</w:t>
            </w:r>
          </w:p>
        </w:tc>
        <w:tc>
          <w:tcPr>
            <w:tcW w:w="1742" w:type="dxa"/>
            <w:vAlign w:val="center"/>
          </w:tcPr>
          <w:p w14:paraId="1BCF3B1F">
            <w:pPr>
              <w:adjustRightInd w:val="0"/>
              <w:snapToGrid w:val="0"/>
              <w:jc w:val="left"/>
              <w:rPr>
                <w:rFonts w:hint="eastAsia" w:ascii="宋体" w:hAnsi="宋体"/>
                <w:color w:val="auto"/>
                <w:szCs w:val="21"/>
              </w:rPr>
            </w:pPr>
            <w:r>
              <w:rPr>
                <w:rFonts w:hint="eastAsia" w:ascii="宋体" w:hAnsi="宋体"/>
                <w:color w:val="auto"/>
                <w:szCs w:val="21"/>
              </w:rPr>
              <w:t>履约保证金不予退还的情形</w:t>
            </w:r>
          </w:p>
        </w:tc>
        <w:tc>
          <w:tcPr>
            <w:tcW w:w="5170" w:type="dxa"/>
            <w:vAlign w:val="center"/>
          </w:tcPr>
          <w:p w14:paraId="39E4EB1F">
            <w:pPr>
              <w:adjustRightInd w:val="0"/>
              <w:snapToGrid w:val="0"/>
              <w:jc w:val="left"/>
              <w:rPr>
                <w:rFonts w:hint="eastAsia" w:ascii="宋体" w:hAnsi="宋体"/>
                <w:color w:val="auto"/>
                <w:szCs w:val="21"/>
              </w:rPr>
            </w:pPr>
          </w:p>
        </w:tc>
      </w:tr>
      <w:tr w14:paraId="69E5AD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5E58D0">
            <w:pPr>
              <w:adjustRightInd w:val="0"/>
              <w:snapToGrid w:val="0"/>
              <w:jc w:val="center"/>
              <w:rPr>
                <w:rFonts w:hint="eastAsia" w:ascii="宋体" w:hAnsi="宋体"/>
                <w:color w:val="auto"/>
                <w:szCs w:val="21"/>
              </w:rPr>
            </w:pPr>
            <w:r>
              <w:rPr>
                <w:rFonts w:hint="eastAsia" w:ascii="宋体" w:hAnsi="宋体"/>
                <w:color w:val="auto"/>
                <w:szCs w:val="21"/>
              </w:rPr>
              <w:t>第二节</w:t>
            </w:r>
          </w:p>
          <w:p w14:paraId="1D3D6B9D">
            <w:pPr>
              <w:adjustRightInd w:val="0"/>
              <w:snapToGrid w:val="0"/>
              <w:jc w:val="center"/>
              <w:rPr>
                <w:rFonts w:hint="eastAsia" w:ascii="宋体" w:hAnsi="宋体"/>
                <w:color w:val="auto"/>
                <w:szCs w:val="21"/>
              </w:rPr>
            </w:pPr>
            <w:r>
              <w:rPr>
                <w:rFonts w:hint="eastAsia" w:ascii="宋体" w:hAnsi="宋体"/>
                <w:color w:val="auto"/>
                <w:szCs w:val="21"/>
              </w:rPr>
              <w:t>第13.3款</w:t>
            </w:r>
          </w:p>
        </w:tc>
        <w:tc>
          <w:tcPr>
            <w:tcW w:w="1742" w:type="dxa"/>
            <w:vAlign w:val="center"/>
          </w:tcPr>
          <w:p w14:paraId="3A831D1B">
            <w:pPr>
              <w:adjustRightInd w:val="0"/>
              <w:snapToGrid w:val="0"/>
              <w:jc w:val="left"/>
              <w:rPr>
                <w:rFonts w:hint="eastAsia" w:ascii="宋体" w:hAnsi="宋体"/>
                <w:color w:val="auto"/>
                <w:szCs w:val="21"/>
              </w:rPr>
            </w:pPr>
            <w:r>
              <w:rPr>
                <w:rFonts w:hint="eastAsia" w:ascii="宋体" w:hAnsi="宋体"/>
                <w:color w:val="auto"/>
                <w:szCs w:val="21"/>
              </w:rPr>
              <w:t>履约保证金退还时间及逾期退还的违约金</w:t>
            </w:r>
          </w:p>
        </w:tc>
        <w:tc>
          <w:tcPr>
            <w:tcW w:w="5170" w:type="dxa"/>
            <w:vAlign w:val="center"/>
          </w:tcPr>
          <w:p w14:paraId="56926A3D">
            <w:pPr>
              <w:adjustRightInd w:val="0"/>
              <w:snapToGrid w:val="0"/>
              <w:jc w:val="left"/>
              <w:rPr>
                <w:rFonts w:hint="eastAsia" w:ascii="宋体" w:hAnsi="宋体"/>
                <w:color w:val="auto"/>
                <w:szCs w:val="21"/>
              </w:rPr>
            </w:pPr>
          </w:p>
        </w:tc>
      </w:tr>
      <w:tr w14:paraId="0DE1A8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25669D6">
            <w:pPr>
              <w:adjustRightInd w:val="0"/>
              <w:snapToGrid w:val="0"/>
              <w:jc w:val="center"/>
              <w:rPr>
                <w:rFonts w:hint="eastAsia" w:ascii="宋体" w:hAnsi="宋体"/>
                <w:color w:val="auto"/>
                <w:szCs w:val="21"/>
              </w:rPr>
            </w:pPr>
            <w:r>
              <w:rPr>
                <w:rFonts w:hint="eastAsia" w:ascii="宋体" w:hAnsi="宋体"/>
                <w:color w:val="auto"/>
                <w:szCs w:val="21"/>
              </w:rPr>
              <w:t>第二节</w:t>
            </w:r>
          </w:p>
          <w:p w14:paraId="2D2FBDEA">
            <w:pPr>
              <w:adjustRightInd w:val="0"/>
              <w:snapToGrid w:val="0"/>
              <w:jc w:val="center"/>
              <w:rPr>
                <w:rFonts w:hint="eastAsia" w:ascii="宋体" w:hAnsi="宋体"/>
                <w:color w:val="auto"/>
                <w:szCs w:val="21"/>
              </w:rPr>
            </w:pPr>
            <w:r>
              <w:rPr>
                <w:rFonts w:hint="eastAsia" w:ascii="宋体" w:hAnsi="宋体"/>
                <w:color w:val="auto"/>
                <w:szCs w:val="21"/>
              </w:rPr>
              <w:t>第14.1（3）项</w:t>
            </w:r>
          </w:p>
        </w:tc>
        <w:tc>
          <w:tcPr>
            <w:tcW w:w="1742" w:type="dxa"/>
            <w:vAlign w:val="center"/>
          </w:tcPr>
          <w:p w14:paraId="5A17E96C">
            <w:pPr>
              <w:adjustRightInd w:val="0"/>
              <w:snapToGrid w:val="0"/>
              <w:jc w:val="left"/>
              <w:rPr>
                <w:rFonts w:hint="eastAsia" w:ascii="宋体" w:hAnsi="宋体"/>
                <w:color w:val="auto"/>
                <w:szCs w:val="21"/>
              </w:rPr>
            </w:pPr>
            <w:r>
              <w:rPr>
                <w:rFonts w:hint="eastAsia" w:ascii="宋体" w:hAnsi="宋体"/>
                <w:color w:val="auto"/>
                <w:szCs w:val="21"/>
              </w:rPr>
              <w:t>运行监督、维修期限</w:t>
            </w:r>
          </w:p>
        </w:tc>
        <w:tc>
          <w:tcPr>
            <w:tcW w:w="5170" w:type="dxa"/>
            <w:vAlign w:val="center"/>
          </w:tcPr>
          <w:p w14:paraId="35669716">
            <w:pPr>
              <w:adjustRightInd w:val="0"/>
              <w:snapToGrid w:val="0"/>
              <w:jc w:val="left"/>
              <w:rPr>
                <w:rFonts w:hint="eastAsia" w:ascii="宋体" w:hAnsi="宋体"/>
                <w:color w:val="auto"/>
                <w:szCs w:val="21"/>
              </w:rPr>
            </w:pPr>
          </w:p>
        </w:tc>
      </w:tr>
      <w:tr w14:paraId="5150E4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84" w:hRule="atLeast"/>
        </w:trPr>
        <w:tc>
          <w:tcPr>
            <w:tcW w:w="1607" w:type="dxa"/>
            <w:vAlign w:val="center"/>
          </w:tcPr>
          <w:p w14:paraId="7D26D774">
            <w:pPr>
              <w:adjustRightInd w:val="0"/>
              <w:snapToGrid w:val="0"/>
              <w:jc w:val="center"/>
              <w:rPr>
                <w:rFonts w:hint="eastAsia" w:ascii="宋体" w:hAnsi="宋体"/>
                <w:color w:val="auto"/>
                <w:szCs w:val="21"/>
              </w:rPr>
            </w:pPr>
            <w:r>
              <w:rPr>
                <w:rFonts w:hint="eastAsia" w:ascii="宋体" w:hAnsi="宋体"/>
                <w:color w:val="auto"/>
                <w:szCs w:val="21"/>
              </w:rPr>
              <w:t>第二节</w:t>
            </w:r>
          </w:p>
          <w:p w14:paraId="0E16791A">
            <w:pPr>
              <w:adjustRightInd w:val="0"/>
              <w:snapToGrid w:val="0"/>
              <w:jc w:val="center"/>
              <w:rPr>
                <w:rFonts w:hint="eastAsia" w:ascii="宋体" w:hAnsi="宋体"/>
                <w:color w:val="auto"/>
                <w:szCs w:val="21"/>
              </w:rPr>
            </w:pPr>
            <w:r>
              <w:rPr>
                <w:rFonts w:hint="eastAsia" w:ascii="宋体" w:hAnsi="宋体"/>
                <w:color w:val="auto"/>
                <w:szCs w:val="21"/>
              </w:rPr>
              <w:t>第14.1（5）项</w:t>
            </w:r>
          </w:p>
        </w:tc>
        <w:tc>
          <w:tcPr>
            <w:tcW w:w="1742" w:type="dxa"/>
            <w:vAlign w:val="center"/>
          </w:tcPr>
          <w:p w14:paraId="512BA3C1">
            <w:pPr>
              <w:adjustRightInd w:val="0"/>
              <w:snapToGrid w:val="0"/>
              <w:jc w:val="left"/>
              <w:rPr>
                <w:rFonts w:hint="eastAsia" w:ascii="宋体" w:hAnsi="宋体"/>
                <w:color w:val="auto"/>
                <w:szCs w:val="21"/>
              </w:rPr>
            </w:pPr>
            <w:r>
              <w:rPr>
                <w:rFonts w:hint="eastAsia" w:ascii="宋体" w:hAnsi="宋体"/>
                <w:color w:val="auto"/>
                <w:szCs w:val="21"/>
              </w:rPr>
              <w:t>货物回收的约定</w:t>
            </w:r>
          </w:p>
        </w:tc>
        <w:tc>
          <w:tcPr>
            <w:tcW w:w="5170" w:type="dxa"/>
            <w:vAlign w:val="center"/>
          </w:tcPr>
          <w:p w14:paraId="2A8E39ED">
            <w:pPr>
              <w:adjustRightInd w:val="0"/>
              <w:snapToGrid w:val="0"/>
              <w:jc w:val="left"/>
              <w:rPr>
                <w:rFonts w:hint="eastAsia" w:ascii="宋体" w:hAnsi="宋体"/>
                <w:color w:val="auto"/>
                <w:szCs w:val="21"/>
              </w:rPr>
            </w:pPr>
          </w:p>
        </w:tc>
      </w:tr>
      <w:tr w14:paraId="5ADE2C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596CCEB">
            <w:pPr>
              <w:adjustRightInd w:val="0"/>
              <w:snapToGrid w:val="0"/>
              <w:jc w:val="center"/>
              <w:rPr>
                <w:rFonts w:hint="eastAsia" w:ascii="宋体" w:hAnsi="宋体"/>
                <w:color w:val="auto"/>
                <w:szCs w:val="21"/>
              </w:rPr>
            </w:pPr>
            <w:r>
              <w:rPr>
                <w:rFonts w:hint="eastAsia" w:ascii="宋体" w:hAnsi="宋体"/>
                <w:color w:val="auto"/>
                <w:szCs w:val="21"/>
              </w:rPr>
              <w:t>第二节</w:t>
            </w:r>
          </w:p>
          <w:p w14:paraId="466A53DE">
            <w:pPr>
              <w:adjustRightInd w:val="0"/>
              <w:snapToGrid w:val="0"/>
              <w:jc w:val="center"/>
              <w:rPr>
                <w:rFonts w:hint="eastAsia" w:ascii="宋体" w:hAnsi="宋体"/>
                <w:color w:val="auto"/>
                <w:szCs w:val="21"/>
              </w:rPr>
            </w:pPr>
            <w:r>
              <w:rPr>
                <w:rFonts w:hint="eastAsia" w:ascii="宋体" w:hAnsi="宋体"/>
                <w:color w:val="auto"/>
                <w:szCs w:val="21"/>
              </w:rPr>
              <w:t>第14.1（6）项</w:t>
            </w:r>
          </w:p>
        </w:tc>
        <w:tc>
          <w:tcPr>
            <w:tcW w:w="1742" w:type="dxa"/>
            <w:vAlign w:val="center"/>
          </w:tcPr>
          <w:p w14:paraId="10E2DD3B">
            <w:pPr>
              <w:adjustRightInd w:val="0"/>
              <w:snapToGrid w:val="0"/>
              <w:jc w:val="left"/>
              <w:rPr>
                <w:rFonts w:hint="eastAsia" w:ascii="宋体" w:hAnsi="宋体"/>
                <w:color w:val="auto"/>
                <w:szCs w:val="21"/>
              </w:rPr>
            </w:pPr>
            <w:r>
              <w:rPr>
                <w:rFonts w:hint="eastAsia" w:ascii="宋体" w:hAnsi="宋体"/>
                <w:color w:val="auto"/>
                <w:szCs w:val="21"/>
              </w:rPr>
              <w:t>乙方提供的其他服务</w:t>
            </w:r>
          </w:p>
        </w:tc>
        <w:tc>
          <w:tcPr>
            <w:tcW w:w="5170" w:type="dxa"/>
            <w:vAlign w:val="center"/>
          </w:tcPr>
          <w:p w14:paraId="3E5EBADE">
            <w:pPr>
              <w:adjustRightInd w:val="0"/>
              <w:snapToGrid w:val="0"/>
              <w:jc w:val="left"/>
              <w:rPr>
                <w:rFonts w:hint="eastAsia" w:ascii="宋体" w:hAnsi="宋体"/>
                <w:color w:val="auto"/>
                <w:szCs w:val="21"/>
              </w:rPr>
            </w:pPr>
          </w:p>
        </w:tc>
      </w:tr>
      <w:tr w14:paraId="1BA44B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9BCE30">
            <w:pPr>
              <w:adjustRightInd w:val="0"/>
              <w:snapToGrid w:val="0"/>
              <w:jc w:val="center"/>
              <w:rPr>
                <w:rFonts w:hint="eastAsia" w:ascii="宋体" w:hAnsi="宋体"/>
                <w:color w:val="auto"/>
                <w:szCs w:val="21"/>
              </w:rPr>
            </w:pPr>
            <w:r>
              <w:rPr>
                <w:rFonts w:hint="eastAsia" w:ascii="宋体" w:hAnsi="宋体"/>
                <w:color w:val="auto"/>
                <w:szCs w:val="21"/>
              </w:rPr>
              <w:t>第二节</w:t>
            </w:r>
          </w:p>
          <w:p w14:paraId="7E703433">
            <w:pPr>
              <w:adjustRightInd w:val="0"/>
              <w:snapToGrid w:val="0"/>
              <w:jc w:val="center"/>
              <w:rPr>
                <w:rFonts w:hint="eastAsia" w:ascii="宋体" w:hAnsi="宋体"/>
                <w:color w:val="auto"/>
                <w:szCs w:val="21"/>
              </w:rPr>
            </w:pPr>
            <w:r>
              <w:rPr>
                <w:rFonts w:hint="eastAsia" w:ascii="宋体" w:hAnsi="宋体"/>
                <w:color w:val="auto"/>
                <w:szCs w:val="21"/>
              </w:rPr>
              <w:t>第15.1款</w:t>
            </w:r>
          </w:p>
        </w:tc>
        <w:tc>
          <w:tcPr>
            <w:tcW w:w="1742" w:type="dxa"/>
            <w:vAlign w:val="center"/>
          </w:tcPr>
          <w:p w14:paraId="3B42535D">
            <w:pPr>
              <w:adjustRightInd w:val="0"/>
              <w:snapToGrid w:val="0"/>
              <w:jc w:val="left"/>
              <w:rPr>
                <w:rFonts w:hint="eastAsia" w:ascii="宋体" w:hAnsi="宋体"/>
                <w:color w:val="auto"/>
                <w:szCs w:val="21"/>
              </w:rPr>
            </w:pPr>
            <w:r>
              <w:rPr>
                <w:rFonts w:hint="eastAsia" w:ascii="宋体" w:hAnsi="宋体"/>
                <w:color w:val="auto"/>
                <w:szCs w:val="21"/>
              </w:rPr>
              <w:t>修理、重作、更换相关具体规定</w:t>
            </w:r>
          </w:p>
        </w:tc>
        <w:tc>
          <w:tcPr>
            <w:tcW w:w="5170" w:type="dxa"/>
            <w:vAlign w:val="center"/>
          </w:tcPr>
          <w:p w14:paraId="5D2991F4">
            <w:pPr>
              <w:adjustRightInd w:val="0"/>
              <w:snapToGrid w:val="0"/>
              <w:jc w:val="left"/>
              <w:rPr>
                <w:rFonts w:hint="eastAsia" w:ascii="宋体" w:hAnsi="宋体"/>
                <w:color w:val="auto"/>
                <w:szCs w:val="21"/>
              </w:rPr>
            </w:pPr>
          </w:p>
        </w:tc>
      </w:tr>
      <w:tr w14:paraId="57C201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C6CAB8">
            <w:pPr>
              <w:adjustRightInd w:val="0"/>
              <w:snapToGrid w:val="0"/>
              <w:jc w:val="center"/>
              <w:rPr>
                <w:rFonts w:hint="eastAsia" w:ascii="宋体" w:hAnsi="宋体"/>
                <w:color w:val="auto"/>
                <w:szCs w:val="21"/>
              </w:rPr>
            </w:pPr>
            <w:r>
              <w:rPr>
                <w:rFonts w:hint="eastAsia" w:ascii="宋体" w:hAnsi="宋体"/>
                <w:color w:val="auto"/>
                <w:szCs w:val="21"/>
              </w:rPr>
              <w:t>第二节</w:t>
            </w:r>
          </w:p>
          <w:p w14:paraId="1362628B">
            <w:pPr>
              <w:adjustRightInd w:val="0"/>
              <w:snapToGrid w:val="0"/>
              <w:jc w:val="center"/>
              <w:rPr>
                <w:rFonts w:hint="eastAsia" w:ascii="宋体" w:hAnsi="宋体"/>
                <w:color w:val="auto"/>
                <w:szCs w:val="21"/>
              </w:rPr>
            </w:pPr>
            <w:r>
              <w:rPr>
                <w:rFonts w:hint="eastAsia" w:ascii="宋体" w:hAnsi="宋体"/>
                <w:color w:val="auto"/>
                <w:szCs w:val="21"/>
              </w:rPr>
              <w:t>第15.2（2）项</w:t>
            </w:r>
          </w:p>
        </w:tc>
        <w:tc>
          <w:tcPr>
            <w:tcW w:w="1742" w:type="dxa"/>
            <w:vAlign w:val="center"/>
          </w:tcPr>
          <w:p w14:paraId="05C3AE19">
            <w:pPr>
              <w:adjustRightInd w:val="0"/>
              <w:snapToGrid w:val="0"/>
              <w:jc w:val="left"/>
              <w:rPr>
                <w:rFonts w:hint="eastAsia" w:ascii="宋体" w:hAnsi="宋体"/>
                <w:color w:val="auto"/>
                <w:szCs w:val="21"/>
              </w:rPr>
            </w:pPr>
            <w:r>
              <w:rPr>
                <w:rFonts w:hint="eastAsia" w:ascii="宋体" w:hAnsi="宋体"/>
                <w:color w:val="auto"/>
                <w:szCs w:val="21"/>
              </w:rPr>
              <w:t>迟延交货赔偿费</w:t>
            </w:r>
          </w:p>
        </w:tc>
        <w:tc>
          <w:tcPr>
            <w:tcW w:w="5170" w:type="dxa"/>
            <w:vAlign w:val="center"/>
          </w:tcPr>
          <w:p w14:paraId="0F32FA00">
            <w:pPr>
              <w:adjustRightInd w:val="0"/>
              <w:snapToGrid w:val="0"/>
              <w:jc w:val="left"/>
              <w:rPr>
                <w:rFonts w:hint="eastAsia" w:ascii="宋体" w:hAnsi="宋体"/>
                <w:color w:val="auto"/>
                <w:szCs w:val="21"/>
                <w:u w:val="single"/>
              </w:rPr>
            </w:pPr>
          </w:p>
        </w:tc>
      </w:tr>
      <w:tr w14:paraId="29B082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88D0AF">
            <w:pPr>
              <w:adjustRightInd w:val="0"/>
              <w:snapToGrid w:val="0"/>
              <w:jc w:val="center"/>
              <w:rPr>
                <w:rFonts w:hint="eastAsia" w:ascii="宋体" w:hAnsi="宋体"/>
                <w:color w:val="auto"/>
                <w:szCs w:val="21"/>
              </w:rPr>
            </w:pPr>
            <w:r>
              <w:rPr>
                <w:rFonts w:hint="eastAsia" w:ascii="宋体" w:hAnsi="宋体"/>
                <w:color w:val="auto"/>
                <w:szCs w:val="21"/>
              </w:rPr>
              <w:t>第二节</w:t>
            </w:r>
          </w:p>
          <w:p w14:paraId="12060E0F">
            <w:pPr>
              <w:adjustRightInd w:val="0"/>
              <w:snapToGrid w:val="0"/>
              <w:jc w:val="center"/>
              <w:rPr>
                <w:rFonts w:hint="eastAsia" w:ascii="宋体" w:hAnsi="宋体"/>
                <w:color w:val="auto"/>
                <w:szCs w:val="21"/>
              </w:rPr>
            </w:pPr>
            <w:r>
              <w:rPr>
                <w:rFonts w:hint="eastAsia" w:ascii="宋体" w:hAnsi="宋体"/>
                <w:color w:val="auto"/>
                <w:szCs w:val="21"/>
              </w:rPr>
              <w:t>第15.3款</w:t>
            </w:r>
          </w:p>
        </w:tc>
        <w:tc>
          <w:tcPr>
            <w:tcW w:w="1742" w:type="dxa"/>
            <w:vAlign w:val="center"/>
          </w:tcPr>
          <w:p w14:paraId="629461F4">
            <w:pPr>
              <w:adjustRightInd w:val="0"/>
              <w:snapToGrid w:val="0"/>
              <w:jc w:val="left"/>
              <w:rPr>
                <w:rFonts w:hint="eastAsia" w:ascii="宋体" w:hAnsi="宋体"/>
                <w:color w:val="auto"/>
                <w:szCs w:val="21"/>
              </w:rPr>
            </w:pPr>
            <w:r>
              <w:rPr>
                <w:rFonts w:hint="eastAsia" w:ascii="宋体" w:hAnsi="宋体"/>
                <w:color w:val="auto"/>
                <w:szCs w:val="21"/>
              </w:rPr>
              <w:t>逾期付款利息</w:t>
            </w:r>
          </w:p>
        </w:tc>
        <w:tc>
          <w:tcPr>
            <w:tcW w:w="5170" w:type="dxa"/>
            <w:vAlign w:val="center"/>
          </w:tcPr>
          <w:p w14:paraId="51102298">
            <w:pPr>
              <w:adjustRightInd w:val="0"/>
              <w:snapToGrid w:val="0"/>
              <w:jc w:val="left"/>
              <w:rPr>
                <w:rFonts w:hint="eastAsia" w:ascii="宋体" w:hAnsi="宋体"/>
                <w:color w:val="auto"/>
                <w:szCs w:val="21"/>
                <w:u w:val="single"/>
              </w:rPr>
            </w:pPr>
          </w:p>
        </w:tc>
      </w:tr>
      <w:tr w14:paraId="600DB6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27A4BA3">
            <w:pPr>
              <w:adjustRightInd w:val="0"/>
              <w:snapToGrid w:val="0"/>
              <w:jc w:val="center"/>
              <w:rPr>
                <w:rFonts w:hint="eastAsia" w:ascii="宋体" w:hAnsi="宋体"/>
                <w:color w:val="auto"/>
                <w:szCs w:val="21"/>
              </w:rPr>
            </w:pPr>
            <w:r>
              <w:rPr>
                <w:rFonts w:hint="eastAsia" w:ascii="宋体" w:hAnsi="宋体"/>
                <w:color w:val="auto"/>
                <w:szCs w:val="21"/>
              </w:rPr>
              <w:t>第二节</w:t>
            </w:r>
          </w:p>
          <w:p w14:paraId="3423CAE7">
            <w:pPr>
              <w:adjustRightInd w:val="0"/>
              <w:snapToGrid w:val="0"/>
              <w:jc w:val="center"/>
              <w:rPr>
                <w:rFonts w:hint="eastAsia" w:ascii="宋体" w:hAnsi="宋体"/>
                <w:color w:val="auto"/>
                <w:szCs w:val="21"/>
              </w:rPr>
            </w:pPr>
            <w:r>
              <w:rPr>
                <w:rFonts w:hint="eastAsia" w:ascii="宋体" w:hAnsi="宋体"/>
                <w:color w:val="auto"/>
                <w:szCs w:val="21"/>
              </w:rPr>
              <w:t>第15.4款</w:t>
            </w:r>
          </w:p>
        </w:tc>
        <w:tc>
          <w:tcPr>
            <w:tcW w:w="1742" w:type="dxa"/>
            <w:tcBorders>
              <w:left w:val="single" w:color="auto" w:sz="2" w:space="0"/>
              <w:bottom w:val="single" w:color="auto" w:sz="2" w:space="0"/>
              <w:right w:val="single" w:color="auto" w:sz="2" w:space="0"/>
            </w:tcBorders>
            <w:vAlign w:val="center"/>
          </w:tcPr>
          <w:p w14:paraId="39BED375">
            <w:pPr>
              <w:adjustRightInd w:val="0"/>
              <w:snapToGrid w:val="0"/>
              <w:jc w:val="left"/>
              <w:rPr>
                <w:rFonts w:hint="eastAsia" w:ascii="宋体" w:hAnsi="宋体"/>
                <w:color w:val="auto"/>
                <w:szCs w:val="21"/>
              </w:rPr>
            </w:pPr>
            <w:r>
              <w:rPr>
                <w:rFonts w:hint="eastAsia" w:ascii="宋体" w:hAnsi="宋体"/>
                <w:color w:val="auto"/>
                <w:szCs w:val="21"/>
              </w:rPr>
              <w:t>其他违约责任</w:t>
            </w:r>
          </w:p>
        </w:tc>
        <w:tc>
          <w:tcPr>
            <w:tcW w:w="5170" w:type="dxa"/>
            <w:tcBorders>
              <w:left w:val="single" w:color="auto" w:sz="2" w:space="0"/>
              <w:bottom w:val="single" w:color="auto" w:sz="2" w:space="0"/>
            </w:tcBorders>
            <w:vAlign w:val="center"/>
          </w:tcPr>
          <w:p w14:paraId="774610E1">
            <w:pPr>
              <w:adjustRightInd w:val="0"/>
              <w:snapToGrid w:val="0"/>
              <w:jc w:val="left"/>
              <w:rPr>
                <w:rFonts w:hint="eastAsia" w:ascii="宋体" w:hAnsi="宋体"/>
                <w:color w:val="auto"/>
                <w:szCs w:val="21"/>
                <w:u w:val="single"/>
              </w:rPr>
            </w:pPr>
          </w:p>
        </w:tc>
      </w:tr>
      <w:tr w14:paraId="31CBED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57147A">
            <w:pPr>
              <w:adjustRightInd w:val="0"/>
              <w:snapToGrid w:val="0"/>
              <w:jc w:val="center"/>
              <w:rPr>
                <w:rFonts w:hint="eastAsia" w:ascii="宋体" w:hAnsi="宋体"/>
                <w:color w:val="auto"/>
                <w:szCs w:val="21"/>
              </w:rPr>
            </w:pPr>
            <w:r>
              <w:rPr>
                <w:rFonts w:hint="eastAsia" w:ascii="宋体" w:hAnsi="宋体"/>
                <w:color w:val="auto"/>
                <w:szCs w:val="21"/>
              </w:rPr>
              <w:t>第二节</w:t>
            </w:r>
          </w:p>
          <w:p w14:paraId="2B0EF5BB">
            <w:pPr>
              <w:adjustRightInd w:val="0"/>
              <w:snapToGrid w:val="0"/>
              <w:jc w:val="center"/>
              <w:rPr>
                <w:rFonts w:hint="eastAsia" w:ascii="宋体" w:hAnsi="宋体"/>
                <w:color w:val="auto"/>
                <w:szCs w:val="21"/>
              </w:rPr>
            </w:pPr>
            <w:r>
              <w:rPr>
                <w:rFonts w:hint="eastAsia" w:ascii="宋体" w:hAnsi="宋体"/>
                <w:color w:val="auto"/>
                <w:szCs w:val="21"/>
              </w:rPr>
              <w:t>第19.2款</w:t>
            </w:r>
          </w:p>
        </w:tc>
        <w:tc>
          <w:tcPr>
            <w:tcW w:w="1742" w:type="dxa"/>
            <w:tcBorders>
              <w:top w:val="single" w:color="auto" w:sz="2" w:space="0"/>
              <w:left w:val="single" w:color="auto" w:sz="2" w:space="0"/>
              <w:right w:val="single" w:color="auto" w:sz="2" w:space="0"/>
            </w:tcBorders>
            <w:vAlign w:val="center"/>
          </w:tcPr>
          <w:p w14:paraId="7401EC6C">
            <w:pPr>
              <w:adjustRightInd w:val="0"/>
              <w:snapToGrid w:val="0"/>
              <w:jc w:val="left"/>
              <w:rPr>
                <w:rFonts w:hint="eastAsia" w:ascii="宋体" w:hAnsi="宋体"/>
                <w:color w:val="auto"/>
                <w:szCs w:val="21"/>
              </w:rPr>
            </w:pPr>
            <w:r>
              <w:rPr>
                <w:rFonts w:hint="eastAsia" w:ascii="宋体" w:hAnsi="宋体"/>
                <w:color w:val="auto"/>
                <w:szCs w:val="21"/>
              </w:rPr>
              <w:t>解决争议的方法</w:t>
            </w:r>
          </w:p>
        </w:tc>
        <w:tc>
          <w:tcPr>
            <w:tcW w:w="5170" w:type="dxa"/>
            <w:tcBorders>
              <w:top w:val="single" w:color="auto" w:sz="2" w:space="0"/>
              <w:left w:val="single" w:color="auto" w:sz="2" w:space="0"/>
            </w:tcBorders>
            <w:vAlign w:val="center"/>
          </w:tcPr>
          <w:p w14:paraId="236D4649">
            <w:pPr>
              <w:autoSpaceDE w:val="0"/>
              <w:autoSpaceDN w:val="0"/>
              <w:adjustRightInd w:val="0"/>
              <w:snapToGrid w:val="0"/>
              <w:spacing w:line="400" w:lineRule="exact"/>
              <w:jc w:val="left"/>
              <w:rPr>
                <w:rFonts w:hint="eastAsia" w:ascii="宋体" w:hAnsi="宋体" w:cs="宋体"/>
                <w:iCs/>
                <w:color w:val="auto"/>
                <w:szCs w:val="21"/>
              </w:rPr>
            </w:pPr>
            <w:r>
              <w:rPr>
                <w:rFonts w:hint="eastAsia" w:ascii="宋体" w:hAnsi="宋体" w:cs="宋体"/>
                <w:iCs/>
                <w:color w:val="auto"/>
                <w:szCs w:val="21"/>
              </w:rPr>
              <w:t>因本合同及合同有关事项发生的争议，按下列第</w:t>
            </w:r>
            <w:r>
              <w:rPr>
                <w:rFonts w:hint="eastAsia" w:ascii="宋体" w:hAnsi="宋体" w:cs="宋体"/>
                <w:iCs/>
                <w:color w:val="auto"/>
                <w:szCs w:val="21"/>
                <w:u w:val="single"/>
              </w:rPr>
              <w:t xml:space="preserve">   </w:t>
            </w:r>
            <w:r>
              <w:rPr>
                <w:rFonts w:hint="eastAsia" w:ascii="宋体" w:hAnsi="宋体" w:cs="宋体"/>
                <w:iCs/>
                <w:color w:val="auto"/>
                <w:szCs w:val="21"/>
              </w:rPr>
              <w:t>种方式解决：</w:t>
            </w:r>
          </w:p>
          <w:p w14:paraId="7DB48519">
            <w:pPr>
              <w:autoSpaceDE w:val="0"/>
              <w:autoSpaceDN w:val="0"/>
              <w:adjustRightInd w:val="0"/>
              <w:snapToGrid w:val="0"/>
              <w:spacing w:line="400" w:lineRule="exact"/>
              <w:jc w:val="left"/>
              <w:rPr>
                <w:rFonts w:hint="eastAsia" w:ascii="宋体" w:hAnsi="宋体" w:cs="宋体"/>
                <w:iCs/>
                <w:color w:val="auto"/>
                <w:szCs w:val="21"/>
              </w:rPr>
            </w:pPr>
            <w:r>
              <w:rPr>
                <w:rFonts w:hint="eastAsia" w:ascii="宋体" w:hAnsi="宋体" w:cs="宋体"/>
                <w:iCs/>
                <w:color w:val="auto"/>
                <w:szCs w:val="21"/>
              </w:rPr>
              <w:t>（1）向</w:t>
            </w:r>
            <w:r>
              <w:rPr>
                <w:rFonts w:hint="eastAsia" w:ascii="宋体" w:hAnsi="宋体" w:cs="宋体"/>
                <w:iCs/>
                <w:color w:val="auto"/>
                <w:szCs w:val="21"/>
                <w:u w:val="single"/>
              </w:rPr>
              <w:t xml:space="preserve">                    </w:t>
            </w:r>
            <w:r>
              <w:rPr>
                <w:rFonts w:hint="eastAsia" w:ascii="宋体" w:hAnsi="宋体" w:cs="宋体"/>
                <w:iCs/>
                <w:color w:val="auto"/>
                <w:szCs w:val="21"/>
              </w:rPr>
              <w:t>仲裁委员会申请仲裁，仲裁地点为</w:t>
            </w:r>
            <w:r>
              <w:rPr>
                <w:rFonts w:hint="eastAsia" w:ascii="宋体" w:hAnsi="宋体" w:cs="宋体"/>
                <w:iCs/>
                <w:color w:val="auto"/>
                <w:szCs w:val="21"/>
                <w:u w:val="single"/>
              </w:rPr>
              <w:t xml:space="preserve">           </w:t>
            </w:r>
            <w:r>
              <w:rPr>
                <w:rFonts w:hint="eastAsia" w:ascii="宋体" w:hAnsi="宋体" w:cs="宋体"/>
                <w:iCs/>
                <w:color w:val="auto"/>
                <w:szCs w:val="21"/>
              </w:rPr>
              <w:t>；</w:t>
            </w:r>
          </w:p>
          <w:p w14:paraId="2BBE4A2B">
            <w:pPr>
              <w:adjustRightInd w:val="0"/>
              <w:snapToGrid w:val="0"/>
              <w:jc w:val="left"/>
              <w:rPr>
                <w:rFonts w:hint="eastAsia" w:ascii="宋体" w:hAnsi="宋体"/>
                <w:color w:val="auto"/>
                <w:szCs w:val="21"/>
                <w:u w:val="single"/>
              </w:rPr>
            </w:pPr>
            <w:r>
              <w:rPr>
                <w:rFonts w:hint="eastAsia" w:ascii="宋体" w:hAnsi="宋体" w:cs="宋体"/>
                <w:iCs/>
                <w:color w:val="auto"/>
                <w:szCs w:val="21"/>
              </w:rPr>
              <w:t>（2）向</w:t>
            </w:r>
            <w:r>
              <w:rPr>
                <w:rFonts w:hint="eastAsia" w:ascii="宋体" w:hAnsi="宋体" w:cs="宋体"/>
                <w:iCs/>
                <w:color w:val="auto"/>
                <w:szCs w:val="21"/>
                <w:u w:val="single"/>
              </w:rPr>
              <w:t xml:space="preserve">                    </w:t>
            </w:r>
            <w:r>
              <w:rPr>
                <w:rFonts w:hint="eastAsia" w:ascii="宋体" w:hAnsi="宋体" w:cs="宋体"/>
                <w:iCs/>
                <w:color w:val="auto"/>
                <w:szCs w:val="21"/>
              </w:rPr>
              <w:t>人民法院起诉。</w:t>
            </w:r>
          </w:p>
        </w:tc>
      </w:tr>
      <w:tr w14:paraId="22FDFD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772B04C8">
            <w:pPr>
              <w:adjustRightInd w:val="0"/>
              <w:snapToGrid w:val="0"/>
              <w:jc w:val="center"/>
              <w:rPr>
                <w:rFonts w:hint="eastAsia" w:ascii="宋体" w:hAnsi="宋体"/>
                <w:color w:val="auto"/>
                <w:szCs w:val="21"/>
              </w:rPr>
            </w:pPr>
            <w:r>
              <w:rPr>
                <w:rFonts w:hint="eastAsia" w:ascii="宋体" w:hAnsi="宋体"/>
                <w:color w:val="auto"/>
                <w:szCs w:val="21"/>
              </w:rPr>
              <w:t>第二节</w:t>
            </w:r>
          </w:p>
          <w:p w14:paraId="4405BE8D">
            <w:pPr>
              <w:adjustRightInd w:val="0"/>
              <w:snapToGrid w:val="0"/>
              <w:jc w:val="center"/>
              <w:rPr>
                <w:rFonts w:hint="eastAsia" w:ascii="宋体" w:hAnsi="宋体"/>
                <w:color w:val="auto"/>
                <w:szCs w:val="21"/>
              </w:rPr>
            </w:pPr>
            <w:r>
              <w:rPr>
                <w:rFonts w:hint="eastAsia" w:ascii="宋体" w:hAnsi="宋体"/>
                <w:color w:val="auto"/>
                <w:szCs w:val="21"/>
              </w:rPr>
              <w:t>第23.1款</w:t>
            </w:r>
          </w:p>
        </w:tc>
        <w:tc>
          <w:tcPr>
            <w:tcW w:w="1742" w:type="dxa"/>
            <w:vAlign w:val="center"/>
          </w:tcPr>
          <w:p w14:paraId="6C4D4D6B">
            <w:pPr>
              <w:adjustRightInd w:val="0"/>
              <w:snapToGrid w:val="0"/>
              <w:jc w:val="left"/>
              <w:rPr>
                <w:rFonts w:hint="eastAsia" w:ascii="宋体" w:hAnsi="宋体"/>
                <w:color w:val="auto"/>
                <w:szCs w:val="21"/>
              </w:rPr>
            </w:pPr>
            <w:r>
              <w:rPr>
                <w:rFonts w:hint="eastAsia" w:ascii="宋体" w:hAnsi="宋体"/>
                <w:bCs/>
                <w:color w:val="auto"/>
                <w:szCs w:val="21"/>
              </w:rPr>
              <w:t>其他专用条款</w:t>
            </w:r>
          </w:p>
        </w:tc>
        <w:tc>
          <w:tcPr>
            <w:tcW w:w="5170" w:type="dxa"/>
            <w:vAlign w:val="center"/>
          </w:tcPr>
          <w:p w14:paraId="356BBA84">
            <w:pPr>
              <w:adjustRightInd w:val="0"/>
              <w:snapToGrid w:val="0"/>
              <w:jc w:val="left"/>
              <w:rPr>
                <w:rFonts w:hint="eastAsia" w:ascii="宋体" w:hAnsi="宋体"/>
                <w:color w:val="auto"/>
                <w:szCs w:val="21"/>
              </w:rPr>
            </w:pPr>
          </w:p>
        </w:tc>
      </w:tr>
    </w:tbl>
    <w:p w14:paraId="3464D80D">
      <w:pPr>
        <w:rPr>
          <w:color w:val="auto"/>
        </w:rPr>
      </w:pPr>
    </w:p>
    <w:p w14:paraId="5FD0ABA9">
      <w:pPr>
        <w:rPr>
          <w:color w:val="auto"/>
        </w:rPr>
      </w:pPr>
    </w:p>
    <w:p w14:paraId="64D9D70B">
      <w:pPr>
        <w:rPr>
          <w:color w:val="auto"/>
        </w:rPr>
      </w:pPr>
    </w:p>
    <w:p w14:paraId="6AD57D04">
      <w:pPr>
        <w:pStyle w:val="21"/>
        <w:jc w:val="left"/>
        <w:rPr>
          <w:color w:val="auto"/>
        </w:rPr>
      </w:pPr>
    </w:p>
    <w:p w14:paraId="523AB334">
      <w:pPr>
        <w:rPr>
          <w:color w:val="auto"/>
        </w:rPr>
      </w:pPr>
    </w:p>
    <w:p w14:paraId="619D8BE8">
      <w:pPr>
        <w:rPr>
          <w:color w:val="auto"/>
        </w:rPr>
      </w:pPr>
    </w:p>
    <w:p w14:paraId="5A0CCCD4">
      <w:pPr>
        <w:rPr>
          <w:color w:val="auto"/>
        </w:rPr>
      </w:pPr>
    </w:p>
    <w:p w14:paraId="00F850AB">
      <w:pPr>
        <w:rPr>
          <w:color w:val="auto"/>
        </w:rPr>
      </w:pPr>
    </w:p>
    <w:p w14:paraId="6063B2DA">
      <w:pPr>
        <w:rPr>
          <w:color w:val="auto"/>
        </w:rPr>
      </w:pPr>
    </w:p>
    <w:p w14:paraId="030B8ED5">
      <w:pPr>
        <w:rPr>
          <w:color w:val="auto"/>
        </w:rPr>
      </w:pPr>
    </w:p>
    <w:p w14:paraId="36E9FBE9">
      <w:pPr>
        <w:rPr>
          <w:color w:val="auto"/>
        </w:rPr>
      </w:pPr>
    </w:p>
    <w:p w14:paraId="2F650FF9">
      <w:pPr>
        <w:rPr>
          <w:color w:val="auto"/>
        </w:rPr>
      </w:pPr>
    </w:p>
    <w:p w14:paraId="55AC7953">
      <w:pPr>
        <w:rPr>
          <w:color w:val="auto"/>
        </w:rPr>
      </w:pPr>
    </w:p>
    <w:p w14:paraId="49AF7FB3">
      <w:pPr>
        <w:pStyle w:val="141"/>
        <w:rPr>
          <w:rFonts w:hint="eastAsia"/>
          <w:color w:val="auto"/>
        </w:rPr>
      </w:pPr>
    </w:p>
    <w:p w14:paraId="2E5F74B8">
      <w:pPr>
        <w:pStyle w:val="141"/>
        <w:rPr>
          <w:rFonts w:hint="eastAsia"/>
          <w:color w:val="auto"/>
        </w:rPr>
      </w:pPr>
    </w:p>
    <w:p w14:paraId="08E2EF30">
      <w:pPr>
        <w:pStyle w:val="141"/>
        <w:rPr>
          <w:rFonts w:hint="eastAsia"/>
          <w:color w:val="auto"/>
        </w:rPr>
      </w:pPr>
    </w:p>
    <w:p w14:paraId="0D11AA8F">
      <w:pPr>
        <w:pStyle w:val="141"/>
        <w:rPr>
          <w:rFonts w:hint="eastAsia"/>
          <w:color w:val="auto"/>
        </w:rPr>
      </w:pPr>
    </w:p>
    <w:p w14:paraId="3E6D8D8B">
      <w:pPr>
        <w:pStyle w:val="141"/>
        <w:rPr>
          <w:rFonts w:hint="eastAsia"/>
          <w:color w:val="auto"/>
        </w:rPr>
      </w:pPr>
    </w:p>
    <w:p w14:paraId="0D1F5E57">
      <w:pPr>
        <w:pStyle w:val="141"/>
        <w:rPr>
          <w:rFonts w:hint="eastAsia"/>
          <w:color w:val="auto"/>
        </w:rPr>
      </w:pPr>
    </w:p>
    <w:p w14:paraId="58877A74">
      <w:pPr>
        <w:pStyle w:val="141"/>
        <w:rPr>
          <w:rFonts w:hint="eastAsia"/>
          <w:color w:val="auto"/>
        </w:rPr>
      </w:pPr>
    </w:p>
    <w:p w14:paraId="54773BDB">
      <w:pPr>
        <w:pStyle w:val="141"/>
        <w:rPr>
          <w:rFonts w:hint="eastAsia"/>
          <w:color w:val="auto"/>
        </w:rPr>
      </w:pPr>
    </w:p>
    <w:p w14:paraId="35046823">
      <w:pPr>
        <w:pStyle w:val="141"/>
        <w:rPr>
          <w:rFonts w:hint="eastAsia"/>
          <w:color w:val="auto"/>
        </w:rPr>
      </w:pPr>
    </w:p>
    <w:p w14:paraId="2D986A9E">
      <w:pPr>
        <w:pStyle w:val="141"/>
        <w:rPr>
          <w:rFonts w:hint="eastAsia"/>
          <w:color w:val="auto"/>
        </w:rPr>
      </w:pPr>
    </w:p>
    <w:p w14:paraId="33F8A79A">
      <w:pPr>
        <w:pStyle w:val="141"/>
        <w:rPr>
          <w:rFonts w:hint="eastAsia"/>
          <w:color w:val="auto"/>
        </w:rPr>
      </w:pPr>
    </w:p>
    <w:p w14:paraId="5D3CD0A5">
      <w:pPr>
        <w:pStyle w:val="141"/>
        <w:rPr>
          <w:rFonts w:hint="eastAsia"/>
          <w:color w:val="auto"/>
        </w:rPr>
      </w:pPr>
    </w:p>
    <w:p w14:paraId="1AB665E6">
      <w:pPr>
        <w:pStyle w:val="141"/>
        <w:rPr>
          <w:rFonts w:hint="eastAsia"/>
          <w:color w:val="auto"/>
        </w:rPr>
      </w:pPr>
    </w:p>
    <w:p w14:paraId="389B40A7">
      <w:pPr>
        <w:pStyle w:val="141"/>
        <w:rPr>
          <w:rFonts w:hint="eastAsia"/>
          <w:color w:val="auto"/>
        </w:rPr>
      </w:pPr>
    </w:p>
    <w:p w14:paraId="365A0545">
      <w:pPr>
        <w:pStyle w:val="141"/>
        <w:rPr>
          <w:rFonts w:hint="eastAsia"/>
          <w:color w:val="auto"/>
        </w:rPr>
      </w:pPr>
    </w:p>
    <w:p w14:paraId="5CE17A3F">
      <w:pPr>
        <w:pStyle w:val="141"/>
        <w:rPr>
          <w:rFonts w:hint="eastAsia"/>
          <w:color w:val="auto"/>
        </w:rPr>
      </w:pPr>
    </w:p>
    <w:p w14:paraId="79C5A73D">
      <w:pPr>
        <w:pStyle w:val="141"/>
        <w:rPr>
          <w:rFonts w:hint="eastAsia"/>
          <w:color w:val="auto"/>
        </w:rPr>
      </w:pPr>
    </w:p>
    <w:p w14:paraId="0DFB4C81">
      <w:pPr>
        <w:pStyle w:val="141"/>
        <w:rPr>
          <w:rFonts w:hint="eastAsia"/>
          <w:color w:val="auto"/>
        </w:rPr>
      </w:pPr>
    </w:p>
    <w:p w14:paraId="71182023">
      <w:pPr>
        <w:pStyle w:val="141"/>
        <w:rPr>
          <w:rFonts w:hint="eastAsia"/>
          <w:color w:val="auto"/>
        </w:rPr>
      </w:pPr>
    </w:p>
    <w:p w14:paraId="670F43FC">
      <w:pPr>
        <w:rPr>
          <w:color w:val="auto"/>
        </w:rPr>
      </w:pPr>
    </w:p>
    <w:p w14:paraId="10431E8B">
      <w:pPr>
        <w:rPr>
          <w:color w:val="auto"/>
        </w:rPr>
      </w:pPr>
    </w:p>
    <w:p w14:paraId="014BE32A">
      <w:pPr>
        <w:rPr>
          <w:color w:val="auto"/>
        </w:rPr>
      </w:pPr>
    </w:p>
    <w:p w14:paraId="676771A7">
      <w:pPr>
        <w:rPr>
          <w:color w:val="auto"/>
        </w:rPr>
      </w:pPr>
    </w:p>
    <w:p w14:paraId="4670F751">
      <w:pPr>
        <w:pStyle w:val="3"/>
        <w:spacing w:line="400" w:lineRule="exact"/>
        <w:rPr>
          <w:rFonts w:hint="eastAsia" w:ascii="方正小标宋_GBK" w:hAnsi="方正小标宋_GBK" w:eastAsia="方正小标宋_GBK"/>
          <w:color w:val="auto"/>
        </w:rPr>
      </w:pPr>
      <w:bookmarkStart w:id="119" w:name="_Toc92355028"/>
      <w:bookmarkStart w:id="120" w:name="_Toc397585460"/>
      <w:r>
        <w:rPr>
          <w:rFonts w:hint="eastAsia" w:ascii="方正小标宋_GBK" w:hAnsi="方正小标宋_GBK" w:eastAsia="方正小标宋_GBK"/>
          <w:color w:val="auto"/>
        </w:rPr>
        <w:t>第六章  响应文件格式</w:t>
      </w:r>
      <w:bookmarkEnd w:id="119"/>
      <w:bookmarkEnd w:id="120"/>
    </w:p>
    <w:p w14:paraId="6CA06B8A">
      <w:pPr>
        <w:jc w:val="left"/>
        <w:rPr>
          <w:rFonts w:hint="eastAsia" w:hAnsi="宋体"/>
          <w:color w:val="auto"/>
          <w:sz w:val="36"/>
          <w:szCs w:val="36"/>
        </w:rPr>
      </w:pPr>
      <w:r>
        <w:rPr>
          <w:b/>
          <w:color w:val="auto"/>
          <w:sz w:val="30"/>
          <w:szCs w:val="30"/>
        </w:rPr>
        <w:br w:type="page"/>
      </w:r>
      <w:r>
        <w:rPr>
          <w:rFonts w:hint="eastAsia" w:ascii="仿宋_GB2312"/>
          <w:b/>
          <w:bCs/>
          <w:color w:val="auto"/>
          <w:sz w:val="36"/>
          <w:szCs w:val="36"/>
        </w:rPr>
        <w:t>一、供应商资格文件</w:t>
      </w:r>
    </w:p>
    <w:p w14:paraId="5A039781">
      <w:pPr>
        <w:tabs>
          <w:tab w:val="left" w:pos="3402"/>
        </w:tabs>
        <w:ind w:firstLine="602"/>
        <w:jc w:val="center"/>
        <w:rPr>
          <w:rFonts w:hint="eastAsia" w:ascii="仿宋_GB2312" w:hAnsi="Adobe 仿宋 Std R" w:eastAsia="仿宋_GB2312"/>
          <w:b/>
          <w:color w:val="auto"/>
          <w:spacing w:val="10"/>
          <w:sz w:val="32"/>
          <w:szCs w:val="32"/>
        </w:rPr>
      </w:pPr>
      <w:bookmarkStart w:id="121" w:name="_Hlk111728366"/>
      <w:r>
        <w:rPr>
          <w:rFonts w:hint="eastAsia" w:ascii="仿宋_GB2312" w:hAnsi="Adobe 仿宋 Std R" w:eastAsia="仿宋_GB2312"/>
          <w:b/>
          <w:color w:val="auto"/>
          <w:spacing w:val="10"/>
          <w:sz w:val="32"/>
          <w:szCs w:val="32"/>
        </w:rPr>
        <w:t>供应商具备参加政府采购活动条件的承诺书</w:t>
      </w:r>
      <w:r>
        <w:rPr>
          <w:rFonts w:hint="eastAsia" w:ascii="仿宋_GB2312" w:hAnsi="Adobe 仿宋 Std R" w:eastAsia="仿宋_GB2312" w:cs="黑体"/>
          <w:bCs/>
          <w:color w:val="auto"/>
          <w:sz w:val="24"/>
        </w:rPr>
        <w:t>(格式)</w:t>
      </w:r>
    </w:p>
    <w:p w14:paraId="484B9BFF">
      <w:pPr>
        <w:tabs>
          <w:tab w:val="left" w:pos="3402"/>
        </w:tabs>
        <w:jc w:val="left"/>
        <w:rPr>
          <w:rFonts w:hint="eastAsia" w:ascii="仿宋_GB2312" w:hAnsi="仿宋" w:eastAsia="仿宋_GB2312"/>
          <w:b/>
          <w:color w:val="auto"/>
          <w:spacing w:val="10"/>
          <w:szCs w:val="21"/>
        </w:rPr>
      </w:pPr>
    </w:p>
    <w:p w14:paraId="266F725D">
      <w:pPr>
        <w:spacing w:line="520" w:lineRule="exact"/>
        <w:rPr>
          <w:rFonts w:hint="eastAsia" w:ascii="宋体" w:hAnsi="宋体"/>
          <w:bCs/>
          <w:color w:val="auto"/>
          <w:szCs w:val="22"/>
        </w:rPr>
      </w:pPr>
      <w:r>
        <w:rPr>
          <w:rFonts w:hint="eastAsia" w:ascii="宋体" w:hAnsi="宋体"/>
          <w:bCs/>
          <w:color w:val="auto"/>
          <w:szCs w:val="22"/>
        </w:rPr>
        <w:t>钦州市政府采购中心：</w:t>
      </w:r>
    </w:p>
    <w:p w14:paraId="3AAEB58C">
      <w:pPr>
        <w:spacing w:line="520" w:lineRule="exact"/>
        <w:ind w:firstLine="420"/>
        <w:rPr>
          <w:rFonts w:hint="eastAsia" w:ascii="宋体" w:hAnsi="宋体"/>
          <w:bCs/>
          <w:color w:val="auto"/>
          <w:szCs w:val="22"/>
        </w:rPr>
      </w:pPr>
      <w:r>
        <w:rPr>
          <w:rFonts w:hint="eastAsia" w:ascii="宋体" w:hAnsi="宋体"/>
          <w:bCs/>
          <w:color w:val="auto"/>
          <w:szCs w:val="22"/>
        </w:rPr>
        <w:t>根据《中华人民共和国政府采购法》实施条例第十七条的规定，现郑重承诺：</w:t>
      </w:r>
    </w:p>
    <w:p w14:paraId="696F4480">
      <w:pPr>
        <w:spacing w:line="520" w:lineRule="exact"/>
        <w:ind w:firstLine="420"/>
        <w:rPr>
          <w:rFonts w:hint="eastAsia" w:ascii="宋体" w:hAnsi="宋体"/>
          <w:bCs/>
          <w:color w:val="auto"/>
          <w:szCs w:val="22"/>
        </w:rPr>
      </w:pPr>
      <w:r>
        <w:rPr>
          <w:rFonts w:ascii="宋体" w:hAnsi="宋体"/>
          <w:bCs/>
          <w:color w:val="auto"/>
          <w:szCs w:val="22"/>
          <w:u w:val="single"/>
        </w:rPr>
        <w:t>(</w:t>
      </w:r>
      <w:r>
        <w:rPr>
          <w:rFonts w:hint="eastAsia" w:ascii="宋体" w:hAnsi="宋体"/>
          <w:bCs/>
          <w:color w:val="auto"/>
          <w:szCs w:val="22"/>
          <w:u w:val="single"/>
        </w:rPr>
        <w:t>供应商名称)</w:t>
      </w:r>
      <w:r>
        <w:rPr>
          <w:rFonts w:hint="eastAsia" w:ascii="宋体" w:hAnsi="宋体"/>
          <w:bCs/>
          <w:color w:val="auto"/>
          <w:szCs w:val="22"/>
        </w:rPr>
        <w:t>具有良好的商业信誉和健全的财务会计制度，具有履行合同所必需的设备和专业技术能力，有依法缴纳税收和社会保障资金的良好记录。</w:t>
      </w:r>
    </w:p>
    <w:p w14:paraId="11F2A836">
      <w:pPr>
        <w:spacing w:line="520" w:lineRule="exact"/>
        <w:ind w:firstLine="420"/>
        <w:rPr>
          <w:rFonts w:hint="eastAsia" w:ascii="宋体" w:hAnsi="宋体"/>
          <w:bCs/>
          <w:color w:val="auto"/>
          <w:szCs w:val="22"/>
        </w:rPr>
      </w:pPr>
      <w:r>
        <w:rPr>
          <w:rFonts w:hint="eastAsia" w:ascii="宋体" w:hAnsi="宋体"/>
          <w:bCs/>
          <w:color w:val="auto"/>
          <w:szCs w:val="22"/>
        </w:rPr>
        <w:t>本单位对上述承诺内容事项真实性负责，如有虚假，由我单位承担相关法律责任。</w:t>
      </w:r>
    </w:p>
    <w:p w14:paraId="07178378">
      <w:pPr>
        <w:spacing w:line="520" w:lineRule="exact"/>
        <w:ind w:firstLine="420"/>
        <w:rPr>
          <w:rFonts w:hint="eastAsia" w:ascii="宋体" w:hAnsi="宋体"/>
          <w:bCs/>
          <w:color w:val="auto"/>
          <w:szCs w:val="22"/>
        </w:rPr>
      </w:pPr>
      <w:r>
        <w:rPr>
          <w:rFonts w:hint="eastAsia" w:ascii="宋体" w:hAnsi="宋体"/>
          <w:bCs/>
          <w:color w:val="auto"/>
          <w:szCs w:val="22"/>
        </w:rPr>
        <w:t>特此承诺。</w:t>
      </w:r>
    </w:p>
    <w:p w14:paraId="4645DB51">
      <w:pPr>
        <w:ind w:firstLine="420"/>
        <w:rPr>
          <w:rFonts w:hint="eastAsia" w:ascii="宋体" w:hAnsi="宋体"/>
          <w:bCs/>
          <w:color w:val="auto"/>
          <w:szCs w:val="22"/>
        </w:rPr>
      </w:pPr>
    </w:p>
    <w:p w14:paraId="47CD7E86">
      <w:pPr>
        <w:ind w:firstLine="420"/>
        <w:rPr>
          <w:rFonts w:hint="eastAsia" w:ascii="宋体" w:hAnsi="宋体"/>
          <w:bCs/>
          <w:color w:val="auto"/>
          <w:szCs w:val="22"/>
        </w:rPr>
      </w:pPr>
    </w:p>
    <w:p w14:paraId="4DD878AA">
      <w:pPr>
        <w:spacing w:line="440" w:lineRule="exact"/>
        <w:ind w:right="1050" w:rightChars="500" w:firstLine="5250" w:firstLineChars="2500"/>
        <w:jc w:val="left"/>
        <w:rPr>
          <w:rFonts w:hint="eastAsia" w:ascii="宋体" w:hAnsi="宋体"/>
          <w:bCs/>
          <w:color w:val="auto"/>
        </w:rPr>
      </w:pPr>
      <w:r>
        <w:rPr>
          <w:rFonts w:hint="eastAsia" w:ascii="宋体" w:hAnsi="宋体"/>
          <w:bCs/>
          <w:color w:val="auto"/>
          <w:szCs w:val="22"/>
        </w:rPr>
        <w:t xml:space="preserve"> </w:t>
      </w:r>
      <w:r>
        <w:rPr>
          <w:rFonts w:ascii="宋体" w:hAnsi="宋体"/>
          <w:bCs/>
          <w:color w:val="auto"/>
          <w:szCs w:val="22"/>
        </w:rPr>
        <w:t xml:space="preserve">   </w:t>
      </w:r>
      <w:r>
        <w:rPr>
          <w:rFonts w:hint="eastAsia" w:ascii="宋体" w:hAnsi="宋体"/>
          <w:bCs/>
          <w:color w:val="auto"/>
        </w:rPr>
        <w:t>供应商（盖章）：</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p>
    <w:p w14:paraId="25AF02F4">
      <w:pPr>
        <w:spacing w:line="440" w:lineRule="exact"/>
        <w:ind w:right="420"/>
        <w:jc w:val="center"/>
        <w:rPr>
          <w:rFonts w:hint="eastAsia" w:ascii="宋体" w:hAnsi="宋体"/>
          <w:bCs/>
          <w:color w:val="auto"/>
        </w:rPr>
      </w:pPr>
      <w:r>
        <w:rPr>
          <w:rFonts w:hint="eastAsia" w:ascii="宋体" w:hAnsi="宋体"/>
          <w:bCs/>
          <w:color w:val="auto"/>
        </w:rPr>
        <w:t xml:space="preserve"> </w:t>
      </w:r>
      <w:r>
        <w:rPr>
          <w:rFonts w:ascii="宋体" w:hAnsi="宋体"/>
          <w:bCs/>
          <w:color w:val="auto"/>
        </w:rPr>
        <w:t xml:space="preserve">                                                </w:t>
      </w:r>
      <w:r>
        <w:rPr>
          <w:rFonts w:hint="eastAsia" w:ascii="宋体" w:hAnsi="宋体"/>
          <w:bCs/>
          <w:color w:val="auto"/>
        </w:rPr>
        <w:t>日期：</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w:t>
      </w:r>
    </w:p>
    <w:bookmarkEnd w:id="121"/>
    <w:p w14:paraId="371CA21D">
      <w:pPr>
        <w:rPr>
          <w:color w:val="auto"/>
        </w:rPr>
      </w:pPr>
    </w:p>
    <w:p w14:paraId="42CBE819">
      <w:pPr>
        <w:rPr>
          <w:color w:val="auto"/>
        </w:rPr>
      </w:pPr>
    </w:p>
    <w:p w14:paraId="0A71469C">
      <w:pPr>
        <w:rPr>
          <w:color w:val="auto"/>
        </w:rPr>
      </w:pPr>
    </w:p>
    <w:p w14:paraId="38B235AD">
      <w:pPr>
        <w:rPr>
          <w:color w:val="auto"/>
        </w:rPr>
      </w:pPr>
    </w:p>
    <w:p w14:paraId="70B4A01C">
      <w:pPr>
        <w:rPr>
          <w:color w:val="auto"/>
        </w:rPr>
      </w:pPr>
    </w:p>
    <w:p w14:paraId="23FE80A9">
      <w:pPr>
        <w:tabs>
          <w:tab w:val="left" w:pos="3402"/>
        </w:tabs>
        <w:spacing w:line="460" w:lineRule="exact"/>
        <w:jc w:val="center"/>
        <w:rPr>
          <w:rFonts w:hint="eastAsia" w:ascii="仿宋_GB2312" w:hAnsi="仿宋" w:eastAsia="仿宋_GB2312"/>
          <w:b/>
          <w:color w:val="auto"/>
          <w:spacing w:val="10"/>
          <w:sz w:val="32"/>
          <w:szCs w:val="32"/>
        </w:rPr>
      </w:pPr>
      <w:r>
        <w:rPr>
          <w:rFonts w:hint="eastAsia" w:ascii="仿宋_GB2312" w:hAnsi="仿宋" w:eastAsia="仿宋_GB2312"/>
          <w:b/>
          <w:color w:val="auto"/>
          <w:spacing w:val="10"/>
          <w:sz w:val="32"/>
          <w:szCs w:val="32"/>
        </w:rPr>
        <w:t>无重大违法记录的书面声明</w:t>
      </w:r>
      <w:r>
        <w:rPr>
          <w:rFonts w:hint="eastAsia" w:ascii="仿宋" w:hAnsi="仿宋" w:eastAsia="仿宋" w:cs="黑体"/>
          <w:bCs/>
          <w:color w:val="auto"/>
          <w:sz w:val="24"/>
        </w:rPr>
        <w:t>(格式</w:t>
      </w:r>
      <w:r>
        <w:rPr>
          <w:rFonts w:ascii="仿宋" w:hAnsi="仿宋" w:eastAsia="仿宋" w:cs="黑体"/>
          <w:bCs/>
          <w:color w:val="auto"/>
          <w:sz w:val="24"/>
        </w:rPr>
        <w:t>)</w:t>
      </w:r>
    </w:p>
    <w:p w14:paraId="6AADE6C6">
      <w:pPr>
        <w:spacing w:line="400" w:lineRule="exact"/>
        <w:rPr>
          <w:rFonts w:hint="eastAsia" w:ascii="宋体" w:hAnsi="宋体"/>
          <w:b/>
          <w:color w:val="auto"/>
        </w:rPr>
      </w:pPr>
    </w:p>
    <w:p w14:paraId="49C45B34">
      <w:pPr>
        <w:spacing w:line="520" w:lineRule="exact"/>
        <w:rPr>
          <w:rFonts w:hint="eastAsia" w:ascii="宋体" w:hAnsi="宋体"/>
          <w:bCs/>
          <w:color w:val="auto"/>
        </w:rPr>
      </w:pPr>
      <w:r>
        <w:rPr>
          <w:rFonts w:hint="eastAsia" w:ascii="宋体" w:hAnsi="宋体"/>
          <w:bCs/>
          <w:color w:val="auto"/>
        </w:rPr>
        <w:t>钦州市政府采购中心：</w:t>
      </w:r>
    </w:p>
    <w:p w14:paraId="560988A2">
      <w:pPr>
        <w:spacing w:line="520" w:lineRule="exact"/>
        <w:ind w:firstLine="420"/>
        <w:rPr>
          <w:rFonts w:hint="eastAsia" w:ascii="宋体" w:hAnsi="宋体"/>
          <w:bCs/>
          <w:color w:val="auto"/>
        </w:rPr>
      </w:pPr>
      <w:r>
        <w:rPr>
          <w:rFonts w:hint="eastAsia" w:ascii="宋体" w:hAnsi="宋体"/>
          <w:bCs/>
          <w:color w:val="auto"/>
        </w:rPr>
        <w:t>根据《中华人民共和国政府采购法实施条例》第十七条第一款第(四</w:t>
      </w:r>
      <w:r>
        <w:rPr>
          <w:rFonts w:ascii="宋体" w:hAnsi="宋体"/>
          <w:bCs/>
          <w:color w:val="auto"/>
        </w:rPr>
        <w:t>）</w:t>
      </w:r>
      <w:r>
        <w:rPr>
          <w:rFonts w:hint="eastAsia" w:ascii="宋体" w:hAnsi="宋体"/>
          <w:bCs/>
          <w:color w:val="auto"/>
        </w:rPr>
        <w:t>项的规定，现郑重声明：</w:t>
      </w:r>
    </w:p>
    <w:p w14:paraId="7424332B">
      <w:pPr>
        <w:spacing w:line="520" w:lineRule="exact"/>
        <w:ind w:firstLine="420"/>
        <w:rPr>
          <w:rFonts w:hint="eastAsia" w:ascii="宋体" w:hAnsi="宋体"/>
          <w:bCs/>
          <w:color w:val="auto"/>
        </w:rPr>
      </w:pPr>
      <w:r>
        <w:rPr>
          <w:rFonts w:ascii="宋体" w:hAnsi="宋体"/>
          <w:bCs/>
          <w:color w:val="auto"/>
          <w:u w:val="single"/>
        </w:rPr>
        <w:t>(</w:t>
      </w:r>
      <w:r>
        <w:rPr>
          <w:rFonts w:hint="eastAsia" w:ascii="宋体" w:hAnsi="宋体"/>
          <w:bCs/>
          <w:color w:val="auto"/>
          <w:u w:val="single"/>
        </w:rPr>
        <w:t>供应商名称)</w:t>
      </w:r>
      <w:r>
        <w:rPr>
          <w:rFonts w:hint="eastAsia" w:ascii="宋体" w:hAnsi="宋体"/>
          <w:bCs/>
          <w:color w:val="auto"/>
        </w:rPr>
        <w:t>在参加本次政府采购活动前3年内在经营活动中没有重大违法记录（</w:t>
      </w:r>
      <w:r>
        <w:rPr>
          <w:rFonts w:hint="eastAsia" w:ascii="宋体" w:hAnsi="宋体"/>
          <w:bCs/>
          <w:color w:val="auto"/>
          <w:u w:val="single"/>
        </w:rPr>
        <w:t>即因违法经营受到刑事处罚或者责令停产停业、吊销许可证或者执照、较大数额罚款等行政处罚的行为</w:t>
      </w:r>
      <w:r>
        <w:rPr>
          <w:rFonts w:hint="eastAsia" w:ascii="宋体" w:hAnsi="宋体"/>
          <w:bCs/>
          <w:color w:val="auto"/>
        </w:rPr>
        <w:t>）。</w:t>
      </w:r>
    </w:p>
    <w:p w14:paraId="6E576E3B">
      <w:pPr>
        <w:spacing w:line="520" w:lineRule="exact"/>
        <w:ind w:firstLine="420"/>
        <w:rPr>
          <w:rFonts w:hint="eastAsia" w:ascii="宋体" w:hAnsi="宋体"/>
          <w:bCs/>
          <w:color w:val="auto"/>
        </w:rPr>
      </w:pPr>
      <w:r>
        <w:rPr>
          <w:rFonts w:hint="eastAsia" w:ascii="宋体" w:hAnsi="宋体"/>
          <w:bCs/>
          <w:color w:val="auto"/>
        </w:rPr>
        <w:t>本单位对上述声明内容事项真实性负责，如有虚假，由我单位承担相关法律责任。</w:t>
      </w:r>
    </w:p>
    <w:p w14:paraId="7EC770DA">
      <w:pPr>
        <w:spacing w:line="520" w:lineRule="exact"/>
        <w:ind w:firstLine="420"/>
        <w:rPr>
          <w:rFonts w:hint="eastAsia" w:ascii="宋体" w:hAnsi="宋体"/>
          <w:bCs/>
          <w:color w:val="auto"/>
        </w:rPr>
      </w:pPr>
      <w:r>
        <w:rPr>
          <w:rFonts w:hint="eastAsia" w:ascii="宋体" w:hAnsi="宋体"/>
          <w:bCs/>
          <w:color w:val="auto"/>
        </w:rPr>
        <w:t>特此声明。</w:t>
      </w:r>
    </w:p>
    <w:p w14:paraId="79B75E52">
      <w:pPr>
        <w:rPr>
          <w:rFonts w:hint="eastAsia" w:ascii="宋体" w:hAnsi="宋体"/>
          <w:bCs/>
          <w:color w:val="auto"/>
          <w:szCs w:val="22"/>
        </w:rPr>
      </w:pPr>
    </w:p>
    <w:p w14:paraId="44F15C01">
      <w:pPr>
        <w:rPr>
          <w:rFonts w:hint="eastAsia" w:ascii="宋体" w:hAnsi="宋体"/>
          <w:bCs/>
          <w:color w:val="auto"/>
          <w:szCs w:val="22"/>
        </w:rPr>
      </w:pPr>
    </w:p>
    <w:p w14:paraId="7AACDDF9">
      <w:pPr>
        <w:spacing w:line="440" w:lineRule="exact"/>
        <w:ind w:right="1050" w:rightChars="500" w:firstLine="5670" w:firstLineChars="2700"/>
        <w:jc w:val="left"/>
        <w:rPr>
          <w:rFonts w:hint="eastAsia" w:ascii="宋体" w:hAnsi="宋体"/>
          <w:bCs/>
          <w:color w:val="auto"/>
        </w:rPr>
      </w:pPr>
      <w:r>
        <w:rPr>
          <w:rFonts w:hint="eastAsia" w:ascii="宋体" w:hAnsi="宋体"/>
          <w:bCs/>
          <w:color w:val="auto"/>
        </w:rPr>
        <w:t>供应商（盖章）：</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p>
    <w:p w14:paraId="26F609ED">
      <w:pPr>
        <w:spacing w:line="440" w:lineRule="exact"/>
        <w:ind w:right="420"/>
        <w:jc w:val="center"/>
        <w:rPr>
          <w:rFonts w:hint="eastAsia" w:ascii="宋体" w:hAnsi="宋体"/>
          <w:bCs/>
          <w:color w:val="auto"/>
        </w:rPr>
      </w:pPr>
      <w:r>
        <w:rPr>
          <w:rFonts w:hint="eastAsia" w:ascii="宋体" w:hAnsi="宋体"/>
          <w:bCs/>
          <w:color w:val="auto"/>
        </w:rPr>
        <w:t xml:space="preserve"> </w:t>
      </w:r>
      <w:r>
        <w:rPr>
          <w:rFonts w:ascii="宋体" w:hAnsi="宋体"/>
          <w:bCs/>
          <w:color w:val="auto"/>
        </w:rPr>
        <w:t xml:space="preserve">                                                </w:t>
      </w:r>
      <w:r>
        <w:rPr>
          <w:rFonts w:hint="eastAsia" w:ascii="宋体" w:hAnsi="宋体"/>
          <w:bCs/>
          <w:color w:val="auto"/>
        </w:rPr>
        <w:t>日期：</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w:t>
      </w:r>
    </w:p>
    <w:p w14:paraId="5A5ACB8E">
      <w:pPr>
        <w:spacing w:line="400" w:lineRule="exact"/>
        <w:ind w:right="1050" w:rightChars="500"/>
        <w:jc w:val="right"/>
        <w:rPr>
          <w:rFonts w:hint="eastAsia" w:ascii="黑体" w:hAnsi="黑体" w:eastAsia="黑体" w:cs="黑体"/>
          <w:b/>
          <w:color w:val="auto"/>
          <w:sz w:val="32"/>
          <w:szCs w:val="32"/>
        </w:rPr>
      </w:pPr>
    </w:p>
    <w:p w14:paraId="78134953">
      <w:pPr>
        <w:widowControl/>
        <w:jc w:val="left"/>
        <w:rPr>
          <w:rFonts w:hint="eastAsia" w:ascii="黑体" w:hAnsi="黑体" w:eastAsia="黑体" w:cs="黑体"/>
          <w:b/>
          <w:color w:val="auto"/>
          <w:sz w:val="32"/>
          <w:szCs w:val="32"/>
        </w:rPr>
      </w:pPr>
      <w:r>
        <w:rPr>
          <w:rFonts w:ascii="黑体" w:hAnsi="黑体" w:eastAsia="黑体" w:cs="黑体"/>
          <w:b/>
          <w:color w:val="auto"/>
          <w:sz w:val="32"/>
          <w:szCs w:val="32"/>
        </w:rPr>
        <w:br w:type="page"/>
      </w:r>
      <w:r>
        <w:rPr>
          <w:rFonts w:hint="eastAsia" w:ascii="仿宋" w:hAnsi="仿宋" w:eastAsia="仿宋"/>
          <w:b/>
          <w:color w:val="auto"/>
          <w:sz w:val="36"/>
          <w:szCs w:val="36"/>
        </w:rPr>
        <w:t>二、商务技术文件</w:t>
      </w:r>
    </w:p>
    <w:p w14:paraId="3AD15AD2">
      <w:pPr>
        <w:widowControl/>
        <w:jc w:val="center"/>
        <w:rPr>
          <w:rFonts w:hint="eastAsia" w:ascii="仿宋" w:hAnsi="仿宋" w:eastAsia="仿宋" w:cs="黑体"/>
          <w:b/>
          <w:color w:val="auto"/>
          <w:sz w:val="32"/>
          <w:szCs w:val="32"/>
        </w:rPr>
      </w:pPr>
      <w:bookmarkStart w:id="122" w:name="_Hlk92702324"/>
      <w:r>
        <w:rPr>
          <w:rFonts w:hint="eastAsia" w:ascii="仿宋" w:hAnsi="仿宋" w:eastAsia="仿宋" w:cs="黑体"/>
          <w:b/>
          <w:color w:val="auto"/>
          <w:sz w:val="32"/>
          <w:szCs w:val="32"/>
        </w:rPr>
        <w:t>谈 判 函</w:t>
      </w:r>
      <w:bookmarkEnd w:id="122"/>
      <w:r>
        <w:rPr>
          <w:rFonts w:hint="eastAsia" w:ascii="仿宋" w:hAnsi="仿宋" w:eastAsia="仿宋" w:cs="黑体"/>
          <w:bCs/>
          <w:color w:val="auto"/>
          <w:sz w:val="24"/>
        </w:rPr>
        <w:t>(格式</w:t>
      </w:r>
      <w:r>
        <w:rPr>
          <w:rFonts w:ascii="仿宋" w:hAnsi="仿宋" w:eastAsia="仿宋" w:cs="黑体"/>
          <w:bCs/>
          <w:color w:val="auto"/>
          <w:sz w:val="24"/>
        </w:rPr>
        <w:t>)</w:t>
      </w:r>
    </w:p>
    <w:p w14:paraId="3336357B">
      <w:pPr>
        <w:spacing w:line="360" w:lineRule="exact"/>
        <w:jc w:val="center"/>
        <w:rPr>
          <w:rFonts w:hint="eastAsia" w:ascii="宋体" w:hAnsi="宋体"/>
          <w:b/>
          <w:color w:val="auto"/>
          <w:szCs w:val="21"/>
        </w:rPr>
      </w:pPr>
    </w:p>
    <w:p w14:paraId="17540D26">
      <w:pPr>
        <w:spacing w:line="400" w:lineRule="exact"/>
        <w:rPr>
          <w:rFonts w:hint="eastAsia" w:ascii="宋体" w:hAnsi="宋体"/>
          <w:color w:val="auto"/>
          <w:szCs w:val="21"/>
        </w:rPr>
      </w:pPr>
      <w:r>
        <w:rPr>
          <w:rFonts w:hint="eastAsia" w:ascii="宋体" w:hAnsi="宋体"/>
          <w:color w:val="auto"/>
          <w:szCs w:val="21"/>
        </w:rPr>
        <w:t>致：钦州市政府采购中心：</w:t>
      </w:r>
    </w:p>
    <w:p w14:paraId="30168758">
      <w:pPr>
        <w:pStyle w:val="21"/>
        <w:spacing w:line="480" w:lineRule="exact"/>
        <w:ind w:firstLine="420"/>
        <w:rPr>
          <w:rFonts w:hint="eastAsia" w:hAnsi="宋体"/>
          <w:color w:val="auto"/>
        </w:rPr>
      </w:pPr>
      <w:r>
        <w:rPr>
          <w:rFonts w:hint="eastAsia" w:hAnsi="宋体"/>
          <w:color w:val="auto"/>
        </w:rPr>
        <w:t>依据贵方</w:t>
      </w:r>
      <w:r>
        <w:rPr>
          <w:rFonts w:hint="eastAsia" w:hAnsi="宋体"/>
          <w:color w:val="auto"/>
          <w:u w:val="single"/>
        </w:rPr>
        <w:t>（项目名称/文件编号）</w:t>
      </w:r>
      <w:r>
        <w:rPr>
          <w:rFonts w:hint="eastAsia" w:hAnsi="宋体"/>
          <w:color w:val="auto"/>
        </w:rPr>
        <w:t>项目竞争性谈判采购文件，我方</w:t>
      </w:r>
      <w:r>
        <w:rPr>
          <w:rFonts w:hint="eastAsia" w:hAnsi="宋体"/>
          <w:color w:val="auto"/>
          <w:u w:val="single"/>
        </w:rPr>
        <w:t xml:space="preserve"> （供应商名称） </w:t>
      </w:r>
      <w:r>
        <w:rPr>
          <w:rFonts w:hint="eastAsia" w:hAnsi="宋体"/>
          <w:color w:val="auto"/>
        </w:rPr>
        <w:t>经正式授权代表</w:t>
      </w:r>
      <w:r>
        <w:rPr>
          <w:rFonts w:hint="eastAsia" w:hAnsi="宋体"/>
          <w:color w:val="auto"/>
          <w:u w:val="single"/>
        </w:rPr>
        <w:t xml:space="preserve">   （被授权人）</w:t>
      </w:r>
      <w:r>
        <w:rPr>
          <w:rFonts w:hint="eastAsia" w:hAnsi="宋体"/>
          <w:color w:val="auto"/>
        </w:rPr>
        <w:t>提交响应文件。</w:t>
      </w:r>
    </w:p>
    <w:p w14:paraId="03B33F2D">
      <w:pPr>
        <w:spacing w:line="400" w:lineRule="exact"/>
        <w:rPr>
          <w:rFonts w:hint="eastAsia" w:ascii="宋体" w:hAnsi="宋体"/>
          <w:color w:val="auto"/>
          <w:szCs w:val="21"/>
        </w:rPr>
      </w:pPr>
      <w:r>
        <w:rPr>
          <w:rFonts w:ascii="宋体" w:hAnsi="宋体"/>
          <w:color w:val="auto"/>
          <w:szCs w:val="21"/>
        </w:rPr>
        <w:tab/>
      </w:r>
      <w:r>
        <w:rPr>
          <w:rFonts w:hint="eastAsia" w:ascii="宋体" w:hAnsi="宋体"/>
          <w:color w:val="auto"/>
          <w:szCs w:val="21"/>
        </w:rPr>
        <w:t>据此函，我公司承诺：</w:t>
      </w:r>
    </w:p>
    <w:p w14:paraId="15A77E64">
      <w:pPr>
        <w:snapToGrid w:val="0"/>
        <w:spacing w:line="360" w:lineRule="exact"/>
        <w:ind w:firstLine="420" w:firstLineChars="200"/>
        <w:rPr>
          <w:rFonts w:hint="eastAsia" w:ascii="宋体" w:hAnsi="宋体"/>
          <w:color w:val="auto"/>
          <w:szCs w:val="21"/>
        </w:rPr>
      </w:pPr>
      <w:r>
        <w:rPr>
          <w:rFonts w:ascii="宋体" w:hAnsi="宋体"/>
          <w:color w:val="auto"/>
          <w:szCs w:val="21"/>
        </w:rPr>
        <w:t>1.</w:t>
      </w:r>
      <w:r>
        <w:rPr>
          <w:rFonts w:hint="eastAsia" w:ascii="宋体" w:hAnsi="宋体"/>
          <w:color w:val="auto"/>
          <w:szCs w:val="21"/>
        </w:rPr>
        <w:t>我方已详细审阅采购文件（包括澄清或者修改文件），已经了解我方对于采购文件、采购过程、采购结果有依法进行询问、质疑、投诉的权利及相关渠道和要求。</w:t>
      </w:r>
    </w:p>
    <w:p w14:paraId="0262698C">
      <w:pPr>
        <w:snapToGrid w:val="0"/>
        <w:spacing w:line="360" w:lineRule="exact"/>
        <w:ind w:firstLine="420" w:firstLineChars="200"/>
        <w:rPr>
          <w:rFonts w:hint="eastAsia" w:ascii="宋体" w:hAnsi="宋体"/>
          <w:color w:val="auto"/>
          <w:szCs w:val="21"/>
        </w:rPr>
      </w:pPr>
      <w:r>
        <w:rPr>
          <w:rFonts w:hint="eastAsia" w:ascii="宋体" w:hAnsi="宋体"/>
          <w:color w:val="auto"/>
          <w:szCs w:val="21"/>
        </w:rPr>
        <w:t>2.我方不是采购人的附属机构；在获知本项目采购信息后，与采购人聘请的为此项目提供咨询服务的公司及其附属机构没有任何联系。</w:t>
      </w:r>
    </w:p>
    <w:p w14:paraId="19F6F452">
      <w:pPr>
        <w:snapToGrid w:val="0"/>
        <w:spacing w:line="360" w:lineRule="exact"/>
        <w:ind w:firstLine="420" w:firstLineChars="200"/>
        <w:rPr>
          <w:rFonts w:hint="eastAsia" w:ascii="宋体" w:hAnsi="宋体"/>
          <w:color w:val="auto"/>
          <w:szCs w:val="21"/>
        </w:rPr>
      </w:pPr>
      <w:r>
        <w:rPr>
          <w:rFonts w:ascii="宋体" w:hAnsi="宋体"/>
          <w:color w:val="auto"/>
          <w:szCs w:val="21"/>
        </w:rPr>
        <w:t>3.</w:t>
      </w:r>
      <w:r>
        <w:rPr>
          <w:rFonts w:hint="eastAsia" w:ascii="宋体" w:hAnsi="宋体"/>
          <w:color w:val="auto"/>
          <w:szCs w:val="21"/>
        </w:rPr>
        <w:t>我方在谈判之前已经与贵方进行了充分的沟通，完全理解并接受采购文件的各项规定和要求，对采购文件的合理性、合法性不再有异议。</w:t>
      </w:r>
    </w:p>
    <w:p w14:paraId="32A0152E">
      <w:pPr>
        <w:spacing w:line="400" w:lineRule="exact"/>
        <w:rPr>
          <w:rFonts w:hint="eastAsia" w:ascii="宋体" w:hAnsi="宋体"/>
          <w:color w:val="auto"/>
          <w:szCs w:val="21"/>
        </w:rPr>
      </w:pPr>
      <w:r>
        <w:rPr>
          <w:rFonts w:ascii="宋体" w:hAnsi="宋体"/>
          <w:color w:val="auto"/>
          <w:szCs w:val="21"/>
        </w:rPr>
        <w:tab/>
      </w:r>
      <w:r>
        <w:rPr>
          <w:rFonts w:ascii="宋体" w:hAnsi="宋体"/>
          <w:color w:val="auto"/>
          <w:szCs w:val="21"/>
        </w:rPr>
        <w:t>4</w:t>
      </w:r>
      <w:r>
        <w:rPr>
          <w:rFonts w:hint="eastAsia" w:ascii="宋体" w:hAnsi="宋体"/>
          <w:color w:val="auto"/>
          <w:szCs w:val="21"/>
        </w:rPr>
        <w:t>.我方根据采购文件的规定，承担完成合同的责任和义务。</w:t>
      </w:r>
    </w:p>
    <w:p w14:paraId="2DF6B5BC">
      <w:pPr>
        <w:spacing w:line="400" w:lineRule="exact"/>
        <w:rPr>
          <w:rFonts w:hint="eastAsia" w:ascii="宋体" w:hAnsi="宋体"/>
          <w:color w:val="auto"/>
          <w:szCs w:val="21"/>
        </w:rPr>
      </w:pPr>
      <w:r>
        <w:rPr>
          <w:rFonts w:ascii="宋体" w:hAnsi="宋体"/>
          <w:color w:val="auto"/>
          <w:szCs w:val="21"/>
        </w:rPr>
        <w:tab/>
      </w:r>
      <w:r>
        <w:rPr>
          <w:rFonts w:ascii="宋体" w:hAnsi="宋体"/>
          <w:color w:val="auto"/>
          <w:szCs w:val="21"/>
        </w:rPr>
        <w:t>5</w:t>
      </w:r>
      <w:r>
        <w:rPr>
          <w:rFonts w:hint="eastAsia" w:ascii="宋体" w:hAnsi="宋体"/>
          <w:color w:val="auto"/>
          <w:szCs w:val="21"/>
        </w:rPr>
        <w:t>.同意向贵方提供贵方可能要求的与本项目采购有关的人员、数据和资料。</w:t>
      </w:r>
    </w:p>
    <w:p w14:paraId="15F56FD5">
      <w:pPr>
        <w:spacing w:line="400" w:lineRule="exact"/>
        <w:ind w:firstLine="424" w:firstLineChars="202"/>
        <w:rPr>
          <w:rFonts w:hint="eastAsia" w:ascii="宋体" w:hAnsi="宋体"/>
          <w:color w:val="auto"/>
          <w:szCs w:val="21"/>
        </w:rPr>
      </w:pPr>
      <w:r>
        <w:rPr>
          <w:rFonts w:ascii="宋体" w:hAnsi="宋体"/>
          <w:color w:val="auto"/>
          <w:szCs w:val="21"/>
        </w:rPr>
        <w:t>6.</w:t>
      </w:r>
      <w:r>
        <w:rPr>
          <w:rFonts w:hint="eastAsia" w:ascii="宋体" w:hAnsi="宋体"/>
          <w:color w:val="auto"/>
          <w:szCs w:val="21"/>
        </w:rPr>
        <w:t>我方向贵方提交的所有响应文件、资料都是准确的和真实的。</w:t>
      </w:r>
    </w:p>
    <w:p w14:paraId="546C0B40">
      <w:pPr>
        <w:spacing w:line="400" w:lineRule="exact"/>
        <w:rPr>
          <w:rFonts w:hint="eastAsia" w:ascii="宋体" w:hAnsi="宋体"/>
          <w:color w:val="auto"/>
          <w:szCs w:val="21"/>
        </w:rPr>
      </w:pPr>
    </w:p>
    <w:p w14:paraId="3005A57E">
      <w:pPr>
        <w:spacing w:line="400" w:lineRule="exact"/>
        <w:ind w:firstLine="426"/>
        <w:rPr>
          <w:rFonts w:hint="eastAsia" w:ascii="宋体" w:hAnsi="宋体"/>
          <w:color w:val="auto"/>
          <w:szCs w:val="21"/>
        </w:rPr>
      </w:pPr>
      <w:r>
        <w:rPr>
          <w:rFonts w:hint="eastAsia" w:ascii="宋体" w:hAnsi="宋体"/>
          <w:color w:val="auto"/>
          <w:szCs w:val="21"/>
        </w:rPr>
        <w:t>与我公司有关的正式通讯方式：</w:t>
      </w:r>
    </w:p>
    <w:p w14:paraId="62A92A4E">
      <w:pPr>
        <w:spacing w:line="400" w:lineRule="exact"/>
        <w:rPr>
          <w:rFonts w:hint="eastAsia" w:ascii="宋体" w:hAnsi="宋体"/>
          <w:color w:val="auto"/>
          <w:szCs w:val="21"/>
        </w:rPr>
      </w:pPr>
      <w:r>
        <w:rPr>
          <w:rFonts w:ascii="宋体" w:hAnsi="宋体"/>
          <w:color w:val="auto"/>
          <w:szCs w:val="21"/>
        </w:rPr>
        <w:tab/>
      </w:r>
      <w:r>
        <w:rPr>
          <w:rFonts w:hint="eastAsia" w:ascii="宋体" w:hAnsi="宋体"/>
          <w:color w:val="auto"/>
          <w:szCs w:val="21"/>
        </w:rPr>
        <w:t>地址：</w:t>
      </w:r>
      <w:r>
        <w:rPr>
          <w:rFonts w:hint="eastAsia" w:ascii="宋体" w:hAnsi="宋体"/>
          <w:color w:val="auto"/>
          <w:szCs w:val="21"/>
          <w:u w:val="single"/>
        </w:rPr>
        <w:t xml:space="preserve">                                   </w:t>
      </w:r>
    </w:p>
    <w:p w14:paraId="70A28087">
      <w:pPr>
        <w:spacing w:line="400" w:lineRule="exact"/>
        <w:rPr>
          <w:rFonts w:hint="eastAsia" w:ascii="宋体" w:hAnsi="宋体"/>
          <w:color w:val="auto"/>
          <w:szCs w:val="21"/>
        </w:rPr>
      </w:pPr>
      <w:r>
        <w:rPr>
          <w:rFonts w:ascii="宋体" w:hAnsi="宋体"/>
          <w:color w:val="auto"/>
          <w:szCs w:val="21"/>
        </w:rPr>
        <w:tab/>
      </w:r>
      <w:r>
        <w:rPr>
          <w:rFonts w:hint="eastAsia" w:ascii="宋体" w:hAnsi="宋体"/>
          <w:color w:val="auto"/>
          <w:szCs w:val="21"/>
        </w:rPr>
        <w:t>邮政编码：</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0E53BB89">
      <w:pPr>
        <w:spacing w:line="400" w:lineRule="exact"/>
        <w:rPr>
          <w:rFonts w:hint="eastAsia" w:ascii="宋体" w:hAnsi="宋体"/>
          <w:color w:val="auto"/>
          <w:szCs w:val="21"/>
        </w:rPr>
      </w:pPr>
      <w:r>
        <w:rPr>
          <w:rFonts w:ascii="宋体" w:hAnsi="宋体"/>
          <w:color w:val="auto"/>
          <w:szCs w:val="21"/>
        </w:rPr>
        <w:tab/>
      </w:r>
      <w:r>
        <w:rPr>
          <w:rFonts w:hint="eastAsia" w:ascii="宋体" w:hAnsi="宋体"/>
          <w:color w:val="auto"/>
          <w:szCs w:val="21"/>
        </w:rPr>
        <w:t>电话、电报、传真或电传：</w:t>
      </w:r>
      <w:r>
        <w:rPr>
          <w:rFonts w:hint="eastAsia" w:ascii="宋体" w:hAnsi="宋体"/>
          <w:color w:val="auto"/>
          <w:szCs w:val="21"/>
          <w:u w:val="single"/>
        </w:rPr>
        <w:t xml:space="preserve">                 </w:t>
      </w:r>
    </w:p>
    <w:p w14:paraId="46E4C4C8">
      <w:pPr>
        <w:spacing w:line="400" w:lineRule="exact"/>
        <w:rPr>
          <w:rFonts w:hint="eastAsia" w:ascii="宋体" w:hAnsi="宋体"/>
          <w:color w:val="auto"/>
          <w:szCs w:val="21"/>
        </w:rPr>
      </w:pPr>
      <w:r>
        <w:rPr>
          <w:rFonts w:ascii="宋体" w:hAnsi="宋体"/>
          <w:color w:val="auto"/>
          <w:szCs w:val="21"/>
        </w:rPr>
        <w:tab/>
      </w:r>
      <w:r>
        <w:rPr>
          <w:rFonts w:hint="eastAsia" w:ascii="宋体" w:hAnsi="宋体"/>
          <w:color w:val="auto"/>
          <w:szCs w:val="21"/>
        </w:rPr>
        <w:t>开户名称：</w:t>
      </w:r>
      <w:r>
        <w:rPr>
          <w:rFonts w:hint="eastAsia" w:ascii="宋体" w:hAnsi="宋体"/>
          <w:color w:val="auto"/>
          <w:szCs w:val="21"/>
          <w:u w:val="single"/>
        </w:rPr>
        <w:t xml:space="preserve">                               </w:t>
      </w:r>
    </w:p>
    <w:p w14:paraId="4D45174E">
      <w:pPr>
        <w:spacing w:line="400" w:lineRule="exact"/>
        <w:rPr>
          <w:rFonts w:hint="eastAsia" w:ascii="宋体" w:hAnsi="宋体"/>
          <w:color w:val="auto"/>
          <w:szCs w:val="21"/>
        </w:rPr>
      </w:pPr>
      <w:r>
        <w:rPr>
          <w:rFonts w:ascii="宋体" w:hAnsi="宋体"/>
          <w:color w:val="auto"/>
          <w:szCs w:val="21"/>
        </w:rPr>
        <w:tab/>
      </w:r>
      <w:r>
        <w:rPr>
          <w:rFonts w:hint="eastAsia" w:ascii="宋体" w:hAnsi="宋体"/>
          <w:color w:val="auto"/>
          <w:szCs w:val="21"/>
        </w:rPr>
        <w:t>开户银行：</w:t>
      </w:r>
      <w:r>
        <w:rPr>
          <w:rFonts w:hint="eastAsia" w:ascii="宋体" w:hAnsi="宋体"/>
          <w:color w:val="auto"/>
          <w:szCs w:val="21"/>
          <w:u w:val="single"/>
        </w:rPr>
        <w:t xml:space="preserve">                               </w:t>
      </w:r>
    </w:p>
    <w:p w14:paraId="07EC7723">
      <w:pPr>
        <w:spacing w:line="400" w:lineRule="exact"/>
        <w:rPr>
          <w:rFonts w:hint="eastAsia" w:ascii="宋体" w:hAnsi="宋体"/>
          <w:color w:val="auto"/>
          <w:szCs w:val="21"/>
          <w:u w:val="single"/>
        </w:rPr>
      </w:pPr>
      <w:r>
        <w:rPr>
          <w:rFonts w:ascii="宋体" w:hAnsi="宋体"/>
          <w:color w:val="auto"/>
          <w:szCs w:val="21"/>
        </w:rPr>
        <w:tab/>
      </w:r>
      <w:r>
        <w:rPr>
          <w:rFonts w:hint="eastAsia" w:ascii="宋体" w:hAnsi="宋体"/>
          <w:color w:val="auto"/>
          <w:szCs w:val="21"/>
        </w:rPr>
        <w:t>账    号：</w:t>
      </w:r>
      <w:r>
        <w:rPr>
          <w:rFonts w:hint="eastAsia" w:ascii="宋体" w:hAnsi="宋体"/>
          <w:color w:val="auto"/>
          <w:szCs w:val="21"/>
          <w:u w:val="single"/>
        </w:rPr>
        <w:t xml:space="preserve">                               </w:t>
      </w:r>
    </w:p>
    <w:p w14:paraId="2F5B743F">
      <w:pPr>
        <w:rPr>
          <w:color w:val="auto"/>
        </w:rPr>
      </w:pPr>
    </w:p>
    <w:p w14:paraId="42515475">
      <w:pPr>
        <w:rPr>
          <w:color w:val="auto"/>
        </w:rPr>
      </w:pPr>
    </w:p>
    <w:p w14:paraId="46AE4D72">
      <w:pPr>
        <w:rPr>
          <w:color w:val="auto"/>
        </w:rPr>
      </w:pPr>
    </w:p>
    <w:p w14:paraId="373C9343">
      <w:pPr>
        <w:rPr>
          <w:color w:val="auto"/>
        </w:rPr>
      </w:pPr>
    </w:p>
    <w:p w14:paraId="40F13DCF">
      <w:pPr>
        <w:rPr>
          <w:color w:val="auto"/>
        </w:rPr>
      </w:pPr>
    </w:p>
    <w:p w14:paraId="4D2B4521">
      <w:pPr>
        <w:spacing w:line="400" w:lineRule="exact"/>
        <w:rPr>
          <w:rFonts w:hint="eastAsia" w:ascii="宋体" w:hAnsi="宋体"/>
          <w:color w:val="auto"/>
          <w:szCs w:val="21"/>
        </w:rPr>
      </w:pPr>
      <w:r>
        <w:rPr>
          <w:rFonts w:ascii="宋体" w:hAnsi="宋体"/>
          <w:color w:val="auto"/>
          <w:szCs w:val="21"/>
        </w:rPr>
        <w:tab/>
      </w:r>
      <w:r>
        <w:rPr>
          <w:rFonts w:ascii="宋体" w:hAnsi="宋体"/>
          <w:color w:val="auto"/>
          <w:szCs w:val="21"/>
        </w:rPr>
        <w:t xml:space="preserve">                                           </w:t>
      </w:r>
      <w:r>
        <w:rPr>
          <w:rFonts w:hint="eastAsia" w:ascii="宋体" w:hAnsi="宋体"/>
          <w:color w:val="auto"/>
          <w:szCs w:val="21"/>
        </w:rPr>
        <w:t>供应商（盖章）：</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0EBDBD65">
      <w:pPr>
        <w:spacing w:line="400" w:lineRule="exact"/>
        <w:rPr>
          <w:rFonts w:hint="eastAsia" w:ascii="宋体" w:hAnsi="宋体"/>
          <w:color w:val="auto"/>
          <w:szCs w:val="21"/>
        </w:rPr>
      </w:pPr>
      <w:r>
        <w:rPr>
          <w:rFonts w:ascii="宋体" w:hAnsi="宋体"/>
          <w:color w:val="auto"/>
          <w:szCs w:val="21"/>
        </w:rPr>
        <w:tab/>
      </w:r>
      <w:r>
        <w:rPr>
          <w:rFonts w:ascii="宋体" w:hAnsi="宋体"/>
          <w:color w:val="auto"/>
          <w:szCs w:val="21"/>
        </w:rPr>
        <w:t xml:space="preserve">                                           </w:t>
      </w:r>
      <w:r>
        <w:rPr>
          <w:rFonts w:hint="eastAsia" w:ascii="宋体" w:hAnsi="宋体"/>
          <w:color w:val="auto"/>
          <w:szCs w:val="21"/>
        </w:rPr>
        <w:t>日期：</w:t>
      </w:r>
      <w:r>
        <w:rPr>
          <w:rFonts w:hint="eastAsia" w:ascii="宋体" w:hAnsi="宋体"/>
          <w:color w:val="auto"/>
          <w:szCs w:val="21"/>
          <w:u w:val="single"/>
        </w:rPr>
        <w:t xml:space="preserve">                    </w:t>
      </w:r>
      <w:r>
        <w:rPr>
          <w:rFonts w:ascii="宋体" w:hAnsi="宋体"/>
          <w:color w:val="auto"/>
          <w:szCs w:val="21"/>
          <w:u w:val="single"/>
        </w:rPr>
        <w:t xml:space="preserve">     </w:t>
      </w:r>
    </w:p>
    <w:p w14:paraId="4EA2F724">
      <w:pPr>
        <w:widowControl/>
        <w:jc w:val="left"/>
        <w:rPr>
          <w:color w:val="auto"/>
        </w:rPr>
      </w:pPr>
      <w:r>
        <w:rPr>
          <w:color w:val="auto"/>
        </w:rPr>
        <w:br w:type="page"/>
      </w:r>
    </w:p>
    <w:p w14:paraId="5510FE5F">
      <w:pPr>
        <w:rPr>
          <w:color w:val="auto"/>
        </w:rPr>
      </w:pPr>
    </w:p>
    <w:p w14:paraId="697064E5">
      <w:pPr>
        <w:jc w:val="center"/>
        <w:rPr>
          <w:rFonts w:hint="eastAsia" w:ascii="仿宋" w:hAnsi="仿宋" w:eastAsia="仿宋"/>
          <w:color w:val="auto"/>
          <w:sz w:val="32"/>
          <w:szCs w:val="32"/>
        </w:rPr>
      </w:pPr>
      <w:r>
        <w:rPr>
          <w:rFonts w:hint="eastAsia" w:ascii="仿宋" w:hAnsi="仿宋" w:eastAsia="仿宋"/>
          <w:b/>
          <w:color w:val="auto"/>
          <w:sz w:val="32"/>
          <w:szCs w:val="32"/>
        </w:rPr>
        <w:t>授权委托书</w:t>
      </w:r>
      <w:bookmarkStart w:id="123" w:name="_Hlk92703623"/>
      <w:r>
        <w:rPr>
          <w:rFonts w:hint="eastAsia" w:ascii="仿宋" w:hAnsi="仿宋" w:eastAsia="仿宋"/>
          <w:color w:val="auto"/>
          <w:sz w:val="24"/>
        </w:rPr>
        <w:t>(格式</w:t>
      </w:r>
      <w:r>
        <w:rPr>
          <w:rFonts w:ascii="仿宋" w:hAnsi="仿宋" w:eastAsia="仿宋"/>
          <w:color w:val="auto"/>
          <w:sz w:val="24"/>
        </w:rPr>
        <w:t>)</w:t>
      </w:r>
      <w:bookmarkEnd w:id="123"/>
    </w:p>
    <w:p w14:paraId="79875F7C">
      <w:pPr>
        <w:snapToGrid w:val="0"/>
        <w:spacing w:before="156" w:beforeLines="50" w:after="50" w:line="500" w:lineRule="exact"/>
        <w:rPr>
          <w:rFonts w:hint="eastAsia" w:ascii="宋体" w:hAnsi="宋体"/>
          <w:b/>
          <w:bCs/>
          <w:color w:val="auto"/>
          <w:szCs w:val="21"/>
        </w:rPr>
      </w:pPr>
      <w:r>
        <w:rPr>
          <w:rFonts w:hint="eastAsia" w:ascii="宋体" w:hAnsi="宋体"/>
          <w:bCs/>
          <w:color w:val="auto"/>
          <w:szCs w:val="21"/>
        </w:rPr>
        <w:t>致：</w:t>
      </w:r>
      <w:r>
        <w:rPr>
          <w:rFonts w:hint="eastAsia"/>
          <w:color w:val="auto"/>
        </w:rPr>
        <w:t>钦州市政府采购中心</w:t>
      </w:r>
    </w:p>
    <w:p w14:paraId="2E42D1A0">
      <w:pPr>
        <w:snapToGrid w:val="0"/>
        <w:spacing w:before="156" w:beforeLines="50" w:after="50" w:line="500" w:lineRule="exact"/>
        <w:ind w:firstLine="420" w:firstLineChars="200"/>
        <w:rPr>
          <w:rFonts w:hint="eastAsia" w:ascii="宋体" w:hAnsi="宋体"/>
          <w:color w:val="auto"/>
          <w:szCs w:val="21"/>
        </w:rPr>
      </w:pPr>
      <w:r>
        <w:rPr>
          <w:rFonts w:hint="eastAsia" w:ascii="宋体" w:hAnsi="宋体"/>
          <w:color w:val="auto"/>
          <w:szCs w:val="21"/>
        </w:rPr>
        <w:t>我</w:t>
      </w:r>
      <w:r>
        <w:rPr>
          <w:rFonts w:hint="eastAsia" w:ascii="宋体" w:hAnsi="宋体"/>
          <w:color w:val="auto"/>
          <w:szCs w:val="21"/>
          <w:u w:val="single"/>
        </w:rPr>
        <w:t>（姓名）</w:t>
      </w:r>
      <w:r>
        <w:rPr>
          <w:rFonts w:hint="eastAsia" w:ascii="宋体" w:hAnsi="宋体"/>
          <w:color w:val="auto"/>
          <w:szCs w:val="21"/>
        </w:rPr>
        <w:t>系</w:t>
      </w:r>
      <w:r>
        <w:rPr>
          <w:rFonts w:hint="eastAsia" w:ascii="宋体" w:hAnsi="宋体"/>
          <w:color w:val="auto"/>
          <w:szCs w:val="21"/>
          <w:u w:val="single"/>
        </w:rPr>
        <w:t>（供应商名称）</w:t>
      </w:r>
      <w:r>
        <w:rPr>
          <w:rFonts w:hint="eastAsia" w:ascii="宋体" w:hAnsi="宋体"/>
          <w:color w:val="auto"/>
          <w:szCs w:val="21"/>
        </w:rPr>
        <w:t>的法定代表人，现授权委托本单位在职职工</w:t>
      </w:r>
      <w:r>
        <w:rPr>
          <w:rFonts w:hint="eastAsia" w:ascii="宋体" w:hAnsi="宋体"/>
          <w:color w:val="auto"/>
          <w:szCs w:val="21"/>
          <w:u w:val="single"/>
        </w:rPr>
        <w:t>（姓名）</w:t>
      </w:r>
      <w:r>
        <w:rPr>
          <w:rFonts w:hint="eastAsia" w:ascii="宋体" w:hAnsi="宋体"/>
          <w:color w:val="auto"/>
          <w:szCs w:val="21"/>
        </w:rPr>
        <w:t>以我方的名义参加</w:t>
      </w:r>
      <w:r>
        <w:rPr>
          <w:rFonts w:hint="eastAsia" w:ascii="宋体" w:hAnsi="宋体"/>
          <w:color w:val="auto"/>
          <w:szCs w:val="21"/>
          <w:u w:val="single"/>
        </w:rPr>
        <w:t>（项目名称/项目编号）</w:t>
      </w:r>
      <w:r>
        <w:rPr>
          <w:rFonts w:hint="eastAsia" w:ascii="宋体" w:hAnsi="宋体"/>
          <w:color w:val="auto"/>
          <w:szCs w:val="21"/>
        </w:rPr>
        <w:t>的谈判活动，并代表我方全权办理针对上述项目的谈判、签约等具体事务和签署相关文件。</w:t>
      </w:r>
    </w:p>
    <w:p w14:paraId="3297209F">
      <w:pPr>
        <w:snapToGrid w:val="0"/>
        <w:spacing w:before="156" w:beforeLines="50" w:after="50" w:line="500" w:lineRule="exact"/>
        <w:ind w:firstLine="420" w:firstLineChars="200"/>
        <w:rPr>
          <w:rFonts w:hint="eastAsia" w:ascii="宋体" w:hAnsi="宋体"/>
          <w:color w:val="auto"/>
          <w:szCs w:val="21"/>
        </w:rPr>
      </w:pPr>
      <w:r>
        <w:rPr>
          <w:rFonts w:hint="eastAsia" w:ascii="宋体" w:hAnsi="宋体"/>
          <w:color w:val="auto"/>
          <w:szCs w:val="21"/>
        </w:rPr>
        <w:t>我方对被授权人的签名事项负全部责任。</w:t>
      </w:r>
    </w:p>
    <w:p w14:paraId="54189BAE">
      <w:pPr>
        <w:snapToGrid w:val="0"/>
        <w:spacing w:before="156" w:beforeLines="50" w:after="50" w:line="500" w:lineRule="exact"/>
        <w:ind w:firstLine="420" w:firstLineChars="200"/>
        <w:rPr>
          <w:rFonts w:hint="eastAsia" w:ascii="宋体" w:hAnsi="宋体"/>
          <w:color w:val="auto"/>
          <w:szCs w:val="21"/>
        </w:rPr>
      </w:pPr>
      <w:r>
        <w:rPr>
          <w:rFonts w:hint="eastAsia" w:ascii="宋体" w:hAnsi="宋体"/>
          <w:color w:val="auto"/>
          <w:szCs w:val="21"/>
          <w:u w:val="single"/>
        </w:rPr>
        <w:t>在撤销授权的书面通知以前，本授权书一直有效</w:t>
      </w:r>
      <w:r>
        <w:rPr>
          <w:rFonts w:hint="eastAsia" w:ascii="宋体" w:hAnsi="宋体"/>
          <w:color w:val="auto"/>
          <w:szCs w:val="21"/>
        </w:rPr>
        <w:t>。被授权人在授权书有效期内签署的所有文件不因授权的撤销而失效。</w:t>
      </w:r>
    </w:p>
    <w:p w14:paraId="214ED860">
      <w:pPr>
        <w:snapToGrid w:val="0"/>
        <w:spacing w:before="156" w:beforeLines="50" w:after="50" w:line="500" w:lineRule="exact"/>
        <w:ind w:firstLine="420" w:firstLineChars="200"/>
        <w:rPr>
          <w:rFonts w:hint="eastAsia" w:ascii="宋体" w:hAnsi="宋体"/>
          <w:color w:val="auto"/>
          <w:szCs w:val="21"/>
        </w:rPr>
      </w:pPr>
      <w:r>
        <w:rPr>
          <w:rFonts w:hint="eastAsia" w:ascii="宋体" w:hAnsi="宋体"/>
          <w:color w:val="auto"/>
          <w:szCs w:val="21"/>
        </w:rPr>
        <w:t>被授权人无转委托权，特此委托。</w:t>
      </w:r>
    </w:p>
    <w:p w14:paraId="18A1B757">
      <w:pPr>
        <w:snapToGrid w:val="0"/>
        <w:spacing w:before="156" w:beforeLines="50" w:after="50" w:line="300" w:lineRule="exact"/>
        <w:ind w:firstLine="525" w:firstLineChars="250"/>
        <w:rPr>
          <w:rFonts w:hint="eastAsia" w:ascii="宋体" w:hAnsi="宋体"/>
          <w:color w:val="auto"/>
          <w:szCs w:val="21"/>
        </w:rPr>
      </w:pPr>
    </w:p>
    <w:p w14:paraId="4395831F">
      <w:pPr>
        <w:snapToGrid w:val="0"/>
        <w:spacing w:before="156" w:beforeLines="50" w:after="50" w:line="300" w:lineRule="exact"/>
        <w:ind w:firstLine="420" w:firstLineChars="200"/>
        <w:rPr>
          <w:rFonts w:hint="eastAsia" w:ascii="宋体" w:hAnsi="宋体"/>
          <w:color w:val="auto"/>
          <w:szCs w:val="21"/>
        </w:rPr>
      </w:pPr>
      <w:r>
        <w:rPr>
          <w:rFonts w:hint="eastAsia" w:ascii="宋体" w:hAnsi="宋体"/>
          <w:color w:val="auto"/>
          <w:szCs w:val="21"/>
        </w:rPr>
        <w:t>所在部门职务：</w:t>
      </w:r>
      <w:r>
        <w:rPr>
          <w:rFonts w:hint="eastAsia" w:ascii="宋体" w:hAnsi="宋体"/>
          <w:color w:val="auto"/>
          <w:szCs w:val="21"/>
          <w:u w:val="single"/>
        </w:rPr>
        <w:t xml:space="preserve">                        </w:t>
      </w:r>
    </w:p>
    <w:p w14:paraId="2D886933">
      <w:pPr>
        <w:snapToGrid w:val="0"/>
        <w:spacing w:before="156" w:beforeLines="50" w:after="50" w:line="300" w:lineRule="exact"/>
        <w:ind w:firstLine="420" w:firstLineChars="200"/>
        <w:rPr>
          <w:rFonts w:hint="eastAsia" w:ascii="宋体" w:hAnsi="宋体"/>
          <w:color w:val="auto"/>
          <w:szCs w:val="21"/>
          <w:u w:val="single"/>
        </w:rPr>
      </w:pPr>
      <w:r>
        <w:rPr>
          <w:rFonts w:hint="eastAsia" w:ascii="宋体" w:hAnsi="宋体"/>
          <w:color w:val="auto"/>
          <w:szCs w:val="21"/>
        </w:rPr>
        <w:t>职务：</w:t>
      </w:r>
      <w:r>
        <w:rPr>
          <w:rFonts w:hint="eastAsia" w:ascii="宋体" w:hAnsi="宋体"/>
          <w:color w:val="auto"/>
          <w:szCs w:val="21"/>
          <w:u w:val="single"/>
        </w:rPr>
        <w:t xml:space="preserve">                                </w:t>
      </w:r>
    </w:p>
    <w:p w14:paraId="02A1FBEB">
      <w:pPr>
        <w:snapToGrid w:val="0"/>
        <w:spacing w:before="156" w:beforeLines="50" w:after="50" w:line="300" w:lineRule="exact"/>
        <w:ind w:firstLine="420" w:firstLineChars="200"/>
        <w:rPr>
          <w:rFonts w:hint="eastAsia" w:ascii="宋体" w:hAnsi="宋体"/>
          <w:color w:val="auto"/>
          <w:szCs w:val="21"/>
        </w:rPr>
      </w:pPr>
      <w:r>
        <w:rPr>
          <w:rFonts w:hint="eastAsia" w:ascii="宋体" w:hAnsi="宋体"/>
          <w:color w:val="auto"/>
          <w:szCs w:val="21"/>
        </w:rPr>
        <w:t>被授权人身份证号码：</w:t>
      </w:r>
      <w:r>
        <w:rPr>
          <w:rFonts w:hint="eastAsia" w:ascii="宋体" w:hAnsi="宋体"/>
          <w:color w:val="auto"/>
          <w:szCs w:val="21"/>
          <w:u w:val="single"/>
        </w:rPr>
        <w:t xml:space="preserve">                  </w:t>
      </w:r>
    </w:p>
    <w:p w14:paraId="62D234B0">
      <w:pPr>
        <w:snapToGrid w:val="0"/>
        <w:spacing w:before="156" w:beforeLines="50" w:after="50" w:line="300" w:lineRule="exact"/>
        <w:ind w:firstLine="420" w:firstLineChars="200"/>
        <w:rPr>
          <w:rFonts w:hint="eastAsia" w:hAnsi="宋体"/>
          <w:color w:val="auto"/>
        </w:rPr>
      </w:pPr>
      <w:r>
        <w:rPr>
          <w:rFonts w:hint="eastAsia" w:hAnsi="宋体"/>
          <w:color w:val="auto"/>
        </w:rPr>
        <w:t>附：委托代理人身份证(正反面</w:t>
      </w:r>
      <w:r>
        <w:rPr>
          <w:rFonts w:hAnsi="宋体"/>
          <w:color w:val="auto"/>
        </w:rPr>
        <w:t>)</w:t>
      </w:r>
    </w:p>
    <w:p w14:paraId="34616B81">
      <w:pPr>
        <w:rPr>
          <w:color w:val="auto"/>
        </w:rPr>
      </w:pPr>
    </w:p>
    <w:p w14:paraId="45F15F9F">
      <w:pPr>
        <w:rPr>
          <w:color w:val="auto"/>
        </w:rPr>
      </w:pPr>
    </w:p>
    <w:p w14:paraId="37508885">
      <w:pPr>
        <w:snapToGrid w:val="0"/>
        <w:spacing w:before="156" w:beforeLines="50" w:after="50" w:line="200" w:lineRule="exact"/>
        <w:ind w:firstLine="4620" w:firstLineChars="2200"/>
        <w:rPr>
          <w:rFonts w:hint="eastAsia" w:ascii="宋体" w:hAnsi="宋体"/>
          <w:color w:val="auto"/>
          <w:szCs w:val="21"/>
          <w:u w:val="single"/>
        </w:rPr>
      </w:pPr>
      <w:r>
        <w:rPr>
          <w:rFonts w:hint="eastAsia" w:ascii="宋体" w:hAnsi="宋体"/>
          <w:color w:val="auto"/>
          <w:szCs w:val="21"/>
        </w:rPr>
        <w:t xml:space="preserve">       供应商（盖章）：</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7BF25461">
      <w:pPr>
        <w:snapToGrid w:val="0"/>
        <w:spacing w:before="156" w:beforeLines="50" w:after="50" w:line="200" w:lineRule="exact"/>
        <w:ind w:firstLine="5355" w:firstLineChars="2550"/>
        <w:rPr>
          <w:rFonts w:hint="eastAsia" w:ascii="宋体" w:hAnsi="宋体"/>
          <w:color w:val="auto"/>
          <w:szCs w:val="21"/>
        </w:rPr>
      </w:pPr>
      <w:r>
        <w:rPr>
          <w:rFonts w:hint="eastAsia" w:ascii="宋体" w:hAnsi="宋体"/>
          <w:color w:val="auto"/>
          <w:szCs w:val="21"/>
        </w:rPr>
        <w:t>法定代表人签名：</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4DB6D2ED">
      <w:pPr>
        <w:snapToGrid w:val="0"/>
        <w:spacing w:before="156" w:beforeLines="50" w:after="50" w:line="200" w:lineRule="exact"/>
        <w:ind w:firstLine="5355" w:firstLineChars="2550"/>
        <w:rPr>
          <w:rFonts w:hint="eastAsia"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63D3829C">
      <w:pPr>
        <w:widowControl/>
        <w:jc w:val="left"/>
        <w:rPr>
          <w:rFonts w:ascii="宋体" w:hAnsi="Courier New" w:cs="Courier New"/>
          <w:b/>
          <w:bCs/>
          <w:color w:val="auto"/>
          <w:szCs w:val="21"/>
        </w:rPr>
      </w:pPr>
      <w:r>
        <w:rPr>
          <w:b/>
          <w:bCs/>
          <w:color w:val="auto"/>
        </w:rPr>
        <w:br w:type="page"/>
      </w:r>
    </w:p>
    <w:p w14:paraId="7A18FEC3">
      <w:pPr>
        <w:rPr>
          <w:color w:val="auto"/>
        </w:rPr>
      </w:pPr>
    </w:p>
    <w:p w14:paraId="2AFC1184">
      <w:pPr>
        <w:snapToGrid w:val="0"/>
        <w:spacing w:before="156" w:beforeLines="50" w:after="50" w:line="360" w:lineRule="exact"/>
        <w:jc w:val="center"/>
        <w:rPr>
          <w:rFonts w:hint="eastAsia" w:ascii="仿宋" w:hAnsi="仿宋" w:eastAsia="仿宋"/>
          <w:b/>
          <w:color w:val="auto"/>
          <w:sz w:val="32"/>
          <w:szCs w:val="32"/>
        </w:rPr>
      </w:pPr>
      <w:r>
        <w:rPr>
          <w:rFonts w:hint="eastAsia" w:ascii="仿宋" w:hAnsi="仿宋" w:eastAsia="仿宋"/>
          <w:b/>
          <w:color w:val="auto"/>
          <w:sz w:val="32"/>
          <w:szCs w:val="32"/>
        </w:rPr>
        <w:t>商务响应表</w:t>
      </w:r>
      <w:r>
        <w:rPr>
          <w:rFonts w:hint="eastAsia" w:ascii="仿宋" w:hAnsi="仿宋" w:eastAsia="仿宋"/>
          <w:color w:val="auto"/>
          <w:sz w:val="24"/>
        </w:rPr>
        <w:t>(格式</w:t>
      </w:r>
      <w:r>
        <w:rPr>
          <w:rFonts w:ascii="仿宋" w:hAnsi="仿宋" w:eastAsia="仿宋"/>
          <w:color w:val="auto"/>
          <w:sz w:val="24"/>
        </w:rPr>
        <w:t>)</w:t>
      </w:r>
    </w:p>
    <w:tbl>
      <w:tblPr>
        <w:tblStyle w:val="3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049"/>
        <w:gridCol w:w="2976"/>
        <w:gridCol w:w="1535"/>
      </w:tblGrid>
      <w:tr w14:paraId="7C0CE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2D6E4502">
            <w:pPr>
              <w:snapToGrid w:val="0"/>
              <w:spacing w:before="156" w:beforeLines="50" w:line="360" w:lineRule="exact"/>
              <w:jc w:val="center"/>
              <w:rPr>
                <w:rFonts w:hint="eastAsia" w:ascii="宋体" w:hAnsi="宋体"/>
                <w:b/>
                <w:color w:val="auto"/>
                <w:szCs w:val="21"/>
              </w:rPr>
            </w:pPr>
            <w:r>
              <w:rPr>
                <w:rFonts w:hint="eastAsia" w:ascii="宋体" w:hAnsi="宋体"/>
                <w:b/>
                <w:color w:val="auto"/>
                <w:szCs w:val="21"/>
              </w:rPr>
              <w:t>项目</w:t>
            </w:r>
          </w:p>
        </w:tc>
        <w:tc>
          <w:tcPr>
            <w:tcW w:w="3049" w:type="dxa"/>
            <w:tcBorders>
              <w:top w:val="single" w:color="auto" w:sz="4" w:space="0"/>
              <w:left w:val="single" w:color="auto" w:sz="4" w:space="0"/>
              <w:bottom w:val="single" w:color="auto" w:sz="4" w:space="0"/>
              <w:right w:val="single" w:color="auto" w:sz="4" w:space="0"/>
            </w:tcBorders>
            <w:vAlign w:val="center"/>
          </w:tcPr>
          <w:p w14:paraId="344615ED">
            <w:pPr>
              <w:snapToGrid w:val="0"/>
              <w:spacing w:before="156" w:beforeLines="50" w:line="360" w:lineRule="exact"/>
              <w:jc w:val="center"/>
              <w:rPr>
                <w:rFonts w:hint="eastAsia" w:ascii="宋体" w:hAnsi="宋体"/>
                <w:b/>
                <w:color w:val="auto"/>
                <w:szCs w:val="21"/>
              </w:rPr>
            </w:pPr>
            <w:r>
              <w:rPr>
                <w:rFonts w:hint="eastAsia" w:ascii="宋体" w:hAnsi="宋体"/>
                <w:b/>
                <w:color w:val="auto"/>
                <w:szCs w:val="21"/>
              </w:rPr>
              <w:t>采购文件要求</w:t>
            </w:r>
          </w:p>
        </w:tc>
        <w:tc>
          <w:tcPr>
            <w:tcW w:w="2976" w:type="dxa"/>
            <w:tcBorders>
              <w:top w:val="single" w:color="auto" w:sz="4" w:space="0"/>
              <w:left w:val="single" w:color="auto" w:sz="4" w:space="0"/>
              <w:bottom w:val="single" w:color="auto" w:sz="4" w:space="0"/>
              <w:right w:val="single" w:color="auto" w:sz="4" w:space="0"/>
            </w:tcBorders>
            <w:vAlign w:val="center"/>
          </w:tcPr>
          <w:p w14:paraId="2964500E">
            <w:pPr>
              <w:snapToGrid w:val="0"/>
              <w:spacing w:before="156" w:beforeLines="50" w:line="360" w:lineRule="exact"/>
              <w:jc w:val="center"/>
              <w:rPr>
                <w:rFonts w:hint="eastAsia" w:ascii="宋体" w:hAnsi="宋体"/>
                <w:b/>
                <w:color w:val="auto"/>
                <w:szCs w:val="21"/>
              </w:rPr>
            </w:pPr>
            <w:r>
              <w:rPr>
                <w:rFonts w:hint="eastAsia" w:ascii="宋体" w:hAnsi="宋体"/>
                <w:b/>
                <w:color w:val="auto"/>
                <w:szCs w:val="21"/>
              </w:rPr>
              <w:t>供应商的承诺或说明</w:t>
            </w:r>
          </w:p>
        </w:tc>
        <w:tc>
          <w:tcPr>
            <w:tcW w:w="1535" w:type="dxa"/>
            <w:tcBorders>
              <w:top w:val="single" w:color="auto" w:sz="4" w:space="0"/>
              <w:left w:val="single" w:color="auto" w:sz="4" w:space="0"/>
              <w:bottom w:val="single" w:color="auto" w:sz="4" w:space="0"/>
              <w:right w:val="single" w:color="auto" w:sz="4" w:space="0"/>
            </w:tcBorders>
            <w:vAlign w:val="center"/>
          </w:tcPr>
          <w:p w14:paraId="504497E7">
            <w:pPr>
              <w:snapToGrid w:val="0"/>
              <w:spacing w:before="156" w:beforeLines="50" w:line="360" w:lineRule="exact"/>
              <w:jc w:val="center"/>
              <w:rPr>
                <w:rFonts w:hint="eastAsia" w:ascii="宋体" w:hAnsi="宋体"/>
                <w:b/>
                <w:color w:val="auto"/>
                <w:szCs w:val="21"/>
              </w:rPr>
            </w:pPr>
            <w:r>
              <w:rPr>
                <w:rFonts w:hint="eastAsia" w:ascii="宋体" w:hAnsi="宋体"/>
                <w:b/>
                <w:color w:val="auto"/>
                <w:szCs w:val="21"/>
              </w:rPr>
              <w:t>是否响应</w:t>
            </w:r>
          </w:p>
        </w:tc>
      </w:tr>
      <w:tr w14:paraId="7B779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04C83B8F">
            <w:pPr>
              <w:snapToGrid w:val="0"/>
              <w:spacing w:before="156" w:beforeLines="50" w:line="360" w:lineRule="exact"/>
              <w:jc w:val="center"/>
              <w:rPr>
                <w:rFonts w:hint="eastAsia" w:ascii="宋体" w:hAnsi="宋体"/>
                <w:color w:val="auto"/>
                <w:szCs w:val="21"/>
              </w:rPr>
            </w:pPr>
            <w:r>
              <w:rPr>
                <w:rFonts w:hint="eastAsia" w:ascii="宋体" w:hAnsi="宋体"/>
                <w:color w:val="auto"/>
                <w:szCs w:val="21"/>
              </w:rPr>
              <w:t>质保期</w:t>
            </w:r>
          </w:p>
        </w:tc>
        <w:tc>
          <w:tcPr>
            <w:tcW w:w="3049" w:type="dxa"/>
            <w:tcBorders>
              <w:top w:val="single" w:color="auto" w:sz="4" w:space="0"/>
              <w:left w:val="single" w:color="auto" w:sz="4" w:space="0"/>
              <w:bottom w:val="single" w:color="auto" w:sz="4" w:space="0"/>
              <w:right w:val="single" w:color="auto" w:sz="4" w:space="0"/>
            </w:tcBorders>
            <w:vAlign w:val="center"/>
          </w:tcPr>
          <w:p w14:paraId="47D3E8E5">
            <w:pPr>
              <w:snapToGrid w:val="0"/>
              <w:spacing w:before="156" w:beforeLines="50" w:line="360" w:lineRule="exact"/>
              <w:jc w:val="center"/>
              <w:rPr>
                <w:rFonts w:hint="eastAsia" w:ascii="宋体" w:hAnsi="宋体"/>
                <w:color w:val="auto"/>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39B24F33">
            <w:pPr>
              <w:snapToGrid w:val="0"/>
              <w:spacing w:before="156" w:beforeLines="50" w:line="360" w:lineRule="exact"/>
              <w:jc w:val="center"/>
              <w:rPr>
                <w:rFonts w:hint="eastAsia" w:ascii="宋体" w:hAnsi="宋体"/>
                <w:color w:val="auto"/>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425FBCFE">
            <w:pPr>
              <w:snapToGrid w:val="0"/>
              <w:spacing w:before="156" w:beforeLines="50" w:line="360" w:lineRule="exact"/>
              <w:jc w:val="center"/>
              <w:rPr>
                <w:rFonts w:hint="eastAsia" w:ascii="宋体" w:hAnsi="宋体"/>
                <w:color w:val="auto"/>
                <w:szCs w:val="21"/>
              </w:rPr>
            </w:pPr>
          </w:p>
        </w:tc>
      </w:tr>
      <w:tr w14:paraId="5E349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7210CE28">
            <w:pPr>
              <w:snapToGrid w:val="0"/>
              <w:spacing w:before="156" w:beforeLines="50" w:line="360" w:lineRule="exact"/>
              <w:jc w:val="center"/>
              <w:rPr>
                <w:rFonts w:hint="eastAsia" w:ascii="宋体" w:hAnsi="宋体"/>
                <w:color w:val="auto"/>
                <w:szCs w:val="21"/>
              </w:rPr>
            </w:pPr>
            <w:r>
              <w:rPr>
                <w:rFonts w:hint="eastAsia" w:ascii="宋体" w:hAnsi="宋体"/>
                <w:color w:val="auto"/>
                <w:szCs w:val="21"/>
              </w:rPr>
              <w:t>售后技术服务要求</w:t>
            </w:r>
          </w:p>
        </w:tc>
        <w:tc>
          <w:tcPr>
            <w:tcW w:w="3049" w:type="dxa"/>
            <w:tcBorders>
              <w:top w:val="single" w:color="auto" w:sz="4" w:space="0"/>
              <w:left w:val="single" w:color="auto" w:sz="4" w:space="0"/>
              <w:bottom w:val="single" w:color="auto" w:sz="4" w:space="0"/>
              <w:right w:val="single" w:color="auto" w:sz="4" w:space="0"/>
            </w:tcBorders>
            <w:vAlign w:val="center"/>
          </w:tcPr>
          <w:p w14:paraId="0A78DFA7">
            <w:pPr>
              <w:snapToGrid w:val="0"/>
              <w:spacing w:before="156" w:beforeLines="50" w:line="360" w:lineRule="exact"/>
              <w:jc w:val="center"/>
              <w:rPr>
                <w:rFonts w:hint="eastAsia" w:ascii="宋体" w:hAnsi="宋体"/>
                <w:color w:val="auto"/>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641453AB">
            <w:pPr>
              <w:snapToGrid w:val="0"/>
              <w:spacing w:before="156" w:beforeLines="50" w:line="360" w:lineRule="exact"/>
              <w:jc w:val="center"/>
              <w:rPr>
                <w:rFonts w:hint="eastAsia" w:ascii="宋体" w:hAnsi="宋体"/>
                <w:color w:val="auto"/>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671B3346">
            <w:pPr>
              <w:snapToGrid w:val="0"/>
              <w:spacing w:before="156" w:beforeLines="50" w:line="360" w:lineRule="exact"/>
              <w:jc w:val="center"/>
              <w:rPr>
                <w:rFonts w:hint="eastAsia" w:ascii="宋体" w:hAnsi="宋体"/>
                <w:color w:val="auto"/>
                <w:szCs w:val="21"/>
              </w:rPr>
            </w:pPr>
          </w:p>
        </w:tc>
      </w:tr>
      <w:tr w14:paraId="4BD3F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69881FD6">
            <w:pPr>
              <w:snapToGrid w:val="0"/>
              <w:spacing w:before="156" w:beforeLines="50" w:line="360" w:lineRule="exact"/>
              <w:jc w:val="center"/>
              <w:rPr>
                <w:rFonts w:hint="eastAsia" w:ascii="宋体" w:hAnsi="宋体"/>
                <w:color w:val="auto"/>
                <w:szCs w:val="21"/>
              </w:rPr>
            </w:pPr>
            <w:r>
              <w:rPr>
                <w:rFonts w:hint="eastAsia" w:ascii="宋体" w:hAnsi="宋体"/>
                <w:color w:val="auto"/>
                <w:szCs w:val="21"/>
              </w:rPr>
              <w:t>交货时间及地点</w:t>
            </w:r>
          </w:p>
        </w:tc>
        <w:tc>
          <w:tcPr>
            <w:tcW w:w="3049" w:type="dxa"/>
            <w:tcBorders>
              <w:top w:val="single" w:color="auto" w:sz="4" w:space="0"/>
              <w:left w:val="single" w:color="auto" w:sz="4" w:space="0"/>
              <w:bottom w:val="single" w:color="auto" w:sz="4" w:space="0"/>
              <w:right w:val="single" w:color="auto" w:sz="4" w:space="0"/>
            </w:tcBorders>
            <w:vAlign w:val="center"/>
          </w:tcPr>
          <w:p w14:paraId="30376DC5">
            <w:pPr>
              <w:snapToGrid w:val="0"/>
              <w:spacing w:before="156" w:beforeLines="50" w:line="360" w:lineRule="exact"/>
              <w:jc w:val="center"/>
              <w:rPr>
                <w:rFonts w:hint="eastAsia" w:ascii="宋体" w:hAnsi="宋体"/>
                <w:color w:val="auto"/>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7946B446">
            <w:pPr>
              <w:snapToGrid w:val="0"/>
              <w:spacing w:before="156" w:beforeLines="50" w:line="360" w:lineRule="exact"/>
              <w:ind w:left="43"/>
              <w:jc w:val="center"/>
              <w:rPr>
                <w:rFonts w:hint="eastAsia" w:ascii="宋体" w:hAnsi="宋体"/>
                <w:color w:val="auto"/>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4D06C2E3">
            <w:pPr>
              <w:snapToGrid w:val="0"/>
              <w:spacing w:before="156" w:beforeLines="50" w:line="360" w:lineRule="exact"/>
              <w:ind w:left="43"/>
              <w:jc w:val="center"/>
              <w:rPr>
                <w:rFonts w:hint="eastAsia" w:ascii="宋体" w:hAnsi="宋体"/>
                <w:color w:val="auto"/>
                <w:szCs w:val="21"/>
              </w:rPr>
            </w:pPr>
          </w:p>
        </w:tc>
      </w:tr>
      <w:tr w14:paraId="15B65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3C269A3F">
            <w:pPr>
              <w:snapToGrid w:val="0"/>
              <w:spacing w:before="156" w:beforeLines="50" w:line="360" w:lineRule="exact"/>
              <w:jc w:val="center"/>
              <w:rPr>
                <w:rFonts w:hint="eastAsia" w:ascii="宋体" w:hAnsi="宋体"/>
                <w:color w:val="auto"/>
                <w:szCs w:val="21"/>
              </w:rPr>
            </w:pPr>
            <w:r>
              <w:rPr>
                <w:rFonts w:hint="eastAsia" w:ascii="宋体" w:hAnsi="宋体"/>
                <w:color w:val="auto"/>
                <w:szCs w:val="21"/>
              </w:rPr>
              <w:t>付款条件</w:t>
            </w:r>
          </w:p>
        </w:tc>
        <w:tc>
          <w:tcPr>
            <w:tcW w:w="3049" w:type="dxa"/>
            <w:tcBorders>
              <w:top w:val="single" w:color="auto" w:sz="4" w:space="0"/>
              <w:left w:val="single" w:color="auto" w:sz="4" w:space="0"/>
              <w:bottom w:val="single" w:color="auto" w:sz="4" w:space="0"/>
              <w:right w:val="single" w:color="auto" w:sz="4" w:space="0"/>
            </w:tcBorders>
            <w:vAlign w:val="center"/>
          </w:tcPr>
          <w:p w14:paraId="354675C9">
            <w:pPr>
              <w:snapToGrid w:val="0"/>
              <w:spacing w:before="156" w:beforeLines="50" w:line="360" w:lineRule="exact"/>
              <w:jc w:val="center"/>
              <w:rPr>
                <w:rFonts w:hint="eastAsia" w:ascii="宋体" w:hAnsi="宋体"/>
                <w:color w:val="auto"/>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591E0E73">
            <w:pPr>
              <w:snapToGrid w:val="0"/>
              <w:spacing w:before="156" w:beforeLines="50" w:line="360" w:lineRule="exact"/>
              <w:jc w:val="center"/>
              <w:rPr>
                <w:rFonts w:hint="eastAsia" w:ascii="宋体" w:hAnsi="宋体"/>
                <w:color w:val="auto"/>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3E0F733B">
            <w:pPr>
              <w:snapToGrid w:val="0"/>
              <w:spacing w:before="156" w:beforeLines="50" w:line="360" w:lineRule="exact"/>
              <w:jc w:val="center"/>
              <w:rPr>
                <w:rFonts w:hint="eastAsia" w:ascii="宋体" w:hAnsi="宋体"/>
                <w:color w:val="auto"/>
                <w:szCs w:val="21"/>
              </w:rPr>
            </w:pPr>
          </w:p>
        </w:tc>
      </w:tr>
      <w:tr w14:paraId="36CA5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29C5268A">
            <w:pPr>
              <w:snapToGrid w:val="0"/>
              <w:spacing w:before="156" w:beforeLines="50" w:line="360" w:lineRule="exact"/>
              <w:jc w:val="center"/>
              <w:rPr>
                <w:rFonts w:hint="eastAsia" w:ascii="宋体" w:hAnsi="宋体"/>
                <w:color w:val="auto"/>
                <w:szCs w:val="21"/>
              </w:rPr>
            </w:pPr>
            <w:r>
              <w:rPr>
                <w:rFonts w:hint="eastAsia" w:ascii="宋体" w:hAnsi="宋体"/>
                <w:color w:val="auto"/>
                <w:szCs w:val="21"/>
              </w:rPr>
              <w:t>…</w:t>
            </w:r>
          </w:p>
        </w:tc>
        <w:tc>
          <w:tcPr>
            <w:tcW w:w="3049" w:type="dxa"/>
            <w:tcBorders>
              <w:top w:val="single" w:color="auto" w:sz="4" w:space="0"/>
              <w:left w:val="single" w:color="auto" w:sz="4" w:space="0"/>
              <w:bottom w:val="single" w:color="auto" w:sz="4" w:space="0"/>
              <w:right w:val="single" w:color="auto" w:sz="4" w:space="0"/>
            </w:tcBorders>
            <w:vAlign w:val="center"/>
          </w:tcPr>
          <w:p w14:paraId="4034B07A">
            <w:pPr>
              <w:snapToGrid w:val="0"/>
              <w:spacing w:before="156" w:beforeLines="50" w:line="360" w:lineRule="exact"/>
              <w:jc w:val="center"/>
              <w:rPr>
                <w:rFonts w:hint="eastAsia" w:ascii="宋体" w:hAnsi="宋体"/>
                <w:color w:val="auto"/>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2220194E">
            <w:pPr>
              <w:snapToGrid w:val="0"/>
              <w:spacing w:before="156" w:beforeLines="50" w:line="360" w:lineRule="exact"/>
              <w:jc w:val="center"/>
              <w:rPr>
                <w:rFonts w:hint="eastAsia" w:ascii="宋体" w:hAnsi="宋体"/>
                <w:color w:val="auto"/>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5F698EE3">
            <w:pPr>
              <w:snapToGrid w:val="0"/>
              <w:spacing w:before="156" w:beforeLines="50" w:line="360" w:lineRule="exact"/>
              <w:jc w:val="center"/>
              <w:rPr>
                <w:rFonts w:hint="eastAsia" w:ascii="宋体" w:hAnsi="宋体"/>
                <w:color w:val="auto"/>
                <w:szCs w:val="21"/>
              </w:rPr>
            </w:pPr>
          </w:p>
        </w:tc>
      </w:tr>
    </w:tbl>
    <w:p w14:paraId="60649D6B">
      <w:pPr>
        <w:tabs>
          <w:tab w:val="left" w:pos="3870"/>
          <w:tab w:val="left" w:pos="4085"/>
        </w:tabs>
        <w:snapToGrid w:val="0"/>
        <w:spacing w:line="400" w:lineRule="exact"/>
        <w:rPr>
          <w:rFonts w:hint="eastAsia" w:ascii="宋体" w:hAnsi="宋体"/>
          <w:b/>
          <w:color w:val="auto"/>
          <w:szCs w:val="21"/>
        </w:rPr>
      </w:pPr>
    </w:p>
    <w:p w14:paraId="194CD0DC">
      <w:pPr>
        <w:pStyle w:val="17"/>
        <w:spacing w:line="380" w:lineRule="exact"/>
        <w:rPr>
          <w:b w:val="0"/>
          <w:bCs w:val="0"/>
          <w:color w:val="auto"/>
          <w:sz w:val="21"/>
          <w:szCs w:val="21"/>
        </w:rPr>
      </w:pPr>
      <w:r>
        <w:rPr>
          <w:rFonts w:hint="eastAsia"/>
          <w:b w:val="0"/>
          <w:bCs w:val="0"/>
          <w:color w:val="auto"/>
          <w:sz w:val="21"/>
          <w:szCs w:val="21"/>
        </w:rPr>
        <w:t>注：应对照采购文件“第二章 项目需求”中的商务要求逐条作明确的竞标响应。</w:t>
      </w:r>
    </w:p>
    <w:p w14:paraId="794572CD">
      <w:pPr>
        <w:tabs>
          <w:tab w:val="left" w:pos="3870"/>
          <w:tab w:val="left" w:pos="4085"/>
        </w:tabs>
        <w:snapToGrid w:val="0"/>
        <w:spacing w:line="400" w:lineRule="exact"/>
        <w:rPr>
          <w:rFonts w:hint="eastAsia" w:ascii="宋体" w:hAnsi="宋体"/>
          <w:b/>
          <w:color w:val="auto"/>
          <w:szCs w:val="21"/>
        </w:rPr>
      </w:pPr>
    </w:p>
    <w:p w14:paraId="6E428F7D">
      <w:pPr>
        <w:snapToGrid w:val="0"/>
        <w:spacing w:before="50" w:after="50" w:line="350" w:lineRule="exact"/>
        <w:ind w:right="-817" w:rightChars="-389"/>
        <w:rPr>
          <w:rFonts w:hint="eastAsia"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供应商（盖章）：</w:t>
      </w:r>
      <w:r>
        <w:rPr>
          <w:rFonts w:hint="eastAsia" w:ascii="宋体" w:hAnsi="宋体"/>
          <w:color w:val="auto"/>
          <w:szCs w:val="21"/>
          <w:u w:val="single"/>
        </w:rPr>
        <w:t xml:space="preserve">         </w:t>
      </w:r>
    </w:p>
    <w:p w14:paraId="7A7A201D">
      <w:pPr>
        <w:snapToGrid w:val="0"/>
        <w:spacing w:before="50" w:after="50" w:line="350" w:lineRule="exact"/>
        <w:ind w:right="-817" w:rightChars="-389"/>
        <w:rPr>
          <w:rFonts w:hint="eastAsia"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日</w:t>
      </w:r>
    </w:p>
    <w:p w14:paraId="51987BDD">
      <w:pPr>
        <w:snapToGrid w:val="0"/>
        <w:spacing w:before="50" w:after="50" w:line="350" w:lineRule="exact"/>
        <w:ind w:right="-817" w:rightChars="-389"/>
        <w:rPr>
          <w:rFonts w:hint="eastAsia" w:ascii="宋体" w:hAnsi="宋体"/>
          <w:color w:val="auto"/>
          <w:szCs w:val="21"/>
        </w:rPr>
      </w:pPr>
    </w:p>
    <w:p w14:paraId="0B5054C8">
      <w:pPr>
        <w:snapToGrid w:val="0"/>
        <w:spacing w:before="50" w:after="50" w:line="350" w:lineRule="exact"/>
        <w:ind w:right="-817" w:rightChars="-389"/>
        <w:rPr>
          <w:rFonts w:hint="eastAsia" w:ascii="宋体" w:hAnsi="宋体"/>
          <w:color w:val="auto"/>
          <w:szCs w:val="21"/>
        </w:rPr>
      </w:pPr>
    </w:p>
    <w:p w14:paraId="536CCDF0">
      <w:pPr>
        <w:pStyle w:val="21"/>
        <w:spacing w:line="440" w:lineRule="exact"/>
        <w:ind w:firstLine="840"/>
        <w:jc w:val="center"/>
        <w:rPr>
          <w:rFonts w:hint="eastAsia" w:ascii="仿宋" w:hAnsi="仿宋" w:eastAsia="仿宋"/>
          <w:color w:val="auto"/>
        </w:rPr>
      </w:pPr>
      <w:r>
        <w:rPr>
          <w:rFonts w:hint="eastAsia" w:ascii="仿宋" w:hAnsi="仿宋" w:eastAsia="仿宋" w:cs="黑体"/>
          <w:b/>
          <w:color w:val="auto"/>
          <w:sz w:val="32"/>
          <w:szCs w:val="32"/>
        </w:rPr>
        <w:t>技术响应表</w:t>
      </w:r>
      <w:r>
        <w:rPr>
          <w:rFonts w:hint="eastAsia" w:ascii="仿宋" w:hAnsi="仿宋" w:eastAsia="仿宋"/>
          <w:color w:val="auto"/>
          <w:sz w:val="24"/>
          <w:szCs w:val="24"/>
        </w:rPr>
        <w:t>(格式</w:t>
      </w:r>
      <w:r>
        <w:rPr>
          <w:rFonts w:ascii="仿宋" w:hAnsi="仿宋" w:eastAsia="仿宋"/>
          <w:color w:val="auto"/>
          <w:sz w:val="24"/>
          <w:szCs w:val="24"/>
        </w:rPr>
        <w:t>)</w:t>
      </w:r>
    </w:p>
    <w:p w14:paraId="06D5771F">
      <w:pPr>
        <w:rPr>
          <w:color w:val="auto"/>
        </w:rPr>
      </w:pPr>
    </w:p>
    <w:p w14:paraId="46F2257E">
      <w:pPr>
        <w:rPr>
          <w:color w:val="auto"/>
        </w:rPr>
      </w:pPr>
      <w:r>
        <w:rPr>
          <w:rFonts w:hint="eastAsia"/>
          <w:color w:val="auto"/>
        </w:rPr>
        <w:t>采购项目编号：</w:t>
      </w:r>
      <w:r>
        <w:rPr>
          <w:rFonts w:hint="eastAsia"/>
          <w:color w:val="auto"/>
          <w:u w:val="single"/>
        </w:rPr>
        <w:t xml:space="preserve">                 </w:t>
      </w:r>
    </w:p>
    <w:p w14:paraId="66B0625F">
      <w:pPr>
        <w:rPr>
          <w:color w:val="auto"/>
        </w:rPr>
      </w:pPr>
      <w:r>
        <w:rPr>
          <w:rFonts w:hint="eastAsia"/>
          <w:color w:val="auto"/>
        </w:rPr>
        <w:t>采购项目名称：</w:t>
      </w:r>
      <w:r>
        <w:rPr>
          <w:rFonts w:hint="eastAsia"/>
          <w:color w:val="auto"/>
          <w:u w:val="single"/>
        </w:rPr>
        <w:t xml:space="preserve">                 </w:t>
      </w:r>
    </w:p>
    <w:tbl>
      <w:tblPr>
        <w:tblStyle w:val="37"/>
        <w:tblW w:w="9415" w:type="dxa"/>
        <w:tblInd w:w="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480"/>
        <w:gridCol w:w="2835"/>
        <w:gridCol w:w="2268"/>
        <w:gridCol w:w="1418"/>
        <w:gridCol w:w="709"/>
      </w:tblGrid>
      <w:tr w14:paraId="119DDD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705" w:type="dxa"/>
            <w:vAlign w:val="center"/>
          </w:tcPr>
          <w:p w14:paraId="030AAAC8">
            <w:pPr>
              <w:jc w:val="center"/>
              <w:rPr>
                <w:color w:val="auto"/>
              </w:rPr>
            </w:pPr>
            <w:r>
              <w:rPr>
                <w:rFonts w:hint="eastAsia"/>
                <w:color w:val="auto"/>
              </w:rPr>
              <w:t>序号</w:t>
            </w:r>
          </w:p>
        </w:tc>
        <w:tc>
          <w:tcPr>
            <w:tcW w:w="1480" w:type="dxa"/>
            <w:vAlign w:val="center"/>
          </w:tcPr>
          <w:p w14:paraId="5341D5E0">
            <w:pPr>
              <w:jc w:val="center"/>
              <w:rPr>
                <w:color w:val="auto"/>
              </w:rPr>
            </w:pPr>
            <w:r>
              <w:rPr>
                <w:rFonts w:hint="eastAsia"/>
                <w:color w:val="auto"/>
              </w:rPr>
              <w:t>标的名称</w:t>
            </w:r>
          </w:p>
        </w:tc>
        <w:tc>
          <w:tcPr>
            <w:tcW w:w="2835" w:type="dxa"/>
            <w:vAlign w:val="center"/>
          </w:tcPr>
          <w:p w14:paraId="53F9708D">
            <w:pPr>
              <w:jc w:val="center"/>
              <w:rPr>
                <w:color w:val="auto"/>
              </w:rPr>
            </w:pPr>
            <w:r>
              <w:rPr>
                <w:rFonts w:hint="eastAsia"/>
                <w:color w:val="auto"/>
              </w:rPr>
              <w:t>竞争性谈判采购文件要求</w:t>
            </w:r>
          </w:p>
        </w:tc>
        <w:tc>
          <w:tcPr>
            <w:tcW w:w="2268" w:type="dxa"/>
            <w:vAlign w:val="center"/>
          </w:tcPr>
          <w:p w14:paraId="33BCB1F0">
            <w:pPr>
              <w:jc w:val="center"/>
              <w:rPr>
                <w:color w:val="auto"/>
              </w:rPr>
            </w:pPr>
            <w:r>
              <w:rPr>
                <w:rFonts w:hint="eastAsia"/>
                <w:color w:val="auto"/>
              </w:rPr>
              <w:t>响应文件具体响应</w:t>
            </w:r>
          </w:p>
        </w:tc>
        <w:tc>
          <w:tcPr>
            <w:tcW w:w="1418" w:type="dxa"/>
            <w:vAlign w:val="center"/>
          </w:tcPr>
          <w:p w14:paraId="6D938C3D">
            <w:pPr>
              <w:jc w:val="center"/>
              <w:rPr>
                <w:color w:val="auto"/>
              </w:rPr>
            </w:pPr>
            <w:r>
              <w:rPr>
                <w:rFonts w:hint="eastAsia"/>
                <w:color w:val="auto"/>
              </w:rPr>
              <w:t>响应/偏离</w:t>
            </w:r>
          </w:p>
        </w:tc>
        <w:tc>
          <w:tcPr>
            <w:tcW w:w="709" w:type="dxa"/>
            <w:vAlign w:val="center"/>
          </w:tcPr>
          <w:p w14:paraId="61E37847">
            <w:pPr>
              <w:jc w:val="center"/>
              <w:rPr>
                <w:color w:val="auto"/>
              </w:rPr>
            </w:pPr>
            <w:r>
              <w:rPr>
                <w:rFonts w:hint="eastAsia"/>
                <w:color w:val="auto"/>
              </w:rPr>
              <w:t>说明</w:t>
            </w:r>
          </w:p>
        </w:tc>
      </w:tr>
      <w:tr w14:paraId="760F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6373747E">
            <w:pPr>
              <w:jc w:val="center"/>
              <w:rPr>
                <w:color w:val="auto"/>
              </w:rPr>
            </w:pPr>
            <w:r>
              <w:rPr>
                <w:rFonts w:hint="eastAsia"/>
                <w:color w:val="auto"/>
              </w:rPr>
              <w:t>1</w:t>
            </w:r>
          </w:p>
        </w:tc>
        <w:tc>
          <w:tcPr>
            <w:tcW w:w="1480" w:type="dxa"/>
            <w:vAlign w:val="center"/>
          </w:tcPr>
          <w:p w14:paraId="1DAB651F">
            <w:pPr>
              <w:rPr>
                <w:color w:val="auto"/>
              </w:rPr>
            </w:pPr>
          </w:p>
        </w:tc>
        <w:tc>
          <w:tcPr>
            <w:tcW w:w="2835" w:type="dxa"/>
            <w:vAlign w:val="center"/>
          </w:tcPr>
          <w:p w14:paraId="586F4F59">
            <w:pPr>
              <w:rPr>
                <w:color w:val="auto"/>
              </w:rPr>
            </w:pPr>
          </w:p>
        </w:tc>
        <w:tc>
          <w:tcPr>
            <w:tcW w:w="2268" w:type="dxa"/>
            <w:vAlign w:val="center"/>
          </w:tcPr>
          <w:p w14:paraId="05E36031">
            <w:pPr>
              <w:rPr>
                <w:color w:val="auto"/>
              </w:rPr>
            </w:pPr>
          </w:p>
        </w:tc>
        <w:tc>
          <w:tcPr>
            <w:tcW w:w="1418" w:type="dxa"/>
            <w:vAlign w:val="center"/>
          </w:tcPr>
          <w:p w14:paraId="2421DF20">
            <w:pPr>
              <w:rPr>
                <w:color w:val="auto"/>
              </w:rPr>
            </w:pPr>
          </w:p>
        </w:tc>
        <w:tc>
          <w:tcPr>
            <w:tcW w:w="709" w:type="dxa"/>
            <w:vAlign w:val="center"/>
          </w:tcPr>
          <w:p w14:paraId="205A5CD2">
            <w:pPr>
              <w:rPr>
                <w:color w:val="auto"/>
              </w:rPr>
            </w:pPr>
          </w:p>
        </w:tc>
      </w:tr>
      <w:tr w14:paraId="7743F1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1042D2CF">
            <w:pPr>
              <w:jc w:val="center"/>
              <w:rPr>
                <w:color w:val="auto"/>
              </w:rPr>
            </w:pPr>
            <w:r>
              <w:rPr>
                <w:rFonts w:hint="eastAsia"/>
                <w:color w:val="auto"/>
              </w:rPr>
              <w:t>2</w:t>
            </w:r>
          </w:p>
        </w:tc>
        <w:tc>
          <w:tcPr>
            <w:tcW w:w="1480" w:type="dxa"/>
            <w:vAlign w:val="center"/>
          </w:tcPr>
          <w:p w14:paraId="672371AE">
            <w:pPr>
              <w:rPr>
                <w:color w:val="auto"/>
              </w:rPr>
            </w:pPr>
          </w:p>
        </w:tc>
        <w:tc>
          <w:tcPr>
            <w:tcW w:w="2835" w:type="dxa"/>
            <w:vAlign w:val="center"/>
          </w:tcPr>
          <w:p w14:paraId="6320FCA1">
            <w:pPr>
              <w:rPr>
                <w:color w:val="auto"/>
              </w:rPr>
            </w:pPr>
          </w:p>
        </w:tc>
        <w:tc>
          <w:tcPr>
            <w:tcW w:w="2268" w:type="dxa"/>
            <w:vAlign w:val="center"/>
          </w:tcPr>
          <w:p w14:paraId="3B14D918">
            <w:pPr>
              <w:rPr>
                <w:color w:val="auto"/>
              </w:rPr>
            </w:pPr>
          </w:p>
        </w:tc>
        <w:tc>
          <w:tcPr>
            <w:tcW w:w="1418" w:type="dxa"/>
            <w:vAlign w:val="center"/>
          </w:tcPr>
          <w:p w14:paraId="3869CF5A">
            <w:pPr>
              <w:rPr>
                <w:color w:val="auto"/>
              </w:rPr>
            </w:pPr>
          </w:p>
        </w:tc>
        <w:tc>
          <w:tcPr>
            <w:tcW w:w="709" w:type="dxa"/>
            <w:vAlign w:val="center"/>
          </w:tcPr>
          <w:p w14:paraId="39732E53">
            <w:pPr>
              <w:rPr>
                <w:color w:val="auto"/>
              </w:rPr>
            </w:pPr>
          </w:p>
        </w:tc>
      </w:tr>
      <w:tr w14:paraId="0DAAF7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0B77E5E2">
            <w:pPr>
              <w:jc w:val="center"/>
              <w:rPr>
                <w:color w:val="auto"/>
              </w:rPr>
            </w:pPr>
            <w:r>
              <w:rPr>
                <w:rFonts w:hint="eastAsia"/>
                <w:color w:val="auto"/>
              </w:rPr>
              <w:t>3</w:t>
            </w:r>
          </w:p>
        </w:tc>
        <w:tc>
          <w:tcPr>
            <w:tcW w:w="1480" w:type="dxa"/>
            <w:vAlign w:val="center"/>
          </w:tcPr>
          <w:p w14:paraId="12C29516">
            <w:pPr>
              <w:rPr>
                <w:color w:val="auto"/>
              </w:rPr>
            </w:pPr>
          </w:p>
        </w:tc>
        <w:tc>
          <w:tcPr>
            <w:tcW w:w="2835" w:type="dxa"/>
            <w:vAlign w:val="center"/>
          </w:tcPr>
          <w:p w14:paraId="46DF37E6">
            <w:pPr>
              <w:rPr>
                <w:color w:val="auto"/>
              </w:rPr>
            </w:pPr>
          </w:p>
        </w:tc>
        <w:tc>
          <w:tcPr>
            <w:tcW w:w="2268" w:type="dxa"/>
            <w:vAlign w:val="center"/>
          </w:tcPr>
          <w:p w14:paraId="43524DA1">
            <w:pPr>
              <w:rPr>
                <w:color w:val="auto"/>
              </w:rPr>
            </w:pPr>
          </w:p>
        </w:tc>
        <w:tc>
          <w:tcPr>
            <w:tcW w:w="1418" w:type="dxa"/>
            <w:vAlign w:val="center"/>
          </w:tcPr>
          <w:p w14:paraId="2AEB1ADE">
            <w:pPr>
              <w:rPr>
                <w:color w:val="auto"/>
              </w:rPr>
            </w:pPr>
          </w:p>
        </w:tc>
        <w:tc>
          <w:tcPr>
            <w:tcW w:w="709" w:type="dxa"/>
            <w:vAlign w:val="center"/>
          </w:tcPr>
          <w:p w14:paraId="057C62E6">
            <w:pPr>
              <w:rPr>
                <w:color w:val="auto"/>
              </w:rPr>
            </w:pPr>
          </w:p>
        </w:tc>
      </w:tr>
      <w:tr w14:paraId="36E002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1F1EBC8B">
            <w:pPr>
              <w:jc w:val="center"/>
              <w:rPr>
                <w:color w:val="auto"/>
              </w:rPr>
            </w:pPr>
            <w:r>
              <w:rPr>
                <w:rFonts w:hint="eastAsia"/>
                <w:color w:val="auto"/>
              </w:rPr>
              <w:t>4</w:t>
            </w:r>
          </w:p>
        </w:tc>
        <w:tc>
          <w:tcPr>
            <w:tcW w:w="1480" w:type="dxa"/>
            <w:vAlign w:val="center"/>
          </w:tcPr>
          <w:p w14:paraId="6D850639">
            <w:pPr>
              <w:rPr>
                <w:color w:val="auto"/>
              </w:rPr>
            </w:pPr>
          </w:p>
        </w:tc>
        <w:tc>
          <w:tcPr>
            <w:tcW w:w="2835" w:type="dxa"/>
            <w:vAlign w:val="center"/>
          </w:tcPr>
          <w:p w14:paraId="22A20A9C">
            <w:pPr>
              <w:rPr>
                <w:color w:val="auto"/>
              </w:rPr>
            </w:pPr>
          </w:p>
        </w:tc>
        <w:tc>
          <w:tcPr>
            <w:tcW w:w="2268" w:type="dxa"/>
            <w:vAlign w:val="center"/>
          </w:tcPr>
          <w:p w14:paraId="51687F65">
            <w:pPr>
              <w:rPr>
                <w:color w:val="auto"/>
              </w:rPr>
            </w:pPr>
          </w:p>
        </w:tc>
        <w:tc>
          <w:tcPr>
            <w:tcW w:w="1418" w:type="dxa"/>
            <w:vAlign w:val="center"/>
          </w:tcPr>
          <w:p w14:paraId="00D3C2F7">
            <w:pPr>
              <w:rPr>
                <w:color w:val="auto"/>
              </w:rPr>
            </w:pPr>
          </w:p>
        </w:tc>
        <w:tc>
          <w:tcPr>
            <w:tcW w:w="709" w:type="dxa"/>
            <w:vAlign w:val="center"/>
          </w:tcPr>
          <w:p w14:paraId="40E27110">
            <w:pPr>
              <w:rPr>
                <w:color w:val="auto"/>
              </w:rPr>
            </w:pPr>
          </w:p>
        </w:tc>
      </w:tr>
      <w:tr w14:paraId="7DF987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6F069B38">
            <w:pPr>
              <w:jc w:val="center"/>
              <w:rPr>
                <w:color w:val="auto"/>
              </w:rPr>
            </w:pPr>
            <w:r>
              <w:rPr>
                <w:rFonts w:hint="eastAsia"/>
                <w:color w:val="auto"/>
              </w:rPr>
              <w:t>5</w:t>
            </w:r>
          </w:p>
        </w:tc>
        <w:tc>
          <w:tcPr>
            <w:tcW w:w="1480" w:type="dxa"/>
            <w:vAlign w:val="center"/>
          </w:tcPr>
          <w:p w14:paraId="1E4D3D36">
            <w:pPr>
              <w:rPr>
                <w:color w:val="auto"/>
              </w:rPr>
            </w:pPr>
          </w:p>
        </w:tc>
        <w:tc>
          <w:tcPr>
            <w:tcW w:w="2835" w:type="dxa"/>
            <w:vAlign w:val="center"/>
          </w:tcPr>
          <w:p w14:paraId="6EBFA0D4">
            <w:pPr>
              <w:rPr>
                <w:color w:val="auto"/>
              </w:rPr>
            </w:pPr>
          </w:p>
        </w:tc>
        <w:tc>
          <w:tcPr>
            <w:tcW w:w="2268" w:type="dxa"/>
            <w:vAlign w:val="center"/>
          </w:tcPr>
          <w:p w14:paraId="1C9A5631">
            <w:pPr>
              <w:rPr>
                <w:color w:val="auto"/>
              </w:rPr>
            </w:pPr>
          </w:p>
        </w:tc>
        <w:tc>
          <w:tcPr>
            <w:tcW w:w="1418" w:type="dxa"/>
            <w:vAlign w:val="center"/>
          </w:tcPr>
          <w:p w14:paraId="3548A75D">
            <w:pPr>
              <w:rPr>
                <w:color w:val="auto"/>
              </w:rPr>
            </w:pPr>
          </w:p>
        </w:tc>
        <w:tc>
          <w:tcPr>
            <w:tcW w:w="709" w:type="dxa"/>
            <w:vAlign w:val="center"/>
          </w:tcPr>
          <w:p w14:paraId="146FFD10">
            <w:pPr>
              <w:rPr>
                <w:color w:val="auto"/>
              </w:rPr>
            </w:pPr>
          </w:p>
        </w:tc>
      </w:tr>
      <w:tr w14:paraId="24FE88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5A4CD91D">
            <w:pPr>
              <w:jc w:val="center"/>
              <w:rPr>
                <w:color w:val="auto"/>
              </w:rPr>
            </w:pPr>
            <w:r>
              <w:rPr>
                <w:rFonts w:hint="eastAsia"/>
                <w:color w:val="auto"/>
              </w:rPr>
              <w:t>…</w:t>
            </w:r>
          </w:p>
        </w:tc>
        <w:tc>
          <w:tcPr>
            <w:tcW w:w="1480" w:type="dxa"/>
            <w:vAlign w:val="center"/>
          </w:tcPr>
          <w:p w14:paraId="5615759F">
            <w:pPr>
              <w:rPr>
                <w:color w:val="auto"/>
              </w:rPr>
            </w:pPr>
          </w:p>
        </w:tc>
        <w:tc>
          <w:tcPr>
            <w:tcW w:w="2835" w:type="dxa"/>
            <w:vAlign w:val="center"/>
          </w:tcPr>
          <w:p w14:paraId="31D718B2">
            <w:pPr>
              <w:rPr>
                <w:color w:val="auto"/>
              </w:rPr>
            </w:pPr>
          </w:p>
        </w:tc>
        <w:tc>
          <w:tcPr>
            <w:tcW w:w="2268" w:type="dxa"/>
            <w:vAlign w:val="center"/>
          </w:tcPr>
          <w:p w14:paraId="1256B01B">
            <w:pPr>
              <w:rPr>
                <w:color w:val="auto"/>
              </w:rPr>
            </w:pPr>
          </w:p>
        </w:tc>
        <w:tc>
          <w:tcPr>
            <w:tcW w:w="1418" w:type="dxa"/>
            <w:tcBorders>
              <w:right w:val="single" w:color="auto" w:sz="4" w:space="0"/>
            </w:tcBorders>
            <w:vAlign w:val="center"/>
          </w:tcPr>
          <w:p w14:paraId="674E3654">
            <w:pPr>
              <w:rPr>
                <w:color w:val="auto"/>
              </w:rPr>
            </w:pPr>
          </w:p>
        </w:tc>
        <w:tc>
          <w:tcPr>
            <w:tcW w:w="709" w:type="dxa"/>
            <w:tcBorders>
              <w:left w:val="single" w:color="auto" w:sz="4" w:space="0"/>
            </w:tcBorders>
            <w:vAlign w:val="center"/>
          </w:tcPr>
          <w:p w14:paraId="1045BDF1">
            <w:pPr>
              <w:rPr>
                <w:color w:val="auto"/>
              </w:rPr>
            </w:pPr>
          </w:p>
        </w:tc>
      </w:tr>
    </w:tbl>
    <w:p w14:paraId="18F2F719">
      <w:pPr>
        <w:pStyle w:val="18"/>
        <w:spacing w:line="300" w:lineRule="auto"/>
        <w:ind w:firstLine="105" w:firstLineChars="50"/>
        <w:rPr>
          <w:rFonts w:hint="eastAsia" w:ascii="宋体" w:hAnsi="宋体" w:eastAsia="宋体"/>
          <w:color w:val="auto"/>
          <w:sz w:val="21"/>
          <w:szCs w:val="21"/>
        </w:rPr>
      </w:pPr>
      <w:r>
        <w:rPr>
          <w:rFonts w:hint="eastAsia" w:ascii="宋体" w:hAnsi="宋体" w:eastAsia="宋体"/>
          <w:color w:val="auto"/>
          <w:sz w:val="21"/>
          <w:szCs w:val="21"/>
        </w:rPr>
        <w:t>注：供应商须对照竞争性谈判采购文件第二章《项目需求》，逐条说明所提供货物和服务对项目需求中货物的</w:t>
      </w:r>
      <w:bookmarkStart w:id="124" w:name="_Hlk92703260"/>
      <w:r>
        <w:rPr>
          <w:rFonts w:hint="eastAsia" w:ascii="宋体" w:hAnsi="宋体" w:eastAsia="宋体"/>
          <w:color w:val="auto"/>
          <w:sz w:val="21"/>
          <w:szCs w:val="21"/>
        </w:rPr>
        <w:t>技术参数及其性能（规格）</w:t>
      </w:r>
      <w:bookmarkEnd w:id="124"/>
      <w:r>
        <w:rPr>
          <w:rFonts w:hint="eastAsia" w:ascii="宋体" w:hAnsi="宋体" w:eastAsia="宋体"/>
          <w:color w:val="auto"/>
          <w:sz w:val="21"/>
          <w:szCs w:val="21"/>
        </w:rPr>
        <w:t>及服务要求作出的响应，并申明偏离情况。对有具体参数要求的指标，供应商须提供所供设备的具体技术参数及其性能（规格）。</w:t>
      </w:r>
    </w:p>
    <w:p w14:paraId="091F2373">
      <w:pPr>
        <w:pStyle w:val="18"/>
        <w:spacing w:line="300" w:lineRule="auto"/>
        <w:ind w:firstLine="0" w:firstLineChars="0"/>
        <w:rPr>
          <w:rFonts w:hint="eastAsia" w:ascii="宋体" w:hAnsi="宋体" w:eastAsia="宋体"/>
          <w:color w:val="auto"/>
          <w:sz w:val="21"/>
          <w:szCs w:val="21"/>
        </w:rPr>
      </w:pPr>
    </w:p>
    <w:p w14:paraId="21B9B746">
      <w:pPr>
        <w:pStyle w:val="21"/>
        <w:spacing w:line="300" w:lineRule="auto"/>
        <w:rPr>
          <w:rFonts w:hint="eastAsia" w:hAnsi="宋体"/>
          <w:color w:val="auto"/>
        </w:rPr>
      </w:pPr>
    </w:p>
    <w:p w14:paraId="651198B3">
      <w:pPr>
        <w:pStyle w:val="21"/>
        <w:spacing w:line="300" w:lineRule="auto"/>
        <w:ind w:firstLine="5880" w:firstLineChars="2800"/>
        <w:rPr>
          <w:rFonts w:hint="eastAsia" w:hAnsi="宋体"/>
          <w:color w:val="auto"/>
        </w:rPr>
      </w:pPr>
      <w:r>
        <w:rPr>
          <w:rFonts w:hint="eastAsia" w:hAnsi="宋体"/>
          <w:color w:val="auto"/>
        </w:rPr>
        <w:t>供应商（盖章）：</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p>
    <w:p w14:paraId="7298B1E1">
      <w:pPr>
        <w:pStyle w:val="21"/>
        <w:spacing w:line="300" w:lineRule="auto"/>
        <w:ind w:firstLine="5880" w:firstLineChars="2800"/>
        <w:rPr>
          <w:rFonts w:hint="eastAsia" w:hAnsi="宋体"/>
          <w:color w:val="auto"/>
        </w:rPr>
      </w:pPr>
      <w:r>
        <w:rPr>
          <w:rFonts w:hint="eastAsia" w:hAnsi="宋体"/>
          <w:color w:val="auto"/>
        </w:rPr>
        <w:t>日期：</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bookmarkEnd w:id="41"/>
    <w:bookmarkEnd w:id="42"/>
    <w:bookmarkEnd w:id="43"/>
    <w:bookmarkEnd w:id="44"/>
    <w:p w14:paraId="700FD585">
      <w:pPr>
        <w:rPr>
          <w:color w:val="auto"/>
        </w:rPr>
      </w:pPr>
    </w:p>
    <w:p w14:paraId="62DC9E62">
      <w:pPr>
        <w:spacing w:line="440" w:lineRule="exact"/>
        <w:ind w:left="420" w:hanging="420"/>
        <w:jc w:val="center"/>
        <w:rPr>
          <w:rFonts w:hint="eastAsia" w:ascii="仿宋" w:hAnsi="仿宋" w:eastAsia="仿宋"/>
          <w:b/>
          <w:color w:val="auto"/>
          <w:sz w:val="32"/>
          <w:szCs w:val="32"/>
        </w:rPr>
      </w:pPr>
      <w:bookmarkStart w:id="125" w:name="_Hlk94194102"/>
      <w:r>
        <w:rPr>
          <w:rFonts w:hint="eastAsia" w:ascii="仿宋" w:hAnsi="仿宋" w:eastAsia="仿宋"/>
          <w:b/>
          <w:color w:val="auto"/>
          <w:sz w:val="32"/>
          <w:szCs w:val="32"/>
        </w:rPr>
        <w:t>中小企业声明函</w:t>
      </w:r>
      <w:r>
        <w:rPr>
          <w:rFonts w:hint="eastAsia" w:ascii="仿宋" w:hAnsi="仿宋" w:eastAsia="仿宋"/>
          <w:color w:val="auto"/>
          <w:sz w:val="24"/>
        </w:rPr>
        <w:t>(格式</w:t>
      </w:r>
      <w:r>
        <w:rPr>
          <w:rFonts w:ascii="仿宋" w:hAnsi="仿宋" w:eastAsia="仿宋"/>
          <w:color w:val="auto"/>
          <w:sz w:val="24"/>
        </w:rPr>
        <w:t>)</w:t>
      </w:r>
    </w:p>
    <w:p w14:paraId="7768B74A">
      <w:pPr>
        <w:rPr>
          <w:color w:val="auto"/>
        </w:rPr>
      </w:pPr>
    </w:p>
    <w:p w14:paraId="6449E47A">
      <w:pPr>
        <w:spacing w:line="600" w:lineRule="exact"/>
        <w:ind w:firstLine="294" w:firstLineChars="140"/>
        <w:jc w:val="left"/>
        <w:rPr>
          <w:rFonts w:hint="eastAsia" w:ascii="宋体" w:hAnsi="宋体"/>
          <w:bCs/>
          <w:color w:val="auto"/>
          <w:szCs w:val="21"/>
        </w:rPr>
      </w:pPr>
      <w:r>
        <w:rPr>
          <w:rFonts w:hint="eastAsia" w:ascii="宋体" w:hAnsi="宋体"/>
          <w:bCs/>
          <w:color w:val="auto"/>
          <w:szCs w:val="21"/>
        </w:rPr>
        <w:t>本公司郑重声明，根据</w:t>
      </w:r>
      <w:bookmarkStart w:id="126" w:name="_Hlk82091685"/>
      <w:r>
        <w:rPr>
          <w:rFonts w:ascii="宋体" w:hAnsi="宋体"/>
          <w:bCs/>
          <w:color w:val="auto"/>
          <w:szCs w:val="21"/>
        </w:rPr>
        <w:fldChar w:fldCharType="begin"/>
      </w:r>
      <w:r>
        <w:rPr>
          <w:rFonts w:ascii="宋体" w:hAnsi="宋体"/>
          <w:bCs/>
          <w:color w:val="auto"/>
          <w:szCs w:val="21"/>
        </w:rPr>
        <w:instrText xml:space="preserve"> </w:instrText>
      </w:r>
      <w:r>
        <w:rPr>
          <w:rFonts w:hint="eastAsia" w:ascii="宋体" w:hAnsi="宋体"/>
          <w:bCs/>
          <w:color w:val="auto"/>
          <w:szCs w:val="21"/>
        </w:rPr>
        <w:instrText xml:space="preserve">HYPERLINK "http://www.gov.cn/zhengce/zhengceku/2020-12/29/content_5574611.htm"</w:instrText>
      </w:r>
      <w:r>
        <w:rPr>
          <w:rFonts w:ascii="宋体" w:hAnsi="宋体"/>
          <w:bCs/>
          <w:color w:val="auto"/>
          <w:szCs w:val="21"/>
        </w:rPr>
        <w:instrText xml:space="preserve"> </w:instrText>
      </w:r>
      <w:r>
        <w:rPr>
          <w:rFonts w:ascii="宋体" w:hAnsi="宋体"/>
          <w:bCs/>
          <w:color w:val="auto"/>
          <w:szCs w:val="21"/>
        </w:rPr>
        <w:fldChar w:fldCharType="separate"/>
      </w:r>
      <w:r>
        <w:rPr>
          <w:rStyle w:val="44"/>
          <w:rFonts w:hint="eastAsia" w:ascii="宋体" w:hAnsi="宋体"/>
          <w:bCs/>
          <w:color w:val="auto"/>
          <w:szCs w:val="21"/>
          <w:u w:val="none"/>
        </w:rPr>
        <w:t>《政府采购促进中小企业发展管理办法》</w:t>
      </w:r>
      <w:bookmarkStart w:id="127" w:name="_Hlk60836554"/>
      <w:r>
        <w:rPr>
          <w:rStyle w:val="44"/>
          <w:rFonts w:hint="eastAsia" w:ascii="宋体" w:hAnsi="宋体"/>
          <w:bCs/>
          <w:color w:val="auto"/>
          <w:szCs w:val="21"/>
          <w:u w:val="none"/>
        </w:rPr>
        <w:t>（财库﹝2020﹞46号）</w:t>
      </w:r>
      <w:bookmarkEnd w:id="126"/>
      <w:bookmarkEnd w:id="127"/>
      <w:r>
        <w:rPr>
          <w:rFonts w:ascii="宋体" w:hAnsi="宋体"/>
          <w:bCs/>
          <w:color w:val="auto"/>
          <w:szCs w:val="21"/>
        </w:rPr>
        <w:fldChar w:fldCharType="end"/>
      </w:r>
      <w:r>
        <w:rPr>
          <w:rFonts w:hint="eastAsia" w:ascii="宋体" w:hAnsi="宋体"/>
          <w:bCs/>
          <w:color w:val="auto"/>
          <w:szCs w:val="21"/>
        </w:rPr>
        <w:t>的规定，本公司参加</w:t>
      </w:r>
      <w:bookmarkStart w:id="128" w:name="_Hlk82091228"/>
      <w:r>
        <w:rPr>
          <w:rFonts w:hint="eastAsia" w:ascii="宋体" w:hAnsi="宋体"/>
          <w:bCs/>
          <w:color w:val="auto"/>
          <w:szCs w:val="21"/>
        </w:rPr>
        <w:t>（</w:t>
      </w:r>
      <w:r>
        <w:rPr>
          <w:rFonts w:hint="eastAsia" w:ascii="宋体" w:hAnsi="宋体"/>
          <w:bCs/>
          <w:color w:val="auto"/>
          <w:szCs w:val="21"/>
          <w:u w:val="single"/>
        </w:rPr>
        <w:t>单位名称</w:t>
      </w:r>
      <w:r>
        <w:rPr>
          <w:rFonts w:hint="eastAsia" w:ascii="宋体" w:hAnsi="宋体"/>
          <w:bCs/>
          <w:color w:val="auto"/>
          <w:szCs w:val="21"/>
        </w:rPr>
        <w:t>）的（</w:t>
      </w:r>
      <w:r>
        <w:rPr>
          <w:rFonts w:hint="eastAsia" w:ascii="宋体" w:hAnsi="宋体"/>
          <w:bCs/>
          <w:color w:val="auto"/>
          <w:szCs w:val="21"/>
          <w:u w:val="single"/>
        </w:rPr>
        <w:t>项目名称</w:t>
      </w:r>
      <w:r>
        <w:rPr>
          <w:rFonts w:hint="eastAsia" w:ascii="宋体" w:hAnsi="宋体"/>
          <w:bCs/>
          <w:color w:val="auto"/>
          <w:szCs w:val="21"/>
        </w:rPr>
        <w:t>）</w:t>
      </w:r>
      <w:bookmarkEnd w:id="128"/>
      <w:r>
        <w:rPr>
          <w:rFonts w:hint="eastAsia" w:ascii="宋体" w:hAnsi="宋体"/>
          <w:bCs/>
          <w:color w:val="auto"/>
          <w:szCs w:val="21"/>
        </w:rPr>
        <w:t>采购活动，提供的货物全部由符合政策要求的中小企业制造。相关企业的具体情况如下：</w:t>
      </w:r>
    </w:p>
    <w:p w14:paraId="6AD9D124">
      <w:pPr>
        <w:spacing w:line="600" w:lineRule="exact"/>
        <w:ind w:firstLine="294" w:firstLineChars="140"/>
        <w:jc w:val="left"/>
        <w:rPr>
          <w:rFonts w:hint="eastAsia" w:ascii="宋体" w:hAnsi="宋体"/>
          <w:bCs/>
          <w:color w:val="auto"/>
          <w:szCs w:val="21"/>
        </w:rPr>
      </w:pPr>
      <w:r>
        <w:rPr>
          <w:rFonts w:hint="eastAsia" w:ascii="宋体" w:hAnsi="宋体"/>
          <w:bCs/>
          <w:color w:val="auto"/>
          <w:szCs w:val="21"/>
        </w:rPr>
        <w:t>1.</w:t>
      </w:r>
      <w:bookmarkStart w:id="129" w:name="_Hlk60836996"/>
      <w:r>
        <w:rPr>
          <w:rFonts w:hint="eastAsia" w:ascii="宋体" w:hAnsi="宋体"/>
          <w:bCs/>
          <w:color w:val="auto"/>
          <w:szCs w:val="21"/>
        </w:rPr>
        <w:t>（</w:t>
      </w:r>
      <w:r>
        <w:rPr>
          <w:rFonts w:hint="eastAsia" w:ascii="宋体" w:hAnsi="宋体"/>
          <w:bCs/>
          <w:color w:val="auto"/>
          <w:szCs w:val="21"/>
          <w:u w:val="single"/>
        </w:rPr>
        <w:t>标的名称</w:t>
      </w:r>
      <w:r>
        <w:rPr>
          <w:rFonts w:ascii="宋体" w:hAnsi="宋体"/>
          <w:bCs/>
          <w:color w:val="auto"/>
          <w:szCs w:val="21"/>
        </w:rPr>
        <w:t>）</w:t>
      </w:r>
      <w:r>
        <w:rPr>
          <w:rFonts w:hint="eastAsia" w:ascii="宋体" w:hAnsi="宋体"/>
          <w:bCs/>
          <w:color w:val="auto"/>
          <w:szCs w:val="21"/>
        </w:rPr>
        <w:t>，属于(</w:t>
      </w:r>
      <w:r>
        <w:rPr>
          <w:rFonts w:hint="eastAsia" w:ascii="宋体" w:hAnsi="宋体"/>
          <w:bCs/>
          <w:color w:val="auto"/>
          <w:szCs w:val="21"/>
          <w:u w:val="single"/>
        </w:rPr>
        <w:t>采购文件中明确的所属行业</w:t>
      </w:r>
      <w:r>
        <w:rPr>
          <w:rFonts w:ascii="宋体" w:hAnsi="宋体"/>
          <w:bCs/>
          <w:color w:val="auto"/>
          <w:szCs w:val="21"/>
        </w:rPr>
        <w:t>）</w:t>
      </w:r>
      <w:r>
        <w:rPr>
          <w:rFonts w:hint="eastAsia" w:ascii="宋体" w:hAnsi="宋体"/>
          <w:bCs/>
          <w:color w:val="auto"/>
          <w:szCs w:val="21"/>
        </w:rPr>
        <w:t>行业；制造商为(</w:t>
      </w:r>
      <w:r>
        <w:rPr>
          <w:rFonts w:hint="eastAsia" w:ascii="宋体" w:hAnsi="宋体"/>
          <w:bCs/>
          <w:color w:val="auto"/>
          <w:szCs w:val="21"/>
          <w:u w:val="single"/>
        </w:rPr>
        <w:t>企业名称</w:t>
      </w:r>
      <w:r>
        <w:rPr>
          <w:rFonts w:ascii="宋体" w:hAnsi="宋体"/>
          <w:bCs/>
          <w:color w:val="auto"/>
          <w:szCs w:val="21"/>
        </w:rPr>
        <w:t>）</w:t>
      </w:r>
      <w:r>
        <w:rPr>
          <w:rFonts w:hint="eastAsia" w:ascii="宋体" w:hAnsi="宋体"/>
          <w:bCs/>
          <w:color w:val="auto"/>
          <w:szCs w:val="21"/>
        </w:rPr>
        <w:t>，从业人员</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人，营业收入为</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万元，资产总额为</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万元，属于（</w:t>
      </w:r>
      <w:r>
        <w:rPr>
          <w:rFonts w:hint="eastAsia" w:ascii="宋体" w:hAnsi="宋体"/>
          <w:bCs/>
          <w:color w:val="auto"/>
          <w:szCs w:val="21"/>
          <w:u w:val="single"/>
        </w:rPr>
        <w:t>中型企业、小型企业、微型企业</w:t>
      </w:r>
      <w:r>
        <w:rPr>
          <w:rFonts w:hint="eastAsia" w:ascii="宋体" w:hAnsi="宋体"/>
          <w:bCs/>
          <w:color w:val="auto"/>
          <w:szCs w:val="21"/>
        </w:rPr>
        <w:t>）；</w:t>
      </w:r>
      <w:bookmarkEnd w:id="129"/>
    </w:p>
    <w:p w14:paraId="4F8FDAE9">
      <w:pPr>
        <w:spacing w:line="600" w:lineRule="exact"/>
        <w:ind w:firstLine="294" w:firstLineChars="140"/>
        <w:jc w:val="left"/>
        <w:rPr>
          <w:rFonts w:hint="eastAsia" w:ascii="宋体" w:hAnsi="宋体"/>
          <w:bCs/>
          <w:color w:val="auto"/>
          <w:szCs w:val="21"/>
        </w:rPr>
      </w:pPr>
      <w:r>
        <w:rPr>
          <w:rFonts w:hint="eastAsia" w:ascii="宋体" w:hAnsi="宋体"/>
          <w:bCs/>
          <w:color w:val="auto"/>
          <w:szCs w:val="21"/>
        </w:rPr>
        <w:t>2.（</w:t>
      </w:r>
      <w:r>
        <w:rPr>
          <w:rFonts w:hint="eastAsia" w:ascii="宋体" w:hAnsi="宋体"/>
          <w:bCs/>
          <w:color w:val="auto"/>
          <w:szCs w:val="21"/>
          <w:u w:val="single"/>
        </w:rPr>
        <w:t>标的名称</w:t>
      </w:r>
      <w:r>
        <w:rPr>
          <w:rFonts w:hint="eastAsia" w:ascii="宋体" w:hAnsi="宋体"/>
          <w:bCs/>
          <w:color w:val="auto"/>
          <w:szCs w:val="21"/>
        </w:rPr>
        <w:t>），属于(</w:t>
      </w:r>
      <w:r>
        <w:rPr>
          <w:rFonts w:hint="eastAsia" w:ascii="宋体" w:hAnsi="宋体"/>
          <w:bCs/>
          <w:color w:val="auto"/>
          <w:szCs w:val="21"/>
          <w:u w:val="single"/>
        </w:rPr>
        <w:t>采购文件中明确的所属行业</w:t>
      </w:r>
      <w:r>
        <w:rPr>
          <w:rFonts w:hint="eastAsia" w:ascii="宋体" w:hAnsi="宋体"/>
          <w:bCs/>
          <w:color w:val="auto"/>
          <w:szCs w:val="21"/>
        </w:rPr>
        <w:t>)行业；制造商为(</w:t>
      </w:r>
      <w:r>
        <w:rPr>
          <w:rFonts w:hint="eastAsia" w:ascii="宋体" w:hAnsi="宋体"/>
          <w:bCs/>
          <w:color w:val="auto"/>
          <w:szCs w:val="21"/>
          <w:u w:val="single"/>
        </w:rPr>
        <w:t>企业名称</w:t>
      </w:r>
      <w:r>
        <w:rPr>
          <w:rFonts w:hint="eastAsia" w:ascii="宋体" w:hAnsi="宋体"/>
          <w:bCs/>
          <w:color w:val="auto"/>
          <w:szCs w:val="21"/>
        </w:rPr>
        <w:t>)，从业人员</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人，营业收入为</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万元，资产总额为</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万元，属于（</w:t>
      </w:r>
      <w:r>
        <w:rPr>
          <w:rFonts w:hint="eastAsia" w:ascii="宋体" w:hAnsi="宋体"/>
          <w:bCs/>
          <w:color w:val="auto"/>
          <w:szCs w:val="21"/>
          <w:u w:val="single"/>
        </w:rPr>
        <w:t>中型企业、小型企业、微型企业</w:t>
      </w:r>
      <w:r>
        <w:rPr>
          <w:rFonts w:hint="eastAsia" w:ascii="宋体" w:hAnsi="宋体"/>
          <w:bCs/>
          <w:color w:val="auto"/>
          <w:szCs w:val="21"/>
        </w:rPr>
        <w:t>）；</w:t>
      </w:r>
    </w:p>
    <w:p w14:paraId="177D6004">
      <w:pPr>
        <w:spacing w:line="600" w:lineRule="exact"/>
        <w:ind w:firstLine="294" w:firstLineChars="140"/>
        <w:jc w:val="left"/>
        <w:rPr>
          <w:rFonts w:hint="eastAsia" w:ascii="宋体" w:hAnsi="宋体"/>
          <w:bCs/>
          <w:color w:val="auto"/>
          <w:szCs w:val="21"/>
        </w:rPr>
      </w:pPr>
      <w:r>
        <w:rPr>
          <w:rFonts w:hint="eastAsia" w:ascii="宋体" w:hAnsi="宋体"/>
          <w:bCs/>
          <w:color w:val="auto"/>
          <w:szCs w:val="21"/>
        </w:rPr>
        <w:t>……</w:t>
      </w:r>
    </w:p>
    <w:p w14:paraId="7F174EE9">
      <w:pPr>
        <w:spacing w:line="600" w:lineRule="exact"/>
        <w:ind w:firstLine="294" w:firstLineChars="140"/>
        <w:jc w:val="left"/>
        <w:rPr>
          <w:rFonts w:hint="eastAsia" w:ascii="宋体" w:hAnsi="宋体"/>
          <w:bCs/>
          <w:color w:val="auto"/>
          <w:szCs w:val="21"/>
        </w:rPr>
      </w:pPr>
      <w:r>
        <w:rPr>
          <w:rFonts w:hint="eastAsia" w:ascii="宋体" w:hAnsi="宋体"/>
          <w:bCs/>
          <w:color w:val="auto"/>
          <w:szCs w:val="21"/>
        </w:rPr>
        <w:t>以上企业，不属于大企业的分支机构，不存在控股股东为大企业的情形，也不存在与大企业的负责人为同一人的情形。</w:t>
      </w:r>
    </w:p>
    <w:p w14:paraId="43883349">
      <w:pPr>
        <w:spacing w:line="600" w:lineRule="exact"/>
        <w:ind w:firstLine="294" w:firstLineChars="140"/>
        <w:jc w:val="left"/>
        <w:rPr>
          <w:rFonts w:hint="eastAsia" w:ascii="宋体" w:hAnsi="宋体"/>
          <w:bCs/>
          <w:color w:val="auto"/>
          <w:szCs w:val="21"/>
        </w:rPr>
      </w:pPr>
      <w:r>
        <w:rPr>
          <w:rFonts w:hint="eastAsia" w:ascii="宋体" w:hAnsi="宋体"/>
          <w:bCs/>
          <w:color w:val="auto"/>
          <w:szCs w:val="21"/>
        </w:rPr>
        <w:t>本企业对上述声明内容的真实性负责。如有虚假，将依法承担相应责任。</w:t>
      </w:r>
    </w:p>
    <w:p w14:paraId="7CFC2DF4">
      <w:pPr>
        <w:spacing w:line="400" w:lineRule="exact"/>
        <w:rPr>
          <w:color w:val="auto"/>
          <w:szCs w:val="21"/>
        </w:rPr>
      </w:pPr>
    </w:p>
    <w:p w14:paraId="599DB754">
      <w:pPr>
        <w:spacing w:line="400" w:lineRule="exact"/>
        <w:rPr>
          <w:color w:val="auto"/>
          <w:szCs w:val="21"/>
        </w:rPr>
      </w:pPr>
    </w:p>
    <w:p w14:paraId="19079285">
      <w:pPr>
        <w:spacing w:line="400" w:lineRule="exact"/>
        <w:rPr>
          <w:color w:val="auto"/>
          <w:szCs w:val="21"/>
        </w:rPr>
      </w:pPr>
    </w:p>
    <w:p w14:paraId="28D9FF7D">
      <w:pPr>
        <w:spacing w:line="440" w:lineRule="exact"/>
        <w:ind w:firstLine="5250" w:firstLineChars="2500"/>
        <w:jc w:val="left"/>
        <w:rPr>
          <w:rFonts w:hint="eastAsia" w:ascii="宋体" w:hAnsi="宋体"/>
          <w:bCs/>
          <w:color w:val="auto"/>
          <w:szCs w:val="21"/>
        </w:rPr>
      </w:pPr>
      <w:r>
        <w:rPr>
          <w:rFonts w:hint="eastAsia" w:ascii="宋体" w:hAnsi="宋体"/>
          <w:bCs/>
          <w:color w:val="auto"/>
          <w:szCs w:val="21"/>
        </w:rPr>
        <w:t>企业名称（盖章）：</w:t>
      </w:r>
      <w:r>
        <w:rPr>
          <w:rFonts w:hint="eastAsia" w:hAnsi="宋体"/>
          <w:color w:val="auto"/>
          <w:szCs w:val="21"/>
          <w:u w:val="single"/>
        </w:rPr>
        <w:t xml:space="preserve"> </w:t>
      </w:r>
      <w:r>
        <w:rPr>
          <w:rFonts w:hAnsi="宋体"/>
          <w:color w:val="auto"/>
          <w:szCs w:val="21"/>
          <w:u w:val="single"/>
        </w:rPr>
        <w:t xml:space="preserve">              </w:t>
      </w:r>
    </w:p>
    <w:p w14:paraId="16344696">
      <w:pPr>
        <w:spacing w:line="440" w:lineRule="exact"/>
        <w:ind w:firstLine="5250" w:firstLineChars="2500"/>
        <w:jc w:val="left"/>
        <w:rPr>
          <w:rFonts w:hint="eastAsia" w:ascii="宋体" w:hAnsi="宋体"/>
          <w:bCs/>
          <w:color w:val="auto"/>
          <w:szCs w:val="21"/>
        </w:rPr>
      </w:pPr>
      <w:r>
        <w:rPr>
          <w:rFonts w:hint="eastAsia" w:ascii="宋体" w:hAnsi="宋体"/>
          <w:bCs/>
          <w:color w:val="auto"/>
          <w:szCs w:val="21"/>
        </w:rPr>
        <w:t>日 期：</w:t>
      </w:r>
      <w:r>
        <w:rPr>
          <w:rFonts w:hint="eastAsia" w:hAnsi="宋体"/>
          <w:color w:val="auto"/>
          <w:szCs w:val="21"/>
          <w:u w:val="single"/>
        </w:rPr>
        <w:t xml:space="preserve"> </w:t>
      </w:r>
      <w:r>
        <w:rPr>
          <w:rFonts w:hAnsi="宋体"/>
          <w:color w:val="auto"/>
          <w:szCs w:val="21"/>
          <w:u w:val="single"/>
        </w:rPr>
        <w:t xml:space="preserve">                        </w:t>
      </w:r>
    </w:p>
    <w:p w14:paraId="340B7B03">
      <w:pPr>
        <w:rPr>
          <w:color w:val="auto"/>
        </w:rPr>
      </w:pPr>
    </w:p>
    <w:p w14:paraId="60E87F17">
      <w:pPr>
        <w:rPr>
          <w:color w:val="auto"/>
        </w:rPr>
      </w:pPr>
    </w:p>
    <w:p w14:paraId="1CF10074">
      <w:pPr>
        <w:rPr>
          <w:color w:val="auto"/>
        </w:rPr>
      </w:pPr>
    </w:p>
    <w:p w14:paraId="6BF3ED4C">
      <w:pPr>
        <w:rPr>
          <w:color w:val="auto"/>
        </w:rPr>
      </w:pPr>
    </w:p>
    <w:p w14:paraId="26256984">
      <w:pPr>
        <w:rPr>
          <w:color w:val="auto"/>
        </w:rPr>
      </w:pPr>
    </w:p>
    <w:p w14:paraId="1F8AB8D7">
      <w:pPr>
        <w:rPr>
          <w:color w:val="auto"/>
        </w:rPr>
      </w:pPr>
    </w:p>
    <w:p w14:paraId="773B9FEC">
      <w:pPr>
        <w:rPr>
          <w:color w:val="auto"/>
        </w:rPr>
      </w:pPr>
    </w:p>
    <w:p w14:paraId="45A5EDAB">
      <w:pPr>
        <w:rPr>
          <w:color w:val="auto"/>
        </w:rPr>
      </w:pPr>
    </w:p>
    <w:p w14:paraId="347E3D39">
      <w:pPr>
        <w:rPr>
          <w:color w:val="auto"/>
        </w:rPr>
      </w:pPr>
    </w:p>
    <w:p w14:paraId="4FF3796F">
      <w:pPr>
        <w:rPr>
          <w:color w:val="auto"/>
        </w:rPr>
      </w:pPr>
    </w:p>
    <w:p w14:paraId="13BD2245">
      <w:pPr>
        <w:spacing w:line="320" w:lineRule="exact"/>
        <w:jc w:val="left"/>
        <w:rPr>
          <w:rFonts w:hint="eastAsia" w:hAnsi="宋体"/>
          <w:bCs/>
          <w:color w:val="auto"/>
          <w:sz w:val="18"/>
          <w:szCs w:val="18"/>
        </w:rPr>
      </w:pPr>
      <w:bookmarkStart w:id="130" w:name="_Hlk82091879"/>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),从)</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),业)</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),人)</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),员)</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),营)</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),业)</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),收)</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),入)</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),资)</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),产)</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),总)</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),额)</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),填)</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),报)</w:instrText>
      </w:r>
      <w:r>
        <w:rPr>
          <w:rFonts w:hAnsi="宋体"/>
          <w:bCs/>
          <w:color w:val="auto"/>
          <w:sz w:val="18"/>
          <w:szCs w:val="18"/>
        </w:rPr>
        <w:fldChar w:fldCharType="end"/>
      </w:r>
      <w:bookmarkEnd w:id="130"/>
      <w:r>
        <w:rPr>
          <w:rFonts w:hint="eastAsia" w:hAnsi="宋体"/>
          <w:bCs/>
          <w:color w:val="auto"/>
          <w:sz w:val="18"/>
          <w:szCs w:val="18"/>
        </w:rPr>
        <w:t>上一年度数据，无上一年度数据的新成立企业可不填报。</w:t>
      </w:r>
    </w:p>
    <w:p w14:paraId="701450A7">
      <w:pPr>
        <w:spacing w:line="320" w:lineRule="exact"/>
        <w:jc w:val="left"/>
        <w:rPr>
          <w:rFonts w:hint="eastAsia" w:hAnsi="宋体"/>
          <w:bCs/>
          <w:color w:val="auto"/>
          <w:sz w:val="18"/>
          <w:szCs w:val="18"/>
        </w:rPr>
      </w:pPr>
    </w:p>
    <w:p w14:paraId="6E1479BF">
      <w:pPr>
        <w:spacing w:line="320" w:lineRule="exact"/>
        <w:jc w:val="left"/>
        <w:rPr>
          <w:rFonts w:hint="eastAsia" w:hAnsi="宋体"/>
          <w:bCs/>
          <w:color w:val="auto"/>
          <w:sz w:val="18"/>
          <w:szCs w:val="18"/>
        </w:rPr>
      </w:pPr>
    </w:p>
    <w:tbl>
      <w:tblPr>
        <w:tblStyle w:val="37"/>
        <w:tblW w:w="9952" w:type="dxa"/>
        <w:tblInd w:w="150" w:type="dxa"/>
        <w:shd w:val="clear" w:color="auto" w:fill="FFFFFF"/>
        <w:tblLayout w:type="autofit"/>
        <w:tblCellMar>
          <w:top w:w="15" w:type="dxa"/>
          <w:left w:w="15" w:type="dxa"/>
          <w:bottom w:w="15" w:type="dxa"/>
          <w:right w:w="15" w:type="dxa"/>
        </w:tblCellMar>
      </w:tblPr>
      <w:tblGrid>
        <w:gridCol w:w="2127"/>
        <w:gridCol w:w="1413"/>
        <w:gridCol w:w="714"/>
        <w:gridCol w:w="1275"/>
        <w:gridCol w:w="1843"/>
        <w:gridCol w:w="1559"/>
        <w:gridCol w:w="1021"/>
      </w:tblGrid>
      <w:tr w14:paraId="0F78A4A8">
        <w:tblPrEx>
          <w:shd w:val="clear" w:color="auto" w:fill="FFFFFF"/>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14:paraId="12557773">
            <w:pPr>
              <w:widowControl/>
              <w:jc w:val="center"/>
              <w:rPr>
                <w:rFonts w:hint="eastAsia" w:ascii="Helvetica" w:hAnsi="Helvetica" w:cs="Helvetica"/>
                <w:b/>
                <w:bCs/>
                <w:color w:val="auto"/>
                <w:kern w:val="0"/>
                <w:szCs w:val="21"/>
              </w:rPr>
            </w:pPr>
            <w:r>
              <w:rPr>
                <w:rFonts w:ascii="Helvetica" w:hAnsi="Helvetica" w:cs="Helvetica"/>
                <w:b/>
                <w:bCs/>
                <w:color w:val="auto"/>
                <w:kern w:val="0"/>
                <w:szCs w:val="21"/>
              </w:rPr>
              <w:t>大中小微型企业划分标准</w:t>
            </w:r>
          </w:p>
        </w:tc>
      </w:tr>
      <w:tr w14:paraId="3099E293">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1577C50">
            <w:pPr>
              <w:widowControl/>
              <w:spacing w:line="340" w:lineRule="exact"/>
              <w:jc w:val="center"/>
              <w:rPr>
                <w:rFonts w:hint="eastAsia" w:ascii="Helvetica" w:hAnsi="Helvetica" w:cs="Helvetica"/>
                <w:color w:val="auto"/>
                <w:kern w:val="0"/>
                <w:sz w:val="18"/>
                <w:szCs w:val="18"/>
              </w:rPr>
            </w:pPr>
            <w:r>
              <w:rPr>
                <w:rFonts w:ascii="Helvetica" w:hAnsi="Helvetica" w:cs="Helvetica"/>
                <w:b/>
                <w:bCs/>
                <w:color w:val="auto"/>
                <w:kern w:val="0"/>
                <w:sz w:val="18"/>
                <w:szCs w:val="18"/>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5D7B5AA">
            <w:pPr>
              <w:widowControl/>
              <w:spacing w:line="340" w:lineRule="exact"/>
              <w:jc w:val="center"/>
              <w:rPr>
                <w:rFonts w:hint="eastAsia" w:ascii="Helvetica" w:hAnsi="Helvetica" w:cs="Helvetica"/>
                <w:color w:val="auto"/>
                <w:kern w:val="0"/>
                <w:sz w:val="18"/>
                <w:szCs w:val="18"/>
              </w:rPr>
            </w:pPr>
            <w:r>
              <w:rPr>
                <w:rFonts w:ascii="Helvetica" w:hAnsi="Helvetica" w:cs="Helvetica"/>
                <w:b/>
                <w:bCs/>
                <w:color w:val="auto"/>
                <w:kern w:val="0"/>
                <w:sz w:val="18"/>
                <w:szCs w:val="18"/>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0E283F1">
            <w:pPr>
              <w:widowControl/>
              <w:spacing w:line="340" w:lineRule="exact"/>
              <w:jc w:val="center"/>
              <w:rPr>
                <w:rFonts w:hint="eastAsia" w:ascii="Helvetica" w:hAnsi="Helvetica" w:cs="Helvetica"/>
                <w:color w:val="auto"/>
                <w:kern w:val="0"/>
                <w:sz w:val="18"/>
                <w:szCs w:val="18"/>
              </w:rPr>
            </w:pPr>
            <w:r>
              <w:rPr>
                <w:rFonts w:ascii="Helvetica" w:hAnsi="Helvetica" w:cs="Helvetica"/>
                <w:b/>
                <w:bCs/>
                <w:color w:val="auto"/>
                <w:kern w:val="0"/>
                <w:sz w:val="18"/>
                <w:szCs w:val="18"/>
              </w:rPr>
              <w:t>计量</w:t>
            </w:r>
          </w:p>
          <w:p w14:paraId="6D8D9B19">
            <w:pPr>
              <w:widowControl/>
              <w:spacing w:line="340" w:lineRule="exact"/>
              <w:jc w:val="center"/>
              <w:rPr>
                <w:rFonts w:hint="eastAsia" w:ascii="Helvetica" w:hAnsi="Helvetica" w:cs="Helvetica"/>
                <w:color w:val="auto"/>
                <w:kern w:val="0"/>
                <w:sz w:val="18"/>
                <w:szCs w:val="18"/>
              </w:rPr>
            </w:pPr>
            <w:r>
              <w:rPr>
                <w:rFonts w:ascii="Helvetica" w:hAnsi="Helvetica" w:cs="Helvetica"/>
                <w:b/>
                <w:bCs/>
                <w:color w:val="auto"/>
                <w:kern w:val="0"/>
                <w:sz w:val="18"/>
                <w:szCs w:val="18"/>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E2F488">
            <w:pPr>
              <w:widowControl/>
              <w:spacing w:line="340" w:lineRule="exact"/>
              <w:jc w:val="center"/>
              <w:rPr>
                <w:rFonts w:hint="eastAsia" w:ascii="Helvetica" w:hAnsi="Helvetica" w:cs="Helvetica"/>
                <w:color w:val="auto"/>
                <w:kern w:val="0"/>
                <w:sz w:val="18"/>
                <w:szCs w:val="18"/>
              </w:rPr>
            </w:pPr>
            <w:r>
              <w:rPr>
                <w:rFonts w:ascii="Helvetica" w:hAnsi="Helvetica" w:cs="Helvetica"/>
                <w:b/>
                <w:bCs/>
                <w:color w:val="auto"/>
                <w:kern w:val="0"/>
                <w:sz w:val="18"/>
                <w:szCs w:val="18"/>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3FAE07">
            <w:pPr>
              <w:widowControl/>
              <w:spacing w:line="340" w:lineRule="exact"/>
              <w:jc w:val="center"/>
              <w:rPr>
                <w:rFonts w:hint="eastAsia" w:ascii="Helvetica" w:hAnsi="Helvetica" w:cs="Helvetica"/>
                <w:color w:val="auto"/>
                <w:kern w:val="0"/>
                <w:sz w:val="18"/>
                <w:szCs w:val="18"/>
              </w:rPr>
            </w:pPr>
            <w:r>
              <w:rPr>
                <w:rFonts w:ascii="Helvetica" w:hAnsi="Helvetica" w:cs="Helvetica"/>
                <w:b/>
                <w:bCs/>
                <w:color w:val="auto"/>
                <w:kern w:val="0"/>
                <w:sz w:val="18"/>
                <w:szCs w:val="18"/>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DEBDA55">
            <w:pPr>
              <w:widowControl/>
              <w:spacing w:line="340" w:lineRule="exact"/>
              <w:jc w:val="center"/>
              <w:rPr>
                <w:rFonts w:hint="eastAsia" w:ascii="Helvetica" w:hAnsi="Helvetica" w:cs="Helvetica"/>
                <w:color w:val="auto"/>
                <w:kern w:val="0"/>
                <w:sz w:val="18"/>
                <w:szCs w:val="18"/>
              </w:rPr>
            </w:pPr>
            <w:r>
              <w:rPr>
                <w:rFonts w:ascii="Helvetica" w:hAnsi="Helvetica" w:cs="Helvetica"/>
                <w:b/>
                <w:bCs/>
                <w:color w:val="auto"/>
                <w:kern w:val="0"/>
                <w:sz w:val="18"/>
                <w:szCs w:val="18"/>
              </w:rPr>
              <w:t>小型</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AD72911">
            <w:pPr>
              <w:widowControl/>
              <w:spacing w:line="340" w:lineRule="exact"/>
              <w:jc w:val="center"/>
              <w:rPr>
                <w:rFonts w:hint="eastAsia" w:ascii="Helvetica" w:hAnsi="Helvetica" w:cs="Helvetica"/>
                <w:color w:val="auto"/>
                <w:kern w:val="0"/>
                <w:sz w:val="18"/>
                <w:szCs w:val="18"/>
              </w:rPr>
            </w:pPr>
            <w:r>
              <w:rPr>
                <w:rFonts w:ascii="Helvetica" w:hAnsi="Helvetica" w:cs="Helvetica"/>
                <w:b/>
                <w:bCs/>
                <w:color w:val="auto"/>
                <w:kern w:val="0"/>
                <w:sz w:val="18"/>
                <w:szCs w:val="18"/>
              </w:rPr>
              <w:t>微型</w:t>
            </w:r>
          </w:p>
        </w:tc>
      </w:tr>
      <w:tr w14:paraId="1A6E09B3">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4D08CB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9492F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4BA0FA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05ADAB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358C9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DD38327">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50≤Y＜500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E7F75B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Y＜50</w:t>
            </w:r>
          </w:p>
        </w:tc>
      </w:tr>
      <w:tr w14:paraId="7A0579DD">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502518C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0E5DF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84DD62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AF72F1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AA03A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49CE3B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A1554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X＜20</w:t>
            </w:r>
          </w:p>
        </w:tc>
      </w:tr>
      <w:tr w14:paraId="4CF5DDC1">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5596C58">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86887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49B2A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A8F6F7">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E7D4BFF">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74BC89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300≤Y＜2000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F83FA0">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Y＜300</w:t>
            </w:r>
          </w:p>
        </w:tc>
      </w:tr>
      <w:tr w14:paraId="697E1D2A">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C6F79E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5E906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AB137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D77AA2">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D05F655">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A3FC0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300≤Y＜6000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9B9DA9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Y＜300</w:t>
            </w:r>
          </w:p>
        </w:tc>
      </w:tr>
      <w:tr w14:paraId="6B7A2DAD">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9D9E00D">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E74A4F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30A8E6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FD7D52">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0F22247">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F24B13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300≤Z＜5000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C034F42">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Z＜300</w:t>
            </w:r>
          </w:p>
        </w:tc>
      </w:tr>
      <w:tr w14:paraId="14CF25CE">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269DA94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0A60A7">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AEF8A15">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A2EFBE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60AE2F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A793965">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5≤X＜20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92087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X＜5</w:t>
            </w:r>
          </w:p>
        </w:tc>
      </w:tr>
      <w:tr w14:paraId="537BC6E6">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B9F396A">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4526FA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8E5C54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33D15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7343CB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F625DB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1000≤Y＜5000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AA6D3D2">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Y＜1000</w:t>
            </w:r>
          </w:p>
        </w:tc>
      </w:tr>
      <w:tr w14:paraId="6F8E6D86">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2C6F34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DCE3C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ABC2F1C">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BCDB0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A30A10">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5CD92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10≤X＜50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0FECE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w:t>
            </w:r>
          </w:p>
        </w:tc>
      </w:tr>
      <w:tr w14:paraId="11F383C0">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97078B2">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C1DF4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D8AEA9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704CBF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F7C3CDC">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46C5F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100≤Y＜500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D51F7F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w:t>
            </w:r>
          </w:p>
        </w:tc>
      </w:tr>
      <w:tr w14:paraId="5DA38B2C">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26C7545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00C29C">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295D68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A5E44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40FABE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654ABE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462F3E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X＜20</w:t>
            </w:r>
          </w:p>
        </w:tc>
      </w:tr>
      <w:tr w14:paraId="48277825">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55867B8">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41DA7D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C4058F">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BF87E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9E934C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3EDBA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200≤Y＜3000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FFE8CD5">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Y＜200</w:t>
            </w:r>
          </w:p>
        </w:tc>
      </w:tr>
      <w:tr w14:paraId="0FA8F232">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C0E43A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6DF26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02A3310">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DB99BE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4C634C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582FFEC">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56B8085">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X＜20</w:t>
            </w:r>
          </w:p>
        </w:tc>
      </w:tr>
      <w:tr w14:paraId="5D55DE15">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48EEC85">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F6524D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0CC1C2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DC362B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3245F12">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E5F69E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A2255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w:t>
            </w:r>
          </w:p>
        </w:tc>
      </w:tr>
      <w:tr w14:paraId="2977E4ED">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261DEA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3E86EF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A602B0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E590FC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CC651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A850C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756E440">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X＜20</w:t>
            </w:r>
          </w:p>
        </w:tc>
      </w:tr>
      <w:tr w14:paraId="5FAB0D88">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72B37E">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698D1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B8307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E430B0">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DFFCB9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4518FB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2C10F45">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w:t>
            </w:r>
          </w:p>
        </w:tc>
      </w:tr>
      <w:tr w14:paraId="2399801C">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25A6349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D04CC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A60994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802BB0">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81419CF">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76CD1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AEC128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w:t>
            </w:r>
          </w:p>
        </w:tc>
      </w:tr>
      <w:tr w14:paraId="447E064C">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B5E2628">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AC9C18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9EF250">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26021EF">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978EEF">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52FD3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2460452">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w:t>
            </w:r>
          </w:p>
        </w:tc>
      </w:tr>
      <w:tr w14:paraId="14E2A897">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6A7D51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50AC6C">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9078AD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2DD656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FFFD18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CF5C1F0">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3294A8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w:t>
            </w:r>
          </w:p>
        </w:tc>
      </w:tr>
      <w:tr w14:paraId="12EB1A61">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CFD5248">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C2B3FA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23BB01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6562F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20E6420">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3C9EE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100≤Y＜2000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623EEF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w:t>
            </w:r>
          </w:p>
        </w:tc>
      </w:tr>
      <w:tr w14:paraId="5799CED2">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293DAB07">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B262A2">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61232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6BE5B2">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170012C">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9E1C1B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72AC40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w:t>
            </w:r>
          </w:p>
        </w:tc>
      </w:tr>
      <w:tr w14:paraId="2608C866">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D95783">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1F747AC">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FA3597">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9D2F5B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395E3B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226C56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E75E07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w:t>
            </w:r>
          </w:p>
        </w:tc>
      </w:tr>
      <w:tr w14:paraId="18D31EF4">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8169DB2">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E4AC6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13F0D4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217338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A7F8CC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808D97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998FAC">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w:t>
            </w:r>
          </w:p>
        </w:tc>
      </w:tr>
      <w:tr w14:paraId="70702CB7">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1ACF03">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C69A61">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7DC585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B9C088F">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5264C0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43AAFE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50≤Y＜1000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4DB2C82">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Y＜50</w:t>
            </w:r>
          </w:p>
        </w:tc>
      </w:tr>
      <w:tr w14:paraId="74211B35">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EB713B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481286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7AB844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3CB4F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77B5E2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9C830A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7C0ADF">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Y＜100</w:t>
            </w:r>
          </w:p>
        </w:tc>
      </w:tr>
      <w:tr w14:paraId="035986DF">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9DCBAC">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9EBE1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FDA865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7FBAD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CE14A37">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5AC6BF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2000≤Z＜5000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C0E4BA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Z＜2000</w:t>
            </w:r>
          </w:p>
        </w:tc>
      </w:tr>
      <w:tr w14:paraId="7F4D2957">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633FFE8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34D39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CC3E14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4E3328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1CC3BC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92A54B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100≤X＜300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7E9EEA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X＜100</w:t>
            </w:r>
          </w:p>
        </w:tc>
      </w:tr>
      <w:tr w14:paraId="1D1D40EF">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4BC51B">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F70767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9F5392C">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49C83E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BE660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6ADB96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500≤Y＜1000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3E010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Y＜500</w:t>
            </w:r>
          </w:p>
        </w:tc>
      </w:tr>
      <w:tr w14:paraId="6CD9749E">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401BA6E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2030F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0F93F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D9FD1F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C6EC7F">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CA90FA4">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D8209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w:t>
            </w:r>
          </w:p>
        </w:tc>
      </w:tr>
      <w:tr w14:paraId="3AA27F37">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B2389F">
            <w:pPr>
              <w:widowControl/>
              <w:spacing w:line="340" w:lineRule="exact"/>
              <w:jc w:val="center"/>
              <w:rPr>
                <w:rFonts w:hint="eastAsia"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DA3D06">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6F9A07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987552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B5E7019">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7B845BA">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100≤Z＜8000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0778BF7">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Z＜100</w:t>
            </w:r>
          </w:p>
        </w:tc>
      </w:tr>
      <w:tr w14:paraId="3A25762B">
        <w:tblPrEx>
          <w:shd w:val="clear" w:color="auto" w:fill="FFFFFF"/>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44590D5">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D1194EB">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F9E5E1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2D52A23">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8CACF6E">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4747AD">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10≤X＜100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AAC5AF8">
            <w:pPr>
              <w:widowControl/>
              <w:spacing w:line="340" w:lineRule="exact"/>
              <w:jc w:val="center"/>
              <w:rPr>
                <w:rFonts w:hint="eastAsia" w:ascii="Helvetica" w:hAnsi="Helvetica" w:cs="Helvetica"/>
                <w:color w:val="auto"/>
                <w:kern w:val="0"/>
                <w:sz w:val="18"/>
                <w:szCs w:val="18"/>
              </w:rPr>
            </w:pPr>
            <w:r>
              <w:rPr>
                <w:rFonts w:ascii="Helvetica" w:hAnsi="Helvetica" w:cs="Helvetica"/>
                <w:color w:val="auto"/>
                <w:kern w:val="0"/>
                <w:sz w:val="18"/>
                <w:szCs w:val="18"/>
              </w:rPr>
              <w:t>X＜10</w:t>
            </w:r>
          </w:p>
        </w:tc>
      </w:tr>
    </w:tbl>
    <w:p w14:paraId="29F548BC">
      <w:pPr>
        <w:widowControl/>
        <w:jc w:val="left"/>
        <w:rPr>
          <w:color w:val="auto"/>
        </w:rPr>
      </w:pPr>
    </w:p>
    <w:p w14:paraId="30B0BA5C">
      <w:pPr>
        <w:widowControl/>
        <w:shd w:val="clear" w:color="auto" w:fill="FFFFFF"/>
        <w:spacing w:line="360" w:lineRule="atLeast"/>
        <w:jc w:val="left"/>
        <w:rPr>
          <w:rFonts w:hint="eastAsia" w:ascii="Helvetica" w:hAnsi="Helvetica" w:cs="Helvetica"/>
          <w:color w:val="auto"/>
          <w:kern w:val="0"/>
          <w:sz w:val="18"/>
          <w:szCs w:val="18"/>
        </w:rPr>
      </w:pPr>
    </w:p>
    <w:p w14:paraId="666FE59E">
      <w:pPr>
        <w:widowControl/>
        <w:shd w:val="clear" w:color="auto" w:fill="FFFFFF"/>
        <w:spacing w:line="360" w:lineRule="atLeast"/>
        <w:jc w:val="left"/>
        <w:rPr>
          <w:rFonts w:hint="eastAsia" w:ascii="Helvetica" w:hAnsi="Helvetica" w:cs="Helvetica"/>
          <w:color w:val="auto"/>
          <w:kern w:val="0"/>
          <w:sz w:val="18"/>
          <w:szCs w:val="18"/>
        </w:rPr>
      </w:pPr>
      <w:r>
        <w:rPr>
          <w:rFonts w:ascii="Helvetica" w:hAnsi="Helvetica" w:cs="Helvetica"/>
          <w:color w:val="auto"/>
          <w:kern w:val="0"/>
          <w:sz w:val="18"/>
          <w:szCs w:val="18"/>
        </w:rPr>
        <w:t>说明：</w:t>
      </w:r>
    </w:p>
    <w:p w14:paraId="4A73C21C">
      <w:pPr>
        <w:widowControl/>
        <w:shd w:val="clear" w:color="auto" w:fill="FFFFFF"/>
        <w:spacing w:line="360" w:lineRule="atLeast"/>
        <w:ind w:firstLine="480"/>
        <w:jc w:val="left"/>
        <w:rPr>
          <w:rFonts w:hint="eastAsia" w:ascii="Helvetica" w:hAnsi="Helvetica" w:cs="Helvetica"/>
          <w:color w:val="auto"/>
          <w:kern w:val="0"/>
          <w:sz w:val="18"/>
          <w:szCs w:val="18"/>
        </w:rPr>
      </w:pPr>
      <w:r>
        <w:rPr>
          <w:rFonts w:ascii="Helvetica" w:hAnsi="Helvetica" w:cs="Helvetica"/>
          <w:color w:val="auto"/>
          <w:kern w:val="0"/>
          <w:sz w:val="18"/>
          <w:szCs w:val="18"/>
        </w:rPr>
        <w:t>1.大型、中型和小型企业须同时满足所列指标的下限，否则下划一档；微型企业只须满足所列指标中的一项即可。</w:t>
      </w:r>
    </w:p>
    <w:p w14:paraId="52A27511">
      <w:pPr>
        <w:widowControl/>
        <w:shd w:val="clear" w:color="auto" w:fill="FFFFFF"/>
        <w:spacing w:line="360" w:lineRule="atLeast"/>
        <w:ind w:firstLine="480"/>
        <w:jc w:val="left"/>
        <w:rPr>
          <w:rFonts w:hint="eastAsia" w:ascii="Helvetica" w:hAnsi="Helvetica" w:cs="Helvetica"/>
          <w:color w:val="auto"/>
          <w:kern w:val="0"/>
          <w:sz w:val="18"/>
          <w:szCs w:val="18"/>
        </w:rPr>
      </w:pPr>
      <w:r>
        <w:rPr>
          <w:rFonts w:ascii="Helvetica" w:hAnsi="Helvetica" w:cs="Helvetica"/>
          <w:color w:val="auto"/>
          <w:kern w:val="0"/>
          <w:sz w:val="18"/>
          <w:szCs w:val="18"/>
        </w:rPr>
        <w:t>2.附表中各行业的范围以《国民经济行业分类》（GB/T4754-2017）为准。带*的项为行业组合类别，其中，工业包括采矿业，制造业，电力、热力、燃气及水生产和供应业；交通运输业包括道路运输业，水上运输业，航空运输业，管道运输业，</w:t>
      </w:r>
      <w:r>
        <w:rPr>
          <w:color w:val="auto"/>
        </w:rPr>
        <w:fldChar w:fldCharType="begin"/>
      </w:r>
      <w:r>
        <w:rPr>
          <w:color w:val="auto"/>
        </w:rPr>
        <w:instrText xml:space="preserve"> HYPERLINK "https://baike.baidu.com/item/%E5%A4%9A%E5%BC%8F%E8%81%94%E8%BF%90/3342240?fromModule=lemma_inlink" \t "_blank" </w:instrText>
      </w:r>
      <w:r>
        <w:rPr>
          <w:color w:val="auto"/>
        </w:rPr>
        <w:fldChar w:fldCharType="separate"/>
      </w:r>
      <w:r>
        <w:rPr>
          <w:rFonts w:ascii="Helvetica" w:hAnsi="Helvetica" w:cs="Helvetica"/>
          <w:color w:val="auto"/>
          <w:kern w:val="0"/>
          <w:sz w:val="18"/>
          <w:szCs w:val="18"/>
          <w:u w:val="single"/>
        </w:rPr>
        <w:t>多式联运</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和运输代理业、</w:t>
      </w:r>
      <w:r>
        <w:rPr>
          <w:color w:val="auto"/>
        </w:rPr>
        <w:fldChar w:fldCharType="begin"/>
      </w:r>
      <w:r>
        <w:rPr>
          <w:color w:val="auto"/>
        </w:rPr>
        <w:instrText xml:space="preserve"> HYPERLINK "https://baike.baidu.com/item/%E8%A3%85%E5%8D%B8%E6%90%AC%E8%BF%90/6511400?fromModule=lemma_inlink" \t "_blank" </w:instrText>
      </w:r>
      <w:r>
        <w:rPr>
          <w:color w:val="auto"/>
        </w:rPr>
        <w:fldChar w:fldCharType="separate"/>
      </w:r>
      <w:r>
        <w:rPr>
          <w:rFonts w:ascii="Helvetica" w:hAnsi="Helvetica" w:cs="Helvetica"/>
          <w:color w:val="auto"/>
          <w:kern w:val="0"/>
          <w:sz w:val="18"/>
          <w:szCs w:val="18"/>
          <w:u w:val="single"/>
        </w:rPr>
        <w:t>装卸搬运</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，不包括铁路运输业；</w:t>
      </w:r>
      <w:r>
        <w:rPr>
          <w:color w:val="auto"/>
        </w:rPr>
        <w:fldChar w:fldCharType="begin"/>
      </w:r>
      <w:r>
        <w:rPr>
          <w:color w:val="auto"/>
        </w:rPr>
        <w:instrText xml:space="preserve"> HYPERLINK "https://baike.baidu.com/item/%E4%BB%93%E5%82%A8%E4%B8%9A/3487863?fromModule=lemma_inlink" \t "_blank" </w:instrText>
      </w:r>
      <w:r>
        <w:rPr>
          <w:color w:val="auto"/>
        </w:rPr>
        <w:fldChar w:fldCharType="separate"/>
      </w:r>
      <w:r>
        <w:rPr>
          <w:rFonts w:ascii="Helvetica" w:hAnsi="Helvetica" w:cs="Helvetica"/>
          <w:color w:val="auto"/>
          <w:kern w:val="0"/>
          <w:sz w:val="18"/>
          <w:szCs w:val="18"/>
          <w:u w:val="single"/>
        </w:rPr>
        <w:t>仓储业</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包括通用仓储，低温仓储，危险品仓储，谷物、棉花等农产品仓储，中药材仓储和其他仓储业;</w:t>
      </w:r>
      <w:r>
        <w:rPr>
          <w:color w:val="auto"/>
        </w:rPr>
        <w:fldChar w:fldCharType="begin"/>
      </w:r>
      <w:r>
        <w:rPr>
          <w:color w:val="auto"/>
        </w:rPr>
        <w:instrText xml:space="preserve"> HYPERLINK "https://baike.baidu.com/item/%E4%BF%A1%E6%81%AF%E4%BC%A0%E8%BE%93%E4%B8%9A/61331990?fromModule=lemma_inlink" \t "_blank" </w:instrText>
      </w:r>
      <w:r>
        <w:rPr>
          <w:color w:val="auto"/>
        </w:rPr>
        <w:fldChar w:fldCharType="separate"/>
      </w:r>
      <w:r>
        <w:rPr>
          <w:rFonts w:ascii="Helvetica" w:hAnsi="Helvetica" w:cs="Helvetica"/>
          <w:color w:val="auto"/>
          <w:kern w:val="0"/>
          <w:sz w:val="18"/>
          <w:szCs w:val="18"/>
          <w:u w:val="single"/>
        </w:rPr>
        <w:t>信息传输业</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9B7BA81">
      <w:pPr>
        <w:widowControl/>
        <w:shd w:val="clear" w:color="auto" w:fill="FFFFFF"/>
        <w:spacing w:line="360" w:lineRule="atLeast"/>
        <w:ind w:firstLine="480"/>
        <w:jc w:val="left"/>
        <w:rPr>
          <w:rFonts w:hint="eastAsia" w:ascii="Helvetica" w:hAnsi="Helvetica" w:cs="Helvetica"/>
          <w:color w:val="auto"/>
          <w:kern w:val="0"/>
          <w:sz w:val="18"/>
          <w:szCs w:val="18"/>
        </w:rPr>
      </w:pPr>
      <w:r>
        <w:rPr>
          <w:rFonts w:ascii="Helvetica" w:hAnsi="Helvetica" w:cs="Helvetica"/>
          <w:color w:val="auto"/>
          <w:kern w:val="0"/>
          <w:sz w:val="18"/>
          <w:szCs w:val="18"/>
        </w:rPr>
        <w:t>3.企业划分指标以现行</w:t>
      </w:r>
      <w:r>
        <w:rPr>
          <w:color w:val="auto"/>
        </w:rPr>
        <w:fldChar w:fldCharType="begin"/>
      </w:r>
      <w:r>
        <w:rPr>
          <w:color w:val="auto"/>
        </w:rPr>
        <w:instrText xml:space="preserve"> HYPERLINK "https://baike.baidu.com/item/%E7%BB%9F%E8%AE%A1%E5%88%B6%E5%BA%A6/917165?fromModule=lemma_inlink" \t "_blank" </w:instrText>
      </w:r>
      <w:r>
        <w:rPr>
          <w:color w:val="auto"/>
        </w:rPr>
        <w:fldChar w:fldCharType="separate"/>
      </w:r>
      <w:r>
        <w:rPr>
          <w:rFonts w:ascii="Helvetica" w:hAnsi="Helvetica" w:cs="Helvetica"/>
          <w:color w:val="auto"/>
          <w:kern w:val="0"/>
          <w:sz w:val="18"/>
          <w:szCs w:val="18"/>
          <w:u w:val="single"/>
        </w:rPr>
        <w:t>统计制度</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为准。（1）从业人员，是指期末从业人员数，没有期末从业人员数的，采用全年平均人员数代替。（2）</w:t>
      </w:r>
      <w:r>
        <w:rPr>
          <w:color w:val="auto"/>
        </w:rPr>
        <w:fldChar w:fldCharType="begin"/>
      </w:r>
      <w:r>
        <w:rPr>
          <w:color w:val="auto"/>
        </w:rPr>
        <w:instrText xml:space="preserve"> HYPERLINK "https://baike.baidu.com/item/%E8%90%A5%E4%B8%9A%E6%94%B6%E5%85%A5/5099832?fromModule=lemma_inlink" \t "_blank" </w:instrText>
      </w:r>
      <w:r>
        <w:rPr>
          <w:color w:val="auto"/>
        </w:rPr>
        <w:fldChar w:fldCharType="separate"/>
      </w:r>
      <w:r>
        <w:rPr>
          <w:rFonts w:ascii="Helvetica" w:hAnsi="Helvetica" w:cs="Helvetica"/>
          <w:color w:val="auto"/>
          <w:kern w:val="0"/>
          <w:sz w:val="18"/>
          <w:szCs w:val="18"/>
          <w:u w:val="single"/>
        </w:rPr>
        <w:t>营业收入</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color w:val="auto"/>
        </w:rPr>
        <w:fldChar w:fldCharType="begin"/>
      </w:r>
      <w:r>
        <w:rPr>
          <w:color w:val="auto"/>
        </w:rPr>
        <w:instrText xml:space="preserve"> HYPERLINK "https://baike.baidu.com/item/%E8%B5%84%E4%BA%A7%E6%80%BB%E9%A2%9D/716517?fromModule=lemma_inlink" \t "_blank" </w:instrText>
      </w:r>
      <w:r>
        <w:rPr>
          <w:color w:val="auto"/>
        </w:rPr>
        <w:fldChar w:fldCharType="separate"/>
      </w:r>
      <w:r>
        <w:rPr>
          <w:rFonts w:ascii="Helvetica" w:hAnsi="Helvetica" w:cs="Helvetica"/>
          <w:color w:val="auto"/>
          <w:kern w:val="0"/>
          <w:sz w:val="18"/>
          <w:szCs w:val="18"/>
          <w:u w:val="single"/>
        </w:rPr>
        <w:t>资产总额</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，采用资产总计代替。</w:t>
      </w:r>
    </w:p>
    <w:p w14:paraId="2F60DF62">
      <w:pPr>
        <w:widowControl/>
        <w:jc w:val="left"/>
        <w:rPr>
          <w:rFonts w:hint="eastAsia" w:hAnsi="宋体"/>
          <w:bCs/>
          <w:color w:val="auto"/>
          <w:sz w:val="18"/>
          <w:szCs w:val="18"/>
        </w:rPr>
      </w:pPr>
      <w:r>
        <w:rPr>
          <w:rFonts w:hAnsi="宋体"/>
          <w:bCs/>
          <w:color w:val="auto"/>
          <w:sz w:val="18"/>
          <w:szCs w:val="18"/>
        </w:rPr>
        <w:br w:type="page"/>
      </w:r>
    </w:p>
    <w:p w14:paraId="091F7160">
      <w:pPr>
        <w:spacing w:line="320" w:lineRule="exact"/>
        <w:jc w:val="left"/>
        <w:rPr>
          <w:rFonts w:hint="eastAsia" w:hAnsi="宋体"/>
          <w:bCs/>
          <w:color w:val="auto"/>
          <w:sz w:val="18"/>
          <w:szCs w:val="18"/>
        </w:rPr>
      </w:pPr>
    </w:p>
    <w:p w14:paraId="36B173F6">
      <w:pPr>
        <w:pStyle w:val="21"/>
        <w:spacing w:line="440" w:lineRule="exact"/>
        <w:jc w:val="center"/>
        <w:rPr>
          <w:rFonts w:hint="eastAsia" w:ascii="仿宋" w:hAnsi="仿宋" w:eastAsia="仿宋"/>
          <w:b/>
          <w:color w:val="auto"/>
          <w:kern w:val="0"/>
          <w:sz w:val="32"/>
          <w:szCs w:val="32"/>
        </w:rPr>
      </w:pPr>
      <w:r>
        <w:rPr>
          <w:rFonts w:hint="eastAsia" w:ascii="仿宋" w:hAnsi="仿宋" w:eastAsia="仿宋"/>
          <w:b/>
          <w:color w:val="auto"/>
          <w:kern w:val="0"/>
          <w:sz w:val="32"/>
          <w:szCs w:val="32"/>
        </w:rPr>
        <w:t>残疾人福利性单位声明函</w:t>
      </w:r>
      <w:r>
        <w:rPr>
          <w:rFonts w:hint="eastAsia" w:ascii="仿宋" w:hAnsi="仿宋" w:eastAsia="仿宋"/>
          <w:color w:val="auto"/>
          <w:sz w:val="24"/>
        </w:rPr>
        <w:t>(格式</w:t>
      </w:r>
      <w:r>
        <w:rPr>
          <w:rFonts w:ascii="仿宋" w:hAnsi="仿宋" w:eastAsia="仿宋"/>
          <w:color w:val="auto"/>
          <w:sz w:val="24"/>
        </w:rPr>
        <w:t>)</w:t>
      </w:r>
    </w:p>
    <w:p w14:paraId="4B7D4AEB">
      <w:pPr>
        <w:rPr>
          <w:color w:val="auto"/>
        </w:rPr>
      </w:pPr>
    </w:p>
    <w:p w14:paraId="31CA3FD5">
      <w:pPr>
        <w:spacing w:line="660" w:lineRule="exact"/>
        <w:ind w:firstLine="420" w:firstLineChars="200"/>
        <w:rPr>
          <w:rFonts w:hint="eastAsia" w:ascii="宋体" w:hAnsi="宋体" w:cs="Courier New"/>
          <w:color w:val="auto"/>
          <w:kern w:val="0"/>
          <w:szCs w:val="21"/>
        </w:rPr>
      </w:pPr>
      <w:r>
        <w:rPr>
          <w:rFonts w:hint="eastAsia" w:ascii="宋体" w:hAnsi="宋体" w:cs="Courier New"/>
          <w:color w:val="auto"/>
          <w:kern w:val="0"/>
          <w:szCs w:val="21"/>
        </w:rPr>
        <w:t>本单位郑重声明，根据</w:t>
      </w:r>
      <w:bookmarkStart w:id="131" w:name="_Hlk82091361"/>
      <w:r>
        <w:rPr>
          <w:rFonts w:hint="eastAsia" w:ascii="宋体" w:hAnsi="宋体" w:cs="Courier New"/>
          <w:color w:val="auto"/>
          <w:kern w:val="0"/>
          <w:szCs w:val="21"/>
        </w:rPr>
        <w:t>《</w:t>
      </w:r>
      <w:r>
        <w:rPr>
          <w:color w:val="auto"/>
        </w:rPr>
        <w:fldChar w:fldCharType="begin"/>
      </w:r>
      <w:r>
        <w:rPr>
          <w:color w:val="auto"/>
        </w:rPr>
        <w:instrText xml:space="preserve"> HYPERLINK "http://www.mof.gov.cn/gp/xxgkml/gks/201709/t20170901_2689542.htm" </w:instrText>
      </w:r>
      <w:r>
        <w:rPr>
          <w:color w:val="auto"/>
        </w:rPr>
        <w:fldChar w:fldCharType="separate"/>
      </w:r>
      <w:r>
        <w:rPr>
          <w:rFonts w:hint="eastAsia" w:ascii="宋体" w:hAnsi="Courier New" w:cs="Courier New"/>
          <w:color w:val="auto"/>
          <w:kern w:val="0"/>
          <w:szCs w:val="21"/>
        </w:rPr>
        <w:t>财政部 民政部 中国残疾人联合会关于促进残疾人就业政府采购政策的通知》（财库〔2017〕141号）</w:t>
      </w:r>
      <w:r>
        <w:rPr>
          <w:rFonts w:hint="eastAsia" w:ascii="宋体" w:hAnsi="Courier New" w:cs="Courier New"/>
          <w:color w:val="auto"/>
          <w:kern w:val="0"/>
          <w:szCs w:val="21"/>
        </w:rPr>
        <w:fldChar w:fldCharType="end"/>
      </w:r>
      <w:bookmarkEnd w:id="131"/>
      <w:r>
        <w:rPr>
          <w:rFonts w:hint="eastAsia" w:ascii="宋体" w:hAnsi="宋体" w:cs="Courier New"/>
          <w:color w:val="auto"/>
          <w:kern w:val="0"/>
          <w:szCs w:val="21"/>
        </w:rPr>
        <w:t>的规定，本单位为符合条件的残疾人福利性单位，且本单位参加（</w:t>
      </w:r>
      <w:r>
        <w:rPr>
          <w:rFonts w:hint="eastAsia" w:ascii="宋体" w:hAnsi="宋体" w:cs="Courier New"/>
          <w:color w:val="auto"/>
          <w:kern w:val="0"/>
          <w:szCs w:val="21"/>
          <w:u w:val="single"/>
        </w:rPr>
        <w:t>单位名称</w:t>
      </w:r>
      <w:r>
        <w:rPr>
          <w:rFonts w:hint="eastAsia" w:ascii="宋体" w:hAnsi="宋体" w:cs="Courier New"/>
          <w:color w:val="auto"/>
          <w:kern w:val="0"/>
          <w:szCs w:val="21"/>
        </w:rPr>
        <w:t>）的（</w:t>
      </w:r>
      <w:r>
        <w:rPr>
          <w:rFonts w:hint="eastAsia" w:ascii="宋体" w:hAnsi="宋体" w:cs="Courier New"/>
          <w:color w:val="auto"/>
          <w:kern w:val="0"/>
          <w:szCs w:val="21"/>
          <w:u w:val="single"/>
        </w:rPr>
        <w:t>项目名称</w:t>
      </w:r>
      <w:r>
        <w:rPr>
          <w:rFonts w:hint="eastAsia" w:ascii="宋体" w:hAnsi="宋体" w:cs="Courier New"/>
          <w:color w:val="auto"/>
          <w:kern w:val="0"/>
          <w:szCs w:val="21"/>
        </w:rPr>
        <w:t>）采购活动提供本单位制造的货物，或者提供其他残疾人福利性单位（</w:t>
      </w:r>
      <w:r>
        <w:rPr>
          <w:rFonts w:hint="eastAsia" w:ascii="宋体" w:hAnsi="宋体" w:cs="Courier New"/>
          <w:color w:val="auto"/>
          <w:kern w:val="0"/>
          <w:szCs w:val="21"/>
          <w:u w:val="single"/>
        </w:rPr>
        <w:t>请填写具体单位名称</w:t>
      </w:r>
      <w:r>
        <w:rPr>
          <w:rFonts w:hint="eastAsia" w:ascii="宋体" w:hAnsi="宋体" w:cs="Courier New"/>
          <w:color w:val="auto"/>
          <w:kern w:val="0"/>
          <w:szCs w:val="21"/>
        </w:rPr>
        <w:t>）制造的货物（不包括使用非残疾人福利性单位注册商标的货物）。</w:t>
      </w:r>
    </w:p>
    <w:p w14:paraId="62564C4A">
      <w:pPr>
        <w:spacing w:line="660" w:lineRule="exact"/>
        <w:ind w:firstLine="420" w:firstLineChars="200"/>
        <w:rPr>
          <w:rFonts w:hint="eastAsia" w:ascii="宋体" w:hAnsi="宋体" w:cs="Courier New"/>
          <w:color w:val="auto"/>
          <w:kern w:val="0"/>
          <w:szCs w:val="21"/>
        </w:rPr>
      </w:pPr>
      <w:r>
        <w:rPr>
          <w:rFonts w:hint="eastAsia" w:ascii="宋体" w:hAnsi="宋体" w:cs="Courier New"/>
          <w:color w:val="auto"/>
          <w:kern w:val="0"/>
          <w:szCs w:val="21"/>
        </w:rPr>
        <w:t>本单位对上述声明的真实性负责。如有虚假，将依法承担相应责任。</w:t>
      </w:r>
    </w:p>
    <w:p w14:paraId="280EB1E7">
      <w:pPr>
        <w:spacing w:line="400" w:lineRule="exact"/>
        <w:rPr>
          <w:color w:val="auto"/>
          <w:szCs w:val="21"/>
        </w:rPr>
      </w:pPr>
    </w:p>
    <w:p w14:paraId="7DB060AC">
      <w:pPr>
        <w:spacing w:line="400" w:lineRule="exact"/>
        <w:rPr>
          <w:color w:val="auto"/>
          <w:szCs w:val="21"/>
        </w:rPr>
      </w:pPr>
    </w:p>
    <w:p w14:paraId="421D9729">
      <w:pPr>
        <w:spacing w:line="400" w:lineRule="exact"/>
        <w:rPr>
          <w:color w:val="auto"/>
          <w:szCs w:val="21"/>
        </w:rPr>
      </w:pPr>
    </w:p>
    <w:p w14:paraId="577E9BA3">
      <w:pPr>
        <w:spacing w:line="440" w:lineRule="exact"/>
        <w:ind w:firstLine="5250" w:firstLineChars="2500"/>
        <w:rPr>
          <w:rFonts w:hint="eastAsia" w:ascii="宋体" w:hAnsi="宋体" w:cs="Courier New"/>
          <w:color w:val="auto"/>
          <w:kern w:val="0"/>
          <w:szCs w:val="21"/>
        </w:rPr>
      </w:pPr>
      <w:r>
        <w:rPr>
          <w:rFonts w:hint="eastAsia" w:ascii="宋体" w:hAnsi="宋体" w:cs="Courier New"/>
          <w:color w:val="auto"/>
          <w:kern w:val="0"/>
          <w:szCs w:val="21"/>
        </w:rPr>
        <w:t>单位名称（盖章）：</w:t>
      </w:r>
      <w:r>
        <w:rPr>
          <w:rFonts w:hint="eastAsia" w:ascii="宋体" w:hAnsi="宋体" w:cs="Courier New"/>
          <w:color w:val="auto"/>
          <w:szCs w:val="21"/>
          <w:u w:val="single"/>
        </w:rPr>
        <w:t xml:space="preserve"> </w:t>
      </w:r>
      <w:r>
        <w:rPr>
          <w:rFonts w:ascii="宋体" w:hAnsi="宋体" w:cs="Courier New"/>
          <w:color w:val="auto"/>
          <w:szCs w:val="21"/>
          <w:u w:val="single"/>
        </w:rPr>
        <w:t xml:space="preserve">             </w:t>
      </w:r>
    </w:p>
    <w:p w14:paraId="276342D1">
      <w:pPr>
        <w:spacing w:line="440" w:lineRule="exact"/>
        <w:ind w:firstLine="5250" w:firstLineChars="2500"/>
        <w:rPr>
          <w:rFonts w:hint="eastAsia" w:ascii="宋体" w:hAnsi="宋体" w:cs="Courier New"/>
          <w:color w:val="auto"/>
          <w:szCs w:val="21"/>
          <w:u w:val="single"/>
        </w:rPr>
      </w:pPr>
      <w:r>
        <w:rPr>
          <w:rFonts w:hint="eastAsia" w:ascii="宋体" w:hAnsi="宋体" w:cs="Courier New"/>
          <w:color w:val="auto"/>
          <w:kern w:val="0"/>
          <w:szCs w:val="21"/>
        </w:rPr>
        <w:t>日  期：</w:t>
      </w:r>
      <w:r>
        <w:rPr>
          <w:rFonts w:hint="eastAsia" w:ascii="宋体" w:hAnsi="宋体" w:cs="Courier New"/>
          <w:color w:val="auto"/>
          <w:szCs w:val="21"/>
          <w:u w:val="single"/>
        </w:rPr>
        <w:t xml:space="preserve"> </w:t>
      </w:r>
      <w:r>
        <w:rPr>
          <w:rFonts w:ascii="宋体" w:hAnsi="宋体" w:cs="Courier New"/>
          <w:color w:val="auto"/>
          <w:szCs w:val="21"/>
          <w:u w:val="single"/>
        </w:rPr>
        <w:t xml:space="preserve">                       </w:t>
      </w:r>
    </w:p>
    <w:bookmarkEnd w:id="125"/>
    <w:p w14:paraId="4B5BE68A">
      <w:pPr>
        <w:widowControl/>
        <w:jc w:val="left"/>
        <w:rPr>
          <w:rFonts w:ascii="宋体" w:hAnsi="Courier New" w:cs="Courier New"/>
          <w:color w:val="auto"/>
          <w:sz w:val="18"/>
          <w:szCs w:val="18"/>
        </w:rPr>
      </w:pPr>
      <w:r>
        <w:rPr>
          <w:rFonts w:ascii="宋体" w:hAnsi="Courier New" w:cs="Courier New"/>
          <w:color w:val="auto"/>
          <w:sz w:val="18"/>
          <w:szCs w:val="18"/>
        </w:rPr>
        <w:br w:type="page"/>
      </w:r>
    </w:p>
    <w:p w14:paraId="58BF43A1">
      <w:pPr>
        <w:jc w:val="left"/>
        <w:rPr>
          <w:rFonts w:hint="eastAsia" w:ascii="宋体" w:hAnsi="宋体"/>
          <w:b/>
          <w:bCs/>
          <w:color w:val="auto"/>
          <w:sz w:val="36"/>
          <w:szCs w:val="36"/>
        </w:rPr>
      </w:pPr>
      <w:r>
        <w:rPr>
          <w:rFonts w:hint="eastAsia" w:ascii="宋体" w:hAnsi="宋体"/>
          <w:b/>
          <w:bCs/>
          <w:color w:val="auto"/>
          <w:sz w:val="36"/>
          <w:szCs w:val="36"/>
        </w:rPr>
        <w:t>三、报价文件</w:t>
      </w:r>
    </w:p>
    <w:p w14:paraId="504FEFF9">
      <w:pPr>
        <w:jc w:val="center"/>
        <w:rPr>
          <w:rFonts w:hint="eastAsia" w:ascii="仿宋" w:hAnsi="仿宋" w:eastAsia="仿宋"/>
          <w:b/>
          <w:bCs/>
          <w:color w:val="auto"/>
          <w:sz w:val="30"/>
          <w:szCs w:val="30"/>
        </w:rPr>
      </w:pPr>
      <w:r>
        <w:rPr>
          <w:rFonts w:hint="eastAsia" w:ascii="仿宋" w:hAnsi="仿宋" w:eastAsia="仿宋"/>
          <w:b/>
          <w:bCs/>
          <w:color w:val="auto"/>
          <w:sz w:val="32"/>
          <w:szCs w:val="32"/>
        </w:rPr>
        <w:t>报价明细表</w:t>
      </w:r>
      <w:r>
        <w:rPr>
          <w:rFonts w:hint="eastAsia" w:ascii="仿宋" w:hAnsi="仿宋" w:eastAsia="仿宋"/>
          <w:color w:val="auto"/>
          <w:sz w:val="24"/>
        </w:rPr>
        <w:t>(格式</w:t>
      </w:r>
      <w:r>
        <w:rPr>
          <w:rFonts w:ascii="仿宋" w:hAnsi="仿宋" w:eastAsia="仿宋"/>
          <w:color w:val="auto"/>
          <w:sz w:val="24"/>
        </w:rPr>
        <w:t>)</w:t>
      </w:r>
    </w:p>
    <w:p w14:paraId="284140BF">
      <w:pPr>
        <w:rPr>
          <w:color w:val="auto"/>
        </w:rPr>
      </w:pPr>
    </w:p>
    <w:p w14:paraId="720A1D18">
      <w:pPr>
        <w:spacing w:line="400" w:lineRule="exact"/>
        <w:rPr>
          <w:rFonts w:hint="eastAsia" w:ascii="宋体" w:hAnsi="宋体"/>
          <w:color w:val="auto"/>
          <w:szCs w:val="21"/>
          <w:u w:val="single"/>
        </w:rPr>
      </w:pPr>
      <w:r>
        <w:rPr>
          <w:rFonts w:hint="eastAsia" w:ascii="宋体" w:hAnsi="宋体"/>
          <w:color w:val="auto"/>
          <w:szCs w:val="21"/>
        </w:rPr>
        <w:t>项目编号：</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6AB64A05">
      <w:pPr>
        <w:spacing w:line="400" w:lineRule="exact"/>
        <w:rPr>
          <w:rFonts w:hint="eastAsia" w:ascii="宋体" w:hAnsi="宋体"/>
          <w:color w:val="auto"/>
          <w:szCs w:val="21"/>
          <w:u w:val="single"/>
        </w:rPr>
      </w:pPr>
      <w:r>
        <w:rPr>
          <w:rFonts w:hint="eastAsia" w:ascii="宋体" w:hAnsi="宋体"/>
          <w:color w:val="auto"/>
          <w:szCs w:val="21"/>
        </w:rPr>
        <w:t>项目名称：</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 xml:space="preserve">                                             单位：元</w:t>
      </w:r>
    </w:p>
    <w:tbl>
      <w:tblPr>
        <w:tblStyle w:val="37"/>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45"/>
        <w:gridCol w:w="699"/>
        <w:gridCol w:w="710"/>
        <w:gridCol w:w="709"/>
        <w:gridCol w:w="1702"/>
        <w:gridCol w:w="1702"/>
        <w:gridCol w:w="852"/>
        <w:gridCol w:w="1348"/>
      </w:tblGrid>
      <w:tr w14:paraId="7294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04" w:type="dxa"/>
            <w:tcBorders>
              <w:bottom w:val="single" w:color="auto" w:sz="4" w:space="0"/>
            </w:tcBorders>
            <w:vAlign w:val="center"/>
          </w:tcPr>
          <w:p w14:paraId="14216F08">
            <w:pPr>
              <w:spacing w:line="300" w:lineRule="exact"/>
              <w:jc w:val="center"/>
              <w:rPr>
                <w:rFonts w:hint="eastAsia" w:ascii="宋体" w:hAnsi="宋体" w:cs="Courier New"/>
                <w:color w:val="auto"/>
                <w:szCs w:val="21"/>
              </w:rPr>
            </w:pPr>
            <w:bookmarkStart w:id="132" w:name="_Hlk97823529"/>
            <w:r>
              <w:rPr>
                <w:rFonts w:hint="eastAsia" w:ascii="宋体" w:hAnsi="宋体" w:cs="Courier New"/>
                <w:color w:val="auto"/>
                <w:szCs w:val="21"/>
              </w:rPr>
              <w:t>序号</w:t>
            </w:r>
          </w:p>
        </w:tc>
        <w:tc>
          <w:tcPr>
            <w:tcW w:w="1145" w:type="dxa"/>
            <w:tcBorders>
              <w:bottom w:val="single" w:color="auto" w:sz="4" w:space="0"/>
            </w:tcBorders>
            <w:vAlign w:val="center"/>
          </w:tcPr>
          <w:p w14:paraId="6E91B1AF">
            <w:pPr>
              <w:tabs>
                <w:tab w:val="left" w:pos="180"/>
                <w:tab w:val="left" w:pos="1620"/>
              </w:tabs>
              <w:spacing w:line="300" w:lineRule="exact"/>
              <w:jc w:val="center"/>
              <w:rPr>
                <w:rFonts w:hint="eastAsia" w:ascii="宋体" w:hAnsi="宋体"/>
                <w:color w:val="auto"/>
                <w:szCs w:val="21"/>
              </w:rPr>
            </w:pPr>
            <w:r>
              <w:rPr>
                <w:rFonts w:hint="eastAsia" w:ascii="宋体" w:hAnsi="宋体"/>
                <w:color w:val="auto"/>
                <w:szCs w:val="21"/>
              </w:rPr>
              <w:t>货物名称</w:t>
            </w:r>
          </w:p>
        </w:tc>
        <w:tc>
          <w:tcPr>
            <w:tcW w:w="698" w:type="dxa"/>
            <w:tcBorders>
              <w:bottom w:val="single" w:color="auto" w:sz="4" w:space="0"/>
            </w:tcBorders>
            <w:vAlign w:val="center"/>
          </w:tcPr>
          <w:p w14:paraId="0823C0BD">
            <w:pPr>
              <w:tabs>
                <w:tab w:val="left" w:pos="180"/>
                <w:tab w:val="left" w:pos="1620"/>
              </w:tabs>
              <w:spacing w:line="300" w:lineRule="exact"/>
              <w:jc w:val="center"/>
              <w:rPr>
                <w:rFonts w:hint="eastAsia" w:ascii="宋体" w:hAnsi="宋体"/>
                <w:color w:val="auto"/>
                <w:szCs w:val="21"/>
              </w:rPr>
            </w:pPr>
            <w:r>
              <w:rPr>
                <w:rFonts w:hint="eastAsia" w:ascii="宋体" w:hAnsi="宋体"/>
                <w:color w:val="auto"/>
                <w:szCs w:val="21"/>
              </w:rPr>
              <w:t>品牌</w:t>
            </w:r>
          </w:p>
        </w:tc>
        <w:tc>
          <w:tcPr>
            <w:tcW w:w="709" w:type="dxa"/>
            <w:tcBorders>
              <w:bottom w:val="single" w:color="auto" w:sz="4" w:space="0"/>
            </w:tcBorders>
            <w:vAlign w:val="center"/>
          </w:tcPr>
          <w:p w14:paraId="45579B40">
            <w:pPr>
              <w:tabs>
                <w:tab w:val="left" w:pos="180"/>
                <w:tab w:val="left" w:pos="1620"/>
              </w:tabs>
              <w:spacing w:line="300" w:lineRule="exact"/>
              <w:jc w:val="center"/>
              <w:rPr>
                <w:rFonts w:hint="eastAsia" w:ascii="宋体" w:hAnsi="宋体"/>
                <w:color w:val="auto"/>
                <w:szCs w:val="21"/>
              </w:rPr>
            </w:pPr>
            <w:r>
              <w:rPr>
                <w:rFonts w:hint="eastAsia" w:ascii="宋体" w:hAnsi="宋体"/>
                <w:color w:val="auto"/>
                <w:szCs w:val="21"/>
              </w:rPr>
              <w:t>型号</w:t>
            </w:r>
          </w:p>
        </w:tc>
        <w:tc>
          <w:tcPr>
            <w:tcW w:w="708" w:type="dxa"/>
            <w:tcBorders>
              <w:bottom w:val="single" w:color="auto" w:sz="4" w:space="0"/>
            </w:tcBorders>
            <w:vAlign w:val="center"/>
          </w:tcPr>
          <w:p w14:paraId="4A8F99E5">
            <w:pPr>
              <w:tabs>
                <w:tab w:val="left" w:pos="180"/>
                <w:tab w:val="left" w:pos="1620"/>
              </w:tabs>
              <w:spacing w:line="300" w:lineRule="exact"/>
              <w:jc w:val="center"/>
              <w:rPr>
                <w:rFonts w:hint="eastAsia" w:ascii="宋体" w:hAnsi="宋体"/>
                <w:color w:val="auto"/>
                <w:szCs w:val="21"/>
              </w:rPr>
            </w:pPr>
            <w:r>
              <w:rPr>
                <w:rFonts w:hint="eastAsia" w:ascii="宋体" w:hAnsi="宋体"/>
                <w:color w:val="auto"/>
                <w:szCs w:val="21"/>
              </w:rPr>
              <w:t>产地</w:t>
            </w:r>
          </w:p>
        </w:tc>
        <w:tc>
          <w:tcPr>
            <w:tcW w:w="1701" w:type="dxa"/>
            <w:tcBorders>
              <w:bottom w:val="single" w:color="auto" w:sz="4" w:space="0"/>
            </w:tcBorders>
            <w:vAlign w:val="center"/>
          </w:tcPr>
          <w:p w14:paraId="7C9B6C61">
            <w:pPr>
              <w:tabs>
                <w:tab w:val="left" w:pos="180"/>
                <w:tab w:val="left" w:pos="1620"/>
              </w:tabs>
              <w:spacing w:line="300" w:lineRule="exact"/>
              <w:jc w:val="center"/>
              <w:rPr>
                <w:rFonts w:hint="eastAsia" w:ascii="宋体" w:hAnsi="宋体"/>
                <w:color w:val="auto"/>
                <w:szCs w:val="21"/>
              </w:rPr>
            </w:pPr>
            <w:r>
              <w:rPr>
                <w:rFonts w:hint="eastAsia" w:ascii="宋体" w:hAnsi="宋体"/>
                <w:color w:val="auto"/>
                <w:szCs w:val="21"/>
              </w:rPr>
              <w:t>技术参数及性能（规格）</w:t>
            </w:r>
          </w:p>
        </w:tc>
        <w:tc>
          <w:tcPr>
            <w:tcW w:w="1701" w:type="dxa"/>
            <w:tcBorders>
              <w:bottom w:val="single" w:color="auto" w:sz="4" w:space="0"/>
            </w:tcBorders>
            <w:vAlign w:val="center"/>
          </w:tcPr>
          <w:p w14:paraId="6DFC5D61">
            <w:pPr>
              <w:tabs>
                <w:tab w:val="left" w:pos="180"/>
                <w:tab w:val="left" w:pos="1620"/>
              </w:tabs>
              <w:spacing w:line="300" w:lineRule="exact"/>
              <w:jc w:val="center"/>
              <w:rPr>
                <w:rFonts w:hint="eastAsia" w:ascii="宋体" w:hAnsi="宋体"/>
                <w:color w:val="auto"/>
                <w:szCs w:val="21"/>
              </w:rPr>
            </w:pPr>
            <w:r>
              <w:rPr>
                <w:rFonts w:hint="eastAsia" w:ascii="宋体" w:hAnsi="宋体"/>
                <w:color w:val="auto"/>
                <w:szCs w:val="21"/>
              </w:rPr>
              <w:t>数量、单位</w:t>
            </w:r>
            <w:r>
              <w:rPr>
                <w:rFonts w:hint="eastAsia" w:hAnsi="宋体"/>
                <w:color w:val="auto"/>
              </w:rPr>
              <w:t>①</w:t>
            </w:r>
          </w:p>
        </w:tc>
        <w:tc>
          <w:tcPr>
            <w:tcW w:w="851" w:type="dxa"/>
            <w:tcBorders>
              <w:bottom w:val="single" w:color="auto" w:sz="4" w:space="0"/>
            </w:tcBorders>
            <w:vAlign w:val="center"/>
          </w:tcPr>
          <w:p w14:paraId="1286FE25">
            <w:pPr>
              <w:tabs>
                <w:tab w:val="left" w:pos="180"/>
                <w:tab w:val="left" w:pos="1620"/>
              </w:tabs>
              <w:spacing w:line="300" w:lineRule="exact"/>
              <w:jc w:val="center"/>
              <w:rPr>
                <w:rFonts w:hint="eastAsia" w:ascii="宋体" w:hAnsi="宋体"/>
                <w:color w:val="auto"/>
                <w:szCs w:val="21"/>
              </w:rPr>
            </w:pPr>
            <w:r>
              <w:rPr>
                <w:rFonts w:hint="eastAsia" w:ascii="宋体" w:hAnsi="宋体"/>
                <w:color w:val="auto"/>
                <w:szCs w:val="21"/>
              </w:rPr>
              <w:t>单价</w:t>
            </w:r>
            <w:r>
              <w:rPr>
                <w:rFonts w:hint="eastAsia" w:hAnsi="宋体"/>
                <w:color w:val="auto"/>
              </w:rPr>
              <w:t>②</w:t>
            </w:r>
          </w:p>
        </w:tc>
        <w:tc>
          <w:tcPr>
            <w:tcW w:w="1340" w:type="dxa"/>
            <w:tcBorders>
              <w:bottom w:val="single" w:color="auto" w:sz="4" w:space="0"/>
            </w:tcBorders>
            <w:vAlign w:val="center"/>
          </w:tcPr>
          <w:p w14:paraId="7005753F">
            <w:pPr>
              <w:spacing w:line="300" w:lineRule="exact"/>
              <w:jc w:val="center"/>
              <w:rPr>
                <w:rFonts w:hint="eastAsia" w:ascii="宋体" w:hAnsi="宋体" w:cs="Courier New"/>
                <w:color w:val="auto"/>
                <w:szCs w:val="21"/>
              </w:rPr>
            </w:pPr>
            <w:r>
              <w:rPr>
                <w:rFonts w:hint="eastAsia" w:ascii="宋体" w:hAnsi="宋体" w:cs="Courier New"/>
                <w:color w:val="auto"/>
                <w:szCs w:val="21"/>
              </w:rPr>
              <w:t>单项合价</w:t>
            </w:r>
          </w:p>
          <w:p w14:paraId="6A4FFA08">
            <w:pPr>
              <w:spacing w:line="300" w:lineRule="exact"/>
              <w:jc w:val="center"/>
              <w:rPr>
                <w:rFonts w:hint="eastAsia" w:ascii="宋体" w:hAnsi="宋体" w:cs="Courier New"/>
                <w:color w:val="auto"/>
                <w:szCs w:val="21"/>
              </w:rPr>
            </w:pPr>
            <w:r>
              <w:rPr>
                <w:rFonts w:hint="eastAsia" w:ascii="宋体" w:hAnsi="宋体" w:cs="Courier New"/>
                <w:color w:val="auto"/>
                <w:szCs w:val="21"/>
              </w:rPr>
              <w:t>③</w:t>
            </w:r>
            <w:r>
              <w:rPr>
                <w:rFonts w:ascii="宋体" w:hAnsi="宋体" w:cs="Courier New"/>
                <w:color w:val="auto"/>
                <w:szCs w:val="21"/>
              </w:rPr>
              <w:t>=</w:t>
            </w:r>
            <w:r>
              <w:rPr>
                <w:rFonts w:hint="eastAsia" w:ascii="宋体" w:hAnsi="宋体" w:cs="Courier New"/>
                <w:color w:val="auto"/>
                <w:szCs w:val="21"/>
              </w:rPr>
              <w:t>①×②</w:t>
            </w:r>
          </w:p>
        </w:tc>
      </w:tr>
      <w:tr w14:paraId="05C5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2A08716E">
            <w:pPr>
              <w:spacing w:line="440" w:lineRule="exact"/>
              <w:ind w:right="-34" w:rightChars="-16"/>
              <w:jc w:val="center"/>
              <w:rPr>
                <w:rFonts w:hint="eastAsia" w:ascii="宋体" w:hAnsi="宋体"/>
                <w:color w:val="auto"/>
                <w:sz w:val="24"/>
              </w:rPr>
            </w:pPr>
            <w:r>
              <w:rPr>
                <w:rFonts w:hint="eastAsia" w:ascii="宋体" w:hAnsi="宋体"/>
                <w:color w:val="auto"/>
                <w:sz w:val="24"/>
              </w:rPr>
              <w:t>1</w:t>
            </w:r>
          </w:p>
        </w:tc>
        <w:tc>
          <w:tcPr>
            <w:tcW w:w="1145" w:type="dxa"/>
            <w:vAlign w:val="center"/>
          </w:tcPr>
          <w:p w14:paraId="699D5E06">
            <w:pPr>
              <w:spacing w:line="440" w:lineRule="exact"/>
              <w:ind w:firstLine="33" w:firstLineChars="16"/>
              <w:jc w:val="center"/>
              <w:rPr>
                <w:rFonts w:hint="eastAsia" w:ascii="宋体" w:hAnsi="宋体"/>
                <w:color w:val="auto"/>
              </w:rPr>
            </w:pPr>
          </w:p>
        </w:tc>
        <w:tc>
          <w:tcPr>
            <w:tcW w:w="698" w:type="dxa"/>
            <w:vAlign w:val="center"/>
          </w:tcPr>
          <w:p w14:paraId="6249A50D">
            <w:pPr>
              <w:spacing w:line="440" w:lineRule="exact"/>
              <w:ind w:firstLine="35" w:firstLineChars="17"/>
              <w:jc w:val="center"/>
              <w:rPr>
                <w:rFonts w:hint="eastAsia" w:ascii="宋体" w:hAnsi="宋体"/>
                <w:color w:val="auto"/>
              </w:rPr>
            </w:pPr>
          </w:p>
        </w:tc>
        <w:tc>
          <w:tcPr>
            <w:tcW w:w="709" w:type="dxa"/>
            <w:vAlign w:val="center"/>
          </w:tcPr>
          <w:p w14:paraId="640A5848">
            <w:pPr>
              <w:spacing w:line="440" w:lineRule="exact"/>
              <w:jc w:val="center"/>
              <w:rPr>
                <w:rFonts w:hint="eastAsia" w:ascii="宋体" w:hAnsi="宋体"/>
                <w:color w:val="auto"/>
              </w:rPr>
            </w:pPr>
          </w:p>
        </w:tc>
        <w:tc>
          <w:tcPr>
            <w:tcW w:w="708" w:type="dxa"/>
            <w:vAlign w:val="center"/>
          </w:tcPr>
          <w:p w14:paraId="668D8D38">
            <w:pPr>
              <w:spacing w:line="440" w:lineRule="exact"/>
              <w:ind w:firstLine="23" w:firstLineChars="11"/>
              <w:jc w:val="center"/>
              <w:rPr>
                <w:rFonts w:hint="eastAsia" w:ascii="宋体" w:hAnsi="宋体"/>
                <w:color w:val="auto"/>
              </w:rPr>
            </w:pPr>
          </w:p>
        </w:tc>
        <w:tc>
          <w:tcPr>
            <w:tcW w:w="1701" w:type="dxa"/>
            <w:vAlign w:val="center"/>
          </w:tcPr>
          <w:p w14:paraId="7C19B1C8">
            <w:pPr>
              <w:spacing w:line="440" w:lineRule="exact"/>
              <w:ind w:firstLine="23" w:firstLineChars="11"/>
              <w:jc w:val="center"/>
              <w:rPr>
                <w:rFonts w:hint="eastAsia" w:ascii="宋体" w:hAnsi="宋体"/>
                <w:color w:val="auto"/>
              </w:rPr>
            </w:pPr>
          </w:p>
        </w:tc>
        <w:tc>
          <w:tcPr>
            <w:tcW w:w="1701" w:type="dxa"/>
            <w:vAlign w:val="center"/>
          </w:tcPr>
          <w:p w14:paraId="40CDF136">
            <w:pPr>
              <w:spacing w:line="440" w:lineRule="exact"/>
              <w:jc w:val="center"/>
              <w:rPr>
                <w:rFonts w:hint="eastAsia" w:ascii="宋体" w:hAnsi="宋体"/>
                <w:color w:val="auto"/>
              </w:rPr>
            </w:pPr>
          </w:p>
        </w:tc>
        <w:tc>
          <w:tcPr>
            <w:tcW w:w="851" w:type="dxa"/>
            <w:vAlign w:val="center"/>
          </w:tcPr>
          <w:p w14:paraId="3CDAFFEC">
            <w:pPr>
              <w:spacing w:line="440" w:lineRule="exact"/>
              <w:jc w:val="center"/>
              <w:rPr>
                <w:rFonts w:hint="eastAsia" w:ascii="宋体" w:hAnsi="宋体"/>
                <w:color w:val="auto"/>
              </w:rPr>
            </w:pPr>
          </w:p>
        </w:tc>
        <w:tc>
          <w:tcPr>
            <w:tcW w:w="1340" w:type="dxa"/>
            <w:vAlign w:val="center"/>
          </w:tcPr>
          <w:p w14:paraId="3D5471B9">
            <w:pPr>
              <w:spacing w:line="440" w:lineRule="exact"/>
              <w:jc w:val="center"/>
              <w:rPr>
                <w:rFonts w:hint="eastAsia" w:ascii="宋体" w:hAnsi="宋体"/>
                <w:color w:val="auto"/>
              </w:rPr>
            </w:pPr>
          </w:p>
        </w:tc>
      </w:tr>
      <w:tr w14:paraId="6074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390C33EC">
            <w:pPr>
              <w:spacing w:line="440" w:lineRule="exact"/>
              <w:jc w:val="center"/>
              <w:rPr>
                <w:rFonts w:hint="eastAsia" w:ascii="宋体" w:hAnsi="宋体"/>
                <w:color w:val="auto"/>
                <w:sz w:val="24"/>
              </w:rPr>
            </w:pPr>
            <w:r>
              <w:rPr>
                <w:rFonts w:hint="eastAsia" w:ascii="宋体" w:hAnsi="宋体"/>
                <w:color w:val="auto"/>
                <w:sz w:val="24"/>
              </w:rPr>
              <w:t>2</w:t>
            </w:r>
          </w:p>
        </w:tc>
        <w:tc>
          <w:tcPr>
            <w:tcW w:w="1145" w:type="dxa"/>
            <w:vAlign w:val="center"/>
          </w:tcPr>
          <w:p w14:paraId="2960F5B7">
            <w:pPr>
              <w:spacing w:line="440" w:lineRule="exact"/>
              <w:ind w:firstLine="33" w:firstLineChars="16"/>
              <w:jc w:val="center"/>
              <w:rPr>
                <w:rFonts w:hint="eastAsia" w:ascii="宋体" w:hAnsi="宋体"/>
                <w:color w:val="auto"/>
              </w:rPr>
            </w:pPr>
          </w:p>
        </w:tc>
        <w:tc>
          <w:tcPr>
            <w:tcW w:w="698" w:type="dxa"/>
            <w:vAlign w:val="center"/>
          </w:tcPr>
          <w:p w14:paraId="2FC9D32B">
            <w:pPr>
              <w:spacing w:line="440" w:lineRule="exact"/>
              <w:ind w:firstLine="35" w:firstLineChars="17"/>
              <w:jc w:val="center"/>
              <w:rPr>
                <w:rFonts w:hint="eastAsia" w:ascii="宋体" w:hAnsi="宋体"/>
                <w:color w:val="auto"/>
              </w:rPr>
            </w:pPr>
          </w:p>
        </w:tc>
        <w:tc>
          <w:tcPr>
            <w:tcW w:w="709" w:type="dxa"/>
            <w:vAlign w:val="center"/>
          </w:tcPr>
          <w:p w14:paraId="0D73338C">
            <w:pPr>
              <w:spacing w:line="440" w:lineRule="exact"/>
              <w:jc w:val="center"/>
              <w:rPr>
                <w:rFonts w:hint="eastAsia" w:ascii="宋体" w:hAnsi="宋体"/>
                <w:color w:val="auto"/>
              </w:rPr>
            </w:pPr>
          </w:p>
        </w:tc>
        <w:tc>
          <w:tcPr>
            <w:tcW w:w="708" w:type="dxa"/>
            <w:vAlign w:val="center"/>
          </w:tcPr>
          <w:p w14:paraId="06B5FADD">
            <w:pPr>
              <w:spacing w:line="440" w:lineRule="exact"/>
              <w:ind w:firstLine="23" w:firstLineChars="11"/>
              <w:jc w:val="center"/>
              <w:rPr>
                <w:rFonts w:hint="eastAsia" w:ascii="宋体" w:hAnsi="宋体"/>
                <w:color w:val="auto"/>
              </w:rPr>
            </w:pPr>
          </w:p>
        </w:tc>
        <w:tc>
          <w:tcPr>
            <w:tcW w:w="1701" w:type="dxa"/>
            <w:vAlign w:val="center"/>
          </w:tcPr>
          <w:p w14:paraId="32080939">
            <w:pPr>
              <w:spacing w:line="440" w:lineRule="exact"/>
              <w:ind w:firstLine="23" w:firstLineChars="11"/>
              <w:jc w:val="center"/>
              <w:rPr>
                <w:rFonts w:hint="eastAsia" w:ascii="宋体" w:hAnsi="宋体"/>
                <w:color w:val="auto"/>
              </w:rPr>
            </w:pPr>
          </w:p>
        </w:tc>
        <w:tc>
          <w:tcPr>
            <w:tcW w:w="1701" w:type="dxa"/>
            <w:vAlign w:val="center"/>
          </w:tcPr>
          <w:p w14:paraId="6C1C293D">
            <w:pPr>
              <w:spacing w:line="440" w:lineRule="exact"/>
              <w:jc w:val="center"/>
              <w:rPr>
                <w:rFonts w:hint="eastAsia" w:ascii="宋体" w:hAnsi="宋体"/>
                <w:color w:val="auto"/>
              </w:rPr>
            </w:pPr>
          </w:p>
        </w:tc>
        <w:tc>
          <w:tcPr>
            <w:tcW w:w="851" w:type="dxa"/>
            <w:vAlign w:val="center"/>
          </w:tcPr>
          <w:p w14:paraId="52842CBD">
            <w:pPr>
              <w:spacing w:line="440" w:lineRule="exact"/>
              <w:jc w:val="center"/>
              <w:rPr>
                <w:rFonts w:hint="eastAsia" w:ascii="宋体" w:hAnsi="宋体"/>
                <w:color w:val="auto"/>
              </w:rPr>
            </w:pPr>
          </w:p>
        </w:tc>
        <w:tc>
          <w:tcPr>
            <w:tcW w:w="1340" w:type="dxa"/>
            <w:vAlign w:val="center"/>
          </w:tcPr>
          <w:p w14:paraId="5E9BD4C6">
            <w:pPr>
              <w:spacing w:line="440" w:lineRule="exact"/>
              <w:jc w:val="center"/>
              <w:rPr>
                <w:rFonts w:hint="eastAsia" w:ascii="宋体" w:hAnsi="宋体"/>
                <w:color w:val="auto"/>
              </w:rPr>
            </w:pPr>
          </w:p>
        </w:tc>
      </w:tr>
      <w:tr w14:paraId="3ECA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664F5375">
            <w:pPr>
              <w:spacing w:line="440" w:lineRule="exact"/>
              <w:jc w:val="center"/>
              <w:rPr>
                <w:rFonts w:hint="eastAsia" w:ascii="宋体" w:hAnsi="宋体"/>
                <w:color w:val="auto"/>
                <w:sz w:val="24"/>
              </w:rPr>
            </w:pPr>
            <w:r>
              <w:rPr>
                <w:rFonts w:hint="eastAsia" w:ascii="宋体" w:hAnsi="宋体"/>
                <w:color w:val="auto"/>
                <w:sz w:val="24"/>
              </w:rPr>
              <w:t>3</w:t>
            </w:r>
          </w:p>
        </w:tc>
        <w:tc>
          <w:tcPr>
            <w:tcW w:w="1145" w:type="dxa"/>
            <w:vAlign w:val="center"/>
          </w:tcPr>
          <w:p w14:paraId="6F7AF774">
            <w:pPr>
              <w:spacing w:line="440" w:lineRule="exact"/>
              <w:ind w:firstLine="33" w:firstLineChars="16"/>
              <w:jc w:val="center"/>
              <w:rPr>
                <w:rFonts w:hint="eastAsia" w:ascii="宋体" w:hAnsi="宋体"/>
                <w:color w:val="auto"/>
              </w:rPr>
            </w:pPr>
          </w:p>
        </w:tc>
        <w:tc>
          <w:tcPr>
            <w:tcW w:w="698" w:type="dxa"/>
            <w:vAlign w:val="center"/>
          </w:tcPr>
          <w:p w14:paraId="512A3135">
            <w:pPr>
              <w:spacing w:line="440" w:lineRule="exact"/>
              <w:ind w:firstLine="35" w:firstLineChars="17"/>
              <w:jc w:val="center"/>
              <w:rPr>
                <w:rFonts w:hint="eastAsia" w:ascii="宋体" w:hAnsi="宋体"/>
                <w:color w:val="auto"/>
              </w:rPr>
            </w:pPr>
          </w:p>
        </w:tc>
        <w:tc>
          <w:tcPr>
            <w:tcW w:w="709" w:type="dxa"/>
            <w:vAlign w:val="center"/>
          </w:tcPr>
          <w:p w14:paraId="5884141B">
            <w:pPr>
              <w:spacing w:line="440" w:lineRule="exact"/>
              <w:jc w:val="center"/>
              <w:rPr>
                <w:rFonts w:hint="eastAsia" w:ascii="宋体" w:hAnsi="宋体"/>
                <w:color w:val="auto"/>
              </w:rPr>
            </w:pPr>
          </w:p>
        </w:tc>
        <w:tc>
          <w:tcPr>
            <w:tcW w:w="708" w:type="dxa"/>
            <w:vAlign w:val="center"/>
          </w:tcPr>
          <w:p w14:paraId="3EC94793">
            <w:pPr>
              <w:spacing w:line="440" w:lineRule="exact"/>
              <w:ind w:firstLine="23" w:firstLineChars="11"/>
              <w:jc w:val="center"/>
              <w:rPr>
                <w:rFonts w:hint="eastAsia" w:ascii="宋体" w:hAnsi="宋体"/>
                <w:color w:val="auto"/>
              </w:rPr>
            </w:pPr>
          </w:p>
        </w:tc>
        <w:tc>
          <w:tcPr>
            <w:tcW w:w="1701" w:type="dxa"/>
            <w:vAlign w:val="center"/>
          </w:tcPr>
          <w:p w14:paraId="7EDD0EE7">
            <w:pPr>
              <w:spacing w:line="440" w:lineRule="exact"/>
              <w:ind w:firstLine="23" w:firstLineChars="11"/>
              <w:jc w:val="center"/>
              <w:rPr>
                <w:rFonts w:hint="eastAsia" w:ascii="宋体" w:hAnsi="宋体"/>
                <w:color w:val="auto"/>
              </w:rPr>
            </w:pPr>
          </w:p>
        </w:tc>
        <w:tc>
          <w:tcPr>
            <w:tcW w:w="1701" w:type="dxa"/>
            <w:vAlign w:val="center"/>
          </w:tcPr>
          <w:p w14:paraId="3934A8CC">
            <w:pPr>
              <w:spacing w:line="440" w:lineRule="exact"/>
              <w:jc w:val="center"/>
              <w:rPr>
                <w:rFonts w:hint="eastAsia" w:ascii="宋体" w:hAnsi="宋体"/>
                <w:color w:val="auto"/>
              </w:rPr>
            </w:pPr>
          </w:p>
        </w:tc>
        <w:tc>
          <w:tcPr>
            <w:tcW w:w="851" w:type="dxa"/>
            <w:vAlign w:val="center"/>
          </w:tcPr>
          <w:p w14:paraId="40E2D112">
            <w:pPr>
              <w:spacing w:line="440" w:lineRule="exact"/>
              <w:jc w:val="center"/>
              <w:rPr>
                <w:rFonts w:hint="eastAsia" w:ascii="宋体" w:hAnsi="宋体"/>
                <w:color w:val="auto"/>
              </w:rPr>
            </w:pPr>
          </w:p>
        </w:tc>
        <w:tc>
          <w:tcPr>
            <w:tcW w:w="1340" w:type="dxa"/>
            <w:vAlign w:val="center"/>
          </w:tcPr>
          <w:p w14:paraId="72826CAC">
            <w:pPr>
              <w:spacing w:line="440" w:lineRule="exact"/>
              <w:jc w:val="center"/>
              <w:rPr>
                <w:rFonts w:hint="eastAsia" w:ascii="宋体" w:hAnsi="宋体"/>
                <w:color w:val="auto"/>
              </w:rPr>
            </w:pPr>
          </w:p>
        </w:tc>
      </w:tr>
      <w:tr w14:paraId="4851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754CFF1D">
            <w:pPr>
              <w:spacing w:line="440" w:lineRule="exact"/>
              <w:jc w:val="center"/>
              <w:rPr>
                <w:rFonts w:hint="eastAsia" w:ascii="宋体" w:hAnsi="宋体"/>
                <w:color w:val="auto"/>
                <w:sz w:val="24"/>
              </w:rPr>
            </w:pPr>
            <w:r>
              <w:rPr>
                <w:rFonts w:ascii="宋体" w:hAnsi="宋体"/>
                <w:color w:val="auto"/>
                <w:sz w:val="24"/>
              </w:rPr>
              <w:t>…</w:t>
            </w:r>
          </w:p>
        </w:tc>
        <w:tc>
          <w:tcPr>
            <w:tcW w:w="1145" w:type="dxa"/>
            <w:vAlign w:val="center"/>
          </w:tcPr>
          <w:p w14:paraId="78296072">
            <w:pPr>
              <w:spacing w:line="440" w:lineRule="exact"/>
              <w:ind w:firstLine="33" w:firstLineChars="16"/>
              <w:jc w:val="center"/>
              <w:rPr>
                <w:rFonts w:hint="eastAsia" w:ascii="宋体" w:hAnsi="宋体"/>
                <w:color w:val="auto"/>
              </w:rPr>
            </w:pPr>
          </w:p>
        </w:tc>
        <w:tc>
          <w:tcPr>
            <w:tcW w:w="698" w:type="dxa"/>
            <w:vAlign w:val="center"/>
          </w:tcPr>
          <w:p w14:paraId="601E98A8">
            <w:pPr>
              <w:spacing w:line="440" w:lineRule="exact"/>
              <w:ind w:firstLine="35" w:firstLineChars="17"/>
              <w:jc w:val="center"/>
              <w:rPr>
                <w:rFonts w:hint="eastAsia" w:ascii="宋体" w:hAnsi="宋体"/>
                <w:color w:val="auto"/>
              </w:rPr>
            </w:pPr>
          </w:p>
        </w:tc>
        <w:tc>
          <w:tcPr>
            <w:tcW w:w="709" w:type="dxa"/>
            <w:vAlign w:val="center"/>
          </w:tcPr>
          <w:p w14:paraId="2E7CE5A5">
            <w:pPr>
              <w:spacing w:line="440" w:lineRule="exact"/>
              <w:jc w:val="center"/>
              <w:rPr>
                <w:rFonts w:hint="eastAsia" w:ascii="宋体" w:hAnsi="宋体"/>
                <w:color w:val="auto"/>
              </w:rPr>
            </w:pPr>
          </w:p>
        </w:tc>
        <w:tc>
          <w:tcPr>
            <w:tcW w:w="708" w:type="dxa"/>
            <w:vAlign w:val="center"/>
          </w:tcPr>
          <w:p w14:paraId="62A492DE">
            <w:pPr>
              <w:spacing w:line="440" w:lineRule="exact"/>
              <w:ind w:firstLine="23" w:firstLineChars="11"/>
              <w:jc w:val="center"/>
              <w:rPr>
                <w:rFonts w:hint="eastAsia" w:ascii="宋体" w:hAnsi="宋体"/>
                <w:color w:val="auto"/>
              </w:rPr>
            </w:pPr>
          </w:p>
        </w:tc>
        <w:tc>
          <w:tcPr>
            <w:tcW w:w="1701" w:type="dxa"/>
            <w:vAlign w:val="center"/>
          </w:tcPr>
          <w:p w14:paraId="778ADE1C">
            <w:pPr>
              <w:spacing w:line="440" w:lineRule="exact"/>
              <w:ind w:firstLine="23" w:firstLineChars="11"/>
              <w:jc w:val="center"/>
              <w:rPr>
                <w:rFonts w:hint="eastAsia" w:ascii="宋体" w:hAnsi="宋体"/>
                <w:color w:val="auto"/>
              </w:rPr>
            </w:pPr>
          </w:p>
        </w:tc>
        <w:tc>
          <w:tcPr>
            <w:tcW w:w="1701" w:type="dxa"/>
            <w:vAlign w:val="center"/>
          </w:tcPr>
          <w:p w14:paraId="3682FE5E">
            <w:pPr>
              <w:spacing w:line="440" w:lineRule="exact"/>
              <w:jc w:val="center"/>
              <w:rPr>
                <w:rFonts w:hint="eastAsia" w:ascii="宋体" w:hAnsi="宋体"/>
                <w:color w:val="auto"/>
              </w:rPr>
            </w:pPr>
          </w:p>
        </w:tc>
        <w:tc>
          <w:tcPr>
            <w:tcW w:w="851" w:type="dxa"/>
            <w:vAlign w:val="center"/>
          </w:tcPr>
          <w:p w14:paraId="6656896A">
            <w:pPr>
              <w:spacing w:line="440" w:lineRule="exact"/>
              <w:jc w:val="center"/>
              <w:rPr>
                <w:rFonts w:hint="eastAsia" w:ascii="宋体" w:hAnsi="宋体"/>
                <w:color w:val="auto"/>
              </w:rPr>
            </w:pPr>
          </w:p>
        </w:tc>
        <w:tc>
          <w:tcPr>
            <w:tcW w:w="1340" w:type="dxa"/>
            <w:vAlign w:val="center"/>
          </w:tcPr>
          <w:p w14:paraId="0F196B1C">
            <w:pPr>
              <w:spacing w:line="440" w:lineRule="exact"/>
              <w:jc w:val="center"/>
              <w:rPr>
                <w:rFonts w:hint="eastAsia" w:ascii="宋体" w:hAnsi="宋体"/>
                <w:color w:val="auto"/>
              </w:rPr>
            </w:pPr>
          </w:p>
        </w:tc>
      </w:tr>
      <w:tr w14:paraId="12DE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64" w:type="dxa"/>
            <w:gridSpan w:val="9"/>
            <w:vAlign w:val="center"/>
          </w:tcPr>
          <w:p w14:paraId="21B9ADF0">
            <w:pPr>
              <w:spacing w:line="440" w:lineRule="exact"/>
              <w:ind w:firstLine="27" w:firstLineChars="14"/>
              <w:rPr>
                <w:rFonts w:hint="eastAsia" w:ascii="宋体" w:hAnsi="宋体" w:cs="Courier New"/>
                <w:color w:val="auto"/>
                <w:spacing w:val="-6"/>
                <w:szCs w:val="21"/>
              </w:rPr>
            </w:pPr>
            <w:r>
              <w:rPr>
                <w:rFonts w:hint="eastAsia" w:ascii="宋体" w:hAnsi="宋体" w:cs="Courier New"/>
                <w:color w:val="auto"/>
                <w:spacing w:val="-6"/>
                <w:szCs w:val="21"/>
              </w:rPr>
              <w:t>总报价（人民币大写）：</w:t>
            </w:r>
            <w:r>
              <w:rPr>
                <w:rFonts w:hint="eastAsia" w:ascii="宋体" w:hAnsi="宋体" w:cs="Courier New"/>
                <w:color w:val="auto"/>
                <w:spacing w:val="-6"/>
                <w:szCs w:val="21"/>
                <w:u w:val="single"/>
              </w:rPr>
              <w:t xml:space="preserve">                                       </w:t>
            </w:r>
            <w:r>
              <w:rPr>
                <w:rFonts w:hint="eastAsia" w:ascii="宋体" w:hAnsi="宋体" w:cs="Courier New"/>
                <w:color w:val="auto"/>
                <w:spacing w:val="-6"/>
                <w:szCs w:val="21"/>
              </w:rPr>
              <w:t>（￥</w:t>
            </w:r>
            <w:r>
              <w:rPr>
                <w:rFonts w:hint="eastAsia" w:ascii="宋体" w:hAnsi="宋体" w:cs="Courier New"/>
                <w:color w:val="auto"/>
                <w:spacing w:val="-6"/>
                <w:szCs w:val="21"/>
                <w:u w:val="single"/>
              </w:rPr>
              <w:t xml:space="preserve">                       元</w:t>
            </w:r>
            <w:r>
              <w:rPr>
                <w:rFonts w:hint="eastAsia" w:ascii="宋体" w:hAnsi="宋体" w:cs="Courier New"/>
                <w:color w:val="auto"/>
                <w:spacing w:val="-6"/>
                <w:szCs w:val="21"/>
              </w:rPr>
              <w:t>）</w:t>
            </w:r>
          </w:p>
        </w:tc>
      </w:tr>
      <w:bookmarkEnd w:id="132"/>
    </w:tbl>
    <w:p w14:paraId="1EC0CEEC">
      <w:pPr>
        <w:spacing w:line="440" w:lineRule="exact"/>
        <w:rPr>
          <w:rFonts w:hint="eastAsia" w:ascii="宋体" w:hAnsi="宋体"/>
          <w:color w:val="auto"/>
          <w:szCs w:val="21"/>
        </w:rPr>
      </w:pPr>
      <w:r>
        <w:rPr>
          <w:rFonts w:hint="eastAsia" w:ascii="宋体" w:hAnsi="宋体"/>
          <w:color w:val="auto"/>
          <w:szCs w:val="21"/>
        </w:rPr>
        <w:t>注：1.所有价格均用人民币表示，单位为元，精确到个数位。</w:t>
      </w:r>
    </w:p>
    <w:p w14:paraId="2EFC84AD">
      <w:pPr>
        <w:spacing w:line="440" w:lineRule="exact"/>
        <w:rPr>
          <w:rFonts w:hint="eastAsia" w:ascii="宋体" w:hAnsi="宋体"/>
          <w:color w:val="auto"/>
          <w:szCs w:val="21"/>
        </w:rPr>
      </w:pPr>
      <w:r>
        <w:rPr>
          <w:rFonts w:hint="eastAsia" w:ascii="宋体" w:hAnsi="宋体"/>
          <w:color w:val="auto"/>
          <w:szCs w:val="21"/>
        </w:rPr>
        <w:t xml:space="preserve">    </w:t>
      </w:r>
      <w:r>
        <w:rPr>
          <w:rFonts w:hint="eastAsia" w:ascii="宋体" w:hAnsi="宋体"/>
          <w:bCs/>
          <w:color w:val="auto"/>
          <w:szCs w:val="21"/>
        </w:rPr>
        <w:t>2.总报价应包含货物、货物标准附件、备品备件、专用工具、设备安装辅材、包装、运输、保险等各种费用以及安装、调试、税金、售后服务、技术培训费、更新升级其所有成本费用。</w:t>
      </w:r>
    </w:p>
    <w:p w14:paraId="2EABF731">
      <w:pPr>
        <w:rPr>
          <w:color w:val="auto"/>
        </w:rPr>
      </w:pPr>
    </w:p>
    <w:p w14:paraId="1F2A2576">
      <w:pPr>
        <w:rPr>
          <w:color w:val="auto"/>
        </w:rPr>
      </w:pPr>
    </w:p>
    <w:p w14:paraId="3F7623C6">
      <w:pPr>
        <w:pStyle w:val="21"/>
        <w:spacing w:line="440" w:lineRule="exact"/>
        <w:ind w:firstLine="3675" w:firstLineChars="1750"/>
        <w:rPr>
          <w:rFonts w:hint="eastAsia" w:hAnsi="宋体"/>
          <w:color w:val="auto"/>
          <w:u w:val="single"/>
        </w:rPr>
      </w:pPr>
    </w:p>
    <w:p w14:paraId="2DCB22ED">
      <w:pPr>
        <w:pStyle w:val="21"/>
        <w:spacing w:line="440" w:lineRule="exact"/>
        <w:ind w:firstLine="3675" w:firstLineChars="1750"/>
        <w:rPr>
          <w:rFonts w:hint="eastAsia" w:hAnsi="宋体"/>
          <w:color w:val="auto"/>
          <w:u w:val="single"/>
        </w:rPr>
      </w:pPr>
      <w:r>
        <w:rPr>
          <w:rFonts w:hint="eastAsia" w:hAnsi="宋体"/>
          <w:color w:val="auto"/>
        </w:rPr>
        <w:t>供应商（盖章）：</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p>
    <w:p w14:paraId="6F65F32A">
      <w:pPr>
        <w:spacing w:line="440" w:lineRule="exact"/>
        <w:ind w:firstLine="3675" w:firstLineChars="1750"/>
        <w:rPr>
          <w:rFonts w:hint="eastAsia" w:ascii="宋体" w:hAnsi="宋体"/>
          <w:color w:val="auto"/>
          <w:szCs w:val="21"/>
        </w:rPr>
      </w:pPr>
      <w:r>
        <w:rPr>
          <w:rFonts w:hint="eastAsia" w:hAnsi="宋体"/>
          <w:color w:val="auto"/>
        </w:rPr>
        <w:t>日期：</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日</w:t>
      </w:r>
    </w:p>
    <w:sectPr>
      <w:headerReference r:id="rId8" w:type="default"/>
      <w:footerReference r:id="rId9" w:type="default"/>
      <w:pgSz w:w="11906" w:h="16838"/>
      <w:pgMar w:top="936" w:right="991" w:bottom="1135" w:left="9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0000000000000000000"/>
    <w:charset w:val="00"/>
    <w:family w:val="swiss"/>
    <w:pitch w:val="default"/>
    <w:sig w:usb0="00000000" w:usb1="00000000" w:usb2="00000000" w:usb3="00000000" w:csb0="2000019F" w:csb1="4F01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Adobe 仿宋 Std R">
    <w:altName w:val="仿宋"/>
    <w:panose1 w:val="00000000000000000000"/>
    <w:charset w:val="86"/>
    <w:family w:val="roman"/>
    <w:pitch w:val="default"/>
    <w:sig w:usb0="00000000" w:usb1="00000000" w:usb2="00000016" w:usb3="00000000" w:csb0="00060007"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F6D75">
    <w:pPr>
      <w:pStyle w:val="2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7430AE">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17430AE">
                    <w:pPr>
                      <w:pStyle w:val="25"/>
                    </w:pPr>
                    <w:r>
                      <w:fldChar w:fldCharType="begin"/>
                    </w:r>
                    <w:r>
                      <w:instrText xml:space="preserve"> PAGE  \* MERGEFORMAT </w:instrText>
                    </w:r>
                    <w:r>
                      <w:fldChar w:fldCharType="separate"/>
                    </w:r>
                    <w:r>
                      <w:t>1</w:t>
                    </w:r>
                    <w:r>
                      <w:fldChar w:fldCharType="end"/>
                    </w:r>
                  </w:p>
                </w:txbxContent>
              </v:textbox>
            </v:shape>
          </w:pict>
        </mc:Fallback>
      </mc:AlternateContent>
    </w:r>
  </w:p>
  <w:p w14:paraId="35D4CE77">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9B222">
    <w:pPr>
      <w:pStyle w:val="25"/>
    </w:pPr>
    <w:r>
      <w:rPr>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2E87AC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f1mLBgMCAAAEBAAADgAAAAAAAAABACAAAAAeAQAAZHJzL2Uyb0Rv&#10;Yy54bWxQSwUGAAAAAAYABgBZAQAAkwUAAAAA&#10;">
              <v:fill on="f" focussize="0,0"/>
              <v:stroke on="f"/>
              <v:imagedata o:title=""/>
              <o:lock v:ext="edit" aspectratio="f"/>
              <v:textbox inset="0mm,0mm,0mm,0mm" style="mso-fit-shape-to-text:t;">
                <w:txbxContent>
                  <w:p w14:paraId="72E87AC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049BE">
    <w:pPr>
      <w:pStyle w:val="2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08A58E">
                          <w:pPr>
                            <w:pStyle w:val="2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208A58E">
                    <w:pPr>
                      <w:pStyle w:val="2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569ED">
    <w:pPr>
      <w:pStyle w:val="2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14:paraId="4318117C">
                              <w:pPr>
                                <w:pStyle w:val="25"/>
                                <w:jc w:val="center"/>
                              </w:pPr>
                              <w:r>
                                <w:fldChar w:fldCharType="begin"/>
                              </w:r>
                              <w:r>
                                <w:instrText xml:space="preserve">PAGE   \* MERGEFORMAT</w:instrText>
                              </w:r>
                              <w:r>
                                <w:fldChar w:fldCharType="separate"/>
                              </w:r>
                              <w:r>
                                <w:t>23</w:t>
                              </w:r>
                              <w:r>
                                <w:fldChar w:fldCharType="end"/>
                              </w:r>
                            </w:p>
                          </w:sdtContent>
                        </w:sdt>
                        <w:p w14:paraId="0B731F4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sdt>
                    <w:sdtPr>
                      <w:id w:val="-1"/>
                    </w:sdtPr>
                    <w:sdtContent>
                      <w:p w14:paraId="4318117C">
                        <w:pPr>
                          <w:pStyle w:val="25"/>
                          <w:jc w:val="center"/>
                        </w:pPr>
                        <w:r>
                          <w:fldChar w:fldCharType="begin"/>
                        </w:r>
                        <w:r>
                          <w:instrText xml:space="preserve">PAGE   \* MERGEFORMAT</w:instrText>
                        </w:r>
                        <w:r>
                          <w:fldChar w:fldCharType="separate"/>
                        </w:r>
                        <w:r>
                          <w:t>23</w:t>
                        </w:r>
                        <w:r>
                          <w:fldChar w:fldCharType="end"/>
                        </w:r>
                      </w:p>
                    </w:sdtContent>
                  </w:sdt>
                  <w:p w14:paraId="0B731F41"/>
                </w:txbxContent>
              </v:textbox>
            </v:shape>
          </w:pict>
        </mc:Fallback>
      </mc:AlternateContent>
    </w:r>
  </w:p>
  <w:p w14:paraId="395E5241">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D99EC">
    <w:pPr>
      <w:pStyle w:val="26"/>
      <w:ind w:firstLine="720" w:firstLineChars="400"/>
      <w:jc w:val="both"/>
    </w:pPr>
    <w:r>
      <w:rPr>
        <w:rFonts w:hint="eastAsia"/>
        <w:lang w:eastAsia="zh-CN"/>
      </w:rPr>
      <w:t>2024年浦北县第二中学改善普通高中办学条件教学设备采购项目</w:t>
    </w:r>
    <w:r>
      <w:rPr>
        <w:rFonts w:hint="eastAsia"/>
      </w:rPr>
      <w:t xml:space="preserve"> (</w:t>
    </w:r>
    <w:r>
      <w:rPr>
        <w:rFonts w:hint="eastAsia"/>
        <w:lang w:eastAsia="zh-CN"/>
      </w:rPr>
      <w:t xml:space="preserve"> QZZC2025-J1-220001-QZSZ</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F8B78">
    <w:pPr>
      <w:pStyle w:val="26"/>
      <w:ind w:firstLine="540" w:firstLineChars="300"/>
      <w:jc w:val="both"/>
    </w:pPr>
    <w:r>
      <w:rPr>
        <w:rFonts w:hint="eastAsia"/>
        <w:lang w:eastAsia="zh-CN"/>
      </w:rPr>
      <w:t>2024年浦北县第二中学改善普通高中办学条件教学设备采购项目</w:t>
    </w:r>
    <w:r>
      <w:rPr>
        <w:rFonts w:hint="eastAsia"/>
      </w:rPr>
      <w:t xml:space="preserve"> (</w:t>
    </w:r>
    <w:r>
      <w:rPr>
        <w:rFonts w:hint="eastAsia"/>
        <w:lang w:eastAsia="zh-CN"/>
      </w:rPr>
      <w:t xml:space="preserve"> QZZC2025-J1-220001-QZSZ</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E6332">
    <w:pPr>
      <w:pStyle w:val="26"/>
      <w:ind w:firstLine="1080" w:firstLineChars="600"/>
      <w:jc w:val="both"/>
    </w:pPr>
    <w:r>
      <w:rPr>
        <w:rFonts w:hint="eastAsia"/>
        <w:lang w:eastAsia="zh-CN"/>
      </w:rPr>
      <w:t>2024年浦北县第二中学改善普通高中办学条件教学设备采购项目</w:t>
    </w:r>
    <w:r>
      <w:rPr>
        <w:rFonts w:hint="eastAsia"/>
      </w:rPr>
      <w:t xml:space="preserve"> (</w:t>
    </w:r>
    <w:r>
      <w:rPr>
        <w:rFonts w:hint="eastAsia"/>
        <w:lang w:eastAsia="zh-CN"/>
      </w:rPr>
      <w:t xml:space="preserve"> QZZC2025-J1-220001-QZSZ</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312B7"/>
    <w:multiLevelType w:val="singleLevel"/>
    <w:tmpl w:val="93D312B7"/>
    <w:lvl w:ilvl="0" w:tentative="0">
      <w:start w:val="5"/>
      <w:numFmt w:val="decimal"/>
      <w:lvlText w:val="%1."/>
      <w:lvlJc w:val="left"/>
      <w:pPr>
        <w:tabs>
          <w:tab w:val="left" w:pos="312"/>
        </w:tabs>
      </w:pPr>
    </w:lvl>
  </w:abstractNum>
  <w:abstractNum w:abstractNumId="1">
    <w:nsid w:val="A6AF5199"/>
    <w:multiLevelType w:val="singleLevel"/>
    <w:tmpl w:val="A6AF5199"/>
    <w:lvl w:ilvl="0" w:tentative="0">
      <w:start w:val="184"/>
      <w:numFmt w:val="decimal"/>
      <w:suff w:val="space"/>
      <w:lvlText w:val="%1"/>
      <w:lvlJc w:val="left"/>
      <w:pPr>
        <w:ind w:left="425" w:leftChars="0" w:hanging="425" w:firstLineChars="0"/>
      </w:pPr>
      <w:rPr>
        <w:rFonts w:hint="default"/>
      </w:rPr>
    </w:lvl>
  </w:abstractNum>
  <w:abstractNum w:abstractNumId="2">
    <w:nsid w:val="B400E62B"/>
    <w:multiLevelType w:val="singleLevel"/>
    <w:tmpl w:val="B400E62B"/>
    <w:lvl w:ilvl="0" w:tentative="0">
      <w:start w:val="349"/>
      <w:numFmt w:val="decimal"/>
      <w:lvlText w:val="%1"/>
      <w:lvlJc w:val="center"/>
      <w:pPr>
        <w:tabs>
          <w:tab w:val="left" w:pos="420"/>
        </w:tabs>
        <w:ind w:left="425" w:leftChars="0" w:hanging="304" w:firstLineChars="0"/>
      </w:pPr>
      <w:rPr>
        <w:rFonts w:hint="default" w:ascii="宋体" w:hAnsi="宋体" w:eastAsia="宋体" w:cs="宋体"/>
      </w:rPr>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BFC8B834"/>
    <w:multiLevelType w:val="singleLevel"/>
    <w:tmpl w:val="BFC8B834"/>
    <w:lvl w:ilvl="0" w:tentative="0">
      <w:start w:val="1"/>
      <w:numFmt w:val="chineseCounting"/>
      <w:suff w:val="nothing"/>
      <w:lvlText w:val="%1、"/>
      <w:lvlJc w:val="left"/>
      <w:rPr>
        <w:rFonts w:hint="eastAsia"/>
      </w:rPr>
    </w:lvl>
  </w:abstractNum>
  <w:abstractNum w:abstractNumId="5">
    <w:nsid w:val="C5209523"/>
    <w:multiLevelType w:val="singleLevel"/>
    <w:tmpl w:val="C5209523"/>
    <w:lvl w:ilvl="0" w:tentative="0">
      <w:start w:val="326"/>
      <w:numFmt w:val="decimal"/>
      <w:lvlText w:val="%1"/>
      <w:lvlJc w:val="center"/>
      <w:pPr>
        <w:tabs>
          <w:tab w:val="left" w:pos="420"/>
        </w:tabs>
        <w:ind w:left="425" w:leftChars="0" w:hanging="304" w:firstLineChars="0"/>
      </w:pPr>
      <w:rPr>
        <w:rFonts w:hint="default" w:ascii="宋体" w:hAnsi="宋体" w:eastAsia="宋体" w:cs="宋体"/>
      </w:rPr>
    </w:lvl>
  </w:abstractNum>
  <w:abstractNum w:abstractNumId="6">
    <w:nsid w:val="CFE7C3F8"/>
    <w:multiLevelType w:val="singleLevel"/>
    <w:tmpl w:val="CFE7C3F8"/>
    <w:lvl w:ilvl="0" w:tentative="0">
      <w:start w:val="1"/>
      <w:numFmt w:val="decimal"/>
      <w:suff w:val="nothing"/>
      <w:lvlText w:val="（%1）"/>
      <w:lvlJc w:val="left"/>
    </w:lvl>
  </w:abstractNum>
  <w:abstractNum w:abstractNumId="7">
    <w:nsid w:val="DDECD3BC"/>
    <w:multiLevelType w:val="singleLevel"/>
    <w:tmpl w:val="DDECD3BC"/>
    <w:lvl w:ilvl="0" w:tentative="0">
      <w:start w:val="6"/>
      <w:numFmt w:val="decimal"/>
      <w:suff w:val="space"/>
      <w:lvlText w:val="%1."/>
      <w:lvlJc w:val="left"/>
    </w:lvl>
  </w:abstractNum>
  <w:abstractNum w:abstractNumId="8">
    <w:nsid w:val="DE759F4B"/>
    <w:multiLevelType w:val="singleLevel"/>
    <w:tmpl w:val="DE759F4B"/>
    <w:lvl w:ilvl="0" w:tentative="0">
      <w:start w:val="2"/>
      <w:numFmt w:val="decimal"/>
      <w:suff w:val="space"/>
      <w:lvlText w:val="%1."/>
      <w:lvlJc w:val="left"/>
    </w:lvl>
  </w:abstractNum>
  <w:abstractNum w:abstractNumId="9">
    <w:nsid w:val="DEABE1DB"/>
    <w:multiLevelType w:val="singleLevel"/>
    <w:tmpl w:val="DEABE1DB"/>
    <w:lvl w:ilvl="0" w:tentative="0">
      <w:start w:val="23"/>
      <w:numFmt w:val="decimal"/>
      <w:suff w:val="space"/>
      <w:lvlText w:val="%1."/>
      <w:lvlJc w:val="left"/>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00000007"/>
    <w:multiLevelType w:val="multilevel"/>
    <w:tmpl w:val="00000007"/>
    <w:lvl w:ilvl="0" w:tentative="0">
      <w:start w:val="1"/>
      <w:numFmt w:val="chineseCountingThousand"/>
      <w:pStyle w:val="19"/>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2">
    <w:nsid w:val="00E5CCF0"/>
    <w:multiLevelType w:val="singleLevel"/>
    <w:tmpl w:val="00E5CCF0"/>
    <w:lvl w:ilvl="0" w:tentative="0">
      <w:start w:val="1"/>
      <w:numFmt w:val="decimal"/>
      <w:lvlText w:val="%1."/>
      <w:lvlJc w:val="left"/>
      <w:pPr>
        <w:tabs>
          <w:tab w:val="left" w:pos="312"/>
        </w:tabs>
      </w:pPr>
    </w:lvl>
  </w:abstractNum>
  <w:abstractNum w:abstractNumId="13">
    <w:nsid w:val="0856E217"/>
    <w:multiLevelType w:val="singleLevel"/>
    <w:tmpl w:val="0856E217"/>
    <w:lvl w:ilvl="0" w:tentative="0">
      <w:start w:val="199"/>
      <w:numFmt w:val="decimal"/>
      <w:lvlText w:val="%1"/>
      <w:lvlJc w:val="left"/>
      <w:pPr>
        <w:tabs>
          <w:tab w:val="left" w:pos="420"/>
        </w:tabs>
        <w:ind w:left="425" w:leftChars="0" w:hanging="425" w:firstLineChars="0"/>
      </w:pPr>
      <w:rPr>
        <w:rFonts w:hint="default"/>
      </w:rPr>
    </w:lvl>
  </w:abstractNum>
  <w:abstractNum w:abstractNumId="14">
    <w:nsid w:val="6AE2A896"/>
    <w:multiLevelType w:val="singleLevel"/>
    <w:tmpl w:val="6AE2A896"/>
    <w:lvl w:ilvl="0" w:tentative="0">
      <w:start w:val="1"/>
      <w:numFmt w:val="decimal"/>
      <w:lvlText w:val="%1."/>
      <w:lvlJc w:val="left"/>
      <w:pPr>
        <w:tabs>
          <w:tab w:val="left" w:pos="312"/>
        </w:tabs>
      </w:pPr>
    </w:lvl>
  </w:abstractNum>
  <w:abstractNum w:abstractNumId="15">
    <w:nsid w:val="6EE4D402"/>
    <w:multiLevelType w:val="singleLevel"/>
    <w:tmpl w:val="6EE4D402"/>
    <w:lvl w:ilvl="0" w:tentative="0">
      <w:start w:val="1"/>
      <w:numFmt w:val="decimal"/>
      <w:lvlText w:val="%1."/>
      <w:lvlJc w:val="left"/>
      <w:pPr>
        <w:tabs>
          <w:tab w:val="left" w:pos="312"/>
        </w:tabs>
      </w:pPr>
    </w:lvl>
  </w:abstractNum>
  <w:abstractNum w:abstractNumId="16">
    <w:nsid w:val="7A0F6431"/>
    <w:multiLevelType w:val="singleLevel"/>
    <w:tmpl w:val="7A0F6431"/>
    <w:lvl w:ilvl="0" w:tentative="0">
      <w:start w:val="1"/>
      <w:numFmt w:val="decimal"/>
      <w:suff w:val="space"/>
      <w:lvlText w:val="%1."/>
      <w:lvlJc w:val="left"/>
    </w:lvl>
  </w:abstractNum>
  <w:num w:numId="1">
    <w:abstractNumId w:val="11"/>
  </w:num>
  <w:num w:numId="2">
    <w:abstractNumId w:val="14"/>
  </w:num>
  <w:num w:numId="3">
    <w:abstractNumId w:val="2"/>
  </w:num>
  <w:num w:numId="4">
    <w:abstractNumId w:val="5"/>
  </w:num>
  <w:num w:numId="5">
    <w:abstractNumId w:val="1"/>
  </w:num>
  <w:num w:numId="6">
    <w:abstractNumId w:val="13"/>
  </w:num>
  <w:num w:numId="7">
    <w:abstractNumId w:val="12"/>
  </w:num>
  <w:num w:numId="8">
    <w:abstractNumId w:val="4"/>
  </w:num>
  <w:num w:numId="9">
    <w:abstractNumId w:val="0"/>
  </w:num>
  <w:num w:numId="10">
    <w:abstractNumId w:val="15"/>
  </w:num>
  <w:num w:numId="11">
    <w:abstractNumId w:val="16"/>
  </w:num>
  <w:num w:numId="12">
    <w:abstractNumId w:val="6"/>
  </w:num>
  <w:num w:numId="13">
    <w:abstractNumId w:val="10"/>
  </w:num>
  <w:num w:numId="14">
    <w:abstractNumId w:val="8"/>
  </w:num>
  <w:num w:numId="15">
    <w:abstractNumId w:val="7"/>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zNDNhMDYxZDRlNDM0MjMzM2NmYWYwMDk2OWE0MTQifQ=="/>
    <w:docVar w:name="KSO_WPS_MARK_KEY" w:val="4327d736-5e14-4c10-a129-6da11502fcfe"/>
  </w:docVars>
  <w:rsids>
    <w:rsidRoot w:val="00172A27"/>
    <w:rsid w:val="000001F4"/>
    <w:rsid w:val="0000046D"/>
    <w:rsid w:val="000009A4"/>
    <w:rsid w:val="0000182C"/>
    <w:rsid w:val="00001C30"/>
    <w:rsid w:val="00001F66"/>
    <w:rsid w:val="000027DB"/>
    <w:rsid w:val="0000296D"/>
    <w:rsid w:val="00002E66"/>
    <w:rsid w:val="0000330D"/>
    <w:rsid w:val="00003781"/>
    <w:rsid w:val="00003F3C"/>
    <w:rsid w:val="0000486E"/>
    <w:rsid w:val="00004CB0"/>
    <w:rsid w:val="00004CDE"/>
    <w:rsid w:val="00005328"/>
    <w:rsid w:val="000059D3"/>
    <w:rsid w:val="000066F9"/>
    <w:rsid w:val="00007E2F"/>
    <w:rsid w:val="00007E51"/>
    <w:rsid w:val="000104B5"/>
    <w:rsid w:val="00010774"/>
    <w:rsid w:val="00010E05"/>
    <w:rsid w:val="00012061"/>
    <w:rsid w:val="000123EC"/>
    <w:rsid w:val="00013AC8"/>
    <w:rsid w:val="00013C7F"/>
    <w:rsid w:val="00014132"/>
    <w:rsid w:val="00014488"/>
    <w:rsid w:val="00016829"/>
    <w:rsid w:val="00017A2B"/>
    <w:rsid w:val="00020517"/>
    <w:rsid w:val="000207E1"/>
    <w:rsid w:val="00020DBA"/>
    <w:rsid w:val="00021054"/>
    <w:rsid w:val="000216CC"/>
    <w:rsid w:val="00022909"/>
    <w:rsid w:val="00022CE2"/>
    <w:rsid w:val="000248E5"/>
    <w:rsid w:val="0002594F"/>
    <w:rsid w:val="00025985"/>
    <w:rsid w:val="00025AC0"/>
    <w:rsid w:val="000272D2"/>
    <w:rsid w:val="0002754E"/>
    <w:rsid w:val="00027BD3"/>
    <w:rsid w:val="00032229"/>
    <w:rsid w:val="00032A59"/>
    <w:rsid w:val="00032B1F"/>
    <w:rsid w:val="00032F50"/>
    <w:rsid w:val="00033214"/>
    <w:rsid w:val="00033587"/>
    <w:rsid w:val="000344F4"/>
    <w:rsid w:val="0003479C"/>
    <w:rsid w:val="00034B7D"/>
    <w:rsid w:val="00035002"/>
    <w:rsid w:val="0003509E"/>
    <w:rsid w:val="000369F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5285"/>
    <w:rsid w:val="0004535A"/>
    <w:rsid w:val="00045D3B"/>
    <w:rsid w:val="00050908"/>
    <w:rsid w:val="00050B4D"/>
    <w:rsid w:val="000521BA"/>
    <w:rsid w:val="00053067"/>
    <w:rsid w:val="000530C2"/>
    <w:rsid w:val="00053FFD"/>
    <w:rsid w:val="00054058"/>
    <w:rsid w:val="000548EF"/>
    <w:rsid w:val="00054D61"/>
    <w:rsid w:val="00054F2A"/>
    <w:rsid w:val="0005526A"/>
    <w:rsid w:val="00055319"/>
    <w:rsid w:val="00055AA6"/>
    <w:rsid w:val="0005758A"/>
    <w:rsid w:val="000576C1"/>
    <w:rsid w:val="00060064"/>
    <w:rsid w:val="0006170C"/>
    <w:rsid w:val="00061972"/>
    <w:rsid w:val="00061AC4"/>
    <w:rsid w:val="00063151"/>
    <w:rsid w:val="00063CE9"/>
    <w:rsid w:val="00064127"/>
    <w:rsid w:val="0006432D"/>
    <w:rsid w:val="00064B46"/>
    <w:rsid w:val="00064E81"/>
    <w:rsid w:val="000656B5"/>
    <w:rsid w:val="00065CA3"/>
    <w:rsid w:val="0006633A"/>
    <w:rsid w:val="0006699C"/>
    <w:rsid w:val="000670F3"/>
    <w:rsid w:val="000675EC"/>
    <w:rsid w:val="00067C97"/>
    <w:rsid w:val="000709DB"/>
    <w:rsid w:val="000714E8"/>
    <w:rsid w:val="00071DBC"/>
    <w:rsid w:val="000725F2"/>
    <w:rsid w:val="00072665"/>
    <w:rsid w:val="0007297B"/>
    <w:rsid w:val="00072ABB"/>
    <w:rsid w:val="0007345C"/>
    <w:rsid w:val="00074159"/>
    <w:rsid w:val="000749B7"/>
    <w:rsid w:val="000753D2"/>
    <w:rsid w:val="00075494"/>
    <w:rsid w:val="0007550C"/>
    <w:rsid w:val="00075C45"/>
    <w:rsid w:val="00076CDB"/>
    <w:rsid w:val="0007737B"/>
    <w:rsid w:val="00077E54"/>
    <w:rsid w:val="00080873"/>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A01"/>
    <w:rsid w:val="00086B70"/>
    <w:rsid w:val="00087668"/>
    <w:rsid w:val="000904A2"/>
    <w:rsid w:val="00090AF0"/>
    <w:rsid w:val="000910C5"/>
    <w:rsid w:val="000923C1"/>
    <w:rsid w:val="00092839"/>
    <w:rsid w:val="00093C1A"/>
    <w:rsid w:val="00093E79"/>
    <w:rsid w:val="00094441"/>
    <w:rsid w:val="00094BC6"/>
    <w:rsid w:val="00094C47"/>
    <w:rsid w:val="000953A5"/>
    <w:rsid w:val="000963F4"/>
    <w:rsid w:val="00096670"/>
    <w:rsid w:val="00096B4A"/>
    <w:rsid w:val="00096DE8"/>
    <w:rsid w:val="000A0911"/>
    <w:rsid w:val="000A139A"/>
    <w:rsid w:val="000A2431"/>
    <w:rsid w:val="000A2A30"/>
    <w:rsid w:val="000A358F"/>
    <w:rsid w:val="000A38A0"/>
    <w:rsid w:val="000A3C64"/>
    <w:rsid w:val="000A4362"/>
    <w:rsid w:val="000A61B8"/>
    <w:rsid w:val="000A62BD"/>
    <w:rsid w:val="000A6603"/>
    <w:rsid w:val="000A679A"/>
    <w:rsid w:val="000A6972"/>
    <w:rsid w:val="000A6A7F"/>
    <w:rsid w:val="000A6F98"/>
    <w:rsid w:val="000A74E0"/>
    <w:rsid w:val="000A74F6"/>
    <w:rsid w:val="000A7B98"/>
    <w:rsid w:val="000B1427"/>
    <w:rsid w:val="000B1905"/>
    <w:rsid w:val="000B1CCA"/>
    <w:rsid w:val="000B200B"/>
    <w:rsid w:val="000B2684"/>
    <w:rsid w:val="000B2AB7"/>
    <w:rsid w:val="000B2F6F"/>
    <w:rsid w:val="000B3976"/>
    <w:rsid w:val="000B3C2D"/>
    <w:rsid w:val="000B46A8"/>
    <w:rsid w:val="000B470D"/>
    <w:rsid w:val="000B4E66"/>
    <w:rsid w:val="000B5395"/>
    <w:rsid w:val="000B578F"/>
    <w:rsid w:val="000B62CB"/>
    <w:rsid w:val="000B6350"/>
    <w:rsid w:val="000B678F"/>
    <w:rsid w:val="000B6FEF"/>
    <w:rsid w:val="000B7F9A"/>
    <w:rsid w:val="000C0328"/>
    <w:rsid w:val="000C03D4"/>
    <w:rsid w:val="000C0864"/>
    <w:rsid w:val="000C0B96"/>
    <w:rsid w:val="000C0D86"/>
    <w:rsid w:val="000C1621"/>
    <w:rsid w:val="000C1CD7"/>
    <w:rsid w:val="000C2778"/>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1274"/>
    <w:rsid w:val="000D1597"/>
    <w:rsid w:val="000D16A7"/>
    <w:rsid w:val="000D1C6A"/>
    <w:rsid w:val="000D1F8D"/>
    <w:rsid w:val="000D22BD"/>
    <w:rsid w:val="000D26E7"/>
    <w:rsid w:val="000D42CA"/>
    <w:rsid w:val="000D53F2"/>
    <w:rsid w:val="000D55C4"/>
    <w:rsid w:val="000D5748"/>
    <w:rsid w:val="000D5C5C"/>
    <w:rsid w:val="000D5C8A"/>
    <w:rsid w:val="000D6A24"/>
    <w:rsid w:val="000D6C9D"/>
    <w:rsid w:val="000D78E6"/>
    <w:rsid w:val="000E0487"/>
    <w:rsid w:val="000E285B"/>
    <w:rsid w:val="000E545D"/>
    <w:rsid w:val="000E660E"/>
    <w:rsid w:val="000E6EBD"/>
    <w:rsid w:val="000F0150"/>
    <w:rsid w:val="000F03FE"/>
    <w:rsid w:val="000F152C"/>
    <w:rsid w:val="000F17C9"/>
    <w:rsid w:val="000F3668"/>
    <w:rsid w:val="000F383E"/>
    <w:rsid w:val="000F38CF"/>
    <w:rsid w:val="000F3F16"/>
    <w:rsid w:val="000F449F"/>
    <w:rsid w:val="000F48C9"/>
    <w:rsid w:val="000F6024"/>
    <w:rsid w:val="00100A2B"/>
    <w:rsid w:val="00100B14"/>
    <w:rsid w:val="0010174C"/>
    <w:rsid w:val="0010201F"/>
    <w:rsid w:val="0010254F"/>
    <w:rsid w:val="00102B73"/>
    <w:rsid w:val="00102C51"/>
    <w:rsid w:val="00103216"/>
    <w:rsid w:val="0010330D"/>
    <w:rsid w:val="001039BF"/>
    <w:rsid w:val="00103CB4"/>
    <w:rsid w:val="00103D6B"/>
    <w:rsid w:val="00107F42"/>
    <w:rsid w:val="00110401"/>
    <w:rsid w:val="00110BA6"/>
    <w:rsid w:val="00110E22"/>
    <w:rsid w:val="001110F1"/>
    <w:rsid w:val="0011195C"/>
    <w:rsid w:val="00112E30"/>
    <w:rsid w:val="001138CB"/>
    <w:rsid w:val="00114453"/>
    <w:rsid w:val="00114D32"/>
    <w:rsid w:val="00115CAC"/>
    <w:rsid w:val="00116718"/>
    <w:rsid w:val="00116FC8"/>
    <w:rsid w:val="00117835"/>
    <w:rsid w:val="00120042"/>
    <w:rsid w:val="0012024C"/>
    <w:rsid w:val="00120493"/>
    <w:rsid w:val="00120DFA"/>
    <w:rsid w:val="001218FE"/>
    <w:rsid w:val="00121CC1"/>
    <w:rsid w:val="001221BE"/>
    <w:rsid w:val="00122219"/>
    <w:rsid w:val="00122899"/>
    <w:rsid w:val="00123679"/>
    <w:rsid w:val="001236BF"/>
    <w:rsid w:val="001236EB"/>
    <w:rsid w:val="00123ACC"/>
    <w:rsid w:val="0012450B"/>
    <w:rsid w:val="00124792"/>
    <w:rsid w:val="00124CF0"/>
    <w:rsid w:val="00125726"/>
    <w:rsid w:val="001258B7"/>
    <w:rsid w:val="001267FF"/>
    <w:rsid w:val="00127F9D"/>
    <w:rsid w:val="0013084E"/>
    <w:rsid w:val="00130DB2"/>
    <w:rsid w:val="001315D8"/>
    <w:rsid w:val="00132B8C"/>
    <w:rsid w:val="0013360D"/>
    <w:rsid w:val="00133E41"/>
    <w:rsid w:val="00133E7C"/>
    <w:rsid w:val="00134D7F"/>
    <w:rsid w:val="00134F65"/>
    <w:rsid w:val="00134FA2"/>
    <w:rsid w:val="0013526C"/>
    <w:rsid w:val="001356B6"/>
    <w:rsid w:val="001365F4"/>
    <w:rsid w:val="0013661A"/>
    <w:rsid w:val="00136E07"/>
    <w:rsid w:val="001372D1"/>
    <w:rsid w:val="001374A2"/>
    <w:rsid w:val="00137B8F"/>
    <w:rsid w:val="00137C0C"/>
    <w:rsid w:val="00140295"/>
    <w:rsid w:val="00141121"/>
    <w:rsid w:val="001429D7"/>
    <w:rsid w:val="00143437"/>
    <w:rsid w:val="00143891"/>
    <w:rsid w:val="00143DE4"/>
    <w:rsid w:val="0014403E"/>
    <w:rsid w:val="001447EF"/>
    <w:rsid w:val="00144800"/>
    <w:rsid w:val="00145073"/>
    <w:rsid w:val="0014515E"/>
    <w:rsid w:val="0014559E"/>
    <w:rsid w:val="00145749"/>
    <w:rsid w:val="00145EF0"/>
    <w:rsid w:val="001462D6"/>
    <w:rsid w:val="001464A7"/>
    <w:rsid w:val="00146F35"/>
    <w:rsid w:val="00147344"/>
    <w:rsid w:val="001476CB"/>
    <w:rsid w:val="001477F2"/>
    <w:rsid w:val="0015059D"/>
    <w:rsid w:val="0015080D"/>
    <w:rsid w:val="00151322"/>
    <w:rsid w:val="00152C66"/>
    <w:rsid w:val="00153A5A"/>
    <w:rsid w:val="00153EDA"/>
    <w:rsid w:val="001547CA"/>
    <w:rsid w:val="00154C02"/>
    <w:rsid w:val="00154C69"/>
    <w:rsid w:val="0015529D"/>
    <w:rsid w:val="00156328"/>
    <w:rsid w:val="00157085"/>
    <w:rsid w:val="001573B4"/>
    <w:rsid w:val="001601A2"/>
    <w:rsid w:val="00160295"/>
    <w:rsid w:val="001607B6"/>
    <w:rsid w:val="00162969"/>
    <w:rsid w:val="00162E86"/>
    <w:rsid w:val="0016388F"/>
    <w:rsid w:val="00163D73"/>
    <w:rsid w:val="00163D88"/>
    <w:rsid w:val="00164096"/>
    <w:rsid w:val="0016529E"/>
    <w:rsid w:val="0016575C"/>
    <w:rsid w:val="00165B1C"/>
    <w:rsid w:val="00165BF8"/>
    <w:rsid w:val="00166036"/>
    <w:rsid w:val="001662BD"/>
    <w:rsid w:val="0016649A"/>
    <w:rsid w:val="00166560"/>
    <w:rsid w:val="001675A5"/>
    <w:rsid w:val="00170111"/>
    <w:rsid w:val="00170697"/>
    <w:rsid w:val="00171392"/>
    <w:rsid w:val="00171C1A"/>
    <w:rsid w:val="00171C72"/>
    <w:rsid w:val="00172708"/>
    <w:rsid w:val="001727B0"/>
    <w:rsid w:val="001729BA"/>
    <w:rsid w:val="00172A27"/>
    <w:rsid w:val="00173260"/>
    <w:rsid w:val="00173C43"/>
    <w:rsid w:val="00174BEA"/>
    <w:rsid w:val="001751E2"/>
    <w:rsid w:val="0017537B"/>
    <w:rsid w:val="001759CF"/>
    <w:rsid w:val="00175B5D"/>
    <w:rsid w:val="00176986"/>
    <w:rsid w:val="00176B7D"/>
    <w:rsid w:val="00177302"/>
    <w:rsid w:val="00177FB1"/>
    <w:rsid w:val="001809EC"/>
    <w:rsid w:val="00180D02"/>
    <w:rsid w:val="00181809"/>
    <w:rsid w:val="00182FF5"/>
    <w:rsid w:val="0018316B"/>
    <w:rsid w:val="001837AA"/>
    <w:rsid w:val="00183BC0"/>
    <w:rsid w:val="0018456A"/>
    <w:rsid w:val="00184681"/>
    <w:rsid w:val="001847DB"/>
    <w:rsid w:val="00184AE6"/>
    <w:rsid w:val="00185C46"/>
    <w:rsid w:val="00185D1E"/>
    <w:rsid w:val="00185D2D"/>
    <w:rsid w:val="00185EF5"/>
    <w:rsid w:val="00185F81"/>
    <w:rsid w:val="0018652D"/>
    <w:rsid w:val="00186AA0"/>
    <w:rsid w:val="00187707"/>
    <w:rsid w:val="00187828"/>
    <w:rsid w:val="00187EAA"/>
    <w:rsid w:val="00190B5F"/>
    <w:rsid w:val="001912D2"/>
    <w:rsid w:val="00191575"/>
    <w:rsid w:val="00191FD8"/>
    <w:rsid w:val="0019224F"/>
    <w:rsid w:val="001923BA"/>
    <w:rsid w:val="00192DA5"/>
    <w:rsid w:val="0019338C"/>
    <w:rsid w:val="00194C01"/>
    <w:rsid w:val="001965CD"/>
    <w:rsid w:val="00196AD9"/>
    <w:rsid w:val="00197F91"/>
    <w:rsid w:val="001A0381"/>
    <w:rsid w:val="001A04B7"/>
    <w:rsid w:val="001A086B"/>
    <w:rsid w:val="001A10F0"/>
    <w:rsid w:val="001A24D5"/>
    <w:rsid w:val="001A2637"/>
    <w:rsid w:val="001A270B"/>
    <w:rsid w:val="001A2CE9"/>
    <w:rsid w:val="001A37A7"/>
    <w:rsid w:val="001A395C"/>
    <w:rsid w:val="001A397E"/>
    <w:rsid w:val="001A3D56"/>
    <w:rsid w:val="001A4A03"/>
    <w:rsid w:val="001A4CFB"/>
    <w:rsid w:val="001A51A4"/>
    <w:rsid w:val="001A52EC"/>
    <w:rsid w:val="001A592E"/>
    <w:rsid w:val="001A5B3D"/>
    <w:rsid w:val="001A608D"/>
    <w:rsid w:val="001A64AB"/>
    <w:rsid w:val="001A69D0"/>
    <w:rsid w:val="001A6CA2"/>
    <w:rsid w:val="001A79FC"/>
    <w:rsid w:val="001B08D0"/>
    <w:rsid w:val="001B0FFF"/>
    <w:rsid w:val="001B1422"/>
    <w:rsid w:val="001B1780"/>
    <w:rsid w:val="001B21BF"/>
    <w:rsid w:val="001B2789"/>
    <w:rsid w:val="001B3396"/>
    <w:rsid w:val="001B45AC"/>
    <w:rsid w:val="001B4641"/>
    <w:rsid w:val="001B49B9"/>
    <w:rsid w:val="001B53CE"/>
    <w:rsid w:val="001B5555"/>
    <w:rsid w:val="001B55FC"/>
    <w:rsid w:val="001B5A4E"/>
    <w:rsid w:val="001B5FB8"/>
    <w:rsid w:val="001B621A"/>
    <w:rsid w:val="001B639B"/>
    <w:rsid w:val="001B66C9"/>
    <w:rsid w:val="001B7226"/>
    <w:rsid w:val="001B79CA"/>
    <w:rsid w:val="001C006C"/>
    <w:rsid w:val="001C046C"/>
    <w:rsid w:val="001C0792"/>
    <w:rsid w:val="001C1068"/>
    <w:rsid w:val="001C111E"/>
    <w:rsid w:val="001C1954"/>
    <w:rsid w:val="001C1CB6"/>
    <w:rsid w:val="001C24F8"/>
    <w:rsid w:val="001C2637"/>
    <w:rsid w:val="001C2856"/>
    <w:rsid w:val="001C3032"/>
    <w:rsid w:val="001C36F2"/>
    <w:rsid w:val="001C37B8"/>
    <w:rsid w:val="001C3997"/>
    <w:rsid w:val="001C4006"/>
    <w:rsid w:val="001C4264"/>
    <w:rsid w:val="001C5049"/>
    <w:rsid w:val="001C5A88"/>
    <w:rsid w:val="001C5F33"/>
    <w:rsid w:val="001D131F"/>
    <w:rsid w:val="001D145B"/>
    <w:rsid w:val="001D2BC7"/>
    <w:rsid w:val="001D3347"/>
    <w:rsid w:val="001D342C"/>
    <w:rsid w:val="001D3D7A"/>
    <w:rsid w:val="001D3FE6"/>
    <w:rsid w:val="001D426E"/>
    <w:rsid w:val="001D47A2"/>
    <w:rsid w:val="001D4CB2"/>
    <w:rsid w:val="001D542E"/>
    <w:rsid w:val="001D5AB1"/>
    <w:rsid w:val="001D6C9C"/>
    <w:rsid w:val="001D7C0A"/>
    <w:rsid w:val="001D7CBC"/>
    <w:rsid w:val="001E135A"/>
    <w:rsid w:val="001E1B96"/>
    <w:rsid w:val="001E3151"/>
    <w:rsid w:val="001E33E7"/>
    <w:rsid w:val="001E361F"/>
    <w:rsid w:val="001E389A"/>
    <w:rsid w:val="001E3A70"/>
    <w:rsid w:val="001E4160"/>
    <w:rsid w:val="001E4638"/>
    <w:rsid w:val="001E4649"/>
    <w:rsid w:val="001E4806"/>
    <w:rsid w:val="001E4F61"/>
    <w:rsid w:val="001E5228"/>
    <w:rsid w:val="001E556F"/>
    <w:rsid w:val="001E56BE"/>
    <w:rsid w:val="001E5D7F"/>
    <w:rsid w:val="001E606C"/>
    <w:rsid w:val="001E6E0F"/>
    <w:rsid w:val="001E7383"/>
    <w:rsid w:val="001E7A45"/>
    <w:rsid w:val="001F0090"/>
    <w:rsid w:val="001F01FC"/>
    <w:rsid w:val="001F09B2"/>
    <w:rsid w:val="001F145B"/>
    <w:rsid w:val="001F1B44"/>
    <w:rsid w:val="001F20F0"/>
    <w:rsid w:val="001F220E"/>
    <w:rsid w:val="001F299F"/>
    <w:rsid w:val="001F30B7"/>
    <w:rsid w:val="001F3380"/>
    <w:rsid w:val="001F409D"/>
    <w:rsid w:val="001F4B03"/>
    <w:rsid w:val="001F53DC"/>
    <w:rsid w:val="001F612B"/>
    <w:rsid w:val="001F69C1"/>
    <w:rsid w:val="001F6A7D"/>
    <w:rsid w:val="001F78C9"/>
    <w:rsid w:val="00200210"/>
    <w:rsid w:val="002005D7"/>
    <w:rsid w:val="00200673"/>
    <w:rsid w:val="00200C07"/>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B9B"/>
    <w:rsid w:val="002119E2"/>
    <w:rsid w:val="00213134"/>
    <w:rsid w:val="00214424"/>
    <w:rsid w:val="00214AE1"/>
    <w:rsid w:val="00215B9B"/>
    <w:rsid w:val="00215DE3"/>
    <w:rsid w:val="0021617D"/>
    <w:rsid w:val="00216288"/>
    <w:rsid w:val="002168F3"/>
    <w:rsid w:val="00216ACD"/>
    <w:rsid w:val="00217785"/>
    <w:rsid w:val="00217AA5"/>
    <w:rsid w:val="00220B21"/>
    <w:rsid w:val="00220BFA"/>
    <w:rsid w:val="00220CA4"/>
    <w:rsid w:val="00220EEC"/>
    <w:rsid w:val="00221ADA"/>
    <w:rsid w:val="00221C35"/>
    <w:rsid w:val="00221E2F"/>
    <w:rsid w:val="0022371D"/>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6B7"/>
    <w:rsid w:val="00240858"/>
    <w:rsid w:val="00240C76"/>
    <w:rsid w:val="002420BD"/>
    <w:rsid w:val="002428DE"/>
    <w:rsid w:val="00244795"/>
    <w:rsid w:val="00244A39"/>
    <w:rsid w:val="00244F4D"/>
    <w:rsid w:val="00245603"/>
    <w:rsid w:val="00245C72"/>
    <w:rsid w:val="002460FA"/>
    <w:rsid w:val="00246576"/>
    <w:rsid w:val="002472D1"/>
    <w:rsid w:val="00247F10"/>
    <w:rsid w:val="00247FE9"/>
    <w:rsid w:val="00250231"/>
    <w:rsid w:val="00250620"/>
    <w:rsid w:val="002518C7"/>
    <w:rsid w:val="00251E58"/>
    <w:rsid w:val="00253905"/>
    <w:rsid w:val="00253B1F"/>
    <w:rsid w:val="00254615"/>
    <w:rsid w:val="00254CE6"/>
    <w:rsid w:val="00254EAD"/>
    <w:rsid w:val="002554CD"/>
    <w:rsid w:val="00255AD8"/>
    <w:rsid w:val="00256102"/>
    <w:rsid w:val="00256160"/>
    <w:rsid w:val="002562BF"/>
    <w:rsid w:val="002569C6"/>
    <w:rsid w:val="00256BBA"/>
    <w:rsid w:val="00257F6D"/>
    <w:rsid w:val="00260023"/>
    <w:rsid w:val="0026021A"/>
    <w:rsid w:val="00260547"/>
    <w:rsid w:val="00260C1C"/>
    <w:rsid w:val="002617CC"/>
    <w:rsid w:val="0026186B"/>
    <w:rsid w:val="00261A0E"/>
    <w:rsid w:val="002625CB"/>
    <w:rsid w:val="00263A90"/>
    <w:rsid w:val="00263D22"/>
    <w:rsid w:val="00264009"/>
    <w:rsid w:val="00264B45"/>
    <w:rsid w:val="002652AD"/>
    <w:rsid w:val="00266004"/>
    <w:rsid w:val="00267040"/>
    <w:rsid w:val="00267D9A"/>
    <w:rsid w:val="00270584"/>
    <w:rsid w:val="00270EA2"/>
    <w:rsid w:val="00271121"/>
    <w:rsid w:val="00272DFC"/>
    <w:rsid w:val="002757DA"/>
    <w:rsid w:val="00275BF2"/>
    <w:rsid w:val="00275E57"/>
    <w:rsid w:val="0027616F"/>
    <w:rsid w:val="00276544"/>
    <w:rsid w:val="00276976"/>
    <w:rsid w:val="00280525"/>
    <w:rsid w:val="00280656"/>
    <w:rsid w:val="00280870"/>
    <w:rsid w:val="002833C1"/>
    <w:rsid w:val="00284030"/>
    <w:rsid w:val="002846C4"/>
    <w:rsid w:val="00284927"/>
    <w:rsid w:val="00284BF6"/>
    <w:rsid w:val="00284C89"/>
    <w:rsid w:val="0028576F"/>
    <w:rsid w:val="00286140"/>
    <w:rsid w:val="00286B67"/>
    <w:rsid w:val="00287246"/>
    <w:rsid w:val="002906BB"/>
    <w:rsid w:val="002908FC"/>
    <w:rsid w:val="00290940"/>
    <w:rsid w:val="00290E68"/>
    <w:rsid w:val="002910C9"/>
    <w:rsid w:val="00291DAD"/>
    <w:rsid w:val="00293BF8"/>
    <w:rsid w:val="00293EC9"/>
    <w:rsid w:val="00294080"/>
    <w:rsid w:val="00294418"/>
    <w:rsid w:val="00294552"/>
    <w:rsid w:val="00295227"/>
    <w:rsid w:val="00295F39"/>
    <w:rsid w:val="00295F45"/>
    <w:rsid w:val="00296775"/>
    <w:rsid w:val="00297942"/>
    <w:rsid w:val="002A0ED2"/>
    <w:rsid w:val="002A11BA"/>
    <w:rsid w:val="002A135C"/>
    <w:rsid w:val="002A267D"/>
    <w:rsid w:val="002A270F"/>
    <w:rsid w:val="002A2B15"/>
    <w:rsid w:val="002A2B1E"/>
    <w:rsid w:val="002A323D"/>
    <w:rsid w:val="002A40F2"/>
    <w:rsid w:val="002A5325"/>
    <w:rsid w:val="002A53B5"/>
    <w:rsid w:val="002A724F"/>
    <w:rsid w:val="002B05B1"/>
    <w:rsid w:val="002B0936"/>
    <w:rsid w:val="002B0C56"/>
    <w:rsid w:val="002B128E"/>
    <w:rsid w:val="002B1B6D"/>
    <w:rsid w:val="002B213F"/>
    <w:rsid w:val="002B278C"/>
    <w:rsid w:val="002B2D48"/>
    <w:rsid w:val="002B4C67"/>
    <w:rsid w:val="002B4F5A"/>
    <w:rsid w:val="002B5256"/>
    <w:rsid w:val="002B56E3"/>
    <w:rsid w:val="002B604A"/>
    <w:rsid w:val="002B63A2"/>
    <w:rsid w:val="002B6DF3"/>
    <w:rsid w:val="002B7809"/>
    <w:rsid w:val="002C04C6"/>
    <w:rsid w:val="002C0FD0"/>
    <w:rsid w:val="002C2AE1"/>
    <w:rsid w:val="002C35C5"/>
    <w:rsid w:val="002C37C7"/>
    <w:rsid w:val="002C3950"/>
    <w:rsid w:val="002C3E69"/>
    <w:rsid w:val="002C4303"/>
    <w:rsid w:val="002C4472"/>
    <w:rsid w:val="002C4C8F"/>
    <w:rsid w:val="002C5B91"/>
    <w:rsid w:val="002C6C98"/>
    <w:rsid w:val="002D00D0"/>
    <w:rsid w:val="002D00D7"/>
    <w:rsid w:val="002D04B3"/>
    <w:rsid w:val="002D0A76"/>
    <w:rsid w:val="002D0F4F"/>
    <w:rsid w:val="002D12D5"/>
    <w:rsid w:val="002D19C8"/>
    <w:rsid w:val="002D25A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34E"/>
    <w:rsid w:val="002E3AE8"/>
    <w:rsid w:val="002E3FFE"/>
    <w:rsid w:val="002E53D0"/>
    <w:rsid w:val="002E5625"/>
    <w:rsid w:val="002E5931"/>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56C"/>
    <w:rsid w:val="002F461E"/>
    <w:rsid w:val="002F4DAB"/>
    <w:rsid w:val="002F5103"/>
    <w:rsid w:val="002F5779"/>
    <w:rsid w:val="002F5C3F"/>
    <w:rsid w:val="002F5C8F"/>
    <w:rsid w:val="002F6AC6"/>
    <w:rsid w:val="002F703B"/>
    <w:rsid w:val="00301558"/>
    <w:rsid w:val="003023C6"/>
    <w:rsid w:val="00302A77"/>
    <w:rsid w:val="00302CF7"/>
    <w:rsid w:val="00302D27"/>
    <w:rsid w:val="00302E1C"/>
    <w:rsid w:val="00303D3C"/>
    <w:rsid w:val="0030429A"/>
    <w:rsid w:val="003052AB"/>
    <w:rsid w:val="00305F0B"/>
    <w:rsid w:val="003060C4"/>
    <w:rsid w:val="0030668D"/>
    <w:rsid w:val="003069D9"/>
    <w:rsid w:val="003073F5"/>
    <w:rsid w:val="00307B9C"/>
    <w:rsid w:val="00307BA1"/>
    <w:rsid w:val="003100DF"/>
    <w:rsid w:val="00311B0A"/>
    <w:rsid w:val="003137D4"/>
    <w:rsid w:val="00314227"/>
    <w:rsid w:val="00314DBA"/>
    <w:rsid w:val="00314EFA"/>
    <w:rsid w:val="00315AB3"/>
    <w:rsid w:val="003164A3"/>
    <w:rsid w:val="00317A63"/>
    <w:rsid w:val="00317BA9"/>
    <w:rsid w:val="003200AE"/>
    <w:rsid w:val="0032034B"/>
    <w:rsid w:val="00320BF6"/>
    <w:rsid w:val="00320EFA"/>
    <w:rsid w:val="00321739"/>
    <w:rsid w:val="00321E23"/>
    <w:rsid w:val="0032215C"/>
    <w:rsid w:val="00322259"/>
    <w:rsid w:val="003255F1"/>
    <w:rsid w:val="00325789"/>
    <w:rsid w:val="00325A5A"/>
    <w:rsid w:val="00325A89"/>
    <w:rsid w:val="00325FE2"/>
    <w:rsid w:val="00326A2E"/>
    <w:rsid w:val="003272E3"/>
    <w:rsid w:val="0032780E"/>
    <w:rsid w:val="00327CF0"/>
    <w:rsid w:val="00330325"/>
    <w:rsid w:val="00331922"/>
    <w:rsid w:val="00331AFB"/>
    <w:rsid w:val="0033295D"/>
    <w:rsid w:val="00332B79"/>
    <w:rsid w:val="00333CAB"/>
    <w:rsid w:val="00333D3B"/>
    <w:rsid w:val="00334C5E"/>
    <w:rsid w:val="00334F81"/>
    <w:rsid w:val="00335E06"/>
    <w:rsid w:val="003362B6"/>
    <w:rsid w:val="00336AC2"/>
    <w:rsid w:val="00336FD3"/>
    <w:rsid w:val="00337B76"/>
    <w:rsid w:val="00337BB7"/>
    <w:rsid w:val="00341DE7"/>
    <w:rsid w:val="00341FEE"/>
    <w:rsid w:val="003430E1"/>
    <w:rsid w:val="0034324B"/>
    <w:rsid w:val="00343464"/>
    <w:rsid w:val="00345199"/>
    <w:rsid w:val="003451FE"/>
    <w:rsid w:val="003462BA"/>
    <w:rsid w:val="00346B52"/>
    <w:rsid w:val="00346C19"/>
    <w:rsid w:val="00346E53"/>
    <w:rsid w:val="003471EA"/>
    <w:rsid w:val="0034781A"/>
    <w:rsid w:val="00350096"/>
    <w:rsid w:val="003503CD"/>
    <w:rsid w:val="00350421"/>
    <w:rsid w:val="0035042D"/>
    <w:rsid w:val="00350759"/>
    <w:rsid w:val="0035088B"/>
    <w:rsid w:val="00350FBD"/>
    <w:rsid w:val="003510DF"/>
    <w:rsid w:val="003511E3"/>
    <w:rsid w:val="0035181E"/>
    <w:rsid w:val="0035252E"/>
    <w:rsid w:val="00353BBF"/>
    <w:rsid w:val="00353C02"/>
    <w:rsid w:val="00353F48"/>
    <w:rsid w:val="0035422F"/>
    <w:rsid w:val="00354301"/>
    <w:rsid w:val="003544A3"/>
    <w:rsid w:val="00354AC8"/>
    <w:rsid w:val="00355454"/>
    <w:rsid w:val="0035571F"/>
    <w:rsid w:val="003560A3"/>
    <w:rsid w:val="00356A1A"/>
    <w:rsid w:val="0035700D"/>
    <w:rsid w:val="0035772B"/>
    <w:rsid w:val="00357768"/>
    <w:rsid w:val="003579C1"/>
    <w:rsid w:val="00357A6C"/>
    <w:rsid w:val="00357B7A"/>
    <w:rsid w:val="00360B24"/>
    <w:rsid w:val="00360B88"/>
    <w:rsid w:val="00361409"/>
    <w:rsid w:val="00361478"/>
    <w:rsid w:val="00362098"/>
    <w:rsid w:val="003621B0"/>
    <w:rsid w:val="00363105"/>
    <w:rsid w:val="00363317"/>
    <w:rsid w:val="00363BEF"/>
    <w:rsid w:val="00365288"/>
    <w:rsid w:val="00366C33"/>
    <w:rsid w:val="0036705C"/>
    <w:rsid w:val="003673C9"/>
    <w:rsid w:val="003679D6"/>
    <w:rsid w:val="003737B0"/>
    <w:rsid w:val="003743F8"/>
    <w:rsid w:val="00374B13"/>
    <w:rsid w:val="00374BBC"/>
    <w:rsid w:val="00374FC1"/>
    <w:rsid w:val="003756A2"/>
    <w:rsid w:val="00375C87"/>
    <w:rsid w:val="00375DC1"/>
    <w:rsid w:val="00375E94"/>
    <w:rsid w:val="00376DED"/>
    <w:rsid w:val="003774A0"/>
    <w:rsid w:val="0037767D"/>
    <w:rsid w:val="003776C9"/>
    <w:rsid w:val="003810DB"/>
    <w:rsid w:val="00381624"/>
    <w:rsid w:val="003816C1"/>
    <w:rsid w:val="00381985"/>
    <w:rsid w:val="00382571"/>
    <w:rsid w:val="0038489B"/>
    <w:rsid w:val="003849B0"/>
    <w:rsid w:val="003857D9"/>
    <w:rsid w:val="003862DF"/>
    <w:rsid w:val="003863BE"/>
    <w:rsid w:val="00386566"/>
    <w:rsid w:val="00387330"/>
    <w:rsid w:val="003876FF"/>
    <w:rsid w:val="00393401"/>
    <w:rsid w:val="00393583"/>
    <w:rsid w:val="003955B2"/>
    <w:rsid w:val="00395890"/>
    <w:rsid w:val="003959A5"/>
    <w:rsid w:val="00395F26"/>
    <w:rsid w:val="00395FAA"/>
    <w:rsid w:val="00397827"/>
    <w:rsid w:val="00397BEE"/>
    <w:rsid w:val="003A063A"/>
    <w:rsid w:val="003A0B73"/>
    <w:rsid w:val="003A104E"/>
    <w:rsid w:val="003A13C4"/>
    <w:rsid w:val="003A14AF"/>
    <w:rsid w:val="003A2DD9"/>
    <w:rsid w:val="003A32F3"/>
    <w:rsid w:val="003A3817"/>
    <w:rsid w:val="003A384F"/>
    <w:rsid w:val="003A3985"/>
    <w:rsid w:val="003A50D9"/>
    <w:rsid w:val="003A543D"/>
    <w:rsid w:val="003A62CE"/>
    <w:rsid w:val="003A6FA5"/>
    <w:rsid w:val="003A7CFF"/>
    <w:rsid w:val="003B01F4"/>
    <w:rsid w:val="003B16AA"/>
    <w:rsid w:val="003B188F"/>
    <w:rsid w:val="003B1BEC"/>
    <w:rsid w:val="003B23ED"/>
    <w:rsid w:val="003B2BA8"/>
    <w:rsid w:val="003B3AF7"/>
    <w:rsid w:val="003B4180"/>
    <w:rsid w:val="003B4356"/>
    <w:rsid w:val="003B4407"/>
    <w:rsid w:val="003B481F"/>
    <w:rsid w:val="003B536B"/>
    <w:rsid w:val="003B5DFF"/>
    <w:rsid w:val="003B6043"/>
    <w:rsid w:val="003B785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25F7"/>
    <w:rsid w:val="003D2EF6"/>
    <w:rsid w:val="003D3096"/>
    <w:rsid w:val="003D3994"/>
    <w:rsid w:val="003D3D95"/>
    <w:rsid w:val="003D3EC0"/>
    <w:rsid w:val="003D4492"/>
    <w:rsid w:val="003D519A"/>
    <w:rsid w:val="003D7120"/>
    <w:rsid w:val="003D73AB"/>
    <w:rsid w:val="003E00AC"/>
    <w:rsid w:val="003E095B"/>
    <w:rsid w:val="003E1840"/>
    <w:rsid w:val="003E2533"/>
    <w:rsid w:val="003E2F30"/>
    <w:rsid w:val="003E30A3"/>
    <w:rsid w:val="003E39C3"/>
    <w:rsid w:val="003E3D24"/>
    <w:rsid w:val="003E414B"/>
    <w:rsid w:val="003E431F"/>
    <w:rsid w:val="003E439D"/>
    <w:rsid w:val="003E5810"/>
    <w:rsid w:val="003E5A25"/>
    <w:rsid w:val="003E5C5F"/>
    <w:rsid w:val="003E5D32"/>
    <w:rsid w:val="003E691B"/>
    <w:rsid w:val="003E6E97"/>
    <w:rsid w:val="003E7765"/>
    <w:rsid w:val="003E778E"/>
    <w:rsid w:val="003E78F0"/>
    <w:rsid w:val="003E79D7"/>
    <w:rsid w:val="003E7F3F"/>
    <w:rsid w:val="003F0FAD"/>
    <w:rsid w:val="003F0FC1"/>
    <w:rsid w:val="003F1894"/>
    <w:rsid w:val="003F1C77"/>
    <w:rsid w:val="003F3898"/>
    <w:rsid w:val="003F3A1B"/>
    <w:rsid w:val="003F3D0B"/>
    <w:rsid w:val="003F3E3F"/>
    <w:rsid w:val="003F42B8"/>
    <w:rsid w:val="003F4825"/>
    <w:rsid w:val="003F4E50"/>
    <w:rsid w:val="003F4EDF"/>
    <w:rsid w:val="003F564A"/>
    <w:rsid w:val="003F572D"/>
    <w:rsid w:val="003F5D0D"/>
    <w:rsid w:val="003F6A41"/>
    <w:rsid w:val="003F6B54"/>
    <w:rsid w:val="003F6CAD"/>
    <w:rsid w:val="003F7235"/>
    <w:rsid w:val="004003FD"/>
    <w:rsid w:val="00402898"/>
    <w:rsid w:val="00402A13"/>
    <w:rsid w:val="0040368D"/>
    <w:rsid w:val="00403A8C"/>
    <w:rsid w:val="004049EE"/>
    <w:rsid w:val="00404D01"/>
    <w:rsid w:val="00404D50"/>
    <w:rsid w:val="00404ECC"/>
    <w:rsid w:val="00404F56"/>
    <w:rsid w:val="004051A6"/>
    <w:rsid w:val="00405A3D"/>
    <w:rsid w:val="0040652E"/>
    <w:rsid w:val="004071FD"/>
    <w:rsid w:val="0040738B"/>
    <w:rsid w:val="0041009D"/>
    <w:rsid w:val="004112F1"/>
    <w:rsid w:val="00411E8B"/>
    <w:rsid w:val="004122FB"/>
    <w:rsid w:val="00412D87"/>
    <w:rsid w:val="00412F73"/>
    <w:rsid w:val="00413F7A"/>
    <w:rsid w:val="004147E2"/>
    <w:rsid w:val="00415BD1"/>
    <w:rsid w:val="00416802"/>
    <w:rsid w:val="00416812"/>
    <w:rsid w:val="00416BBD"/>
    <w:rsid w:val="00416D0A"/>
    <w:rsid w:val="00417112"/>
    <w:rsid w:val="00420556"/>
    <w:rsid w:val="00420B78"/>
    <w:rsid w:val="00420E3D"/>
    <w:rsid w:val="0042141A"/>
    <w:rsid w:val="00421725"/>
    <w:rsid w:val="00421E05"/>
    <w:rsid w:val="00422223"/>
    <w:rsid w:val="00422AB4"/>
    <w:rsid w:val="00422E58"/>
    <w:rsid w:val="0042311F"/>
    <w:rsid w:val="004234EC"/>
    <w:rsid w:val="004235E3"/>
    <w:rsid w:val="00423606"/>
    <w:rsid w:val="00424647"/>
    <w:rsid w:val="00424703"/>
    <w:rsid w:val="00424934"/>
    <w:rsid w:val="00425C37"/>
    <w:rsid w:val="0042603F"/>
    <w:rsid w:val="004274AD"/>
    <w:rsid w:val="00427703"/>
    <w:rsid w:val="00430C76"/>
    <w:rsid w:val="00430F20"/>
    <w:rsid w:val="00431CF2"/>
    <w:rsid w:val="00431D90"/>
    <w:rsid w:val="00431E46"/>
    <w:rsid w:val="00432002"/>
    <w:rsid w:val="00432672"/>
    <w:rsid w:val="004329FE"/>
    <w:rsid w:val="00432A04"/>
    <w:rsid w:val="0043402A"/>
    <w:rsid w:val="00434769"/>
    <w:rsid w:val="0043518D"/>
    <w:rsid w:val="004351DE"/>
    <w:rsid w:val="00435C11"/>
    <w:rsid w:val="00436611"/>
    <w:rsid w:val="00437A2F"/>
    <w:rsid w:val="00437D58"/>
    <w:rsid w:val="00440164"/>
    <w:rsid w:val="004405EC"/>
    <w:rsid w:val="00440E18"/>
    <w:rsid w:val="004426B7"/>
    <w:rsid w:val="00442C6D"/>
    <w:rsid w:val="00443834"/>
    <w:rsid w:val="00444140"/>
    <w:rsid w:val="00444217"/>
    <w:rsid w:val="00444ACC"/>
    <w:rsid w:val="00444B3E"/>
    <w:rsid w:val="00445234"/>
    <w:rsid w:val="00446AE3"/>
    <w:rsid w:val="00446DAE"/>
    <w:rsid w:val="00446E47"/>
    <w:rsid w:val="004476FB"/>
    <w:rsid w:val="00447854"/>
    <w:rsid w:val="00447B58"/>
    <w:rsid w:val="00450013"/>
    <w:rsid w:val="00450709"/>
    <w:rsid w:val="004508C5"/>
    <w:rsid w:val="00450A8E"/>
    <w:rsid w:val="00450C55"/>
    <w:rsid w:val="004514E0"/>
    <w:rsid w:val="004516ED"/>
    <w:rsid w:val="00451E7C"/>
    <w:rsid w:val="004531AD"/>
    <w:rsid w:val="004532BB"/>
    <w:rsid w:val="004534D6"/>
    <w:rsid w:val="00453696"/>
    <w:rsid w:val="0045377E"/>
    <w:rsid w:val="00453DA8"/>
    <w:rsid w:val="004540DE"/>
    <w:rsid w:val="00454359"/>
    <w:rsid w:val="00454638"/>
    <w:rsid w:val="00454961"/>
    <w:rsid w:val="00455031"/>
    <w:rsid w:val="004551EE"/>
    <w:rsid w:val="00455682"/>
    <w:rsid w:val="00455922"/>
    <w:rsid w:val="00456610"/>
    <w:rsid w:val="00456BE9"/>
    <w:rsid w:val="00460061"/>
    <w:rsid w:val="004603B8"/>
    <w:rsid w:val="004607E7"/>
    <w:rsid w:val="004610FB"/>
    <w:rsid w:val="00461667"/>
    <w:rsid w:val="00461CAB"/>
    <w:rsid w:val="00463040"/>
    <w:rsid w:val="00463317"/>
    <w:rsid w:val="00463CCF"/>
    <w:rsid w:val="00463E66"/>
    <w:rsid w:val="0046562A"/>
    <w:rsid w:val="00465DDA"/>
    <w:rsid w:val="00465E8B"/>
    <w:rsid w:val="0046640E"/>
    <w:rsid w:val="00467256"/>
    <w:rsid w:val="00467674"/>
    <w:rsid w:val="00467A24"/>
    <w:rsid w:val="00470443"/>
    <w:rsid w:val="00470652"/>
    <w:rsid w:val="0047201A"/>
    <w:rsid w:val="004729B4"/>
    <w:rsid w:val="0047422F"/>
    <w:rsid w:val="004742C1"/>
    <w:rsid w:val="00477289"/>
    <w:rsid w:val="00477456"/>
    <w:rsid w:val="00477793"/>
    <w:rsid w:val="00477A00"/>
    <w:rsid w:val="00477F75"/>
    <w:rsid w:val="00480059"/>
    <w:rsid w:val="00480DC1"/>
    <w:rsid w:val="00480DE2"/>
    <w:rsid w:val="00481480"/>
    <w:rsid w:val="00481709"/>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987"/>
    <w:rsid w:val="00487537"/>
    <w:rsid w:val="00487B57"/>
    <w:rsid w:val="00487CCD"/>
    <w:rsid w:val="00491CDE"/>
    <w:rsid w:val="00492566"/>
    <w:rsid w:val="00492C10"/>
    <w:rsid w:val="00492E53"/>
    <w:rsid w:val="004933FA"/>
    <w:rsid w:val="004935EE"/>
    <w:rsid w:val="00493F1E"/>
    <w:rsid w:val="00493F29"/>
    <w:rsid w:val="00493F3D"/>
    <w:rsid w:val="00494354"/>
    <w:rsid w:val="004945B6"/>
    <w:rsid w:val="00494E82"/>
    <w:rsid w:val="00495886"/>
    <w:rsid w:val="0049662F"/>
    <w:rsid w:val="00496E76"/>
    <w:rsid w:val="00497018"/>
    <w:rsid w:val="00497A39"/>
    <w:rsid w:val="00497B27"/>
    <w:rsid w:val="00497F5B"/>
    <w:rsid w:val="004A0666"/>
    <w:rsid w:val="004A19F6"/>
    <w:rsid w:val="004A1CF8"/>
    <w:rsid w:val="004A1F56"/>
    <w:rsid w:val="004A259D"/>
    <w:rsid w:val="004A2E1F"/>
    <w:rsid w:val="004A3892"/>
    <w:rsid w:val="004A487F"/>
    <w:rsid w:val="004A4B9D"/>
    <w:rsid w:val="004A4CA4"/>
    <w:rsid w:val="004A6288"/>
    <w:rsid w:val="004A6F45"/>
    <w:rsid w:val="004A76E5"/>
    <w:rsid w:val="004A78CA"/>
    <w:rsid w:val="004B02A4"/>
    <w:rsid w:val="004B0356"/>
    <w:rsid w:val="004B0916"/>
    <w:rsid w:val="004B1C66"/>
    <w:rsid w:val="004B1FAC"/>
    <w:rsid w:val="004B2291"/>
    <w:rsid w:val="004B2624"/>
    <w:rsid w:val="004B2A6A"/>
    <w:rsid w:val="004B2E7D"/>
    <w:rsid w:val="004B317D"/>
    <w:rsid w:val="004B4463"/>
    <w:rsid w:val="004B4B08"/>
    <w:rsid w:val="004B53FF"/>
    <w:rsid w:val="004B55ED"/>
    <w:rsid w:val="004B6418"/>
    <w:rsid w:val="004B666A"/>
    <w:rsid w:val="004B6989"/>
    <w:rsid w:val="004B6AD2"/>
    <w:rsid w:val="004B6B15"/>
    <w:rsid w:val="004B763D"/>
    <w:rsid w:val="004B76D4"/>
    <w:rsid w:val="004C0192"/>
    <w:rsid w:val="004C04BD"/>
    <w:rsid w:val="004C0E2B"/>
    <w:rsid w:val="004C1270"/>
    <w:rsid w:val="004C1B57"/>
    <w:rsid w:val="004C1E9C"/>
    <w:rsid w:val="004C36A9"/>
    <w:rsid w:val="004C497E"/>
    <w:rsid w:val="004C4AD3"/>
    <w:rsid w:val="004C53C4"/>
    <w:rsid w:val="004C5844"/>
    <w:rsid w:val="004C6408"/>
    <w:rsid w:val="004C6AD2"/>
    <w:rsid w:val="004C6F26"/>
    <w:rsid w:val="004C7513"/>
    <w:rsid w:val="004C782F"/>
    <w:rsid w:val="004D00C0"/>
    <w:rsid w:val="004D0448"/>
    <w:rsid w:val="004D0BA0"/>
    <w:rsid w:val="004D0BD0"/>
    <w:rsid w:val="004D1D79"/>
    <w:rsid w:val="004D34C3"/>
    <w:rsid w:val="004D45C4"/>
    <w:rsid w:val="004D487B"/>
    <w:rsid w:val="004D4D09"/>
    <w:rsid w:val="004D5792"/>
    <w:rsid w:val="004D6A43"/>
    <w:rsid w:val="004D7C59"/>
    <w:rsid w:val="004E02E5"/>
    <w:rsid w:val="004E15D4"/>
    <w:rsid w:val="004E16F7"/>
    <w:rsid w:val="004E2127"/>
    <w:rsid w:val="004E296C"/>
    <w:rsid w:val="004E2AE2"/>
    <w:rsid w:val="004E3A28"/>
    <w:rsid w:val="004E3C34"/>
    <w:rsid w:val="004E3C87"/>
    <w:rsid w:val="004E3CE1"/>
    <w:rsid w:val="004E41E2"/>
    <w:rsid w:val="004E55B7"/>
    <w:rsid w:val="004E56D9"/>
    <w:rsid w:val="004E5DCB"/>
    <w:rsid w:val="004E637C"/>
    <w:rsid w:val="004E662F"/>
    <w:rsid w:val="004E725F"/>
    <w:rsid w:val="004E790B"/>
    <w:rsid w:val="004E7D1F"/>
    <w:rsid w:val="004F0307"/>
    <w:rsid w:val="004F0C75"/>
    <w:rsid w:val="004F142E"/>
    <w:rsid w:val="004F1517"/>
    <w:rsid w:val="004F1523"/>
    <w:rsid w:val="004F2892"/>
    <w:rsid w:val="004F29DC"/>
    <w:rsid w:val="004F2DD5"/>
    <w:rsid w:val="004F3ECB"/>
    <w:rsid w:val="004F42F7"/>
    <w:rsid w:val="004F45A5"/>
    <w:rsid w:val="004F49AE"/>
    <w:rsid w:val="004F4D44"/>
    <w:rsid w:val="004F60F0"/>
    <w:rsid w:val="004F6534"/>
    <w:rsid w:val="004F6FCA"/>
    <w:rsid w:val="004F7292"/>
    <w:rsid w:val="004F7453"/>
    <w:rsid w:val="005005A1"/>
    <w:rsid w:val="00500B8C"/>
    <w:rsid w:val="0050150A"/>
    <w:rsid w:val="005016FD"/>
    <w:rsid w:val="005017CC"/>
    <w:rsid w:val="005027F1"/>
    <w:rsid w:val="00502B48"/>
    <w:rsid w:val="00502EEA"/>
    <w:rsid w:val="00503DD2"/>
    <w:rsid w:val="005046E8"/>
    <w:rsid w:val="005048DA"/>
    <w:rsid w:val="00504C15"/>
    <w:rsid w:val="00504CCB"/>
    <w:rsid w:val="00505537"/>
    <w:rsid w:val="00506754"/>
    <w:rsid w:val="00506C1E"/>
    <w:rsid w:val="00506CCD"/>
    <w:rsid w:val="0050717B"/>
    <w:rsid w:val="00507647"/>
    <w:rsid w:val="0051007E"/>
    <w:rsid w:val="00510BB6"/>
    <w:rsid w:val="00511D79"/>
    <w:rsid w:val="0051432D"/>
    <w:rsid w:val="005154AD"/>
    <w:rsid w:val="00515628"/>
    <w:rsid w:val="00515BE6"/>
    <w:rsid w:val="005160F6"/>
    <w:rsid w:val="005168F6"/>
    <w:rsid w:val="005173B6"/>
    <w:rsid w:val="00520280"/>
    <w:rsid w:val="00520497"/>
    <w:rsid w:val="00520520"/>
    <w:rsid w:val="00520CEA"/>
    <w:rsid w:val="005213D0"/>
    <w:rsid w:val="00521423"/>
    <w:rsid w:val="005229B8"/>
    <w:rsid w:val="00523135"/>
    <w:rsid w:val="0052318E"/>
    <w:rsid w:val="00523C54"/>
    <w:rsid w:val="00523E78"/>
    <w:rsid w:val="00524020"/>
    <w:rsid w:val="0052466B"/>
    <w:rsid w:val="005248DE"/>
    <w:rsid w:val="00525D3A"/>
    <w:rsid w:val="005261D6"/>
    <w:rsid w:val="005262E7"/>
    <w:rsid w:val="00526A26"/>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163B"/>
    <w:rsid w:val="00542B31"/>
    <w:rsid w:val="00542F15"/>
    <w:rsid w:val="00545239"/>
    <w:rsid w:val="005454E5"/>
    <w:rsid w:val="00546B8A"/>
    <w:rsid w:val="00546D05"/>
    <w:rsid w:val="00547244"/>
    <w:rsid w:val="00547933"/>
    <w:rsid w:val="005508AD"/>
    <w:rsid w:val="0055098D"/>
    <w:rsid w:val="00550B24"/>
    <w:rsid w:val="00550FD2"/>
    <w:rsid w:val="005513B4"/>
    <w:rsid w:val="00552031"/>
    <w:rsid w:val="00552244"/>
    <w:rsid w:val="005528E7"/>
    <w:rsid w:val="00553018"/>
    <w:rsid w:val="0055382B"/>
    <w:rsid w:val="0055412E"/>
    <w:rsid w:val="0055419D"/>
    <w:rsid w:val="0055583F"/>
    <w:rsid w:val="00556FA0"/>
    <w:rsid w:val="005573C1"/>
    <w:rsid w:val="00557817"/>
    <w:rsid w:val="00557A6F"/>
    <w:rsid w:val="00557ED9"/>
    <w:rsid w:val="005601C1"/>
    <w:rsid w:val="005603EF"/>
    <w:rsid w:val="00560A56"/>
    <w:rsid w:val="00560B40"/>
    <w:rsid w:val="00560CD8"/>
    <w:rsid w:val="005611CE"/>
    <w:rsid w:val="005612EC"/>
    <w:rsid w:val="00561575"/>
    <w:rsid w:val="005627B1"/>
    <w:rsid w:val="005631C0"/>
    <w:rsid w:val="0056408D"/>
    <w:rsid w:val="005651D0"/>
    <w:rsid w:val="00565220"/>
    <w:rsid w:val="00565370"/>
    <w:rsid w:val="00565470"/>
    <w:rsid w:val="005658E3"/>
    <w:rsid w:val="00565B06"/>
    <w:rsid w:val="00566941"/>
    <w:rsid w:val="00566DB4"/>
    <w:rsid w:val="005670F9"/>
    <w:rsid w:val="005672F2"/>
    <w:rsid w:val="005678DE"/>
    <w:rsid w:val="0056793E"/>
    <w:rsid w:val="00567C83"/>
    <w:rsid w:val="005700B8"/>
    <w:rsid w:val="0057024B"/>
    <w:rsid w:val="00570292"/>
    <w:rsid w:val="0057092B"/>
    <w:rsid w:val="0057110F"/>
    <w:rsid w:val="00571B2A"/>
    <w:rsid w:val="00572145"/>
    <w:rsid w:val="00572CE9"/>
    <w:rsid w:val="00573A2D"/>
    <w:rsid w:val="005749DA"/>
    <w:rsid w:val="0057769E"/>
    <w:rsid w:val="00580435"/>
    <w:rsid w:val="005805B7"/>
    <w:rsid w:val="00580751"/>
    <w:rsid w:val="005812C5"/>
    <w:rsid w:val="00581990"/>
    <w:rsid w:val="0058223C"/>
    <w:rsid w:val="0058260F"/>
    <w:rsid w:val="00583EF1"/>
    <w:rsid w:val="005865CB"/>
    <w:rsid w:val="00586646"/>
    <w:rsid w:val="00586784"/>
    <w:rsid w:val="00586C4A"/>
    <w:rsid w:val="005871CB"/>
    <w:rsid w:val="00587424"/>
    <w:rsid w:val="005878DB"/>
    <w:rsid w:val="0058797B"/>
    <w:rsid w:val="00587E29"/>
    <w:rsid w:val="005927A5"/>
    <w:rsid w:val="005936F6"/>
    <w:rsid w:val="00593785"/>
    <w:rsid w:val="005938A2"/>
    <w:rsid w:val="005940FD"/>
    <w:rsid w:val="00595AA4"/>
    <w:rsid w:val="00595B4C"/>
    <w:rsid w:val="0059666A"/>
    <w:rsid w:val="00596851"/>
    <w:rsid w:val="0059713E"/>
    <w:rsid w:val="00597444"/>
    <w:rsid w:val="005A00B5"/>
    <w:rsid w:val="005A08EF"/>
    <w:rsid w:val="005A0AC7"/>
    <w:rsid w:val="005A0E6F"/>
    <w:rsid w:val="005A1051"/>
    <w:rsid w:val="005A16C7"/>
    <w:rsid w:val="005A299D"/>
    <w:rsid w:val="005A328B"/>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A54"/>
    <w:rsid w:val="005D0B56"/>
    <w:rsid w:val="005D0F20"/>
    <w:rsid w:val="005D10E6"/>
    <w:rsid w:val="005D1294"/>
    <w:rsid w:val="005D25F9"/>
    <w:rsid w:val="005D3885"/>
    <w:rsid w:val="005D3F38"/>
    <w:rsid w:val="005D500D"/>
    <w:rsid w:val="005D51FF"/>
    <w:rsid w:val="005D5CE7"/>
    <w:rsid w:val="005D625F"/>
    <w:rsid w:val="005D6357"/>
    <w:rsid w:val="005D6D4B"/>
    <w:rsid w:val="005D70FE"/>
    <w:rsid w:val="005E0FBD"/>
    <w:rsid w:val="005E11B5"/>
    <w:rsid w:val="005E2AFF"/>
    <w:rsid w:val="005E3430"/>
    <w:rsid w:val="005E396E"/>
    <w:rsid w:val="005E477F"/>
    <w:rsid w:val="005E4D25"/>
    <w:rsid w:val="005E4DCC"/>
    <w:rsid w:val="005E5151"/>
    <w:rsid w:val="005E5214"/>
    <w:rsid w:val="005E5F08"/>
    <w:rsid w:val="005E658F"/>
    <w:rsid w:val="005E7885"/>
    <w:rsid w:val="005F0613"/>
    <w:rsid w:val="005F0850"/>
    <w:rsid w:val="005F0A72"/>
    <w:rsid w:val="005F0ADB"/>
    <w:rsid w:val="005F0F9C"/>
    <w:rsid w:val="005F101C"/>
    <w:rsid w:val="005F12E1"/>
    <w:rsid w:val="005F1F1F"/>
    <w:rsid w:val="005F1F64"/>
    <w:rsid w:val="005F29AA"/>
    <w:rsid w:val="005F2E3B"/>
    <w:rsid w:val="005F334D"/>
    <w:rsid w:val="005F38B1"/>
    <w:rsid w:val="005F3B90"/>
    <w:rsid w:val="005F3BC1"/>
    <w:rsid w:val="005F3D78"/>
    <w:rsid w:val="005F4276"/>
    <w:rsid w:val="005F4746"/>
    <w:rsid w:val="005F4791"/>
    <w:rsid w:val="005F4CCA"/>
    <w:rsid w:val="005F50F3"/>
    <w:rsid w:val="005F55C1"/>
    <w:rsid w:val="005F5C1E"/>
    <w:rsid w:val="005F5EAC"/>
    <w:rsid w:val="005F5FB6"/>
    <w:rsid w:val="005F6107"/>
    <w:rsid w:val="005F61AE"/>
    <w:rsid w:val="005F6F92"/>
    <w:rsid w:val="005F7C3B"/>
    <w:rsid w:val="005F7E8D"/>
    <w:rsid w:val="00600398"/>
    <w:rsid w:val="00600A90"/>
    <w:rsid w:val="00600DCD"/>
    <w:rsid w:val="0060129B"/>
    <w:rsid w:val="006017EB"/>
    <w:rsid w:val="006020AC"/>
    <w:rsid w:val="00602E24"/>
    <w:rsid w:val="00602E6A"/>
    <w:rsid w:val="006046C8"/>
    <w:rsid w:val="00604E35"/>
    <w:rsid w:val="0060528E"/>
    <w:rsid w:val="00605574"/>
    <w:rsid w:val="00606941"/>
    <w:rsid w:val="006072E7"/>
    <w:rsid w:val="0061131E"/>
    <w:rsid w:val="00611B2A"/>
    <w:rsid w:val="006122AE"/>
    <w:rsid w:val="006130AE"/>
    <w:rsid w:val="00613CB7"/>
    <w:rsid w:val="00613E1F"/>
    <w:rsid w:val="0061448D"/>
    <w:rsid w:val="00614C4F"/>
    <w:rsid w:val="00614DC7"/>
    <w:rsid w:val="00615AA2"/>
    <w:rsid w:val="00616395"/>
    <w:rsid w:val="0062044D"/>
    <w:rsid w:val="0062044E"/>
    <w:rsid w:val="00620606"/>
    <w:rsid w:val="00620639"/>
    <w:rsid w:val="00620EE7"/>
    <w:rsid w:val="00621018"/>
    <w:rsid w:val="0062169F"/>
    <w:rsid w:val="00621D10"/>
    <w:rsid w:val="006229C0"/>
    <w:rsid w:val="00622CB5"/>
    <w:rsid w:val="00623A30"/>
    <w:rsid w:val="0062476E"/>
    <w:rsid w:val="006248E6"/>
    <w:rsid w:val="00624EC6"/>
    <w:rsid w:val="0062534F"/>
    <w:rsid w:val="006270FF"/>
    <w:rsid w:val="006279E4"/>
    <w:rsid w:val="00627E13"/>
    <w:rsid w:val="00630222"/>
    <w:rsid w:val="00630459"/>
    <w:rsid w:val="00630F6F"/>
    <w:rsid w:val="00631505"/>
    <w:rsid w:val="00632245"/>
    <w:rsid w:val="0063225C"/>
    <w:rsid w:val="006327BB"/>
    <w:rsid w:val="00632FD3"/>
    <w:rsid w:val="006335EF"/>
    <w:rsid w:val="00633EE8"/>
    <w:rsid w:val="006348C2"/>
    <w:rsid w:val="00634A4C"/>
    <w:rsid w:val="00634DE6"/>
    <w:rsid w:val="0063508F"/>
    <w:rsid w:val="006372BF"/>
    <w:rsid w:val="00637322"/>
    <w:rsid w:val="00637434"/>
    <w:rsid w:val="0063785D"/>
    <w:rsid w:val="0064055F"/>
    <w:rsid w:val="0064076F"/>
    <w:rsid w:val="00640CA8"/>
    <w:rsid w:val="006418E5"/>
    <w:rsid w:val="006421EA"/>
    <w:rsid w:val="00642772"/>
    <w:rsid w:val="00642ED3"/>
    <w:rsid w:val="006431C8"/>
    <w:rsid w:val="006439AE"/>
    <w:rsid w:val="006441C1"/>
    <w:rsid w:val="006446BC"/>
    <w:rsid w:val="0064578A"/>
    <w:rsid w:val="00645953"/>
    <w:rsid w:val="00646614"/>
    <w:rsid w:val="00646BC6"/>
    <w:rsid w:val="00646CCC"/>
    <w:rsid w:val="00646D03"/>
    <w:rsid w:val="00651109"/>
    <w:rsid w:val="006517A0"/>
    <w:rsid w:val="00651A1C"/>
    <w:rsid w:val="006536AF"/>
    <w:rsid w:val="00654230"/>
    <w:rsid w:val="00655371"/>
    <w:rsid w:val="00655DFD"/>
    <w:rsid w:val="006562D8"/>
    <w:rsid w:val="00656B2E"/>
    <w:rsid w:val="00656B88"/>
    <w:rsid w:val="00657332"/>
    <w:rsid w:val="00657C33"/>
    <w:rsid w:val="006605F9"/>
    <w:rsid w:val="006606BF"/>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2890"/>
    <w:rsid w:val="00672B19"/>
    <w:rsid w:val="00673B1C"/>
    <w:rsid w:val="00674A59"/>
    <w:rsid w:val="00674C74"/>
    <w:rsid w:val="00674DC4"/>
    <w:rsid w:val="00675260"/>
    <w:rsid w:val="00675350"/>
    <w:rsid w:val="0067650E"/>
    <w:rsid w:val="0067657F"/>
    <w:rsid w:val="00676E14"/>
    <w:rsid w:val="00676F2E"/>
    <w:rsid w:val="00677896"/>
    <w:rsid w:val="00677AAE"/>
    <w:rsid w:val="00677ABE"/>
    <w:rsid w:val="00677DB8"/>
    <w:rsid w:val="00680141"/>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B91"/>
    <w:rsid w:val="006925DD"/>
    <w:rsid w:val="006928AC"/>
    <w:rsid w:val="00692BB2"/>
    <w:rsid w:val="00692BFF"/>
    <w:rsid w:val="00693091"/>
    <w:rsid w:val="006948AC"/>
    <w:rsid w:val="00694D39"/>
    <w:rsid w:val="006953CA"/>
    <w:rsid w:val="006954EC"/>
    <w:rsid w:val="006959D6"/>
    <w:rsid w:val="00695EC8"/>
    <w:rsid w:val="00696909"/>
    <w:rsid w:val="00697114"/>
    <w:rsid w:val="00697BC6"/>
    <w:rsid w:val="00697E84"/>
    <w:rsid w:val="006A1B84"/>
    <w:rsid w:val="006A1FEF"/>
    <w:rsid w:val="006A27C2"/>
    <w:rsid w:val="006A2EBD"/>
    <w:rsid w:val="006A3009"/>
    <w:rsid w:val="006A3ACE"/>
    <w:rsid w:val="006A3E7B"/>
    <w:rsid w:val="006A4D9B"/>
    <w:rsid w:val="006A6950"/>
    <w:rsid w:val="006A7210"/>
    <w:rsid w:val="006A757D"/>
    <w:rsid w:val="006A7B32"/>
    <w:rsid w:val="006B002A"/>
    <w:rsid w:val="006B130C"/>
    <w:rsid w:val="006B15F2"/>
    <w:rsid w:val="006B28B5"/>
    <w:rsid w:val="006B32C8"/>
    <w:rsid w:val="006B3A46"/>
    <w:rsid w:val="006B5301"/>
    <w:rsid w:val="006B5544"/>
    <w:rsid w:val="006B698B"/>
    <w:rsid w:val="006B7C2C"/>
    <w:rsid w:val="006C1A19"/>
    <w:rsid w:val="006C221E"/>
    <w:rsid w:val="006C376B"/>
    <w:rsid w:val="006C4319"/>
    <w:rsid w:val="006C440B"/>
    <w:rsid w:val="006C453C"/>
    <w:rsid w:val="006C45C7"/>
    <w:rsid w:val="006C4881"/>
    <w:rsid w:val="006C4BC0"/>
    <w:rsid w:val="006C50E7"/>
    <w:rsid w:val="006C5C73"/>
    <w:rsid w:val="006C5DC3"/>
    <w:rsid w:val="006C616B"/>
    <w:rsid w:val="006C63FB"/>
    <w:rsid w:val="006C6D72"/>
    <w:rsid w:val="006D0115"/>
    <w:rsid w:val="006D0279"/>
    <w:rsid w:val="006D03DF"/>
    <w:rsid w:val="006D1327"/>
    <w:rsid w:val="006D1F03"/>
    <w:rsid w:val="006D1F8F"/>
    <w:rsid w:val="006D2971"/>
    <w:rsid w:val="006D2E24"/>
    <w:rsid w:val="006D38EB"/>
    <w:rsid w:val="006D4A4A"/>
    <w:rsid w:val="006D4ADB"/>
    <w:rsid w:val="006D4D36"/>
    <w:rsid w:val="006D6E79"/>
    <w:rsid w:val="006E017B"/>
    <w:rsid w:val="006E06A9"/>
    <w:rsid w:val="006E0888"/>
    <w:rsid w:val="006E097F"/>
    <w:rsid w:val="006E0E4A"/>
    <w:rsid w:val="006E1778"/>
    <w:rsid w:val="006E17B0"/>
    <w:rsid w:val="006E1A8C"/>
    <w:rsid w:val="006E2595"/>
    <w:rsid w:val="006E2694"/>
    <w:rsid w:val="006E2A1F"/>
    <w:rsid w:val="006E2A78"/>
    <w:rsid w:val="006E4FB2"/>
    <w:rsid w:val="006E5500"/>
    <w:rsid w:val="006E58AF"/>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CF3"/>
    <w:rsid w:val="006F3059"/>
    <w:rsid w:val="006F36F5"/>
    <w:rsid w:val="006F3A64"/>
    <w:rsid w:val="006F5987"/>
    <w:rsid w:val="006F5F1A"/>
    <w:rsid w:val="006F6C67"/>
    <w:rsid w:val="006F6EB9"/>
    <w:rsid w:val="006F7078"/>
    <w:rsid w:val="00700222"/>
    <w:rsid w:val="007002FB"/>
    <w:rsid w:val="0070040B"/>
    <w:rsid w:val="007008C7"/>
    <w:rsid w:val="007008D0"/>
    <w:rsid w:val="00701188"/>
    <w:rsid w:val="0070137E"/>
    <w:rsid w:val="0070287D"/>
    <w:rsid w:val="00702DB9"/>
    <w:rsid w:val="00702E2E"/>
    <w:rsid w:val="00703F39"/>
    <w:rsid w:val="0070554F"/>
    <w:rsid w:val="00705942"/>
    <w:rsid w:val="00705AB2"/>
    <w:rsid w:val="0070619A"/>
    <w:rsid w:val="0070678A"/>
    <w:rsid w:val="00707173"/>
    <w:rsid w:val="00707607"/>
    <w:rsid w:val="0071055F"/>
    <w:rsid w:val="0071095F"/>
    <w:rsid w:val="007118EB"/>
    <w:rsid w:val="00712C57"/>
    <w:rsid w:val="007136CC"/>
    <w:rsid w:val="00713902"/>
    <w:rsid w:val="00713B9A"/>
    <w:rsid w:val="00714281"/>
    <w:rsid w:val="00714BEF"/>
    <w:rsid w:val="00714DED"/>
    <w:rsid w:val="007157C8"/>
    <w:rsid w:val="007161CE"/>
    <w:rsid w:val="00716B38"/>
    <w:rsid w:val="00717EE2"/>
    <w:rsid w:val="007206D3"/>
    <w:rsid w:val="00721BEF"/>
    <w:rsid w:val="00722055"/>
    <w:rsid w:val="007228F2"/>
    <w:rsid w:val="00722C23"/>
    <w:rsid w:val="007246ED"/>
    <w:rsid w:val="0072578A"/>
    <w:rsid w:val="00725A8D"/>
    <w:rsid w:val="00727851"/>
    <w:rsid w:val="00727B18"/>
    <w:rsid w:val="00727FA5"/>
    <w:rsid w:val="007314A9"/>
    <w:rsid w:val="007318E5"/>
    <w:rsid w:val="00731984"/>
    <w:rsid w:val="00733157"/>
    <w:rsid w:val="007333F4"/>
    <w:rsid w:val="00733EE3"/>
    <w:rsid w:val="00733F89"/>
    <w:rsid w:val="00734A03"/>
    <w:rsid w:val="007372F4"/>
    <w:rsid w:val="00737A2D"/>
    <w:rsid w:val="00737FDC"/>
    <w:rsid w:val="007400AC"/>
    <w:rsid w:val="007406F0"/>
    <w:rsid w:val="0074189A"/>
    <w:rsid w:val="00741BAA"/>
    <w:rsid w:val="00741E2A"/>
    <w:rsid w:val="007421DB"/>
    <w:rsid w:val="0074274E"/>
    <w:rsid w:val="00744BA5"/>
    <w:rsid w:val="0074528C"/>
    <w:rsid w:val="00745567"/>
    <w:rsid w:val="00745D02"/>
    <w:rsid w:val="00745D65"/>
    <w:rsid w:val="00745F54"/>
    <w:rsid w:val="007461D4"/>
    <w:rsid w:val="007463A4"/>
    <w:rsid w:val="00746C32"/>
    <w:rsid w:val="00747802"/>
    <w:rsid w:val="00747E9F"/>
    <w:rsid w:val="00747F86"/>
    <w:rsid w:val="00750184"/>
    <w:rsid w:val="007520CE"/>
    <w:rsid w:val="00752414"/>
    <w:rsid w:val="00752573"/>
    <w:rsid w:val="00752A09"/>
    <w:rsid w:val="007548EC"/>
    <w:rsid w:val="00754B63"/>
    <w:rsid w:val="0075548A"/>
    <w:rsid w:val="00756180"/>
    <w:rsid w:val="00756636"/>
    <w:rsid w:val="007566F3"/>
    <w:rsid w:val="00756BC6"/>
    <w:rsid w:val="00756F23"/>
    <w:rsid w:val="00757736"/>
    <w:rsid w:val="00760777"/>
    <w:rsid w:val="00762B3F"/>
    <w:rsid w:val="00762B7E"/>
    <w:rsid w:val="007637A9"/>
    <w:rsid w:val="00763B8B"/>
    <w:rsid w:val="0076417B"/>
    <w:rsid w:val="00764C92"/>
    <w:rsid w:val="007651DB"/>
    <w:rsid w:val="0076552A"/>
    <w:rsid w:val="007674EC"/>
    <w:rsid w:val="007675BE"/>
    <w:rsid w:val="0077012E"/>
    <w:rsid w:val="00770158"/>
    <w:rsid w:val="00770B56"/>
    <w:rsid w:val="00770EC4"/>
    <w:rsid w:val="007710A5"/>
    <w:rsid w:val="007717BF"/>
    <w:rsid w:val="0077225D"/>
    <w:rsid w:val="00772E28"/>
    <w:rsid w:val="007734C9"/>
    <w:rsid w:val="00773560"/>
    <w:rsid w:val="007736D0"/>
    <w:rsid w:val="007737B8"/>
    <w:rsid w:val="0077463A"/>
    <w:rsid w:val="007747D1"/>
    <w:rsid w:val="00776341"/>
    <w:rsid w:val="007767C3"/>
    <w:rsid w:val="00776BC9"/>
    <w:rsid w:val="00777325"/>
    <w:rsid w:val="0077786E"/>
    <w:rsid w:val="00777E53"/>
    <w:rsid w:val="007801E4"/>
    <w:rsid w:val="00780A67"/>
    <w:rsid w:val="00780A9A"/>
    <w:rsid w:val="00780AC7"/>
    <w:rsid w:val="00780BED"/>
    <w:rsid w:val="00781105"/>
    <w:rsid w:val="007816AC"/>
    <w:rsid w:val="007817D3"/>
    <w:rsid w:val="0078183C"/>
    <w:rsid w:val="00781D05"/>
    <w:rsid w:val="007823ED"/>
    <w:rsid w:val="007838C6"/>
    <w:rsid w:val="007839AA"/>
    <w:rsid w:val="00783C5E"/>
    <w:rsid w:val="00784784"/>
    <w:rsid w:val="0078491B"/>
    <w:rsid w:val="00784D14"/>
    <w:rsid w:val="00784F1D"/>
    <w:rsid w:val="0078588F"/>
    <w:rsid w:val="00787636"/>
    <w:rsid w:val="00787B5A"/>
    <w:rsid w:val="007906B4"/>
    <w:rsid w:val="00791372"/>
    <w:rsid w:val="007916AA"/>
    <w:rsid w:val="007919DB"/>
    <w:rsid w:val="00791A91"/>
    <w:rsid w:val="007929EE"/>
    <w:rsid w:val="00792B92"/>
    <w:rsid w:val="00792E68"/>
    <w:rsid w:val="00792FF5"/>
    <w:rsid w:val="007930CD"/>
    <w:rsid w:val="00793F64"/>
    <w:rsid w:val="00795243"/>
    <w:rsid w:val="0079532A"/>
    <w:rsid w:val="00795D00"/>
    <w:rsid w:val="0079678C"/>
    <w:rsid w:val="00796F83"/>
    <w:rsid w:val="007972C6"/>
    <w:rsid w:val="00797CE7"/>
    <w:rsid w:val="007A0950"/>
    <w:rsid w:val="007A2176"/>
    <w:rsid w:val="007A2429"/>
    <w:rsid w:val="007A27C4"/>
    <w:rsid w:val="007A34D9"/>
    <w:rsid w:val="007A3771"/>
    <w:rsid w:val="007A39B7"/>
    <w:rsid w:val="007A3A5D"/>
    <w:rsid w:val="007A41EC"/>
    <w:rsid w:val="007A5446"/>
    <w:rsid w:val="007A5766"/>
    <w:rsid w:val="007A5863"/>
    <w:rsid w:val="007A5F29"/>
    <w:rsid w:val="007A6883"/>
    <w:rsid w:val="007A6D85"/>
    <w:rsid w:val="007A6E92"/>
    <w:rsid w:val="007A7F00"/>
    <w:rsid w:val="007B06CC"/>
    <w:rsid w:val="007B1015"/>
    <w:rsid w:val="007B1A5C"/>
    <w:rsid w:val="007B3AB0"/>
    <w:rsid w:val="007B4168"/>
    <w:rsid w:val="007B433E"/>
    <w:rsid w:val="007B4AB9"/>
    <w:rsid w:val="007B5BF6"/>
    <w:rsid w:val="007B5C2D"/>
    <w:rsid w:val="007B623D"/>
    <w:rsid w:val="007B7058"/>
    <w:rsid w:val="007B74E0"/>
    <w:rsid w:val="007B77EC"/>
    <w:rsid w:val="007B785D"/>
    <w:rsid w:val="007B7B20"/>
    <w:rsid w:val="007C164A"/>
    <w:rsid w:val="007C236F"/>
    <w:rsid w:val="007C2738"/>
    <w:rsid w:val="007C2746"/>
    <w:rsid w:val="007C2BCF"/>
    <w:rsid w:val="007C3645"/>
    <w:rsid w:val="007C429E"/>
    <w:rsid w:val="007C445E"/>
    <w:rsid w:val="007C4B10"/>
    <w:rsid w:val="007C56A9"/>
    <w:rsid w:val="007C5785"/>
    <w:rsid w:val="007C627E"/>
    <w:rsid w:val="007C6C74"/>
    <w:rsid w:val="007C76C8"/>
    <w:rsid w:val="007D03D2"/>
    <w:rsid w:val="007D0A66"/>
    <w:rsid w:val="007D27D9"/>
    <w:rsid w:val="007D2842"/>
    <w:rsid w:val="007D3061"/>
    <w:rsid w:val="007D376D"/>
    <w:rsid w:val="007D3BA1"/>
    <w:rsid w:val="007D401F"/>
    <w:rsid w:val="007D4F2C"/>
    <w:rsid w:val="007D5151"/>
    <w:rsid w:val="007D7383"/>
    <w:rsid w:val="007D7E2A"/>
    <w:rsid w:val="007E1113"/>
    <w:rsid w:val="007E155F"/>
    <w:rsid w:val="007E1BDD"/>
    <w:rsid w:val="007E20BA"/>
    <w:rsid w:val="007E28AC"/>
    <w:rsid w:val="007E2928"/>
    <w:rsid w:val="007E2AA9"/>
    <w:rsid w:val="007E2C07"/>
    <w:rsid w:val="007E3350"/>
    <w:rsid w:val="007E3ABE"/>
    <w:rsid w:val="007E455D"/>
    <w:rsid w:val="007E467A"/>
    <w:rsid w:val="007E51A5"/>
    <w:rsid w:val="007E5E3C"/>
    <w:rsid w:val="007E6085"/>
    <w:rsid w:val="007E65BE"/>
    <w:rsid w:val="007E69AB"/>
    <w:rsid w:val="007E6BB3"/>
    <w:rsid w:val="007F042F"/>
    <w:rsid w:val="007F081A"/>
    <w:rsid w:val="007F0A0A"/>
    <w:rsid w:val="007F172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1CCA"/>
    <w:rsid w:val="0080270C"/>
    <w:rsid w:val="0080270E"/>
    <w:rsid w:val="00802783"/>
    <w:rsid w:val="0080290B"/>
    <w:rsid w:val="0080417F"/>
    <w:rsid w:val="008043A1"/>
    <w:rsid w:val="008045E4"/>
    <w:rsid w:val="008051C9"/>
    <w:rsid w:val="00806D25"/>
    <w:rsid w:val="008110DA"/>
    <w:rsid w:val="0081135B"/>
    <w:rsid w:val="00812EDE"/>
    <w:rsid w:val="0081304C"/>
    <w:rsid w:val="00813373"/>
    <w:rsid w:val="0081353E"/>
    <w:rsid w:val="00814CE6"/>
    <w:rsid w:val="0081696A"/>
    <w:rsid w:val="00816EBB"/>
    <w:rsid w:val="008170CE"/>
    <w:rsid w:val="00817642"/>
    <w:rsid w:val="0082018D"/>
    <w:rsid w:val="00821C08"/>
    <w:rsid w:val="00821D78"/>
    <w:rsid w:val="0082313D"/>
    <w:rsid w:val="00823153"/>
    <w:rsid w:val="008235A6"/>
    <w:rsid w:val="00823718"/>
    <w:rsid w:val="008240B3"/>
    <w:rsid w:val="0082410C"/>
    <w:rsid w:val="00824186"/>
    <w:rsid w:val="008248CE"/>
    <w:rsid w:val="00826265"/>
    <w:rsid w:val="00826288"/>
    <w:rsid w:val="008264E8"/>
    <w:rsid w:val="00826980"/>
    <w:rsid w:val="008277D5"/>
    <w:rsid w:val="008303D2"/>
    <w:rsid w:val="008313D1"/>
    <w:rsid w:val="008325BF"/>
    <w:rsid w:val="00832658"/>
    <w:rsid w:val="00832E14"/>
    <w:rsid w:val="00833150"/>
    <w:rsid w:val="00834231"/>
    <w:rsid w:val="008344B3"/>
    <w:rsid w:val="00834CEE"/>
    <w:rsid w:val="00834EA0"/>
    <w:rsid w:val="00836163"/>
    <w:rsid w:val="008368B9"/>
    <w:rsid w:val="008368E9"/>
    <w:rsid w:val="00837134"/>
    <w:rsid w:val="0083735B"/>
    <w:rsid w:val="0083787C"/>
    <w:rsid w:val="008378CA"/>
    <w:rsid w:val="00840131"/>
    <w:rsid w:val="008403BF"/>
    <w:rsid w:val="00840A7D"/>
    <w:rsid w:val="00841D48"/>
    <w:rsid w:val="00842CE2"/>
    <w:rsid w:val="0084355E"/>
    <w:rsid w:val="008439AB"/>
    <w:rsid w:val="00844042"/>
    <w:rsid w:val="008447D4"/>
    <w:rsid w:val="008464F6"/>
    <w:rsid w:val="00846FC6"/>
    <w:rsid w:val="0084736E"/>
    <w:rsid w:val="00847BDD"/>
    <w:rsid w:val="00851680"/>
    <w:rsid w:val="00851BBA"/>
    <w:rsid w:val="0085254F"/>
    <w:rsid w:val="00852DE2"/>
    <w:rsid w:val="008540D0"/>
    <w:rsid w:val="00854918"/>
    <w:rsid w:val="008553AA"/>
    <w:rsid w:val="00855BAE"/>
    <w:rsid w:val="00856DFA"/>
    <w:rsid w:val="00857B23"/>
    <w:rsid w:val="0086027E"/>
    <w:rsid w:val="008603B7"/>
    <w:rsid w:val="00861681"/>
    <w:rsid w:val="00861B04"/>
    <w:rsid w:val="00863552"/>
    <w:rsid w:val="00863A44"/>
    <w:rsid w:val="00864042"/>
    <w:rsid w:val="00864AE7"/>
    <w:rsid w:val="00864B06"/>
    <w:rsid w:val="00865BC3"/>
    <w:rsid w:val="0086628D"/>
    <w:rsid w:val="008662A7"/>
    <w:rsid w:val="0086762E"/>
    <w:rsid w:val="00867691"/>
    <w:rsid w:val="00867E3B"/>
    <w:rsid w:val="00870161"/>
    <w:rsid w:val="00870708"/>
    <w:rsid w:val="00870782"/>
    <w:rsid w:val="008707B8"/>
    <w:rsid w:val="00871C82"/>
    <w:rsid w:val="008723AE"/>
    <w:rsid w:val="008726D6"/>
    <w:rsid w:val="008732ED"/>
    <w:rsid w:val="008733D7"/>
    <w:rsid w:val="008737F3"/>
    <w:rsid w:val="00873938"/>
    <w:rsid w:val="00873A79"/>
    <w:rsid w:val="00874C47"/>
    <w:rsid w:val="00874D4F"/>
    <w:rsid w:val="00874DFA"/>
    <w:rsid w:val="008755B8"/>
    <w:rsid w:val="00875AAC"/>
    <w:rsid w:val="00875D0E"/>
    <w:rsid w:val="00875EFD"/>
    <w:rsid w:val="00876641"/>
    <w:rsid w:val="008771EE"/>
    <w:rsid w:val="0087737B"/>
    <w:rsid w:val="00877D5F"/>
    <w:rsid w:val="00880E16"/>
    <w:rsid w:val="00880F2B"/>
    <w:rsid w:val="00881330"/>
    <w:rsid w:val="008817D2"/>
    <w:rsid w:val="00881C8C"/>
    <w:rsid w:val="00882464"/>
    <w:rsid w:val="00882833"/>
    <w:rsid w:val="00882FC1"/>
    <w:rsid w:val="00883CEE"/>
    <w:rsid w:val="00883D25"/>
    <w:rsid w:val="00884A53"/>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3FAF"/>
    <w:rsid w:val="00894B07"/>
    <w:rsid w:val="00894D05"/>
    <w:rsid w:val="00894EE4"/>
    <w:rsid w:val="0089507F"/>
    <w:rsid w:val="00896C03"/>
    <w:rsid w:val="00896EFD"/>
    <w:rsid w:val="008974FE"/>
    <w:rsid w:val="00897F5D"/>
    <w:rsid w:val="008A01B8"/>
    <w:rsid w:val="008A0F38"/>
    <w:rsid w:val="008A1BF8"/>
    <w:rsid w:val="008A1E13"/>
    <w:rsid w:val="008A353B"/>
    <w:rsid w:val="008A54E7"/>
    <w:rsid w:val="008A5BDF"/>
    <w:rsid w:val="008A6A26"/>
    <w:rsid w:val="008A6BAF"/>
    <w:rsid w:val="008A6F28"/>
    <w:rsid w:val="008A7640"/>
    <w:rsid w:val="008A79A1"/>
    <w:rsid w:val="008B08A8"/>
    <w:rsid w:val="008B0934"/>
    <w:rsid w:val="008B09E4"/>
    <w:rsid w:val="008B0B15"/>
    <w:rsid w:val="008B10CB"/>
    <w:rsid w:val="008B17E9"/>
    <w:rsid w:val="008B1E15"/>
    <w:rsid w:val="008B1E21"/>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3975"/>
    <w:rsid w:val="008C47BA"/>
    <w:rsid w:val="008C5185"/>
    <w:rsid w:val="008C55EB"/>
    <w:rsid w:val="008C67E5"/>
    <w:rsid w:val="008C6C0B"/>
    <w:rsid w:val="008C73C3"/>
    <w:rsid w:val="008C766F"/>
    <w:rsid w:val="008D0819"/>
    <w:rsid w:val="008D0859"/>
    <w:rsid w:val="008D14CF"/>
    <w:rsid w:val="008D297A"/>
    <w:rsid w:val="008D2B08"/>
    <w:rsid w:val="008D35B1"/>
    <w:rsid w:val="008D4205"/>
    <w:rsid w:val="008D49C9"/>
    <w:rsid w:val="008D5FAB"/>
    <w:rsid w:val="008D6020"/>
    <w:rsid w:val="008D63E9"/>
    <w:rsid w:val="008D6BBC"/>
    <w:rsid w:val="008D7455"/>
    <w:rsid w:val="008D74D0"/>
    <w:rsid w:val="008D74EB"/>
    <w:rsid w:val="008D7BCB"/>
    <w:rsid w:val="008E0C42"/>
    <w:rsid w:val="008E1494"/>
    <w:rsid w:val="008E15EA"/>
    <w:rsid w:val="008E1B5A"/>
    <w:rsid w:val="008E2F74"/>
    <w:rsid w:val="008E3532"/>
    <w:rsid w:val="008E3E3E"/>
    <w:rsid w:val="008E4681"/>
    <w:rsid w:val="008E5216"/>
    <w:rsid w:val="008E55F1"/>
    <w:rsid w:val="008E68A7"/>
    <w:rsid w:val="008E728C"/>
    <w:rsid w:val="008E7327"/>
    <w:rsid w:val="008E78BF"/>
    <w:rsid w:val="008F01F0"/>
    <w:rsid w:val="008F03CC"/>
    <w:rsid w:val="008F087E"/>
    <w:rsid w:val="008F189D"/>
    <w:rsid w:val="008F1B54"/>
    <w:rsid w:val="008F255D"/>
    <w:rsid w:val="008F2853"/>
    <w:rsid w:val="008F3209"/>
    <w:rsid w:val="008F3A03"/>
    <w:rsid w:val="008F3FDD"/>
    <w:rsid w:val="008F64D5"/>
    <w:rsid w:val="008F702F"/>
    <w:rsid w:val="008F70E1"/>
    <w:rsid w:val="008F735D"/>
    <w:rsid w:val="008F78C0"/>
    <w:rsid w:val="009012A5"/>
    <w:rsid w:val="00901A8A"/>
    <w:rsid w:val="0090208D"/>
    <w:rsid w:val="009024C4"/>
    <w:rsid w:val="009029DE"/>
    <w:rsid w:val="0090316E"/>
    <w:rsid w:val="009032CC"/>
    <w:rsid w:val="0090353B"/>
    <w:rsid w:val="009040EB"/>
    <w:rsid w:val="009045E3"/>
    <w:rsid w:val="0090627F"/>
    <w:rsid w:val="0090766A"/>
    <w:rsid w:val="00907B64"/>
    <w:rsid w:val="009101A0"/>
    <w:rsid w:val="009101A1"/>
    <w:rsid w:val="0091055F"/>
    <w:rsid w:val="009115D6"/>
    <w:rsid w:val="00912AAC"/>
    <w:rsid w:val="00913442"/>
    <w:rsid w:val="00913CB2"/>
    <w:rsid w:val="00913E0F"/>
    <w:rsid w:val="00915D22"/>
    <w:rsid w:val="00915ECE"/>
    <w:rsid w:val="0091610D"/>
    <w:rsid w:val="009163AD"/>
    <w:rsid w:val="009166B8"/>
    <w:rsid w:val="00916EFB"/>
    <w:rsid w:val="009201EE"/>
    <w:rsid w:val="009209BD"/>
    <w:rsid w:val="009212C2"/>
    <w:rsid w:val="00921361"/>
    <w:rsid w:val="0092191C"/>
    <w:rsid w:val="00922464"/>
    <w:rsid w:val="00922D98"/>
    <w:rsid w:val="00923600"/>
    <w:rsid w:val="0092394D"/>
    <w:rsid w:val="00923AC1"/>
    <w:rsid w:val="00923BAC"/>
    <w:rsid w:val="00923E46"/>
    <w:rsid w:val="00923E7D"/>
    <w:rsid w:val="00925FA1"/>
    <w:rsid w:val="00926019"/>
    <w:rsid w:val="00926A42"/>
    <w:rsid w:val="0092700E"/>
    <w:rsid w:val="00927194"/>
    <w:rsid w:val="009276B1"/>
    <w:rsid w:val="009301AE"/>
    <w:rsid w:val="0093039C"/>
    <w:rsid w:val="00930F58"/>
    <w:rsid w:val="00932182"/>
    <w:rsid w:val="00932A54"/>
    <w:rsid w:val="00932C21"/>
    <w:rsid w:val="00933057"/>
    <w:rsid w:val="009333DA"/>
    <w:rsid w:val="0093379B"/>
    <w:rsid w:val="00933B5D"/>
    <w:rsid w:val="00933BE8"/>
    <w:rsid w:val="00933C65"/>
    <w:rsid w:val="00933CA9"/>
    <w:rsid w:val="00934CDB"/>
    <w:rsid w:val="00936B38"/>
    <w:rsid w:val="00936B7E"/>
    <w:rsid w:val="00937046"/>
    <w:rsid w:val="009370FF"/>
    <w:rsid w:val="009375FD"/>
    <w:rsid w:val="00937911"/>
    <w:rsid w:val="00941CE3"/>
    <w:rsid w:val="00942B91"/>
    <w:rsid w:val="00943A37"/>
    <w:rsid w:val="00944258"/>
    <w:rsid w:val="00944518"/>
    <w:rsid w:val="00944F09"/>
    <w:rsid w:val="0094537C"/>
    <w:rsid w:val="00945899"/>
    <w:rsid w:val="009460D9"/>
    <w:rsid w:val="00946B3E"/>
    <w:rsid w:val="00946D21"/>
    <w:rsid w:val="009474A0"/>
    <w:rsid w:val="00947ACC"/>
    <w:rsid w:val="00947B58"/>
    <w:rsid w:val="00947ECA"/>
    <w:rsid w:val="00950865"/>
    <w:rsid w:val="00950C35"/>
    <w:rsid w:val="00951444"/>
    <w:rsid w:val="00951816"/>
    <w:rsid w:val="0095273E"/>
    <w:rsid w:val="00952C40"/>
    <w:rsid w:val="00953589"/>
    <w:rsid w:val="009535F6"/>
    <w:rsid w:val="00953A15"/>
    <w:rsid w:val="00954DB3"/>
    <w:rsid w:val="00955755"/>
    <w:rsid w:val="00956091"/>
    <w:rsid w:val="009564B0"/>
    <w:rsid w:val="00957D5A"/>
    <w:rsid w:val="0096023A"/>
    <w:rsid w:val="009602F2"/>
    <w:rsid w:val="0096059E"/>
    <w:rsid w:val="00960F4B"/>
    <w:rsid w:val="0096139B"/>
    <w:rsid w:val="00961AFF"/>
    <w:rsid w:val="009634B8"/>
    <w:rsid w:val="0096394B"/>
    <w:rsid w:val="00963ED8"/>
    <w:rsid w:val="009640D3"/>
    <w:rsid w:val="00964D5A"/>
    <w:rsid w:val="00965C2C"/>
    <w:rsid w:val="00966078"/>
    <w:rsid w:val="00966CA6"/>
    <w:rsid w:val="00970C34"/>
    <w:rsid w:val="0097102C"/>
    <w:rsid w:val="00972702"/>
    <w:rsid w:val="0097275B"/>
    <w:rsid w:val="0097285E"/>
    <w:rsid w:val="00972ED7"/>
    <w:rsid w:val="00973519"/>
    <w:rsid w:val="00973A11"/>
    <w:rsid w:val="0097533B"/>
    <w:rsid w:val="0097578C"/>
    <w:rsid w:val="0097581D"/>
    <w:rsid w:val="00975B95"/>
    <w:rsid w:val="00976CE7"/>
    <w:rsid w:val="00976F30"/>
    <w:rsid w:val="00976F92"/>
    <w:rsid w:val="00977563"/>
    <w:rsid w:val="00977A76"/>
    <w:rsid w:val="00980019"/>
    <w:rsid w:val="009804CB"/>
    <w:rsid w:val="009806F1"/>
    <w:rsid w:val="009811F7"/>
    <w:rsid w:val="0098199C"/>
    <w:rsid w:val="00982F14"/>
    <w:rsid w:val="00983CBC"/>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41A"/>
    <w:rsid w:val="0099476D"/>
    <w:rsid w:val="009960CC"/>
    <w:rsid w:val="00996724"/>
    <w:rsid w:val="00996779"/>
    <w:rsid w:val="009A0607"/>
    <w:rsid w:val="009A3457"/>
    <w:rsid w:val="009A357E"/>
    <w:rsid w:val="009A368D"/>
    <w:rsid w:val="009A3D96"/>
    <w:rsid w:val="009A3E02"/>
    <w:rsid w:val="009A4829"/>
    <w:rsid w:val="009A4ACF"/>
    <w:rsid w:val="009A621B"/>
    <w:rsid w:val="009A6ECD"/>
    <w:rsid w:val="009A6EFC"/>
    <w:rsid w:val="009A7E33"/>
    <w:rsid w:val="009B0780"/>
    <w:rsid w:val="009B11D0"/>
    <w:rsid w:val="009B13CF"/>
    <w:rsid w:val="009B16B7"/>
    <w:rsid w:val="009B21D3"/>
    <w:rsid w:val="009B2D7F"/>
    <w:rsid w:val="009B2E9F"/>
    <w:rsid w:val="009B2EB9"/>
    <w:rsid w:val="009B414C"/>
    <w:rsid w:val="009B41C6"/>
    <w:rsid w:val="009B498F"/>
    <w:rsid w:val="009B51AF"/>
    <w:rsid w:val="009B53E1"/>
    <w:rsid w:val="009B5586"/>
    <w:rsid w:val="009B5934"/>
    <w:rsid w:val="009B5EB5"/>
    <w:rsid w:val="009B6EEB"/>
    <w:rsid w:val="009B7205"/>
    <w:rsid w:val="009B72F3"/>
    <w:rsid w:val="009B737A"/>
    <w:rsid w:val="009B7639"/>
    <w:rsid w:val="009B77EE"/>
    <w:rsid w:val="009B7F81"/>
    <w:rsid w:val="009C0449"/>
    <w:rsid w:val="009C04C6"/>
    <w:rsid w:val="009C0C34"/>
    <w:rsid w:val="009C0E53"/>
    <w:rsid w:val="009C13F5"/>
    <w:rsid w:val="009C14DE"/>
    <w:rsid w:val="009C20F0"/>
    <w:rsid w:val="009C336E"/>
    <w:rsid w:val="009C3B4C"/>
    <w:rsid w:val="009C4C7E"/>
    <w:rsid w:val="009C5240"/>
    <w:rsid w:val="009C566F"/>
    <w:rsid w:val="009C56FC"/>
    <w:rsid w:val="009C5ABE"/>
    <w:rsid w:val="009C6600"/>
    <w:rsid w:val="009C690C"/>
    <w:rsid w:val="009C70A3"/>
    <w:rsid w:val="009C72E1"/>
    <w:rsid w:val="009C7776"/>
    <w:rsid w:val="009C7BEF"/>
    <w:rsid w:val="009D02B7"/>
    <w:rsid w:val="009D2726"/>
    <w:rsid w:val="009D2834"/>
    <w:rsid w:val="009D4FAE"/>
    <w:rsid w:val="009D7292"/>
    <w:rsid w:val="009E0B58"/>
    <w:rsid w:val="009E147D"/>
    <w:rsid w:val="009E17C0"/>
    <w:rsid w:val="009E1BC1"/>
    <w:rsid w:val="009E1BF4"/>
    <w:rsid w:val="009E1F8D"/>
    <w:rsid w:val="009E2020"/>
    <w:rsid w:val="009E21C8"/>
    <w:rsid w:val="009E27AA"/>
    <w:rsid w:val="009E2A3E"/>
    <w:rsid w:val="009E4219"/>
    <w:rsid w:val="009E431F"/>
    <w:rsid w:val="009E47C1"/>
    <w:rsid w:val="009E4F4F"/>
    <w:rsid w:val="009E501C"/>
    <w:rsid w:val="009E521F"/>
    <w:rsid w:val="009E56E2"/>
    <w:rsid w:val="009E5CBF"/>
    <w:rsid w:val="009E621E"/>
    <w:rsid w:val="009E6BBC"/>
    <w:rsid w:val="009F0826"/>
    <w:rsid w:val="009F15A7"/>
    <w:rsid w:val="009F1638"/>
    <w:rsid w:val="009F19E1"/>
    <w:rsid w:val="009F200C"/>
    <w:rsid w:val="009F210D"/>
    <w:rsid w:val="009F287D"/>
    <w:rsid w:val="009F3454"/>
    <w:rsid w:val="009F3BBB"/>
    <w:rsid w:val="009F44FF"/>
    <w:rsid w:val="009F50E1"/>
    <w:rsid w:val="009F57EC"/>
    <w:rsid w:val="009F68AA"/>
    <w:rsid w:val="009F695B"/>
    <w:rsid w:val="009F6F83"/>
    <w:rsid w:val="00A0011F"/>
    <w:rsid w:val="00A00A2A"/>
    <w:rsid w:val="00A02D8B"/>
    <w:rsid w:val="00A02DDE"/>
    <w:rsid w:val="00A0317A"/>
    <w:rsid w:val="00A035A2"/>
    <w:rsid w:val="00A0362D"/>
    <w:rsid w:val="00A037BD"/>
    <w:rsid w:val="00A0384A"/>
    <w:rsid w:val="00A03C44"/>
    <w:rsid w:val="00A041E4"/>
    <w:rsid w:val="00A045F2"/>
    <w:rsid w:val="00A06BDD"/>
    <w:rsid w:val="00A07308"/>
    <w:rsid w:val="00A07345"/>
    <w:rsid w:val="00A07D1C"/>
    <w:rsid w:val="00A07F05"/>
    <w:rsid w:val="00A112F0"/>
    <w:rsid w:val="00A11DD5"/>
    <w:rsid w:val="00A1544B"/>
    <w:rsid w:val="00A1659E"/>
    <w:rsid w:val="00A16FAC"/>
    <w:rsid w:val="00A178A9"/>
    <w:rsid w:val="00A17D48"/>
    <w:rsid w:val="00A20927"/>
    <w:rsid w:val="00A21479"/>
    <w:rsid w:val="00A21640"/>
    <w:rsid w:val="00A21747"/>
    <w:rsid w:val="00A2188E"/>
    <w:rsid w:val="00A224F8"/>
    <w:rsid w:val="00A22832"/>
    <w:rsid w:val="00A22AB4"/>
    <w:rsid w:val="00A23FB0"/>
    <w:rsid w:val="00A241BD"/>
    <w:rsid w:val="00A251F4"/>
    <w:rsid w:val="00A26358"/>
    <w:rsid w:val="00A26652"/>
    <w:rsid w:val="00A26AC9"/>
    <w:rsid w:val="00A26BE1"/>
    <w:rsid w:val="00A277E4"/>
    <w:rsid w:val="00A27A5F"/>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1276"/>
    <w:rsid w:val="00A4136F"/>
    <w:rsid w:val="00A41873"/>
    <w:rsid w:val="00A41B6D"/>
    <w:rsid w:val="00A41E6E"/>
    <w:rsid w:val="00A41F5A"/>
    <w:rsid w:val="00A421B9"/>
    <w:rsid w:val="00A42493"/>
    <w:rsid w:val="00A43592"/>
    <w:rsid w:val="00A43D18"/>
    <w:rsid w:val="00A43F1F"/>
    <w:rsid w:val="00A44262"/>
    <w:rsid w:val="00A44CBD"/>
    <w:rsid w:val="00A5139A"/>
    <w:rsid w:val="00A52F63"/>
    <w:rsid w:val="00A5436E"/>
    <w:rsid w:val="00A54D38"/>
    <w:rsid w:val="00A550AE"/>
    <w:rsid w:val="00A559C9"/>
    <w:rsid w:val="00A564D4"/>
    <w:rsid w:val="00A56BA0"/>
    <w:rsid w:val="00A57F14"/>
    <w:rsid w:val="00A600ED"/>
    <w:rsid w:val="00A6080C"/>
    <w:rsid w:val="00A61E0B"/>
    <w:rsid w:val="00A6224B"/>
    <w:rsid w:val="00A623BD"/>
    <w:rsid w:val="00A62A82"/>
    <w:rsid w:val="00A6368B"/>
    <w:rsid w:val="00A63B46"/>
    <w:rsid w:val="00A64D8F"/>
    <w:rsid w:val="00A64ED2"/>
    <w:rsid w:val="00A65040"/>
    <w:rsid w:val="00A651BE"/>
    <w:rsid w:val="00A66666"/>
    <w:rsid w:val="00A677E0"/>
    <w:rsid w:val="00A67840"/>
    <w:rsid w:val="00A67966"/>
    <w:rsid w:val="00A70383"/>
    <w:rsid w:val="00A70393"/>
    <w:rsid w:val="00A719AE"/>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1FB6"/>
    <w:rsid w:val="00A824FE"/>
    <w:rsid w:val="00A82727"/>
    <w:rsid w:val="00A846B2"/>
    <w:rsid w:val="00A850D2"/>
    <w:rsid w:val="00A856A7"/>
    <w:rsid w:val="00A85E75"/>
    <w:rsid w:val="00A86002"/>
    <w:rsid w:val="00A86104"/>
    <w:rsid w:val="00A86836"/>
    <w:rsid w:val="00A8687B"/>
    <w:rsid w:val="00A873F7"/>
    <w:rsid w:val="00A87773"/>
    <w:rsid w:val="00A877E2"/>
    <w:rsid w:val="00A87C20"/>
    <w:rsid w:val="00A90992"/>
    <w:rsid w:val="00A90C4D"/>
    <w:rsid w:val="00A918BA"/>
    <w:rsid w:val="00A92ACF"/>
    <w:rsid w:val="00A92CE3"/>
    <w:rsid w:val="00A92DAE"/>
    <w:rsid w:val="00A93317"/>
    <w:rsid w:val="00A93F88"/>
    <w:rsid w:val="00A94055"/>
    <w:rsid w:val="00A94056"/>
    <w:rsid w:val="00A94231"/>
    <w:rsid w:val="00A94B5C"/>
    <w:rsid w:val="00A9529C"/>
    <w:rsid w:val="00A9558D"/>
    <w:rsid w:val="00A9577C"/>
    <w:rsid w:val="00A95D47"/>
    <w:rsid w:val="00A964CC"/>
    <w:rsid w:val="00A964D0"/>
    <w:rsid w:val="00A9695C"/>
    <w:rsid w:val="00A9697D"/>
    <w:rsid w:val="00A97928"/>
    <w:rsid w:val="00A97D17"/>
    <w:rsid w:val="00AA038F"/>
    <w:rsid w:val="00AA04CA"/>
    <w:rsid w:val="00AA0EB9"/>
    <w:rsid w:val="00AA13A3"/>
    <w:rsid w:val="00AA18FB"/>
    <w:rsid w:val="00AA1FD0"/>
    <w:rsid w:val="00AA2110"/>
    <w:rsid w:val="00AA2C69"/>
    <w:rsid w:val="00AA32CE"/>
    <w:rsid w:val="00AA3660"/>
    <w:rsid w:val="00AA382B"/>
    <w:rsid w:val="00AA4549"/>
    <w:rsid w:val="00AA4601"/>
    <w:rsid w:val="00AA47E3"/>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52D"/>
    <w:rsid w:val="00AC0B88"/>
    <w:rsid w:val="00AC0E21"/>
    <w:rsid w:val="00AC2F81"/>
    <w:rsid w:val="00AC3332"/>
    <w:rsid w:val="00AC35F0"/>
    <w:rsid w:val="00AC3ADF"/>
    <w:rsid w:val="00AC3EF5"/>
    <w:rsid w:val="00AC48F4"/>
    <w:rsid w:val="00AC5317"/>
    <w:rsid w:val="00AC5EF6"/>
    <w:rsid w:val="00AC6587"/>
    <w:rsid w:val="00AC6E1C"/>
    <w:rsid w:val="00AC7E2C"/>
    <w:rsid w:val="00AD0218"/>
    <w:rsid w:val="00AD07F8"/>
    <w:rsid w:val="00AD0E73"/>
    <w:rsid w:val="00AD0F7B"/>
    <w:rsid w:val="00AD18A8"/>
    <w:rsid w:val="00AD1F9D"/>
    <w:rsid w:val="00AD29DB"/>
    <w:rsid w:val="00AD36A2"/>
    <w:rsid w:val="00AD3A1E"/>
    <w:rsid w:val="00AD3CEC"/>
    <w:rsid w:val="00AD44EF"/>
    <w:rsid w:val="00AD45C8"/>
    <w:rsid w:val="00AD4F49"/>
    <w:rsid w:val="00AD5E9A"/>
    <w:rsid w:val="00AD66DB"/>
    <w:rsid w:val="00AD6AA9"/>
    <w:rsid w:val="00AE0B1E"/>
    <w:rsid w:val="00AE233C"/>
    <w:rsid w:val="00AE2434"/>
    <w:rsid w:val="00AE26DB"/>
    <w:rsid w:val="00AE51FE"/>
    <w:rsid w:val="00AE5313"/>
    <w:rsid w:val="00AE5364"/>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73EA"/>
    <w:rsid w:val="00B00CD6"/>
    <w:rsid w:val="00B00FD2"/>
    <w:rsid w:val="00B0227F"/>
    <w:rsid w:val="00B0344F"/>
    <w:rsid w:val="00B0354B"/>
    <w:rsid w:val="00B059A7"/>
    <w:rsid w:val="00B05BCF"/>
    <w:rsid w:val="00B061BF"/>
    <w:rsid w:val="00B06780"/>
    <w:rsid w:val="00B067C4"/>
    <w:rsid w:val="00B06DC0"/>
    <w:rsid w:val="00B073F1"/>
    <w:rsid w:val="00B07B9A"/>
    <w:rsid w:val="00B07DEC"/>
    <w:rsid w:val="00B07FEE"/>
    <w:rsid w:val="00B102FC"/>
    <w:rsid w:val="00B1057D"/>
    <w:rsid w:val="00B10A34"/>
    <w:rsid w:val="00B110F4"/>
    <w:rsid w:val="00B121E6"/>
    <w:rsid w:val="00B125D5"/>
    <w:rsid w:val="00B127D2"/>
    <w:rsid w:val="00B131C6"/>
    <w:rsid w:val="00B13282"/>
    <w:rsid w:val="00B13596"/>
    <w:rsid w:val="00B156D1"/>
    <w:rsid w:val="00B16429"/>
    <w:rsid w:val="00B16808"/>
    <w:rsid w:val="00B169A4"/>
    <w:rsid w:val="00B16D9A"/>
    <w:rsid w:val="00B20176"/>
    <w:rsid w:val="00B2055C"/>
    <w:rsid w:val="00B207D8"/>
    <w:rsid w:val="00B20C48"/>
    <w:rsid w:val="00B20D3C"/>
    <w:rsid w:val="00B21604"/>
    <w:rsid w:val="00B21940"/>
    <w:rsid w:val="00B21C7D"/>
    <w:rsid w:val="00B22A72"/>
    <w:rsid w:val="00B22AC4"/>
    <w:rsid w:val="00B23174"/>
    <w:rsid w:val="00B24083"/>
    <w:rsid w:val="00B240A5"/>
    <w:rsid w:val="00B24F20"/>
    <w:rsid w:val="00B25DD6"/>
    <w:rsid w:val="00B26209"/>
    <w:rsid w:val="00B27215"/>
    <w:rsid w:val="00B27EA2"/>
    <w:rsid w:val="00B315DB"/>
    <w:rsid w:val="00B319A4"/>
    <w:rsid w:val="00B3204F"/>
    <w:rsid w:val="00B3285B"/>
    <w:rsid w:val="00B32984"/>
    <w:rsid w:val="00B337CA"/>
    <w:rsid w:val="00B33E86"/>
    <w:rsid w:val="00B3428E"/>
    <w:rsid w:val="00B34686"/>
    <w:rsid w:val="00B349AC"/>
    <w:rsid w:val="00B36577"/>
    <w:rsid w:val="00B36ED3"/>
    <w:rsid w:val="00B372A1"/>
    <w:rsid w:val="00B400DB"/>
    <w:rsid w:val="00B42F2E"/>
    <w:rsid w:val="00B43466"/>
    <w:rsid w:val="00B449D1"/>
    <w:rsid w:val="00B44C4F"/>
    <w:rsid w:val="00B45276"/>
    <w:rsid w:val="00B4541F"/>
    <w:rsid w:val="00B45583"/>
    <w:rsid w:val="00B45B7A"/>
    <w:rsid w:val="00B46195"/>
    <w:rsid w:val="00B46836"/>
    <w:rsid w:val="00B46B6A"/>
    <w:rsid w:val="00B46D80"/>
    <w:rsid w:val="00B47314"/>
    <w:rsid w:val="00B47CDE"/>
    <w:rsid w:val="00B47D08"/>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FCB"/>
    <w:rsid w:val="00B61D17"/>
    <w:rsid w:val="00B63EE9"/>
    <w:rsid w:val="00B64E8F"/>
    <w:rsid w:val="00B6559F"/>
    <w:rsid w:val="00B6597A"/>
    <w:rsid w:val="00B65E65"/>
    <w:rsid w:val="00B66056"/>
    <w:rsid w:val="00B66127"/>
    <w:rsid w:val="00B6617F"/>
    <w:rsid w:val="00B667EB"/>
    <w:rsid w:val="00B66B42"/>
    <w:rsid w:val="00B67071"/>
    <w:rsid w:val="00B6719C"/>
    <w:rsid w:val="00B67E4B"/>
    <w:rsid w:val="00B70A84"/>
    <w:rsid w:val="00B71787"/>
    <w:rsid w:val="00B71B1C"/>
    <w:rsid w:val="00B71C39"/>
    <w:rsid w:val="00B721F6"/>
    <w:rsid w:val="00B731BB"/>
    <w:rsid w:val="00B734ED"/>
    <w:rsid w:val="00B73712"/>
    <w:rsid w:val="00B73A9E"/>
    <w:rsid w:val="00B74418"/>
    <w:rsid w:val="00B75816"/>
    <w:rsid w:val="00B759C0"/>
    <w:rsid w:val="00B76545"/>
    <w:rsid w:val="00B775BA"/>
    <w:rsid w:val="00B80651"/>
    <w:rsid w:val="00B82842"/>
    <w:rsid w:val="00B84155"/>
    <w:rsid w:val="00B84431"/>
    <w:rsid w:val="00B853F9"/>
    <w:rsid w:val="00B85425"/>
    <w:rsid w:val="00B85762"/>
    <w:rsid w:val="00B85D59"/>
    <w:rsid w:val="00B863E2"/>
    <w:rsid w:val="00B86B25"/>
    <w:rsid w:val="00B86F02"/>
    <w:rsid w:val="00B87693"/>
    <w:rsid w:val="00B87DB4"/>
    <w:rsid w:val="00B904E4"/>
    <w:rsid w:val="00B905FC"/>
    <w:rsid w:val="00B90FE8"/>
    <w:rsid w:val="00B9204F"/>
    <w:rsid w:val="00B929CE"/>
    <w:rsid w:val="00B92FCF"/>
    <w:rsid w:val="00B93380"/>
    <w:rsid w:val="00B9444D"/>
    <w:rsid w:val="00B945FE"/>
    <w:rsid w:val="00B954F6"/>
    <w:rsid w:val="00B95A48"/>
    <w:rsid w:val="00B970A4"/>
    <w:rsid w:val="00B97855"/>
    <w:rsid w:val="00BA03DC"/>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DE4"/>
    <w:rsid w:val="00BB1E00"/>
    <w:rsid w:val="00BB1E03"/>
    <w:rsid w:val="00BB2FE2"/>
    <w:rsid w:val="00BB30CF"/>
    <w:rsid w:val="00BB4421"/>
    <w:rsid w:val="00BB4887"/>
    <w:rsid w:val="00BB55ED"/>
    <w:rsid w:val="00BC11E2"/>
    <w:rsid w:val="00BC1DCC"/>
    <w:rsid w:val="00BC26C0"/>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315"/>
    <w:rsid w:val="00BD349B"/>
    <w:rsid w:val="00BD398B"/>
    <w:rsid w:val="00BD3A56"/>
    <w:rsid w:val="00BD5A3D"/>
    <w:rsid w:val="00BD61A8"/>
    <w:rsid w:val="00BD6459"/>
    <w:rsid w:val="00BD6714"/>
    <w:rsid w:val="00BD6A05"/>
    <w:rsid w:val="00BD6DE4"/>
    <w:rsid w:val="00BD6DF0"/>
    <w:rsid w:val="00BD745F"/>
    <w:rsid w:val="00BE1064"/>
    <w:rsid w:val="00BE14F4"/>
    <w:rsid w:val="00BE1820"/>
    <w:rsid w:val="00BE1D76"/>
    <w:rsid w:val="00BE1D92"/>
    <w:rsid w:val="00BE287F"/>
    <w:rsid w:val="00BE2C6C"/>
    <w:rsid w:val="00BE34DB"/>
    <w:rsid w:val="00BE3CD6"/>
    <w:rsid w:val="00BE52E7"/>
    <w:rsid w:val="00BE5BC1"/>
    <w:rsid w:val="00BE62F1"/>
    <w:rsid w:val="00BE63A7"/>
    <w:rsid w:val="00BE6828"/>
    <w:rsid w:val="00BE68FA"/>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354"/>
    <w:rsid w:val="00C013C5"/>
    <w:rsid w:val="00C02477"/>
    <w:rsid w:val="00C02AFC"/>
    <w:rsid w:val="00C043FD"/>
    <w:rsid w:val="00C0478B"/>
    <w:rsid w:val="00C047D6"/>
    <w:rsid w:val="00C04836"/>
    <w:rsid w:val="00C0489F"/>
    <w:rsid w:val="00C05234"/>
    <w:rsid w:val="00C052D3"/>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71A0"/>
    <w:rsid w:val="00C1789C"/>
    <w:rsid w:val="00C17E85"/>
    <w:rsid w:val="00C20A03"/>
    <w:rsid w:val="00C2199F"/>
    <w:rsid w:val="00C21AFE"/>
    <w:rsid w:val="00C222FA"/>
    <w:rsid w:val="00C223AA"/>
    <w:rsid w:val="00C2243A"/>
    <w:rsid w:val="00C22D7C"/>
    <w:rsid w:val="00C22E37"/>
    <w:rsid w:val="00C2370D"/>
    <w:rsid w:val="00C24249"/>
    <w:rsid w:val="00C2518F"/>
    <w:rsid w:val="00C2627F"/>
    <w:rsid w:val="00C26FDC"/>
    <w:rsid w:val="00C27520"/>
    <w:rsid w:val="00C27B79"/>
    <w:rsid w:val="00C3079D"/>
    <w:rsid w:val="00C30DA7"/>
    <w:rsid w:val="00C310A9"/>
    <w:rsid w:val="00C31837"/>
    <w:rsid w:val="00C31A2D"/>
    <w:rsid w:val="00C320FB"/>
    <w:rsid w:val="00C32173"/>
    <w:rsid w:val="00C322EE"/>
    <w:rsid w:val="00C328BF"/>
    <w:rsid w:val="00C3378A"/>
    <w:rsid w:val="00C34F6E"/>
    <w:rsid w:val="00C34FEB"/>
    <w:rsid w:val="00C357FE"/>
    <w:rsid w:val="00C364E8"/>
    <w:rsid w:val="00C36F60"/>
    <w:rsid w:val="00C378AD"/>
    <w:rsid w:val="00C40861"/>
    <w:rsid w:val="00C4131C"/>
    <w:rsid w:val="00C421C7"/>
    <w:rsid w:val="00C42572"/>
    <w:rsid w:val="00C42630"/>
    <w:rsid w:val="00C426F8"/>
    <w:rsid w:val="00C4304E"/>
    <w:rsid w:val="00C4350F"/>
    <w:rsid w:val="00C43B95"/>
    <w:rsid w:val="00C43D50"/>
    <w:rsid w:val="00C43F65"/>
    <w:rsid w:val="00C469E4"/>
    <w:rsid w:val="00C46BE6"/>
    <w:rsid w:val="00C47D80"/>
    <w:rsid w:val="00C47EC1"/>
    <w:rsid w:val="00C50EBA"/>
    <w:rsid w:val="00C5116C"/>
    <w:rsid w:val="00C5301F"/>
    <w:rsid w:val="00C5349E"/>
    <w:rsid w:val="00C538F8"/>
    <w:rsid w:val="00C53E0C"/>
    <w:rsid w:val="00C53FC9"/>
    <w:rsid w:val="00C5498C"/>
    <w:rsid w:val="00C55058"/>
    <w:rsid w:val="00C55175"/>
    <w:rsid w:val="00C552A6"/>
    <w:rsid w:val="00C559BF"/>
    <w:rsid w:val="00C55BC4"/>
    <w:rsid w:val="00C55FD1"/>
    <w:rsid w:val="00C5730F"/>
    <w:rsid w:val="00C60154"/>
    <w:rsid w:val="00C60A1A"/>
    <w:rsid w:val="00C613D2"/>
    <w:rsid w:val="00C617BA"/>
    <w:rsid w:val="00C62A9D"/>
    <w:rsid w:val="00C633F7"/>
    <w:rsid w:val="00C63707"/>
    <w:rsid w:val="00C63825"/>
    <w:rsid w:val="00C64525"/>
    <w:rsid w:val="00C64E9E"/>
    <w:rsid w:val="00C658FB"/>
    <w:rsid w:val="00C6643E"/>
    <w:rsid w:val="00C66E4B"/>
    <w:rsid w:val="00C67CF0"/>
    <w:rsid w:val="00C700F2"/>
    <w:rsid w:val="00C710F6"/>
    <w:rsid w:val="00C712D9"/>
    <w:rsid w:val="00C7156E"/>
    <w:rsid w:val="00C71DA3"/>
    <w:rsid w:val="00C72940"/>
    <w:rsid w:val="00C72B99"/>
    <w:rsid w:val="00C737C9"/>
    <w:rsid w:val="00C744B1"/>
    <w:rsid w:val="00C74E7A"/>
    <w:rsid w:val="00C7568D"/>
    <w:rsid w:val="00C75698"/>
    <w:rsid w:val="00C7651F"/>
    <w:rsid w:val="00C76659"/>
    <w:rsid w:val="00C76E2C"/>
    <w:rsid w:val="00C80780"/>
    <w:rsid w:val="00C80796"/>
    <w:rsid w:val="00C80907"/>
    <w:rsid w:val="00C81AF4"/>
    <w:rsid w:val="00C8201C"/>
    <w:rsid w:val="00C8246F"/>
    <w:rsid w:val="00C8276D"/>
    <w:rsid w:val="00C82E23"/>
    <w:rsid w:val="00C833AB"/>
    <w:rsid w:val="00C837F9"/>
    <w:rsid w:val="00C84170"/>
    <w:rsid w:val="00C8533B"/>
    <w:rsid w:val="00C85E21"/>
    <w:rsid w:val="00C86421"/>
    <w:rsid w:val="00C8708C"/>
    <w:rsid w:val="00C87547"/>
    <w:rsid w:val="00C87D64"/>
    <w:rsid w:val="00C9049F"/>
    <w:rsid w:val="00C905E1"/>
    <w:rsid w:val="00C90EB3"/>
    <w:rsid w:val="00C93360"/>
    <w:rsid w:val="00C934A7"/>
    <w:rsid w:val="00C9600E"/>
    <w:rsid w:val="00C967BD"/>
    <w:rsid w:val="00C97452"/>
    <w:rsid w:val="00C9767C"/>
    <w:rsid w:val="00C97F01"/>
    <w:rsid w:val="00CA052C"/>
    <w:rsid w:val="00CA098E"/>
    <w:rsid w:val="00CA0A19"/>
    <w:rsid w:val="00CA0F7C"/>
    <w:rsid w:val="00CA2649"/>
    <w:rsid w:val="00CA278C"/>
    <w:rsid w:val="00CA2991"/>
    <w:rsid w:val="00CA4A2B"/>
    <w:rsid w:val="00CA4A3D"/>
    <w:rsid w:val="00CA5D42"/>
    <w:rsid w:val="00CA666A"/>
    <w:rsid w:val="00CA79E2"/>
    <w:rsid w:val="00CB03D3"/>
    <w:rsid w:val="00CB0504"/>
    <w:rsid w:val="00CB1515"/>
    <w:rsid w:val="00CB164B"/>
    <w:rsid w:val="00CB1F8E"/>
    <w:rsid w:val="00CB270E"/>
    <w:rsid w:val="00CB2FBE"/>
    <w:rsid w:val="00CB33F8"/>
    <w:rsid w:val="00CB462C"/>
    <w:rsid w:val="00CB484E"/>
    <w:rsid w:val="00CB5900"/>
    <w:rsid w:val="00CB6519"/>
    <w:rsid w:val="00CB67D0"/>
    <w:rsid w:val="00CB6878"/>
    <w:rsid w:val="00CC03BA"/>
    <w:rsid w:val="00CC1386"/>
    <w:rsid w:val="00CC172C"/>
    <w:rsid w:val="00CC3AF2"/>
    <w:rsid w:val="00CC404B"/>
    <w:rsid w:val="00CC410F"/>
    <w:rsid w:val="00CC495D"/>
    <w:rsid w:val="00CC553D"/>
    <w:rsid w:val="00CC5721"/>
    <w:rsid w:val="00CC6292"/>
    <w:rsid w:val="00CC6DA8"/>
    <w:rsid w:val="00CC72CB"/>
    <w:rsid w:val="00CC7564"/>
    <w:rsid w:val="00CC79EA"/>
    <w:rsid w:val="00CD06C6"/>
    <w:rsid w:val="00CD0947"/>
    <w:rsid w:val="00CD0B5F"/>
    <w:rsid w:val="00CD115F"/>
    <w:rsid w:val="00CD153C"/>
    <w:rsid w:val="00CD1705"/>
    <w:rsid w:val="00CD1A26"/>
    <w:rsid w:val="00CD2219"/>
    <w:rsid w:val="00CD2C07"/>
    <w:rsid w:val="00CD2DFE"/>
    <w:rsid w:val="00CD48D4"/>
    <w:rsid w:val="00CD4E71"/>
    <w:rsid w:val="00CD6A2E"/>
    <w:rsid w:val="00CD6F4C"/>
    <w:rsid w:val="00CE031A"/>
    <w:rsid w:val="00CE05F5"/>
    <w:rsid w:val="00CE0A30"/>
    <w:rsid w:val="00CE1DFF"/>
    <w:rsid w:val="00CE1F7F"/>
    <w:rsid w:val="00CE32B1"/>
    <w:rsid w:val="00CE32F8"/>
    <w:rsid w:val="00CE3300"/>
    <w:rsid w:val="00CE390B"/>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35E8"/>
    <w:rsid w:val="00CF3EC8"/>
    <w:rsid w:val="00CF4189"/>
    <w:rsid w:val="00CF4334"/>
    <w:rsid w:val="00CF4402"/>
    <w:rsid w:val="00CF4569"/>
    <w:rsid w:val="00CF4888"/>
    <w:rsid w:val="00CF4F70"/>
    <w:rsid w:val="00CF5484"/>
    <w:rsid w:val="00CF60EC"/>
    <w:rsid w:val="00CF7E56"/>
    <w:rsid w:val="00D00492"/>
    <w:rsid w:val="00D00AA3"/>
    <w:rsid w:val="00D01014"/>
    <w:rsid w:val="00D018A0"/>
    <w:rsid w:val="00D01B90"/>
    <w:rsid w:val="00D01D34"/>
    <w:rsid w:val="00D0245F"/>
    <w:rsid w:val="00D0253F"/>
    <w:rsid w:val="00D02699"/>
    <w:rsid w:val="00D030AD"/>
    <w:rsid w:val="00D03D7B"/>
    <w:rsid w:val="00D04157"/>
    <w:rsid w:val="00D0433D"/>
    <w:rsid w:val="00D0490A"/>
    <w:rsid w:val="00D05068"/>
    <w:rsid w:val="00D05B1B"/>
    <w:rsid w:val="00D06088"/>
    <w:rsid w:val="00D068E3"/>
    <w:rsid w:val="00D0764C"/>
    <w:rsid w:val="00D07F60"/>
    <w:rsid w:val="00D1088D"/>
    <w:rsid w:val="00D1117C"/>
    <w:rsid w:val="00D11238"/>
    <w:rsid w:val="00D11D67"/>
    <w:rsid w:val="00D12D17"/>
    <w:rsid w:val="00D12D91"/>
    <w:rsid w:val="00D135A5"/>
    <w:rsid w:val="00D1388C"/>
    <w:rsid w:val="00D13E42"/>
    <w:rsid w:val="00D145D4"/>
    <w:rsid w:val="00D15EEA"/>
    <w:rsid w:val="00D20BA9"/>
    <w:rsid w:val="00D224E7"/>
    <w:rsid w:val="00D22FB3"/>
    <w:rsid w:val="00D236C2"/>
    <w:rsid w:val="00D23814"/>
    <w:rsid w:val="00D251AB"/>
    <w:rsid w:val="00D25292"/>
    <w:rsid w:val="00D25507"/>
    <w:rsid w:val="00D256E5"/>
    <w:rsid w:val="00D25A2C"/>
    <w:rsid w:val="00D26E1C"/>
    <w:rsid w:val="00D274D2"/>
    <w:rsid w:val="00D2786B"/>
    <w:rsid w:val="00D27D85"/>
    <w:rsid w:val="00D3122B"/>
    <w:rsid w:val="00D31B75"/>
    <w:rsid w:val="00D3201B"/>
    <w:rsid w:val="00D33326"/>
    <w:rsid w:val="00D347E9"/>
    <w:rsid w:val="00D34D53"/>
    <w:rsid w:val="00D34F0D"/>
    <w:rsid w:val="00D3532B"/>
    <w:rsid w:val="00D36388"/>
    <w:rsid w:val="00D364BC"/>
    <w:rsid w:val="00D37712"/>
    <w:rsid w:val="00D37D94"/>
    <w:rsid w:val="00D401FA"/>
    <w:rsid w:val="00D407CC"/>
    <w:rsid w:val="00D408AA"/>
    <w:rsid w:val="00D41146"/>
    <w:rsid w:val="00D417DB"/>
    <w:rsid w:val="00D418F4"/>
    <w:rsid w:val="00D42794"/>
    <w:rsid w:val="00D42ADB"/>
    <w:rsid w:val="00D42CDC"/>
    <w:rsid w:val="00D44575"/>
    <w:rsid w:val="00D44D89"/>
    <w:rsid w:val="00D44DCE"/>
    <w:rsid w:val="00D453A1"/>
    <w:rsid w:val="00D46546"/>
    <w:rsid w:val="00D46A00"/>
    <w:rsid w:val="00D46D25"/>
    <w:rsid w:val="00D516D3"/>
    <w:rsid w:val="00D517B4"/>
    <w:rsid w:val="00D518D2"/>
    <w:rsid w:val="00D51D03"/>
    <w:rsid w:val="00D52AB6"/>
    <w:rsid w:val="00D52D4B"/>
    <w:rsid w:val="00D5360A"/>
    <w:rsid w:val="00D53D03"/>
    <w:rsid w:val="00D540AB"/>
    <w:rsid w:val="00D54A42"/>
    <w:rsid w:val="00D56598"/>
    <w:rsid w:val="00D56C08"/>
    <w:rsid w:val="00D5764E"/>
    <w:rsid w:val="00D577D1"/>
    <w:rsid w:val="00D57A67"/>
    <w:rsid w:val="00D602BB"/>
    <w:rsid w:val="00D61112"/>
    <w:rsid w:val="00D62347"/>
    <w:rsid w:val="00D64D10"/>
    <w:rsid w:val="00D65856"/>
    <w:rsid w:val="00D66903"/>
    <w:rsid w:val="00D66B91"/>
    <w:rsid w:val="00D67422"/>
    <w:rsid w:val="00D708E2"/>
    <w:rsid w:val="00D70A0F"/>
    <w:rsid w:val="00D719E8"/>
    <w:rsid w:val="00D71AFB"/>
    <w:rsid w:val="00D723DA"/>
    <w:rsid w:val="00D7255C"/>
    <w:rsid w:val="00D72856"/>
    <w:rsid w:val="00D72E86"/>
    <w:rsid w:val="00D74F8F"/>
    <w:rsid w:val="00D75373"/>
    <w:rsid w:val="00D764A3"/>
    <w:rsid w:val="00D76BB7"/>
    <w:rsid w:val="00D80F3A"/>
    <w:rsid w:val="00D82BCE"/>
    <w:rsid w:val="00D82DA2"/>
    <w:rsid w:val="00D82E48"/>
    <w:rsid w:val="00D83DCA"/>
    <w:rsid w:val="00D844AB"/>
    <w:rsid w:val="00D851BB"/>
    <w:rsid w:val="00D8521D"/>
    <w:rsid w:val="00D861C2"/>
    <w:rsid w:val="00D86267"/>
    <w:rsid w:val="00D86582"/>
    <w:rsid w:val="00D86B73"/>
    <w:rsid w:val="00D8731D"/>
    <w:rsid w:val="00D87574"/>
    <w:rsid w:val="00D87C5D"/>
    <w:rsid w:val="00D908C0"/>
    <w:rsid w:val="00D90DA0"/>
    <w:rsid w:val="00D92B1A"/>
    <w:rsid w:val="00D935C4"/>
    <w:rsid w:val="00D93896"/>
    <w:rsid w:val="00D9579F"/>
    <w:rsid w:val="00D95979"/>
    <w:rsid w:val="00D95C97"/>
    <w:rsid w:val="00D96DE2"/>
    <w:rsid w:val="00D97057"/>
    <w:rsid w:val="00D97559"/>
    <w:rsid w:val="00DA0229"/>
    <w:rsid w:val="00DA0897"/>
    <w:rsid w:val="00DA0A99"/>
    <w:rsid w:val="00DA15D2"/>
    <w:rsid w:val="00DA27B9"/>
    <w:rsid w:val="00DA29D1"/>
    <w:rsid w:val="00DA30D8"/>
    <w:rsid w:val="00DA3932"/>
    <w:rsid w:val="00DA3C65"/>
    <w:rsid w:val="00DA3CE0"/>
    <w:rsid w:val="00DA4E66"/>
    <w:rsid w:val="00DA4FA3"/>
    <w:rsid w:val="00DA5092"/>
    <w:rsid w:val="00DA6975"/>
    <w:rsid w:val="00DA6AC1"/>
    <w:rsid w:val="00DA7243"/>
    <w:rsid w:val="00DA77FA"/>
    <w:rsid w:val="00DA7D1C"/>
    <w:rsid w:val="00DB127E"/>
    <w:rsid w:val="00DB1C28"/>
    <w:rsid w:val="00DB2AAD"/>
    <w:rsid w:val="00DB3094"/>
    <w:rsid w:val="00DB3431"/>
    <w:rsid w:val="00DB3972"/>
    <w:rsid w:val="00DB3F40"/>
    <w:rsid w:val="00DB5BDE"/>
    <w:rsid w:val="00DB5EE3"/>
    <w:rsid w:val="00DB603C"/>
    <w:rsid w:val="00DB6187"/>
    <w:rsid w:val="00DB61C7"/>
    <w:rsid w:val="00DB6EF7"/>
    <w:rsid w:val="00DB7153"/>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976"/>
    <w:rsid w:val="00DC61C5"/>
    <w:rsid w:val="00DC667E"/>
    <w:rsid w:val="00DC69A0"/>
    <w:rsid w:val="00DC7DAF"/>
    <w:rsid w:val="00DD0713"/>
    <w:rsid w:val="00DD1090"/>
    <w:rsid w:val="00DD1520"/>
    <w:rsid w:val="00DD157A"/>
    <w:rsid w:val="00DD1903"/>
    <w:rsid w:val="00DD1A3B"/>
    <w:rsid w:val="00DD2065"/>
    <w:rsid w:val="00DD2BEC"/>
    <w:rsid w:val="00DD3051"/>
    <w:rsid w:val="00DD3A56"/>
    <w:rsid w:val="00DD456D"/>
    <w:rsid w:val="00DD46CA"/>
    <w:rsid w:val="00DD5130"/>
    <w:rsid w:val="00DD5605"/>
    <w:rsid w:val="00DD5716"/>
    <w:rsid w:val="00DD5FBC"/>
    <w:rsid w:val="00DD645B"/>
    <w:rsid w:val="00DD64AD"/>
    <w:rsid w:val="00DD6BDA"/>
    <w:rsid w:val="00DD707A"/>
    <w:rsid w:val="00DD776F"/>
    <w:rsid w:val="00DD7F79"/>
    <w:rsid w:val="00DE0573"/>
    <w:rsid w:val="00DE27E3"/>
    <w:rsid w:val="00DE2840"/>
    <w:rsid w:val="00DE2A9B"/>
    <w:rsid w:val="00DE348F"/>
    <w:rsid w:val="00DE34A7"/>
    <w:rsid w:val="00DE3907"/>
    <w:rsid w:val="00DE3A0D"/>
    <w:rsid w:val="00DE4ACE"/>
    <w:rsid w:val="00DE521C"/>
    <w:rsid w:val="00DE643A"/>
    <w:rsid w:val="00DE6590"/>
    <w:rsid w:val="00DE7AC1"/>
    <w:rsid w:val="00DF033F"/>
    <w:rsid w:val="00DF05AF"/>
    <w:rsid w:val="00DF11F1"/>
    <w:rsid w:val="00DF1DBD"/>
    <w:rsid w:val="00DF2899"/>
    <w:rsid w:val="00DF3E05"/>
    <w:rsid w:val="00DF3FF1"/>
    <w:rsid w:val="00DF422F"/>
    <w:rsid w:val="00DF4557"/>
    <w:rsid w:val="00DF5A06"/>
    <w:rsid w:val="00DF60D3"/>
    <w:rsid w:val="00DF7320"/>
    <w:rsid w:val="00DF7897"/>
    <w:rsid w:val="00DF7F27"/>
    <w:rsid w:val="00E00686"/>
    <w:rsid w:val="00E02B92"/>
    <w:rsid w:val="00E03753"/>
    <w:rsid w:val="00E05A52"/>
    <w:rsid w:val="00E06F82"/>
    <w:rsid w:val="00E07987"/>
    <w:rsid w:val="00E07ECB"/>
    <w:rsid w:val="00E10446"/>
    <w:rsid w:val="00E10AAD"/>
    <w:rsid w:val="00E114F8"/>
    <w:rsid w:val="00E11D41"/>
    <w:rsid w:val="00E12DF9"/>
    <w:rsid w:val="00E13002"/>
    <w:rsid w:val="00E1364B"/>
    <w:rsid w:val="00E13966"/>
    <w:rsid w:val="00E14140"/>
    <w:rsid w:val="00E144A9"/>
    <w:rsid w:val="00E14D66"/>
    <w:rsid w:val="00E16313"/>
    <w:rsid w:val="00E1744E"/>
    <w:rsid w:val="00E17953"/>
    <w:rsid w:val="00E17F9D"/>
    <w:rsid w:val="00E2049B"/>
    <w:rsid w:val="00E205A9"/>
    <w:rsid w:val="00E2071B"/>
    <w:rsid w:val="00E20754"/>
    <w:rsid w:val="00E20F60"/>
    <w:rsid w:val="00E21725"/>
    <w:rsid w:val="00E22196"/>
    <w:rsid w:val="00E229AE"/>
    <w:rsid w:val="00E235FA"/>
    <w:rsid w:val="00E23D60"/>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31B7"/>
    <w:rsid w:val="00E3365B"/>
    <w:rsid w:val="00E336E4"/>
    <w:rsid w:val="00E3400D"/>
    <w:rsid w:val="00E34436"/>
    <w:rsid w:val="00E34996"/>
    <w:rsid w:val="00E34CEB"/>
    <w:rsid w:val="00E3538C"/>
    <w:rsid w:val="00E35810"/>
    <w:rsid w:val="00E35F86"/>
    <w:rsid w:val="00E3648E"/>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377"/>
    <w:rsid w:val="00E45DC9"/>
    <w:rsid w:val="00E45E05"/>
    <w:rsid w:val="00E46978"/>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D8"/>
    <w:rsid w:val="00E64E53"/>
    <w:rsid w:val="00E6715F"/>
    <w:rsid w:val="00E673FD"/>
    <w:rsid w:val="00E67C5E"/>
    <w:rsid w:val="00E70061"/>
    <w:rsid w:val="00E7096F"/>
    <w:rsid w:val="00E71682"/>
    <w:rsid w:val="00E720FC"/>
    <w:rsid w:val="00E72401"/>
    <w:rsid w:val="00E7271A"/>
    <w:rsid w:val="00E731A5"/>
    <w:rsid w:val="00E7376C"/>
    <w:rsid w:val="00E747A9"/>
    <w:rsid w:val="00E74862"/>
    <w:rsid w:val="00E748B6"/>
    <w:rsid w:val="00E74950"/>
    <w:rsid w:val="00E753B5"/>
    <w:rsid w:val="00E759C3"/>
    <w:rsid w:val="00E75B7B"/>
    <w:rsid w:val="00E75F11"/>
    <w:rsid w:val="00E7700B"/>
    <w:rsid w:val="00E77C6E"/>
    <w:rsid w:val="00E809EB"/>
    <w:rsid w:val="00E80A86"/>
    <w:rsid w:val="00E8501C"/>
    <w:rsid w:val="00E851A5"/>
    <w:rsid w:val="00E851AA"/>
    <w:rsid w:val="00E8576B"/>
    <w:rsid w:val="00E85A30"/>
    <w:rsid w:val="00E85FBE"/>
    <w:rsid w:val="00E86CBC"/>
    <w:rsid w:val="00E86E48"/>
    <w:rsid w:val="00E870AB"/>
    <w:rsid w:val="00E87CD5"/>
    <w:rsid w:val="00E9082B"/>
    <w:rsid w:val="00E911CE"/>
    <w:rsid w:val="00E91664"/>
    <w:rsid w:val="00E91C0B"/>
    <w:rsid w:val="00E924C5"/>
    <w:rsid w:val="00E92D29"/>
    <w:rsid w:val="00E92D44"/>
    <w:rsid w:val="00E9394D"/>
    <w:rsid w:val="00E94337"/>
    <w:rsid w:val="00E94965"/>
    <w:rsid w:val="00E94A5A"/>
    <w:rsid w:val="00E96BBA"/>
    <w:rsid w:val="00E975EF"/>
    <w:rsid w:val="00E97801"/>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A7D61"/>
    <w:rsid w:val="00EB05EC"/>
    <w:rsid w:val="00EB0C1A"/>
    <w:rsid w:val="00EB15FB"/>
    <w:rsid w:val="00EB1E31"/>
    <w:rsid w:val="00EB1EA2"/>
    <w:rsid w:val="00EB21C2"/>
    <w:rsid w:val="00EB26ED"/>
    <w:rsid w:val="00EB279C"/>
    <w:rsid w:val="00EB320E"/>
    <w:rsid w:val="00EB4FFB"/>
    <w:rsid w:val="00EB598D"/>
    <w:rsid w:val="00EB6C1C"/>
    <w:rsid w:val="00EB7271"/>
    <w:rsid w:val="00EC0FD6"/>
    <w:rsid w:val="00EC190C"/>
    <w:rsid w:val="00EC27BB"/>
    <w:rsid w:val="00EC3C4B"/>
    <w:rsid w:val="00EC3CF5"/>
    <w:rsid w:val="00EC3E9E"/>
    <w:rsid w:val="00EC42C8"/>
    <w:rsid w:val="00EC5A7B"/>
    <w:rsid w:val="00EC5B60"/>
    <w:rsid w:val="00EC5EF1"/>
    <w:rsid w:val="00EC6072"/>
    <w:rsid w:val="00EC75EC"/>
    <w:rsid w:val="00EC798B"/>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1BA"/>
    <w:rsid w:val="00EE0A61"/>
    <w:rsid w:val="00EE1534"/>
    <w:rsid w:val="00EE199A"/>
    <w:rsid w:val="00EE377B"/>
    <w:rsid w:val="00EE3AD2"/>
    <w:rsid w:val="00EE558E"/>
    <w:rsid w:val="00EE5937"/>
    <w:rsid w:val="00EE645F"/>
    <w:rsid w:val="00EE678E"/>
    <w:rsid w:val="00EE6918"/>
    <w:rsid w:val="00EE6A0F"/>
    <w:rsid w:val="00EE6A86"/>
    <w:rsid w:val="00EF072D"/>
    <w:rsid w:val="00EF119D"/>
    <w:rsid w:val="00EF135F"/>
    <w:rsid w:val="00EF1B00"/>
    <w:rsid w:val="00EF375B"/>
    <w:rsid w:val="00EF38F2"/>
    <w:rsid w:val="00EF41B6"/>
    <w:rsid w:val="00EF4A7B"/>
    <w:rsid w:val="00EF71EE"/>
    <w:rsid w:val="00EF74B5"/>
    <w:rsid w:val="00EF7825"/>
    <w:rsid w:val="00F0044E"/>
    <w:rsid w:val="00F010E9"/>
    <w:rsid w:val="00F01974"/>
    <w:rsid w:val="00F0290D"/>
    <w:rsid w:val="00F02F72"/>
    <w:rsid w:val="00F0307B"/>
    <w:rsid w:val="00F03948"/>
    <w:rsid w:val="00F03C1D"/>
    <w:rsid w:val="00F03E5D"/>
    <w:rsid w:val="00F04615"/>
    <w:rsid w:val="00F04771"/>
    <w:rsid w:val="00F04F98"/>
    <w:rsid w:val="00F05675"/>
    <w:rsid w:val="00F056BB"/>
    <w:rsid w:val="00F05F14"/>
    <w:rsid w:val="00F06DFD"/>
    <w:rsid w:val="00F0752F"/>
    <w:rsid w:val="00F0765A"/>
    <w:rsid w:val="00F10236"/>
    <w:rsid w:val="00F104E3"/>
    <w:rsid w:val="00F125FA"/>
    <w:rsid w:val="00F1277D"/>
    <w:rsid w:val="00F135D5"/>
    <w:rsid w:val="00F13836"/>
    <w:rsid w:val="00F13863"/>
    <w:rsid w:val="00F14190"/>
    <w:rsid w:val="00F15C0E"/>
    <w:rsid w:val="00F16015"/>
    <w:rsid w:val="00F16281"/>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42DC"/>
    <w:rsid w:val="00F24BD1"/>
    <w:rsid w:val="00F260C9"/>
    <w:rsid w:val="00F261EF"/>
    <w:rsid w:val="00F2635F"/>
    <w:rsid w:val="00F26FFB"/>
    <w:rsid w:val="00F27404"/>
    <w:rsid w:val="00F278C4"/>
    <w:rsid w:val="00F27DA3"/>
    <w:rsid w:val="00F27E8A"/>
    <w:rsid w:val="00F3085A"/>
    <w:rsid w:val="00F30905"/>
    <w:rsid w:val="00F30BD6"/>
    <w:rsid w:val="00F314A2"/>
    <w:rsid w:val="00F323A5"/>
    <w:rsid w:val="00F32894"/>
    <w:rsid w:val="00F32A44"/>
    <w:rsid w:val="00F32D4D"/>
    <w:rsid w:val="00F32F58"/>
    <w:rsid w:val="00F333B8"/>
    <w:rsid w:val="00F33A07"/>
    <w:rsid w:val="00F33B22"/>
    <w:rsid w:val="00F33B6F"/>
    <w:rsid w:val="00F34415"/>
    <w:rsid w:val="00F34606"/>
    <w:rsid w:val="00F3478A"/>
    <w:rsid w:val="00F353BC"/>
    <w:rsid w:val="00F35686"/>
    <w:rsid w:val="00F3614C"/>
    <w:rsid w:val="00F3738D"/>
    <w:rsid w:val="00F37786"/>
    <w:rsid w:val="00F377DB"/>
    <w:rsid w:val="00F37AA3"/>
    <w:rsid w:val="00F37E99"/>
    <w:rsid w:val="00F400CB"/>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00A"/>
    <w:rsid w:val="00F5136B"/>
    <w:rsid w:val="00F5159B"/>
    <w:rsid w:val="00F51E48"/>
    <w:rsid w:val="00F52316"/>
    <w:rsid w:val="00F5293A"/>
    <w:rsid w:val="00F52AC0"/>
    <w:rsid w:val="00F52E2D"/>
    <w:rsid w:val="00F54084"/>
    <w:rsid w:val="00F549A1"/>
    <w:rsid w:val="00F5603F"/>
    <w:rsid w:val="00F56E01"/>
    <w:rsid w:val="00F57DA4"/>
    <w:rsid w:val="00F603F8"/>
    <w:rsid w:val="00F6062F"/>
    <w:rsid w:val="00F606A7"/>
    <w:rsid w:val="00F606C2"/>
    <w:rsid w:val="00F60715"/>
    <w:rsid w:val="00F60B09"/>
    <w:rsid w:val="00F61877"/>
    <w:rsid w:val="00F61ABE"/>
    <w:rsid w:val="00F61ACE"/>
    <w:rsid w:val="00F61D84"/>
    <w:rsid w:val="00F62810"/>
    <w:rsid w:val="00F63B1C"/>
    <w:rsid w:val="00F64888"/>
    <w:rsid w:val="00F65260"/>
    <w:rsid w:val="00F6612D"/>
    <w:rsid w:val="00F662BB"/>
    <w:rsid w:val="00F66A9E"/>
    <w:rsid w:val="00F67239"/>
    <w:rsid w:val="00F70762"/>
    <w:rsid w:val="00F721CA"/>
    <w:rsid w:val="00F72655"/>
    <w:rsid w:val="00F72660"/>
    <w:rsid w:val="00F73B9F"/>
    <w:rsid w:val="00F740A0"/>
    <w:rsid w:val="00F74801"/>
    <w:rsid w:val="00F74AE7"/>
    <w:rsid w:val="00F74C5A"/>
    <w:rsid w:val="00F76B6A"/>
    <w:rsid w:val="00F76C17"/>
    <w:rsid w:val="00F7713B"/>
    <w:rsid w:val="00F80F83"/>
    <w:rsid w:val="00F81011"/>
    <w:rsid w:val="00F81B08"/>
    <w:rsid w:val="00F81BDE"/>
    <w:rsid w:val="00F8258B"/>
    <w:rsid w:val="00F82614"/>
    <w:rsid w:val="00F826C1"/>
    <w:rsid w:val="00F828EE"/>
    <w:rsid w:val="00F83970"/>
    <w:rsid w:val="00F84018"/>
    <w:rsid w:val="00F84B09"/>
    <w:rsid w:val="00F84B5A"/>
    <w:rsid w:val="00F84B93"/>
    <w:rsid w:val="00F84D11"/>
    <w:rsid w:val="00F855B5"/>
    <w:rsid w:val="00F858B5"/>
    <w:rsid w:val="00F85FF6"/>
    <w:rsid w:val="00F868C1"/>
    <w:rsid w:val="00F87A66"/>
    <w:rsid w:val="00F87CBF"/>
    <w:rsid w:val="00F90206"/>
    <w:rsid w:val="00F90DC6"/>
    <w:rsid w:val="00F9230A"/>
    <w:rsid w:val="00F92626"/>
    <w:rsid w:val="00F9285A"/>
    <w:rsid w:val="00F92B52"/>
    <w:rsid w:val="00F93BBC"/>
    <w:rsid w:val="00F94F5F"/>
    <w:rsid w:val="00F958C2"/>
    <w:rsid w:val="00F95F56"/>
    <w:rsid w:val="00F96137"/>
    <w:rsid w:val="00F9644D"/>
    <w:rsid w:val="00F97296"/>
    <w:rsid w:val="00F979AC"/>
    <w:rsid w:val="00F97DF6"/>
    <w:rsid w:val="00FA0BA0"/>
    <w:rsid w:val="00FA19C1"/>
    <w:rsid w:val="00FA1ED1"/>
    <w:rsid w:val="00FA25EE"/>
    <w:rsid w:val="00FA3B86"/>
    <w:rsid w:val="00FA3ECA"/>
    <w:rsid w:val="00FA4969"/>
    <w:rsid w:val="00FA53D7"/>
    <w:rsid w:val="00FA58E1"/>
    <w:rsid w:val="00FA60BD"/>
    <w:rsid w:val="00FA6796"/>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AA2"/>
    <w:rsid w:val="00FB5BD7"/>
    <w:rsid w:val="00FB63BC"/>
    <w:rsid w:val="00FB6514"/>
    <w:rsid w:val="00FB6614"/>
    <w:rsid w:val="00FB7083"/>
    <w:rsid w:val="00FC05C0"/>
    <w:rsid w:val="00FC085D"/>
    <w:rsid w:val="00FC1CE1"/>
    <w:rsid w:val="00FC29E0"/>
    <w:rsid w:val="00FC2B13"/>
    <w:rsid w:val="00FC315E"/>
    <w:rsid w:val="00FC3E96"/>
    <w:rsid w:val="00FC5728"/>
    <w:rsid w:val="00FC572D"/>
    <w:rsid w:val="00FC6714"/>
    <w:rsid w:val="00FC6E87"/>
    <w:rsid w:val="00FC7EBB"/>
    <w:rsid w:val="00FC7F08"/>
    <w:rsid w:val="00FD0FD1"/>
    <w:rsid w:val="00FD106D"/>
    <w:rsid w:val="00FD13AA"/>
    <w:rsid w:val="00FD1975"/>
    <w:rsid w:val="00FD1A3D"/>
    <w:rsid w:val="00FD2191"/>
    <w:rsid w:val="00FD266B"/>
    <w:rsid w:val="00FD2B28"/>
    <w:rsid w:val="00FD2D33"/>
    <w:rsid w:val="00FD3580"/>
    <w:rsid w:val="00FD4710"/>
    <w:rsid w:val="00FD5B50"/>
    <w:rsid w:val="00FD6195"/>
    <w:rsid w:val="00FD63FC"/>
    <w:rsid w:val="00FE0670"/>
    <w:rsid w:val="00FE2147"/>
    <w:rsid w:val="00FE219D"/>
    <w:rsid w:val="00FE2620"/>
    <w:rsid w:val="00FE3864"/>
    <w:rsid w:val="00FE3E75"/>
    <w:rsid w:val="00FE4B0E"/>
    <w:rsid w:val="00FE4D6E"/>
    <w:rsid w:val="00FE6349"/>
    <w:rsid w:val="00FE6BFA"/>
    <w:rsid w:val="00FE7282"/>
    <w:rsid w:val="00FE7304"/>
    <w:rsid w:val="00FE79B7"/>
    <w:rsid w:val="00FF0310"/>
    <w:rsid w:val="00FF11DA"/>
    <w:rsid w:val="00FF20DC"/>
    <w:rsid w:val="00FF23DE"/>
    <w:rsid w:val="00FF2792"/>
    <w:rsid w:val="00FF59D0"/>
    <w:rsid w:val="00FF670F"/>
    <w:rsid w:val="00FF72F4"/>
    <w:rsid w:val="00FF7454"/>
    <w:rsid w:val="00FF7ED8"/>
    <w:rsid w:val="010354AC"/>
    <w:rsid w:val="01255330"/>
    <w:rsid w:val="01301ECB"/>
    <w:rsid w:val="01690227"/>
    <w:rsid w:val="01FB5C4F"/>
    <w:rsid w:val="0256548E"/>
    <w:rsid w:val="02657094"/>
    <w:rsid w:val="02890D36"/>
    <w:rsid w:val="029370C7"/>
    <w:rsid w:val="02960963"/>
    <w:rsid w:val="02BD78CB"/>
    <w:rsid w:val="02DE1725"/>
    <w:rsid w:val="02FF41F8"/>
    <w:rsid w:val="0314419D"/>
    <w:rsid w:val="04691FC5"/>
    <w:rsid w:val="04AD20F7"/>
    <w:rsid w:val="04E24159"/>
    <w:rsid w:val="04E81B1A"/>
    <w:rsid w:val="05097AD0"/>
    <w:rsid w:val="05187985"/>
    <w:rsid w:val="053A4F12"/>
    <w:rsid w:val="056D174C"/>
    <w:rsid w:val="056D3AD0"/>
    <w:rsid w:val="05A37EBD"/>
    <w:rsid w:val="05CC0E93"/>
    <w:rsid w:val="05F306FA"/>
    <w:rsid w:val="06443FD4"/>
    <w:rsid w:val="066C1DBB"/>
    <w:rsid w:val="06A13863"/>
    <w:rsid w:val="06BD225B"/>
    <w:rsid w:val="06BE3CA7"/>
    <w:rsid w:val="07277E4A"/>
    <w:rsid w:val="0730481F"/>
    <w:rsid w:val="073F1CAD"/>
    <w:rsid w:val="07B16AC6"/>
    <w:rsid w:val="08073E22"/>
    <w:rsid w:val="081437C9"/>
    <w:rsid w:val="087424D8"/>
    <w:rsid w:val="08822685"/>
    <w:rsid w:val="08FA104A"/>
    <w:rsid w:val="08FA57C7"/>
    <w:rsid w:val="099F3178"/>
    <w:rsid w:val="09AA1547"/>
    <w:rsid w:val="09E3201C"/>
    <w:rsid w:val="0A18470E"/>
    <w:rsid w:val="0A765FB8"/>
    <w:rsid w:val="0A814349"/>
    <w:rsid w:val="0AB02A92"/>
    <w:rsid w:val="0AF8308E"/>
    <w:rsid w:val="0B581C7A"/>
    <w:rsid w:val="0B832C72"/>
    <w:rsid w:val="0C483CB5"/>
    <w:rsid w:val="0C5F0057"/>
    <w:rsid w:val="0C6D77AF"/>
    <w:rsid w:val="0C7F0993"/>
    <w:rsid w:val="0CAF268A"/>
    <w:rsid w:val="0D38584D"/>
    <w:rsid w:val="0D6126DC"/>
    <w:rsid w:val="0D8D654B"/>
    <w:rsid w:val="0DA914DF"/>
    <w:rsid w:val="0E263246"/>
    <w:rsid w:val="0E26741D"/>
    <w:rsid w:val="0E3015D7"/>
    <w:rsid w:val="0E6A02CB"/>
    <w:rsid w:val="0F035E77"/>
    <w:rsid w:val="0F1C5B09"/>
    <w:rsid w:val="0F2446FC"/>
    <w:rsid w:val="0F9206B9"/>
    <w:rsid w:val="101500B2"/>
    <w:rsid w:val="10507C42"/>
    <w:rsid w:val="105A7962"/>
    <w:rsid w:val="10944E27"/>
    <w:rsid w:val="109C3C4F"/>
    <w:rsid w:val="115C57C9"/>
    <w:rsid w:val="11B12A7E"/>
    <w:rsid w:val="11BC2E71"/>
    <w:rsid w:val="11F62C07"/>
    <w:rsid w:val="12314CA5"/>
    <w:rsid w:val="123E24E6"/>
    <w:rsid w:val="124F3295"/>
    <w:rsid w:val="13737B75"/>
    <w:rsid w:val="13894B8D"/>
    <w:rsid w:val="13B43E61"/>
    <w:rsid w:val="147719A1"/>
    <w:rsid w:val="148C1946"/>
    <w:rsid w:val="14A4244E"/>
    <w:rsid w:val="14AD2260"/>
    <w:rsid w:val="14B8240A"/>
    <w:rsid w:val="14F0383F"/>
    <w:rsid w:val="154C7218"/>
    <w:rsid w:val="155557E1"/>
    <w:rsid w:val="156D5FF4"/>
    <w:rsid w:val="15F333DA"/>
    <w:rsid w:val="16AE3114"/>
    <w:rsid w:val="17707100"/>
    <w:rsid w:val="17853822"/>
    <w:rsid w:val="17E06C0C"/>
    <w:rsid w:val="1868584B"/>
    <w:rsid w:val="18947263"/>
    <w:rsid w:val="195A572B"/>
    <w:rsid w:val="196C5A40"/>
    <w:rsid w:val="19C2556A"/>
    <w:rsid w:val="19C41B53"/>
    <w:rsid w:val="1A2608F3"/>
    <w:rsid w:val="1A2A3350"/>
    <w:rsid w:val="1A336B23"/>
    <w:rsid w:val="1B28788F"/>
    <w:rsid w:val="1B686DBB"/>
    <w:rsid w:val="1B824877"/>
    <w:rsid w:val="1BCD57AB"/>
    <w:rsid w:val="1C0E1A98"/>
    <w:rsid w:val="1C2078F3"/>
    <w:rsid w:val="1C490289"/>
    <w:rsid w:val="1C6F4FB4"/>
    <w:rsid w:val="1C8F08AF"/>
    <w:rsid w:val="1CA6768D"/>
    <w:rsid w:val="1CDB5968"/>
    <w:rsid w:val="1CFE635D"/>
    <w:rsid w:val="1D1F6145"/>
    <w:rsid w:val="1D3369BF"/>
    <w:rsid w:val="1D54432D"/>
    <w:rsid w:val="1DA82A10"/>
    <w:rsid w:val="1DC86030"/>
    <w:rsid w:val="1E2D620F"/>
    <w:rsid w:val="1E422931"/>
    <w:rsid w:val="1EA615BB"/>
    <w:rsid w:val="1ED10ED1"/>
    <w:rsid w:val="1ED40638"/>
    <w:rsid w:val="1F306401"/>
    <w:rsid w:val="1F4277F5"/>
    <w:rsid w:val="1F5E4382"/>
    <w:rsid w:val="1F7D5FAC"/>
    <w:rsid w:val="201812D5"/>
    <w:rsid w:val="20621846"/>
    <w:rsid w:val="2066678B"/>
    <w:rsid w:val="207A7435"/>
    <w:rsid w:val="208244E5"/>
    <w:rsid w:val="208337BA"/>
    <w:rsid w:val="20B80C41"/>
    <w:rsid w:val="213456A4"/>
    <w:rsid w:val="217E06CB"/>
    <w:rsid w:val="21BD09EA"/>
    <w:rsid w:val="21C734F7"/>
    <w:rsid w:val="21D2510C"/>
    <w:rsid w:val="22352DE9"/>
    <w:rsid w:val="22352E85"/>
    <w:rsid w:val="22550749"/>
    <w:rsid w:val="22B60C01"/>
    <w:rsid w:val="231879A1"/>
    <w:rsid w:val="23242793"/>
    <w:rsid w:val="2349711F"/>
    <w:rsid w:val="237D1557"/>
    <w:rsid w:val="239A46F7"/>
    <w:rsid w:val="2411343C"/>
    <w:rsid w:val="2425741B"/>
    <w:rsid w:val="247174BF"/>
    <w:rsid w:val="24855F40"/>
    <w:rsid w:val="249E6E14"/>
    <w:rsid w:val="249F6523"/>
    <w:rsid w:val="24A54BEC"/>
    <w:rsid w:val="24EE61B2"/>
    <w:rsid w:val="2593314B"/>
    <w:rsid w:val="25975E01"/>
    <w:rsid w:val="25AD1ED4"/>
    <w:rsid w:val="25B84A72"/>
    <w:rsid w:val="26CA35AD"/>
    <w:rsid w:val="2749366C"/>
    <w:rsid w:val="28145A17"/>
    <w:rsid w:val="28B1694E"/>
    <w:rsid w:val="28BC0562"/>
    <w:rsid w:val="29747D10"/>
    <w:rsid w:val="298635F5"/>
    <w:rsid w:val="29EA739F"/>
    <w:rsid w:val="29F96A50"/>
    <w:rsid w:val="2A1F2738"/>
    <w:rsid w:val="2A2D713F"/>
    <w:rsid w:val="2A423861"/>
    <w:rsid w:val="2A63541A"/>
    <w:rsid w:val="2A7964DB"/>
    <w:rsid w:val="2A8F5EDF"/>
    <w:rsid w:val="2AA84B6D"/>
    <w:rsid w:val="2ABF0192"/>
    <w:rsid w:val="2AFB6893"/>
    <w:rsid w:val="2B230073"/>
    <w:rsid w:val="2B5B1830"/>
    <w:rsid w:val="2B937D0B"/>
    <w:rsid w:val="2BB521F8"/>
    <w:rsid w:val="2BC876CA"/>
    <w:rsid w:val="2C773E97"/>
    <w:rsid w:val="2CC54020"/>
    <w:rsid w:val="2D566901"/>
    <w:rsid w:val="2D7D2E49"/>
    <w:rsid w:val="2D966AB6"/>
    <w:rsid w:val="2DCA0C7A"/>
    <w:rsid w:val="2E0B1B47"/>
    <w:rsid w:val="2E1E06B9"/>
    <w:rsid w:val="2EAD630D"/>
    <w:rsid w:val="2EB61B31"/>
    <w:rsid w:val="2EDE1D07"/>
    <w:rsid w:val="2EF8259B"/>
    <w:rsid w:val="2EF8398F"/>
    <w:rsid w:val="2F2537C4"/>
    <w:rsid w:val="2F2954D5"/>
    <w:rsid w:val="2F8F3DC0"/>
    <w:rsid w:val="2F9959A7"/>
    <w:rsid w:val="2FDE4A00"/>
    <w:rsid w:val="30251807"/>
    <w:rsid w:val="30575FA2"/>
    <w:rsid w:val="30A316D0"/>
    <w:rsid w:val="30A957E4"/>
    <w:rsid w:val="30C56DD2"/>
    <w:rsid w:val="30E177A7"/>
    <w:rsid w:val="314225B0"/>
    <w:rsid w:val="3198766B"/>
    <w:rsid w:val="319D0DD6"/>
    <w:rsid w:val="323B7E0F"/>
    <w:rsid w:val="328E3A30"/>
    <w:rsid w:val="32CA15BD"/>
    <w:rsid w:val="32DE1F01"/>
    <w:rsid w:val="331630E9"/>
    <w:rsid w:val="335F6FD7"/>
    <w:rsid w:val="33EB76A9"/>
    <w:rsid w:val="34227F73"/>
    <w:rsid w:val="3430230D"/>
    <w:rsid w:val="34377FF9"/>
    <w:rsid w:val="343B6470"/>
    <w:rsid w:val="34C131AF"/>
    <w:rsid w:val="34CA3577"/>
    <w:rsid w:val="34E87C04"/>
    <w:rsid w:val="35476355"/>
    <w:rsid w:val="356928AF"/>
    <w:rsid w:val="35D579E0"/>
    <w:rsid w:val="35E84393"/>
    <w:rsid w:val="36013D27"/>
    <w:rsid w:val="36025D97"/>
    <w:rsid w:val="36B45A08"/>
    <w:rsid w:val="36C9251E"/>
    <w:rsid w:val="36E47B9D"/>
    <w:rsid w:val="370928C0"/>
    <w:rsid w:val="3747231F"/>
    <w:rsid w:val="37645C9B"/>
    <w:rsid w:val="376C2F19"/>
    <w:rsid w:val="37A23B04"/>
    <w:rsid w:val="38095130"/>
    <w:rsid w:val="382A30AF"/>
    <w:rsid w:val="386A72E1"/>
    <w:rsid w:val="38733E42"/>
    <w:rsid w:val="38C2712E"/>
    <w:rsid w:val="38EB4DDC"/>
    <w:rsid w:val="39A62C24"/>
    <w:rsid w:val="39CB790F"/>
    <w:rsid w:val="39CF05D0"/>
    <w:rsid w:val="39ED53DC"/>
    <w:rsid w:val="39F45841"/>
    <w:rsid w:val="3A29797A"/>
    <w:rsid w:val="3A3E409C"/>
    <w:rsid w:val="3A5B7D04"/>
    <w:rsid w:val="3AB30E95"/>
    <w:rsid w:val="3AF15396"/>
    <w:rsid w:val="3B045C51"/>
    <w:rsid w:val="3B1D351E"/>
    <w:rsid w:val="3B2575DE"/>
    <w:rsid w:val="3B2F5F58"/>
    <w:rsid w:val="3B863442"/>
    <w:rsid w:val="3C5D1BB7"/>
    <w:rsid w:val="3C682428"/>
    <w:rsid w:val="3C9402BA"/>
    <w:rsid w:val="3CB70770"/>
    <w:rsid w:val="3CF66AB4"/>
    <w:rsid w:val="3D3034A4"/>
    <w:rsid w:val="3D417B8C"/>
    <w:rsid w:val="3D4C5F1D"/>
    <w:rsid w:val="3DEB0EC4"/>
    <w:rsid w:val="3E1A5671"/>
    <w:rsid w:val="3E667CEF"/>
    <w:rsid w:val="3E6809D1"/>
    <w:rsid w:val="3E780B78"/>
    <w:rsid w:val="3ED34AA0"/>
    <w:rsid w:val="3EEC5C83"/>
    <w:rsid w:val="3F2A54AE"/>
    <w:rsid w:val="3F6E789D"/>
    <w:rsid w:val="3FE04FF8"/>
    <w:rsid w:val="3FED2FEE"/>
    <w:rsid w:val="406A624F"/>
    <w:rsid w:val="40B118C6"/>
    <w:rsid w:val="40CE78E8"/>
    <w:rsid w:val="40FE0BC1"/>
    <w:rsid w:val="412874F2"/>
    <w:rsid w:val="41664225"/>
    <w:rsid w:val="42014C57"/>
    <w:rsid w:val="42161379"/>
    <w:rsid w:val="42AF6075"/>
    <w:rsid w:val="42CC520C"/>
    <w:rsid w:val="42CF43AB"/>
    <w:rsid w:val="42E12969"/>
    <w:rsid w:val="42ED0561"/>
    <w:rsid w:val="42EE6E5E"/>
    <w:rsid w:val="430F4AB3"/>
    <w:rsid w:val="43204EC2"/>
    <w:rsid w:val="43C845C3"/>
    <w:rsid w:val="44015629"/>
    <w:rsid w:val="447B4624"/>
    <w:rsid w:val="44A479C5"/>
    <w:rsid w:val="44A553F2"/>
    <w:rsid w:val="44ED7546"/>
    <w:rsid w:val="44FF51C4"/>
    <w:rsid w:val="457B1CEE"/>
    <w:rsid w:val="45AA6F6F"/>
    <w:rsid w:val="46077F6D"/>
    <w:rsid w:val="46737A24"/>
    <w:rsid w:val="469D0882"/>
    <w:rsid w:val="46CA0433"/>
    <w:rsid w:val="46E22556"/>
    <w:rsid w:val="47530F1F"/>
    <w:rsid w:val="47772728"/>
    <w:rsid w:val="47C876CB"/>
    <w:rsid w:val="47D73A93"/>
    <w:rsid w:val="47EC1AC1"/>
    <w:rsid w:val="48034366"/>
    <w:rsid w:val="481B4154"/>
    <w:rsid w:val="48516FB5"/>
    <w:rsid w:val="4860425D"/>
    <w:rsid w:val="488E0B7F"/>
    <w:rsid w:val="48910A08"/>
    <w:rsid w:val="48B459D5"/>
    <w:rsid w:val="48D21BB1"/>
    <w:rsid w:val="48F416EC"/>
    <w:rsid w:val="49497D40"/>
    <w:rsid w:val="494D37A0"/>
    <w:rsid w:val="49C44B36"/>
    <w:rsid w:val="49EF612F"/>
    <w:rsid w:val="4A3A6E9E"/>
    <w:rsid w:val="4A5E657A"/>
    <w:rsid w:val="4A9216E3"/>
    <w:rsid w:val="4AE820F1"/>
    <w:rsid w:val="4B0576C2"/>
    <w:rsid w:val="4BA62F67"/>
    <w:rsid w:val="4C3E19EB"/>
    <w:rsid w:val="4CAA52F9"/>
    <w:rsid w:val="4D9066EF"/>
    <w:rsid w:val="4DAB5852"/>
    <w:rsid w:val="4E584E31"/>
    <w:rsid w:val="4E6241F5"/>
    <w:rsid w:val="4E634927"/>
    <w:rsid w:val="4E751CC3"/>
    <w:rsid w:val="4EAD1E2E"/>
    <w:rsid w:val="4EBE1CDD"/>
    <w:rsid w:val="4F0244ED"/>
    <w:rsid w:val="4F105D44"/>
    <w:rsid w:val="4F355850"/>
    <w:rsid w:val="4F5C4B3F"/>
    <w:rsid w:val="4F645657"/>
    <w:rsid w:val="4F8B14B0"/>
    <w:rsid w:val="4FB671CF"/>
    <w:rsid w:val="4FEFB9BD"/>
    <w:rsid w:val="4FFD7F4B"/>
    <w:rsid w:val="501F5F01"/>
    <w:rsid w:val="5063360F"/>
    <w:rsid w:val="5079308D"/>
    <w:rsid w:val="50BF05A8"/>
    <w:rsid w:val="50C11611"/>
    <w:rsid w:val="50E74F74"/>
    <w:rsid w:val="51717068"/>
    <w:rsid w:val="519F5DF6"/>
    <w:rsid w:val="51A04A97"/>
    <w:rsid w:val="51DF1D99"/>
    <w:rsid w:val="52077FA0"/>
    <w:rsid w:val="523E6CC9"/>
    <w:rsid w:val="52E361B6"/>
    <w:rsid w:val="52F61E27"/>
    <w:rsid w:val="530B34BA"/>
    <w:rsid w:val="539D3912"/>
    <w:rsid w:val="545C6276"/>
    <w:rsid w:val="556C60B3"/>
    <w:rsid w:val="561A74D1"/>
    <w:rsid w:val="56474697"/>
    <w:rsid w:val="565A7F33"/>
    <w:rsid w:val="57283E0B"/>
    <w:rsid w:val="574A1DC1"/>
    <w:rsid w:val="578F1CA8"/>
    <w:rsid w:val="57AC7E74"/>
    <w:rsid w:val="57C00B06"/>
    <w:rsid w:val="58021570"/>
    <w:rsid w:val="580E5197"/>
    <w:rsid w:val="582C16A6"/>
    <w:rsid w:val="5831455A"/>
    <w:rsid w:val="5863030F"/>
    <w:rsid w:val="58E93DFA"/>
    <w:rsid w:val="58F52B38"/>
    <w:rsid w:val="5906339C"/>
    <w:rsid w:val="592616D2"/>
    <w:rsid w:val="59341B00"/>
    <w:rsid w:val="595F144E"/>
    <w:rsid w:val="59DE0E81"/>
    <w:rsid w:val="59F55223"/>
    <w:rsid w:val="59FF35B4"/>
    <w:rsid w:val="5ABA0295"/>
    <w:rsid w:val="5AE470AA"/>
    <w:rsid w:val="5AF2051E"/>
    <w:rsid w:val="5B2B34B2"/>
    <w:rsid w:val="5B301727"/>
    <w:rsid w:val="5B5A5DEF"/>
    <w:rsid w:val="5B8069E9"/>
    <w:rsid w:val="5BB41608"/>
    <w:rsid w:val="5BC56904"/>
    <w:rsid w:val="5C0A6E8C"/>
    <w:rsid w:val="5CA9096B"/>
    <w:rsid w:val="5CEC2D02"/>
    <w:rsid w:val="5D16383F"/>
    <w:rsid w:val="5D2353DA"/>
    <w:rsid w:val="5D2F1D61"/>
    <w:rsid w:val="5D675ECA"/>
    <w:rsid w:val="5DA14B7B"/>
    <w:rsid w:val="5DC100D0"/>
    <w:rsid w:val="5DDF7727"/>
    <w:rsid w:val="5E252AE9"/>
    <w:rsid w:val="5EA3775E"/>
    <w:rsid w:val="5F6D531F"/>
    <w:rsid w:val="5FAE2505"/>
    <w:rsid w:val="5FD64891"/>
    <w:rsid w:val="60056797"/>
    <w:rsid w:val="60D07D7A"/>
    <w:rsid w:val="61094D40"/>
    <w:rsid w:val="61271980"/>
    <w:rsid w:val="614172DE"/>
    <w:rsid w:val="614F2973"/>
    <w:rsid w:val="6160574F"/>
    <w:rsid w:val="618840A3"/>
    <w:rsid w:val="630700DA"/>
    <w:rsid w:val="64770E73"/>
    <w:rsid w:val="648B18C9"/>
    <w:rsid w:val="64CD2937"/>
    <w:rsid w:val="6511265D"/>
    <w:rsid w:val="651C4271"/>
    <w:rsid w:val="655B398A"/>
    <w:rsid w:val="65A8181D"/>
    <w:rsid w:val="65A93AD5"/>
    <w:rsid w:val="662B3EC2"/>
    <w:rsid w:val="664663E8"/>
    <w:rsid w:val="66786787"/>
    <w:rsid w:val="66B25BAB"/>
    <w:rsid w:val="66C80CB9"/>
    <w:rsid w:val="66CF4630"/>
    <w:rsid w:val="66D36063"/>
    <w:rsid w:val="679F4E53"/>
    <w:rsid w:val="680660A3"/>
    <w:rsid w:val="6808013C"/>
    <w:rsid w:val="68490BA5"/>
    <w:rsid w:val="685305E5"/>
    <w:rsid w:val="6872092B"/>
    <w:rsid w:val="68A320F0"/>
    <w:rsid w:val="68A60271"/>
    <w:rsid w:val="68C10A03"/>
    <w:rsid w:val="691702F9"/>
    <w:rsid w:val="692E7F1E"/>
    <w:rsid w:val="69430A4C"/>
    <w:rsid w:val="695A32F7"/>
    <w:rsid w:val="69625FE3"/>
    <w:rsid w:val="698C6D71"/>
    <w:rsid w:val="69CE6C54"/>
    <w:rsid w:val="69E421A0"/>
    <w:rsid w:val="6A242849"/>
    <w:rsid w:val="6A496830"/>
    <w:rsid w:val="6A6C49B9"/>
    <w:rsid w:val="6A8F166B"/>
    <w:rsid w:val="6ADF78E5"/>
    <w:rsid w:val="6B0B3C2C"/>
    <w:rsid w:val="6B72636C"/>
    <w:rsid w:val="6B8D0D02"/>
    <w:rsid w:val="6BE57493"/>
    <w:rsid w:val="6C7C2B89"/>
    <w:rsid w:val="6C8143AB"/>
    <w:rsid w:val="6CB30AE5"/>
    <w:rsid w:val="6E0C0467"/>
    <w:rsid w:val="6E10608E"/>
    <w:rsid w:val="6E92338D"/>
    <w:rsid w:val="6EA50F15"/>
    <w:rsid w:val="6ECD2F43"/>
    <w:rsid w:val="6EFA3169"/>
    <w:rsid w:val="6F1218C9"/>
    <w:rsid w:val="6F35142D"/>
    <w:rsid w:val="6F873FB6"/>
    <w:rsid w:val="6FDB35C9"/>
    <w:rsid w:val="6FE10C9C"/>
    <w:rsid w:val="70257F20"/>
    <w:rsid w:val="70375E28"/>
    <w:rsid w:val="70593DDE"/>
    <w:rsid w:val="70CE3BAA"/>
    <w:rsid w:val="713F3812"/>
    <w:rsid w:val="717C1858"/>
    <w:rsid w:val="7213064F"/>
    <w:rsid w:val="72401A80"/>
    <w:rsid w:val="726603B7"/>
    <w:rsid w:val="726868DD"/>
    <w:rsid w:val="727A7B45"/>
    <w:rsid w:val="728E103A"/>
    <w:rsid w:val="7298562B"/>
    <w:rsid w:val="73047240"/>
    <w:rsid w:val="73577E87"/>
    <w:rsid w:val="737C78ED"/>
    <w:rsid w:val="74125278"/>
    <w:rsid w:val="742D6B8B"/>
    <w:rsid w:val="7474619D"/>
    <w:rsid w:val="748F53FE"/>
    <w:rsid w:val="74DD7D93"/>
    <w:rsid w:val="75063D16"/>
    <w:rsid w:val="75435570"/>
    <w:rsid w:val="763E2D8B"/>
    <w:rsid w:val="765E373E"/>
    <w:rsid w:val="76912AA8"/>
    <w:rsid w:val="76936197"/>
    <w:rsid w:val="76B1521D"/>
    <w:rsid w:val="76B352E5"/>
    <w:rsid w:val="76BB5179"/>
    <w:rsid w:val="786E73D3"/>
    <w:rsid w:val="78F735A9"/>
    <w:rsid w:val="790C5439"/>
    <w:rsid w:val="794F282E"/>
    <w:rsid w:val="7A2D6D03"/>
    <w:rsid w:val="7A926212"/>
    <w:rsid w:val="7AE15C86"/>
    <w:rsid w:val="7AF244C2"/>
    <w:rsid w:val="7B7968C3"/>
    <w:rsid w:val="7BF60BE3"/>
    <w:rsid w:val="7C492337"/>
    <w:rsid w:val="7C8313D5"/>
    <w:rsid w:val="7CB1637A"/>
    <w:rsid w:val="7CD82311"/>
    <w:rsid w:val="7CEA6A35"/>
    <w:rsid w:val="7D0564AB"/>
    <w:rsid w:val="7D5052A6"/>
    <w:rsid w:val="7D8E46AE"/>
    <w:rsid w:val="7DA912DF"/>
    <w:rsid w:val="7DE50961"/>
    <w:rsid w:val="7E280463"/>
    <w:rsid w:val="7E3A462D"/>
    <w:rsid w:val="7E813419"/>
    <w:rsid w:val="7EC74BC9"/>
    <w:rsid w:val="7ED06D3F"/>
    <w:rsid w:val="7F0163B7"/>
    <w:rsid w:val="7F0204F0"/>
    <w:rsid w:val="7F106C3A"/>
    <w:rsid w:val="7F6E6C48"/>
    <w:rsid w:val="7F880827"/>
    <w:rsid w:val="7F9D3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9"/>
    <w:pPr>
      <w:keepNext/>
      <w:keepLines/>
      <w:spacing w:before="340" w:after="330" w:line="578" w:lineRule="auto"/>
      <w:jc w:val="center"/>
      <w:outlineLvl w:val="0"/>
    </w:pPr>
    <w:rPr>
      <w:rFonts w:eastAsia="仿宋_GB2312"/>
      <w:b/>
      <w:bCs/>
      <w:kern w:val="44"/>
      <w:sz w:val="44"/>
      <w:szCs w:val="44"/>
    </w:rPr>
  </w:style>
  <w:style w:type="paragraph" w:styleId="4">
    <w:name w:val="heading 2"/>
    <w:basedOn w:val="1"/>
    <w:next w:val="1"/>
    <w:link w:val="84"/>
    <w:qFormat/>
    <w:uiPriority w:val="9"/>
    <w:pPr>
      <w:keepNext/>
      <w:keepLines/>
      <w:spacing w:before="260" w:after="260" w:line="400" w:lineRule="exact"/>
      <w:outlineLvl w:val="1"/>
    </w:pPr>
    <w:rPr>
      <w:rFonts w:ascii="Arial" w:hAnsi="Arial" w:eastAsia="黑体"/>
      <w:b/>
      <w:bCs/>
      <w:sz w:val="24"/>
      <w:szCs w:val="32"/>
    </w:rPr>
  </w:style>
  <w:style w:type="paragraph" w:styleId="5">
    <w:name w:val="heading 3"/>
    <w:basedOn w:val="1"/>
    <w:next w:val="1"/>
    <w:link w:val="60"/>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128"/>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129"/>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30"/>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31"/>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32"/>
    <w:qFormat/>
    <w:uiPriority w:val="0"/>
    <w:pPr>
      <w:keepNext/>
      <w:keepLines/>
      <w:numPr>
        <w:ilvl w:val="8"/>
        <w:numId w:val="1"/>
      </w:numPr>
      <w:spacing w:before="240" w:after="64" w:line="320" w:lineRule="auto"/>
      <w:outlineLvl w:val="8"/>
    </w:pPr>
    <w:rPr>
      <w:rFonts w:ascii="Arial" w:hAnsi="Arial" w:eastAsia="黑体"/>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5"/>
    <w:qFormat/>
    <w:uiPriority w:val="0"/>
    <w:pPr>
      <w:spacing w:line="380" w:lineRule="exact"/>
    </w:pPr>
    <w:rPr>
      <w:sz w:val="24"/>
    </w:rPr>
  </w:style>
  <w:style w:type="paragraph" w:styleId="8">
    <w:name w:val="Normal Indent"/>
    <w:basedOn w:val="1"/>
    <w:link w:val="58"/>
    <w:qFormat/>
    <w:uiPriority w:val="0"/>
    <w:pPr>
      <w:ind w:firstLine="420"/>
    </w:pPr>
    <w:rPr>
      <w:szCs w:val="20"/>
    </w:rPr>
  </w:style>
  <w:style w:type="paragraph" w:styleId="13">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133"/>
    <w:qFormat/>
    <w:uiPriority w:val="0"/>
    <w:pPr>
      <w:shd w:val="clear" w:color="auto" w:fill="000080"/>
    </w:pPr>
  </w:style>
  <w:style w:type="paragraph" w:styleId="16">
    <w:name w:val="annotation text"/>
    <w:basedOn w:val="1"/>
    <w:link w:val="74"/>
    <w:qFormat/>
    <w:uiPriority w:val="0"/>
    <w:pPr>
      <w:jc w:val="left"/>
    </w:pPr>
  </w:style>
  <w:style w:type="paragraph" w:styleId="17">
    <w:name w:val="Body Text 3"/>
    <w:basedOn w:val="1"/>
    <w:link w:val="134"/>
    <w:qFormat/>
    <w:uiPriority w:val="0"/>
    <w:pPr>
      <w:spacing w:line="500" w:lineRule="exact"/>
    </w:pPr>
    <w:rPr>
      <w:b/>
      <w:bCs/>
      <w:sz w:val="24"/>
    </w:rPr>
  </w:style>
  <w:style w:type="paragraph" w:styleId="18">
    <w:name w:val="Body Text Indent"/>
    <w:basedOn w:val="1"/>
    <w:link w:val="67"/>
    <w:qFormat/>
    <w:uiPriority w:val="0"/>
    <w:pPr>
      <w:ind w:firstLine="830" w:firstLineChars="352"/>
    </w:pPr>
    <w:rPr>
      <w:rFonts w:ascii="仿宋_GB2312" w:eastAsia="仿宋_GB2312"/>
      <w:sz w:val="32"/>
      <w:szCs w:val="20"/>
    </w:rPr>
  </w:style>
  <w:style w:type="paragraph" w:styleId="19">
    <w:name w:val="List Number 3"/>
    <w:basedOn w:val="1"/>
    <w:qFormat/>
    <w:uiPriority w:val="0"/>
    <w:pPr>
      <w:numPr>
        <w:ilvl w:val="0"/>
        <w:numId w:val="1"/>
      </w:numPr>
    </w:pPr>
  </w:style>
  <w:style w:type="paragraph" w:styleId="20">
    <w:name w:val="List 2"/>
    <w:basedOn w:val="1"/>
    <w:qFormat/>
    <w:uiPriority w:val="0"/>
    <w:pPr>
      <w:ind w:left="100" w:leftChars="200" w:hanging="200" w:hangingChars="200"/>
    </w:pPr>
    <w:rPr>
      <w:sz w:val="28"/>
    </w:rPr>
  </w:style>
  <w:style w:type="paragraph" w:styleId="21">
    <w:name w:val="Plain Text"/>
    <w:basedOn w:val="1"/>
    <w:link w:val="54"/>
    <w:qFormat/>
    <w:uiPriority w:val="0"/>
    <w:rPr>
      <w:rFonts w:ascii="宋体" w:hAnsi="Courier New" w:cs="Courier New"/>
      <w:szCs w:val="21"/>
    </w:rPr>
  </w:style>
  <w:style w:type="paragraph" w:styleId="22">
    <w:name w:val="Date"/>
    <w:basedOn w:val="1"/>
    <w:next w:val="1"/>
    <w:link w:val="136"/>
    <w:qFormat/>
    <w:uiPriority w:val="0"/>
    <w:pPr>
      <w:ind w:left="100" w:leftChars="2500"/>
    </w:pPr>
    <w:rPr>
      <w:rFonts w:ascii="宋体" w:hAnsi="Courier New" w:cs="Courier New"/>
      <w:szCs w:val="21"/>
    </w:rPr>
  </w:style>
  <w:style w:type="paragraph" w:styleId="23">
    <w:name w:val="Body Text Indent 2"/>
    <w:basedOn w:val="1"/>
    <w:link w:val="137"/>
    <w:qFormat/>
    <w:uiPriority w:val="0"/>
    <w:pPr>
      <w:ind w:firstLine="630"/>
    </w:pPr>
    <w:rPr>
      <w:sz w:val="32"/>
      <w:szCs w:val="20"/>
    </w:rPr>
  </w:style>
  <w:style w:type="paragraph" w:styleId="24">
    <w:name w:val="Balloon Text"/>
    <w:basedOn w:val="1"/>
    <w:link w:val="73"/>
    <w:qFormat/>
    <w:uiPriority w:val="0"/>
    <w:rPr>
      <w:sz w:val="18"/>
      <w:szCs w:val="18"/>
      <w:lang w:val="zh-CN"/>
    </w:rPr>
  </w:style>
  <w:style w:type="paragraph" w:styleId="25">
    <w:name w:val="footer"/>
    <w:basedOn w:val="1"/>
    <w:link w:val="69"/>
    <w:qFormat/>
    <w:uiPriority w:val="99"/>
    <w:pPr>
      <w:tabs>
        <w:tab w:val="center" w:pos="4153"/>
        <w:tab w:val="right" w:pos="8306"/>
      </w:tabs>
      <w:snapToGrid w:val="0"/>
      <w:jc w:val="left"/>
    </w:pPr>
    <w:rPr>
      <w:sz w:val="18"/>
      <w:szCs w:val="18"/>
      <w:lang w:val="zh-CN"/>
    </w:rPr>
  </w:style>
  <w:style w:type="paragraph" w:styleId="26">
    <w:name w:val="header"/>
    <w:basedOn w:val="1"/>
    <w:link w:val="71"/>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Subtitle"/>
    <w:basedOn w:val="1"/>
    <w:next w:val="1"/>
    <w:link w:val="72"/>
    <w:qFormat/>
    <w:uiPriority w:val="0"/>
    <w:pPr>
      <w:spacing w:line="312" w:lineRule="auto"/>
      <w:ind w:left="200" w:leftChars="200"/>
      <w:jc w:val="left"/>
      <w:outlineLvl w:val="1"/>
    </w:pPr>
    <w:rPr>
      <w:rFonts w:ascii="Cambria" w:hAnsi="Cambria"/>
      <w:b/>
      <w:bCs/>
      <w:kern w:val="28"/>
      <w:sz w:val="28"/>
      <w:szCs w:val="32"/>
    </w:rPr>
  </w:style>
  <w:style w:type="paragraph" w:styleId="29">
    <w:name w:val="List"/>
    <w:basedOn w:val="1"/>
    <w:qFormat/>
    <w:uiPriority w:val="0"/>
    <w:pPr>
      <w:ind w:left="200" w:hanging="200" w:hangingChars="200"/>
    </w:pPr>
    <w:rPr>
      <w:sz w:val="28"/>
    </w:rPr>
  </w:style>
  <w:style w:type="paragraph" w:styleId="30">
    <w:name w:val="Body Text Indent 3"/>
    <w:basedOn w:val="1"/>
    <w:link w:val="138"/>
    <w:qFormat/>
    <w:uiPriority w:val="0"/>
    <w:pPr>
      <w:spacing w:after="120"/>
      <w:ind w:left="420" w:leftChars="200"/>
    </w:pPr>
    <w:rPr>
      <w:sz w:val="16"/>
      <w:szCs w:val="16"/>
    </w:rPr>
  </w:style>
  <w:style w:type="paragraph" w:styleId="31">
    <w:name w:val="Body Text 2"/>
    <w:basedOn w:val="1"/>
    <w:link w:val="139"/>
    <w:qFormat/>
    <w:uiPriority w:val="0"/>
    <w:pPr>
      <w:spacing w:after="120" w:line="480" w:lineRule="auto"/>
    </w:pPr>
  </w:style>
  <w:style w:type="paragraph" w:styleId="32">
    <w:name w:val="HTML Preformatted"/>
    <w:basedOn w:val="1"/>
    <w:link w:val="1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index 1"/>
    <w:basedOn w:val="1"/>
    <w:next w:val="1"/>
    <w:semiHidden/>
    <w:qFormat/>
    <w:uiPriority w:val="0"/>
    <w:pPr>
      <w:spacing w:line="400" w:lineRule="exact"/>
      <w:ind w:firstLine="420" w:firstLineChars="200"/>
    </w:pPr>
    <w:rPr>
      <w:rFonts w:ascii="宋体" w:hAnsi="Courier New"/>
      <w:b/>
      <w:szCs w:val="20"/>
    </w:rPr>
  </w:style>
  <w:style w:type="paragraph" w:styleId="35">
    <w:name w:val="annotation subject"/>
    <w:basedOn w:val="16"/>
    <w:next w:val="16"/>
    <w:link w:val="85"/>
    <w:qFormat/>
    <w:uiPriority w:val="0"/>
    <w:rPr>
      <w:b/>
      <w:bCs/>
    </w:rPr>
  </w:style>
  <w:style w:type="paragraph" w:styleId="36">
    <w:name w:val="Body Text First Indent"/>
    <w:basedOn w:val="2"/>
    <w:qFormat/>
    <w:uiPriority w:val="0"/>
    <w:pPr>
      <w:spacing w:after="120"/>
      <w:ind w:firstLine="420" w:firstLineChars="100"/>
    </w:pPr>
    <w:rPr>
      <w:rFonts w:ascii="宋体"/>
      <w:sz w:val="21"/>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rFonts w:ascii="Times New Roman" w:hAnsi="Times New Roman" w:eastAsia="宋体" w:cs="Times New Roman"/>
      <w:b/>
      <w:bCs/>
    </w:rPr>
  </w:style>
  <w:style w:type="character" w:styleId="41">
    <w:name w:val="page number"/>
    <w:qFormat/>
    <w:uiPriority w:val="0"/>
    <w:rPr>
      <w:rFonts w:ascii="Times New Roman" w:hAnsi="Times New Roman" w:eastAsia="宋体" w:cs="Times New Roman"/>
    </w:rPr>
  </w:style>
  <w:style w:type="character" w:styleId="42">
    <w:name w:val="FollowedHyperlink"/>
    <w:basedOn w:val="39"/>
    <w:semiHidden/>
    <w:unhideWhenUsed/>
    <w:qFormat/>
    <w:uiPriority w:val="99"/>
    <w:rPr>
      <w:color w:val="954F72" w:themeColor="followedHyperlink"/>
      <w:u w:val="single"/>
      <w14:textFill>
        <w14:solidFill>
          <w14:schemeClr w14:val="folHlink"/>
        </w14:solidFill>
      </w14:textFill>
    </w:rPr>
  </w:style>
  <w:style w:type="character" w:styleId="43">
    <w:name w:val="Emphasis"/>
    <w:qFormat/>
    <w:uiPriority w:val="0"/>
    <w:rPr>
      <w:rFonts w:ascii="Times New Roman" w:hAnsi="Times New Roman" w:eastAsia="宋体" w:cs="Times New Roman"/>
      <w:color w:val="CC0033"/>
    </w:rPr>
  </w:style>
  <w:style w:type="character" w:styleId="44">
    <w:name w:val="Hyperlink"/>
    <w:qFormat/>
    <w:uiPriority w:val="99"/>
    <w:rPr>
      <w:rFonts w:ascii="Times New Roman" w:hAnsi="Times New Roman" w:eastAsia="宋体" w:cs="Times New Roman"/>
      <w:color w:val="0000FF"/>
      <w:u w:val="single"/>
    </w:rPr>
  </w:style>
  <w:style w:type="character" w:styleId="45">
    <w:name w:val="annotation reference"/>
    <w:qFormat/>
    <w:uiPriority w:val="0"/>
    <w:rPr>
      <w:rFonts w:ascii="Times New Roman" w:hAnsi="Times New Roman" w:eastAsia="宋体" w:cs="Times New Roman"/>
      <w:sz w:val="21"/>
      <w:szCs w:val="21"/>
    </w:rPr>
  </w:style>
  <w:style w:type="paragraph" w:customStyle="1" w:styleId="46">
    <w:name w:val="Default"/>
    <w:qFormat/>
    <w:uiPriority w:val="0"/>
    <w:pPr>
      <w:widowControl w:val="0"/>
      <w:autoSpaceDE w:val="0"/>
      <w:autoSpaceDN w:val="0"/>
      <w:adjustRightInd w:val="0"/>
      <w:spacing w:line="360" w:lineRule="auto"/>
      <w:ind w:firstLine="147" w:firstLineChars="147"/>
      <w:jc w:val="both"/>
    </w:pPr>
    <w:rPr>
      <w:rFonts w:ascii="宋体" w:hAnsi="Times New Roman" w:eastAsia="宋体" w:cs="Times New Roman"/>
      <w:color w:val="000000"/>
      <w:sz w:val="24"/>
      <w:szCs w:val="24"/>
      <w:lang w:val="en-US" w:eastAsia="zh-CN" w:bidi="ar-SA"/>
    </w:rPr>
  </w:style>
  <w:style w:type="character" w:customStyle="1" w:styleId="47">
    <w:name w:val="font21"/>
    <w:qFormat/>
    <w:uiPriority w:val="0"/>
    <w:rPr>
      <w:rFonts w:hint="eastAsia" w:ascii="宋体" w:hAnsi="宋体" w:eastAsia="宋体" w:cs="宋体"/>
      <w:color w:val="000000"/>
      <w:sz w:val="20"/>
      <w:szCs w:val="20"/>
    </w:rPr>
  </w:style>
  <w:style w:type="character" w:customStyle="1" w:styleId="48">
    <w:name w:val="st1"/>
    <w:qFormat/>
    <w:uiPriority w:val="0"/>
    <w:rPr>
      <w:rFonts w:ascii="Times New Roman" w:hAnsi="Times New Roman" w:eastAsia="宋体" w:cs="Times New Roman"/>
    </w:rPr>
  </w:style>
  <w:style w:type="character" w:customStyle="1" w:styleId="49">
    <w:name w:val="标题 1 字符"/>
    <w:link w:val="3"/>
    <w:qFormat/>
    <w:uiPriority w:val="9"/>
    <w:rPr>
      <w:rFonts w:ascii="Times New Roman" w:hAnsi="Times New Roman" w:eastAsia="仿宋_GB2312" w:cs="Times New Roman"/>
      <w:b/>
      <w:bCs/>
      <w:kern w:val="44"/>
      <w:sz w:val="44"/>
      <w:szCs w:val="44"/>
      <w:lang w:val="en-US" w:eastAsia="zh-CN" w:bidi="ar-SA"/>
    </w:rPr>
  </w:style>
  <w:style w:type="character" w:customStyle="1" w:styleId="50">
    <w:name w:val="ca-2"/>
    <w:qFormat/>
    <w:uiPriority w:val="0"/>
    <w:rPr>
      <w:rFonts w:ascii="Times New Roman" w:hAnsi="Times New Roman" w:eastAsia="宋体" w:cs="Times New Roman"/>
    </w:rPr>
  </w:style>
  <w:style w:type="character" w:customStyle="1" w:styleId="51">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52">
    <w:name w:val="1ji Char"/>
    <w:link w:val="53"/>
    <w:qFormat/>
    <w:uiPriority w:val="0"/>
    <w:rPr>
      <w:rFonts w:ascii="宋体" w:hAnsi="宋体" w:eastAsia="仿宋_GB2312" w:cs="Times New Roman"/>
      <w:b/>
      <w:bCs/>
      <w:kern w:val="44"/>
      <w:sz w:val="36"/>
      <w:szCs w:val="44"/>
      <w:lang w:val="en-US" w:eastAsia="zh-CN" w:bidi="ar-SA"/>
    </w:rPr>
  </w:style>
  <w:style w:type="paragraph" w:customStyle="1" w:styleId="53">
    <w:name w:val="1ji"/>
    <w:basedOn w:val="3"/>
    <w:link w:val="52"/>
    <w:qFormat/>
    <w:uiPriority w:val="0"/>
    <w:pPr>
      <w:keepLines w:val="0"/>
      <w:widowControl/>
      <w:spacing w:before="0" w:after="0" w:line="240" w:lineRule="auto"/>
    </w:pPr>
    <w:rPr>
      <w:rFonts w:ascii="宋体" w:hAnsi="宋体"/>
      <w:sz w:val="36"/>
    </w:rPr>
  </w:style>
  <w:style w:type="character" w:customStyle="1" w:styleId="54">
    <w:name w:val="纯文本 字符"/>
    <w:link w:val="21"/>
    <w:qFormat/>
    <w:uiPriority w:val="0"/>
    <w:rPr>
      <w:rFonts w:ascii="宋体" w:hAnsi="Courier New" w:eastAsia="宋体" w:cs="Courier New"/>
      <w:kern w:val="2"/>
      <w:sz w:val="21"/>
      <w:szCs w:val="21"/>
      <w:lang w:val="en-US" w:eastAsia="zh-CN" w:bidi="ar-SA"/>
    </w:rPr>
  </w:style>
  <w:style w:type="character" w:customStyle="1" w:styleId="55">
    <w:name w:val="font41"/>
    <w:qFormat/>
    <w:uiPriority w:val="0"/>
    <w:rPr>
      <w:rFonts w:hint="default" w:ascii="Times New Roman" w:hAnsi="Times New Roman" w:eastAsia="宋体" w:cs="Times New Roman"/>
      <w:color w:val="000000"/>
      <w:sz w:val="20"/>
      <w:szCs w:val="20"/>
    </w:rPr>
  </w:style>
  <w:style w:type="character" w:customStyle="1" w:styleId="56">
    <w:name w:val="font31"/>
    <w:qFormat/>
    <w:uiPriority w:val="0"/>
    <w:rPr>
      <w:rFonts w:hint="default" w:ascii="Times New Roman" w:hAnsi="Times New Roman" w:eastAsia="宋体" w:cs="Times New Roman"/>
      <w:color w:val="000000"/>
      <w:sz w:val="20"/>
      <w:szCs w:val="20"/>
    </w:rPr>
  </w:style>
  <w:style w:type="character" w:customStyle="1" w:styleId="57">
    <w:name w:val="apple-style-span"/>
    <w:qFormat/>
    <w:uiPriority w:val="0"/>
    <w:rPr>
      <w:rFonts w:ascii="Times New Roman" w:hAnsi="Times New Roman" w:eastAsia="宋体" w:cs="Times New Roman"/>
    </w:rPr>
  </w:style>
  <w:style w:type="character" w:customStyle="1" w:styleId="58">
    <w:name w:val="正文缩进 字符"/>
    <w:link w:val="8"/>
    <w:qFormat/>
    <w:uiPriority w:val="0"/>
    <w:rPr>
      <w:rFonts w:ascii="Times New Roman" w:hAnsi="Times New Roman" w:eastAsia="宋体" w:cs="Times New Roman"/>
      <w:kern w:val="2"/>
      <w:sz w:val="21"/>
      <w:lang w:val="en-US" w:eastAsia="zh-CN" w:bidi="ar-SA"/>
    </w:rPr>
  </w:style>
  <w:style w:type="character" w:customStyle="1" w:styleId="59">
    <w:name w:val="font51"/>
    <w:qFormat/>
    <w:uiPriority w:val="0"/>
    <w:rPr>
      <w:rFonts w:hint="default" w:ascii="Times New Roman" w:hAnsi="Times New Roman" w:eastAsia="宋体" w:cs="Times New Roman"/>
      <w:color w:val="000000"/>
      <w:sz w:val="20"/>
      <w:szCs w:val="20"/>
    </w:rPr>
  </w:style>
  <w:style w:type="character" w:customStyle="1" w:styleId="60">
    <w:name w:val="标题 3 字符"/>
    <w:link w:val="5"/>
    <w:qFormat/>
    <w:uiPriority w:val="0"/>
    <w:rPr>
      <w:rFonts w:ascii="Times New Roman" w:hAnsi="Times New Roman" w:eastAsia="宋体" w:cs="Times New Roman"/>
      <w:b/>
      <w:bCs/>
      <w:kern w:val="2"/>
      <w:sz w:val="32"/>
      <w:szCs w:val="32"/>
      <w:lang w:val="en-US" w:eastAsia="zh-CN" w:bidi="ar-SA"/>
    </w:rPr>
  </w:style>
  <w:style w:type="character" w:customStyle="1" w:styleId="61">
    <w:name w:val="apple-converted-space"/>
    <w:qFormat/>
    <w:uiPriority w:val="0"/>
    <w:rPr>
      <w:rFonts w:ascii="Times New Roman" w:hAnsi="Times New Roman" w:eastAsia="宋体" w:cs="Times New Roman"/>
    </w:rPr>
  </w:style>
  <w:style w:type="character" w:customStyle="1" w:styleId="62">
    <w:name w:val="Header Char"/>
    <w:qFormat/>
    <w:uiPriority w:val="0"/>
    <w:rPr>
      <w:rFonts w:ascii="Calibri" w:hAnsi="Calibri" w:eastAsia="宋体" w:cs="Times New Roman"/>
      <w:kern w:val="2"/>
      <w:sz w:val="18"/>
      <w:szCs w:val="18"/>
      <w:lang w:val="en-US" w:eastAsia="zh-CN" w:bidi="ar-SA"/>
    </w:rPr>
  </w:style>
  <w:style w:type="character" w:customStyle="1" w:styleId="63">
    <w:name w:val="Footer Char"/>
    <w:qFormat/>
    <w:uiPriority w:val="0"/>
    <w:rPr>
      <w:rFonts w:ascii="Calibri" w:hAnsi="Calibri" w:eastAsia="宋体" w:cs="Times New Roman"/>
      <w:kern w:val="2"/>
      <w:sz w:val="18"/>
      <w:szCs w:val="18"/>
      <w:lang w:val="en-US" w:eastAsia="zh-CN" w:bidi="ar-SA"/>
    </w:rPr>
  </w:style>
  <w:style w:type="character" w:customStyle="1" w:styleId="64">
    <w:name w:val="Plain Text Char"/>
    <w:qFormat/>
    <w:uiPriority w:val="0"/>
    <w:rPr>
      <w:rFonts w:ascii="宋体" w:hAnsi="Courier New" w:eastAsia="宋体" w:cs="Times New Roman"/>
      <w:lang w:bidi="ar-SA"/>
    </w:rPr>
  </w:style>
  <w:style w:type="character" w:customStyle="1" w:styleId="65">
    <w:name w:val="普通文字 Char Char3"/>
    <w:qFormat/>
    <w:uiPriority w:val="0"/>
    <w:rPr>
      <w:rFonts w:ascii="宋体" w:hAnsi="Times New Roman" w:eastAsia="宋体" w:cs="Courier New"/>
      <w:kern w:val="2"/>
      <w:sz w:val="21"/>
      <w:szCs w:val="21"/>
      <w:lang w:val="en-US" w:eastAsia="zh-CN" w:bidi="ar-SA"/>
    </w:rPr>
  </w:style>
  <w:style w:type="character" w:customStyle="1" w:styleId="66">
    <w:name w:val="样式 正文 +"/>
    <w:qFormat/>
    <w:uiPriority w:val="0"/>
    <w:rPr>
      <w:rFonts w:ascii="Times New Roman" w:hAnsi="Times New Roman" w:eastAsia="宋体" w:cs="Times New Roman"/>
      <w:kern w:val="0"/>
      <w:sz w:val="28"/>
    </w:rPr>
  </w:style>
  <w:style w:type="character" w:customStyle="1" w:styleId="67">
    <w:name w:val="正文文本缩进 字符"/>
    <w:link w:val="18"/>
    <w:qFormat/>
    <w:uiPriority w:val="0"/>
    <w:rPr>
      <w:rFonts w:ascii="仿宋_GB2312" w:hAnsi="Times New Roman" w:eastAsia="仿宋_GB2312" w:cs="Times New Roman"/>
      <w:kern w:val="2"/>
      <w:sz w:val="32"/>
      <w:lang w:val="en-US" w:eastAsia="zh-CN" w:bidi="ar-SA"/>
    </w:rPr>
  </w:style>
  <w:style w:type="character" w:customStyle="1" w:styleId="68">
    <w:name w:val="普通文字 Char Char2"/>
    <w:qFormat/>
    <w:uiPriority w:val="0"/>
    <w:rPr>
      <w:rFonts w:ascii="宋体" w:hAnsi="Courier New" w:eastAsia="宋体" w:cs="Times New Roman"/>
      <w:kern w:val="2"/>
      <w:sz w:val="21"/>
      <w:lang w:val="en-US" w:eastAsia="zh-CN" w:bidi="ar-SA"/>
    </w:rPr>
  </w:style>
  <w:style w:type="character" w:customStyle="1" w:styleId="69">
    <w:name w:val="页脚 字符"/>
    <w:link w:val="25"/>
    <w:qFormat/>
    <w:uiPriority w:val="99"/>
    <w:rPr>
      <w:rFonts w:ascii="Times New Roman" w:hAnsi="Times New Roman" w:eastAsia="宋体" w:cs="Times New Roman"/>
      <w:kern w:val="2"/>
      <w:sz w:val="18"/>
      <w:szCs w:val="18"/>
    </w:rPr>
  </w:style>
  <w:style w:type="character" w:customStyle="1" w:styleId="70">
    <w:name w:val="样式 宋体 小四"/>
    <w:qFormat/>
    <w:uiPriority w:val="0"/>
    <w:rPr>
      <w:rFonts w:ascii="宋体" w:hAnsi="宋体" w:eastAsia="宋体" w:cs="Times New Roman"/>
      <w:sz w:val="24"/>
    </w:rPr>
  </w:style>
  <w:style w:type="character" w:customStyle="1" w:styleId="71">
    <w:name w:val="页眉 字符"/>
    <w:link w:val="26"/>
    <w:qFormat/>
    <w:uiPriority w:val="99"/>
    <w:rPr>
      <w:rFonts w:ascii="Times New Roman" w:hAnsi="Times New Roman" w:eastAsia="宋体" w:cs="Times New Roman"/>
      <w:kern w:val="2"/>
      <w:sz w:val="18"/>
      <w:szCs w:val="18"/>
      <w:lang w:val="en-US" w:eastAsia="zh-CN" w:bidi="ar-SA"/>
    </w:rPr>
  </w:style>
  <w:style w:type="character" w:customStyle="1" w:styleId="72">
    <w:name w:val="副标题 字符"/>
    <w:link w:val="28"/>
    <w:qFormat/>
    <w:uiPriority w:val="0"/>
    <w:rPr>
      <w:rFonts w:ascii="Cambria" w:hAnsi="Cambria" w:eastAsia="宋体" w:cs="Times New Roman"/>
      <w:b/>
      <w:bCs/>
      <w:kern w:val="28"/>
      <w:sz w:val="28"/>
      <w:szCs w:val="32"/>
      <w:lang w:val="en-US" w:eastAsia="zh-CN" w:bidi="ar-SA"/>
    </w:rPr>
  </w:style>
  <w:style w:type="character" w:customStyle="1" w:styleId="73">
    <w:name w:val="批注框文本 字符"/>
    <w:link w:val="24"/>
    <w:qFormat/>
    <w:uiPriority w:val="0"/>
    <w:rPr>
      <w:rFonts w:ascii="Times New Roman" w:hAnsi="Times New Roman" w:eastAsia="宋体" w:cs="Times New Roman"/>
      <w:kern w:val="2"/>
      <w:sz w:val="18"/>
      <w:szCs w:val="18"/>
    </w:rPr>
  </w:style>
  <w:style w:type="character" w:customStyle="1" w:styleId="74">
    <w:name w:val="批注文字 字符"/>
    <w:link w:val="16"/>
    <w:qFormat/>
    <w:uiPriority w:val="0"/>
    <w:rPr>
      <w:rFonts w:ascii="Times New Roman" w:hAnsi="Times New Roman" w:eastAsia="宋体" w:cs="Times New Roman"/>
      <w:kern w:val="2"/>
      <w:sz w:val="21"/>
      <w:szCs w:val="24"/>
      <w:lang w:val="en-US" w:eastAsia="zh-CN" w:bidi="ar-SA"/>
    </w:rPr>
  </w:style>
  <w:style w:type="character" w:customStyle="1" w:styleId="75">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76">
    <w:name w:val="ca-1"/>
    <w:qFormat/>
    <w:uiPriority w:val="0"/>
    <w:rPr>
      <w:rFonts w:ascii="Times New Roman" w:hAnsi="Times New Roman" w:eastAsia="宋体" w:cs="Times New Roman"/>
    </w:rPr>
  </w:style>
  <w:style w:type="character" w:customStyle="1" w:styleId="77">
    <w:name w:val="正文360首行缩进 Char"/>
    <w:link w:val="78"/>
    <w:qFormat/>
    <w:uiPriority w:val="0"/>
    <w:rPr>
      <w:rFonts w:ascii="Times New Roman" w:hAnsi="Times New Roman" w:eastAsia="宋体" w:cs="Times New Roman"/>
      <w:sz w:val="24"/>
      <w:szCs w:val="24"/>
    </w:rPr>
  </w:style>
  <w:style w:type="paragraph" w:customStyle="1" w:styleId="78">
    <w:name w:val="正文360首行缩进"/>
    <w:basedOn w:val="1"/>
    <w:link w:val="77"/>
    <w:qFormat/>
    <w:uiPriority w:val="0"/>
    <w:pPr>
      <w:widowControl/>
      <w:spacing w:before="120" w:line="300" w:lineRule="auto"/>
      <w:ind w:firstLine="200"/>
      <w:jc w:val="left"/>
    </w:pPr>
    <w:rPr>
      <w:kern w:val="0"/>
      <w:sz w:val="24"/>
    </w:rPr>
  </w:style>
  <w:style w:type="character" w:customStyle="1" w:styleId="79">
    <w:name w:val="List Paragraph Char"/>
    <w:link w:val="80"/>
    <w:qFormat/>
    <w:locked/>
    <w:uiPriority w:val="0"/>
    <w:rPr>
      <w:rFonts w:ascii="宋体" w:hAnsi="宋体" w:cs="宋体"/>
      <w:sz w:val="24"/>
      <w:szCs w:val="24"/>
    </w:rPr>
  </w:style>
  <w:style w:type="paragraph" w:customStyle="1" w:styleId="80">
    <w:name w:val="列表段落1"/>
    <w:basedOn w:val="1"/>
    <w:link w:val="79"/>
    <w:qFormat/>
    <w:uiPriority w:val="0"/>
    <w:pPr>
      <w:widowControl/>
      <w:ind w:firstLine="420" w:firstLineChars="200"/>
      <w:jc w:val="left"/>
    </w:pPr>
    <w:rPr>
      <w:rFonts w:ascii="宋体" w:hAnsi="宋体"/>
      <w:kern w:val="0"/>
      <w:sz w:val="24"/>
      <w:lang w:val="zh-CN"/>
    </w:rPr>
  </w:style>
  <w:style w:type="character" w:customStyle="1" w:styleId="81">
    <w:name w:val="yyii"/>
    <w:qFormat/>
    <w:uiPriority w:val="0"/>
    <w:rPr>
      <w:rFonts w:ascii="Times New Roman" w:hAnsi="Times New Roman" w:eastAsia="宋体" w:cs="Times New Roman"/>
    </w:rPr>
  </w:style>
  <w:style w:type="character" w:customStyle="1" w:styleId="82">
    <w:name w:val="纯文本 Char1"/>
    <w:qFormat/>
    <w:uiPriority w:val="0"/>
    <w:rPr>
      <w:rFonts w:ascii="宋体" w:hAnsi="Courier New" w:eastAsia="宋体" w:cs="Times New Roman"/>
      <w:kern w:val="2"/>
      <w:sz w:val="21"/>
    </w:rPr>
  </w:style>
  <w:style w:type="character" w:customStyle="1" w:styleId="83">
    <w:name w:val="标题 1 Char1"/>
    <w:qFormat/>
    <w:uiPriority w:val="0"/>
    <w:rPr>
      <w:rFonts w:ascii="Times New Roman" w:hAnsi="Times New Roman" w:eastAsia="宋体" w:cs="Times New Roman"/>
      <w:b/>
      <w:bCs/>
      <w:kern w:val="44"/>
      <w:sz w:val="44"/>
      <w:szCs w:val="44"/>
    </w:rPr>
  </w:style>
  <w:style w:type="character" w:customStyle="1" w:styleId="84">
    <w:name w:val="标题 2 字符"/>
    <w:link w:val="4"/>
    <w:qFormat/>
    <w:uiPriority w:val="9"/>
    <w:rPr>
      <w:rFonts w:ascii="Arial" w:hAnsi="Arial" w:eastAsia="黑体"/>
      <w:b/>
      <w:bCs/>
      <w:kern w:val="2"/>
      <w:sz w:val="24"/>
      <w:szCs w:val="32"/>
    </w:rPr>
  </w:style>
  <w:style w:type="character" w:customStyle="1" w:styleId="85">
    <w:name w:val="批注主题 字符"/>
    <w:link w:val="35"/>
    <w:qFormat/>
    <w:uiPriority w:val="0"/>
    <w:rPr>
      <w:rFonts w:ascii="Times New Roman" w:hAnsi="Times New Roman" w:eastAsia="宋体" w:cs="Times New Roman"/>
      <w:b/>
      <w:bCs/>
      <w:kern w:val="2"/>
      <w:sz w:val="21"/>
      <w:szCs w:val="24"/>
      <w:lang w:val="en-US" w:eastAsia="zh-CN" w:bidi="ar-SA"/>
    </w:rPr>
  </w:style>
  <w:style w:type="paragraph" w:customStyle="1" w:styleId="86">
    <w:name w:val="目录 11"/>
    <w:basedOn w:val="1"/>
    <w:next w:val="1"/>
    <w:qFormat/>
    <w:uiPriority w:val="39"/>
  </w:style>
  <w:style w:type="paragraph" w:customStyle="1" w:styleId="87">
    <w:name w:val="目录 21"/>
    <w:basedOn w:val="1"/>
    <w:next w:val="1"/>
    <w:qFormat/>
    <w:uiPriority w:val="39"/>
    <w:pPr>
      <w:tabs>
        <w:tab w:val="right" w:leader="dot" w:pos="9402"/>
      </w:tabs>
      <w:ind w:left="718" w:leftChars="200" w:hanging="298" w:hangingChars="142"/>
    </w:pPr>
  </w:style>
  <w:style w:type="paragraph" w:customStyle="1" w:styleId="88">
    <w:name w:val="目录 31"/>
    <w:basedOn w:val="1"/>
    <w:next w:val="1"/>
    <w:qFormat/>
    <w:uiPriority w:val="39"/>
    <w:pPr>
      <w:ind w:left="840" w:leftChars="400"/>
    </w:pPr>
  </w:style>
  <w:style w:type="paragraph" w:customStyle="1" w:styleId="89">
    <w:name w:val="正文首行缩进1"/>
    <w:basedOn w:val="2"/>
    <w:qFormat/>
    <w:uiPriority w:val="0"/>
    <w:pPr>
      <w:spacing w:after="120" w:line="240" w:lineRule="auto"/>
      <w:ind w:firstLine="420" w:firstLineChars="100"/>
    </w:pPr>
    <w:rPr>
      <w:sz w:val="21"/>
    </w:rPr>
  </w:style>
  <w:style w:type="paragraph" w:customStyle="1" w:styleId="90">
    <w:name w:val="Char Char1 Char Char Char Char"/>
    <w:basedOn w:val="15"/>
    <w:qFormat/>
    <w:uiPriority w:val="0"/>
    <w:rPr>
      <w:rFonts w:ascii="Tahoma" w:hAnsi="Tahoma"/>
      <w:sz w:val="24"/>
    </w:rPr>
  </w:style>
  <w:style w:type="paragraph" w:customStyle="1" w:styleId="91">
    <w:name w:val="列出段落1"/>
    <w:basedOn w:val="1"/>
    <w:qFormat/>
    <w:uiPriority w:val="99"/>
    <w:pPr>
      <w:ind w:firstLine="420" w:firstLineChars="200"/>
    </w:pPr>
    <w:rPr>
      <w:rFonts w:ascii="Calibri" w:hAnsi="Calibri"/>
    </w:rPr>
  </w:style>
  <w:style w:type="paragraph" w:customStyle="1" w:styleId="92">
    <w:name w:val="Char Char Char1 Char"/>
    <w:basedOn w:val="15"/>
    <w:qFormat/>
    <w:uiPriority w:val="0"/>
  </w:style>
  <w:style w:type="paragraph" w:customStyle="1" w:styleId="93">
    <w:name w:val="pa-5"/>
    <w:basedOn w:val="1"/>
    <w:qFormat/>
    <w:uiPriority w:val="0"/>
    <w:pPr>
      <w:widowControl/>
      <w:spacing w:before="150" w:after="150"/>
      <w:jc w:val="left"/>
    </w:pPr>
    <w:rPr>
      <w:rFonts w:ascii="宋体" w:hAnsi="宋体" w:cs="宋体"/>
      <w:kern w:val="0"/>
      <w:sz w:val="24"/>
    </w:rPr>
  </w:style>
  <w:style w:type="paragraph" w:customStyle="1" w:styleId="94">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5">
    <w:name w:val="Char Char1 Char Char Char Char1"/>
    <w:basedOn w:val="15"/>
    <w:qFormat/>
    <w:uiPriority w:val="0"/>
    <w:rPr>
      <w:rFonts w:ascii="Tahoma" w:hAnsi="Tahoma"/>
      <w:sz w:val="24"/>
    </w:rPr>
  </w:style>
  <w:style w:type="paragraph" w:customStyle="1" w:styleId="96">
    <w:name w:val="_Style 35"/>
    <w:basedOn w:val="15"/>
    <w:qFormat/>
    <w:uiPriority w:val="0"/>
    <w:pPr>
      <w:widowControl/>
      <w:ind w:firstLine="454"/>
      <w:jc w:val="left"/>
    </w:pPr>
  </w:style>
  <w:style w:type="paragraph" w:customStyle="1" w:styleId="97">
    <w:name w:val="5 Char Char Char Char Char Char Char Char Char Char"/>
    <w:basedOn w:val="1"/>
    <w:qFormat/>
    <w:uiPriority w:val="0"/>
  </w:style>
  <w:style w:type="paragraph" w:customStyle="1" w:styleId="9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99">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100">
    <w:name w:val="默认段落字体 Para Char"/>
    <w:basedOn w:val="1"/>
    <w:qFormat/>
    <w:uiPriority w:val="0"/>
    <w:rPr>
      <w:szCs w:val="20"/>
    </w:rPr>
  </w:style>
  <w:style w:type="paragraph" w:customStyle="1" w:styleId="101">
    <w:name w:val="表格文字"/>
    <w:basedOn w:val="1"/>
    <w:qFormat/>
    <w:uiPriority w:val="0"/>
    <w:pPr>
      <w:spacing w:before="25" w:after="25"/>
      <w:jc w:val="left"/>
    </w:pPr>
    <w:rPr>
      <w:bCs/>
      <w:spacing w:val="10"/>
      <w:kern w:val="0"/>
      <w:sz w:val="24"/>
    </w:rPr>
  </w:style>
  <w:style w:type="paragraph" w:customStyle="1" w:styleId="102">
    <w:name w:val="_Style 7"/>
    <w:basedOn w:val="15"/>
    <w:qFormat/>
    <w:uiPriority w:val="0"/>
  </w:style>
  <w:style w:type="paragraph" w:customStyle="1" w:styleId="103">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默认段落字体 Para Char Char Char Char Char Char Char Char Char1 Char Char Char Char"/>
    <w:basedOn w:val="1"/>
    <w:qFormat/>
    <w:uiPriority w:val="0"/>
    <w:rPr>
      <w:rFonts w:ascii="Tahoma" w:hAnsi="Tahoma"/>
      <w:sz w:val="24"/>
      <w:szCs w:val="20"/>
    </w:rPr>
  </w:style>
  <w:style w:type="paragraph" w:customStyle="1" w:styleId="105">
    <w:name w:val="样式 标题 1 + 居中 段前: 0 磅 段后: 0 磅 行距: 固定值 30 磅"/>
    <w:basedOn w:val="3"/>
    <w:qFormat/>
    <w:uiPriority w:val="0"/>
    <w:pPr>
      <w:spacing w:before="0" w:after="0" w:line="600" w:lineRule="exact"/>
    </w:pPr>
    <w:rPr>
      <w:rFonts w:eastAsia="宋体" w:cs="宋体"/>
      <w:szCs w:val="20"/>
    </w:rPr>
  </w:style>
  <w:style w:type="paragraph" w:customStyle="1" w:styleId="106">
    <w:name w:val="样式 小四 行距: 1.5 倍行距"/>
    <w:basedOn w:val="1"/>
    <w:qFormat/>
    <w:uiPriority w:val="0"/>
    <w:pPr>
      <w:spacing w:line="360" w:lineRule="auto"/>
      <w:ind w:firstLine="480" w:firstLineChars="200"/>
    </w:pPr>
    <w:rPr>
      <w:rFonts w:cs="宋体"/>
      <w:sz w:val="24"/>
      <w:szCs w:val="20"/>
    </w:rPr>
  </w:style>
  <w:style w:type="paragraph" w:customStyle="1" w:styleId="107">
    <w:name w:val="p0"/>
    <w:basedOn w:val="1"/>
    <w:qFormat/>
    <w:uiPriority w:val="0"/>
    <w:pPr>
      <w:widowControl/>
    </w:pPr>
    <w:rPr>
      <w:rFonts w:ascii="宋体" w:hAnsi="宋体" w:cs="宋体"/>
      <w:kern w:val="0"/>
      <w:szCs w:val="21"/>
    </w:rPr>
  </w:style>
  <w:style w:type="paragraph" w:customStyle="1" w:styleId="108">
    <w:name w:val="Char Char Char Char Char Char Char Char Char Char Char Char"/>
    <w:basedOn w:val="1"/>
    <w:qFormat/>
    <w:uiPriority w:val="0"/>
    <w:pPr>
      <w:widowControl/>
      <w:spacing w:after="160" w:line="240" w:lineRule="exact"/>
      <w:jc w:val="left"/>
    </w:pPr>
  </w:style>
  <w:style w:type="paragraph" w:customStyle="1" w:styleId="109">
    <w:name w:val="Char Char Char1 Char1"/>
    <w:basedOn w:val="1"/>
    <w:qFormat/>
    <w:uiPriority w:val="0"/>
    <w:rPr>
      <w:rFonts w:ascii="Calibri" w:hAnsi="Calibri"/>
      <w:szCs w:val="22"/>
    </w:rPr>
  </w:style>
  <w:style w:type="paragraph" w:customStyle="1" w:styleId="110">
    <w:name w:val="Char Char Char Char Char Char Char"/>
    <w:basedOn w:val="1"/>
    <w:qFormat/>
    <w:uiPriority w:val="0"/>
  </w:style>
  <w:style w:type="paragraph" w:customStyle="1" w:styleId="111">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2">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13">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5">
    <w:name w:val="Char"/>
    <w:basedOn w:val="15"/>
    <w:qFormat/>
    <w:uiPriority w:val="0"/>
    <w:pPr>
      <w:widowControl/>
      <w:ind w:firstLine="454"/>
      <w:jc w:val="left"/>
    </w:pPr>
    <w:rPr>
      <w:rFonts w:ascii="Tahoma" w:hAnsi="Tahoma" w:cs="宋体"/>
      <w:kern w:val="0"/>
      <w:sz w:val="24"/>
      <w:szCs w:val="20"/>
    </w:rPr>
  </w:style>
  <w:style w:type="paragraph" w:customStyle="1" w:styleId="116">
    <w:name w:val="Char1"/>
    <w:basedOn w:val="15"/>
    <w:qFormat/>
    <w:uiPriority w:val="0"/>
    <w:pPr>
      <w:widowControl/>
      <w:ind w:firstLine="454"/>
      <w:jc w:val="left"/>
    </w:pPr>
    <w:rPr>
      <w:rFonts w:ascii="Tahoma" w:hAnsi="Tahoma" w:cs="宋体"/>
      <w:kern w:val="0"/>
      <w:sz w:val="24"/>
      <w:szCs w:val="20"/>
    </w:rPr>
  </w:style>
  <w:style w:type="paragraph" w:customStyle="1" w:styleId="117">
    <w:name w:val="1"/>
    <w:basedOn w:val="1"/>
    <w:next w:val="21"/>
    <w:qFormat/>
    <w:uiPriority w:val="0"/>
    <w:rPr>
      <w:rFonts w:ascii="宋体" w:hAnsi="Courier New"/>
      <w:szCs w:val="20"/>
    </w:rPr>
  </w:style>
  <w:style w:type="paragraph" w:customStyle="1" w:styleId="118">
    <w:name w:val="_Style 2"/>
    <w:basedOn w:val="1"/>
    <w:qFormat/>
    <w:uiPriority w:val="0"/>
    <w:pPr>
      <w:ind w:firstLine="420" w:firstLineChars="200"/>
    </w:pPr>
  </w:style>
  <w:style w:type="paragraph" w:customStyle="1" w:styleId="119">
    <w:name w:val="正文段"/>
    <w:basedOn w:val="1"/>
    <w:qFormat/>
    <w:uiPriority w:val="0"/>
    <w:pPr>
      <w:widowControl/>
      <w:snapToGrid w:val="0"/>
      <w:spacing w:after="156" w:afterLines="50"/>
      <w:ind w:firstLine="200" w:firstLineChars="200"/>
    </w:pPr>
    <w:rPr>
      <w:kern w:val="0"/>
      <w:sz w:val="24"/>
      <w:szCs w:val="20"/>
    </w:rPr>
  </w:style>
  <w:style w:type="paragraph" w:customStyle="1" w:styleId="120">
    <w:name w:val="列出段落2"/>
    <w:basedOn w:val="1"/>
    <w:qFormat/>
    <w:uiPriority w:val="34"/>
    <w:pPr>
      <w:ind w:firstLine="420" w:firstLineChars="200"/>
    </w:pPr>
    <w:rPr>
      <w:rFonts w:ascii="Calibri" w:hAnsi="Calibri"/>
      <w:szCs w:val="22"/>
    </w:rPr>
  </w:style>
  <w:style w:type="paragraph" w:styleId="121">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2">
    <w:name w:val="未处理的提及1"/>
    <w:basedOn w:val="39"/>
    <w:semiHidden/>
    <w:unhideWhenUsed/>
    <w:qFormat/>
    <w:uiPriority w:val="99"/>
    <w:rPr>
      <w:color w:val="605E5C"/>
      <w:shd w:val="clear" w:color="auto" w:fill="E1DFDD"/>
    </w:rPr>
  </w:style>
  <w:style w:type="character" w:customStyle="1" w:styleId="123">
    <w:name w:val="font81"/>
    <w:basedOn w:val="39"/>
    <w:qFormat/>
    <w:uiPriority w:val="0"/>
    <w:rPr>
      <w:rFonts w:hint="eastAsia" w:ascii="宋体" w:hAnsi="宋体" w:eastAsia="宋体" w:cs="宋体"/>
      <w:color w:val="000000"/>
      <w:sz w:val="18"/>
      <w:szCs w:val="18"/>
      <w:u w:val="none"/>
    </w:rPr>
  </w:style>
  <w:style w:type="paragraph" w:styleId="124">
    <w:name w:val="List Paragraph"/>
    <w:basedOn w:val="1"/>
    <w:qFormat/>
    <w:uiPriority w:val="34"/>
    <w:pPr>
      <w:ind w:firstLine="420" w:firstLineChars="200"/>
    </w:pPr>
  </w:style>
  <w:style w:type="character" w:customStyle="1" w:styleId="125">
    <w:name w:val="未处理的提及2"/>
    <w:basedOn w:val="39"/>
    <w:semiHidden/>
    <w:unhideWhenUsed/>
    <w:qFormat/>
    <w:uiPriority w:val="99"/>
    <w:rPr>
      <w:color w:val="605E5C"/>
      <w:shd w:val="clear" w:color="auto" w:fill="E1DFDD"/>
    </w:rPr>
  </w:style>
  <w:style w:type="character" w:customStyle="1" w:styleId="126">
    <w:name w:val="纯文本 字符1"/>
    <w:qFormat/>
    <w:uiPriority w:val="0"/>
    <w:rPr>
      <w:rFonts w:ascii="宋体" w:hAnsi="Courier New" w:eastAsia="宋体" w:cs="Courier New"/>
      <w:kern w:val="2"/>
      <w:sz w:val="21"/>
      <w:szCs w:val="21"/>
      <w:lang w:val="en-US" w:eastAsia="zh-CN" w:bidi="ar-SA"/>
    </w:rPr>
  </w:style>
  <w:style w:type="paragraph" w:customStyle="1" w:styleId="127">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28">
    <w:name w:val="标题 5 字符"/>
    <w:basedOn w:val="39"/>
    <w:link w:val="7"/>
    <w:qFormat/>
    <w:uiPriority w:val="0"/>
    <w:rPr>
      <w:b/>
      <w:kern w:val="2"/>
      <w:sz w:val="28"/>
      <w:szCs w:val="24"/>
    </w:rPr>
  </w:style>
  <w:style w:type="character" w:customStyle="1" w:styleId="129">
    <w:name w:val="标题 6 字符"/>
    <w:basedOn w:val="39"/>
    <w:link w:val="9"/>
    <w:qFormat/>
    <w:uiPriority w:val="0"/>
    <w:rPr>
      <w:rFonts w:ascii="Arial" w:hAnsi="Arial" w:eastAsia="黑体"/>
      <w:b/>
      <w:kern w:val="2"/>
      <w:sz w:val="24"/>
      <w:szCs w:val="24"/>
    </w:rPr>
  </w:style>
  <w:style w:type="character" w:customStyle="1" w:styleId="130">
    <w:name w:val="标题 7 字符"/>
    <w:basedOn w:val="39"/>
    <w:link w:val="10"/>
    <w:qFormat/>
    <w:uiPriority w:val="0"/>
    <w:rPr>
      <w:b/>
      <w:kern w:val="2"/>
      <w:sz w:val="24"/>
      <w:szCs w:val="24"/>
    </w:rPr>
  </w:style>
  <w:style w:type="character" w:customStyle="1" w:styleId="131">
    <w:name w:val="标题 8 字符"/>
    <w:basedOn w:val="39"/>
    <w:link w:val="11"/>
    <w:qFormat/>
    <w:uiPriority w:val="0"/>
    <w:rPr>
      <w:rFonts w:ascii="Arial" w:hAnsi="Arial" w:eastAsia="黑体"/>
      <w:kern w:val="2"/>
      <w:sz w:val="24"/>
      <w:szCs w:val="24"/>
    </w:rPr>
  </w:style>
  <w:style w:type="character" w:customStyle="1" w:styleId="132">
    <w:name w:val="标题 9 字符"/>
    <w:basedOn w:val="39"/>
    <w:link w:val="12"/>
    <w:qFormat/>
    <w:uiPriority w:val="0"/>
    <w:rPr>
      <w:rFonts w:ascii="Arial" w:hAnsi="Arial" w:eastAsia="黑体"/>
      <w:kern w:val="2"/>
      <w:sz w:val="21"/>
      <w:szCs w:val="24"/>
    </w:rPr>
  </w:style>
  <w:style w:type="character" w:customStyle="1" w:styleId="133">
    <w:name w:val="文档结构图 字符"/>
    <w:basedOn w:val="39"/>
    <w:link w:val="15"/>
    <w:qFormat/>
    <w:uiPriority w:val="0"/>
    <w:rPr>
      <w:kern w:val="2"/>
      <w:sz w:val="21"/>
      <w:szCs w:val="24"/>
      <w:shd w:val="clear" w:color="auto" w:fill="000080"/>
    </w:rPr>
  </w:style>
  <w:style w:type="character" w:customStyle="1" w:styleId="134">
    <w:name w:val="正文文本 3 字符"/>
    <w:basedOn w:val="39"/>
    <w:link w:val="17"/>
    <w:qFormat/>
    <w:uiPriority w:val="0"/>
    <w:rPr>
      <w:b/>
      <w:bCs/>
      <w:kern w:val="2"/>
      <w:sz w:val="24"/>
      <w:szCs w:val="24"/>
    </w:rPr>
  </w:style>
  <w:style w:type="character" w:customStyle="1" w:styleId="135">
    <w:name w:val="正文文本 字符"/>
    <w:basedOn w:val="39"/>
    <w:link w:val="2"/>
    <w:qFormat/>
    <w:uiPriority w:val="0"/>
    <w:rPr>
      <w:kern w:val="2"/>
      <w:sz w:val="24"/>
      <w:szCs w:val="24"/>
    </w:rPr>
  </w:style>
  <w:style w:type="character" w:customStyle="1" w:styleId="136">
    <w:name w:val="日期 字符"/>
    <w:basedOn w:val="39"/>
    <w:link w:val="22"/>
    <w:qFormat/>
    <w:uiPriority w:val="0"/>
    <w:rPr>
      <w:rFonts w:ascii="宋体" w:hAnsi="Courier New" w:cs="Courier New"/>
      <w:kern w:val="2"/>
      <w:sz w:val="21"/>
      <w:szCs w:val="21"/>
    </w:rPr>
  </w:style>
  <w:style w:type="character" w:customStyle="1" w:styleId="137">
    <w:name w:val="正文文本缩进 2 字符"/>
    <w:basedOn w:val="39"/>
    <w:link w:val="23"/>
    <w:qFormat/>
    <w:uiPriority w:val="0"/>
    <w:rPr>
      <w:kern w:val="2"/>
      <w:sz w:val="32"/>
    </w:rPr>
  </w:style>
  <w:style w:type="character" w:customStyle="1" w:styleId="138">
    <w:name w:val="正文文本缩进 3 字符"/>
    <w:basedOn w:val="39"/>
    <w:link w:val="30"/>
    <w:qFormat/>
    <w:uiPriority w:val="0"/>
    <w:rPr>
      <w:kern w:val="2"/>
      <w:sz w:val="16"/>
      <w:szCs w:val="16"/>
    </w:rPr>
  </w:style>
  <w:style w:type="character" w:customStyle="1" w:styleId="139">
    <w:name w:val="正文文本 2 字符"/>
    <w:basedOn w:val="39"/>
    <w:link w:val="31"/>
    <w:qFormat/>
    <w:uiPriority w:val="0"/>
    <w:rPr>
      <w:kern w:val="2"/>
      <w:sz w:val="21"/>
      <w:szCs w:val="24"/>
    </w:rPr>
  </w:style>
  <w:style w:type="character" w:customStyle="1" w:styleId="140">
    <w:name w:val="HTML 预设格式 字符"/>
    <w:basedOn w:val="39"/>
    <w:link w:val="32"/>
    <w:qFormat/>
    <w:uiPriority w:val="0"/>
    <w:rPr>
      <w:rFonts w:ascii="宋体" w:hAnsi="宋体" w:cs="宋体"/>
      <w:sz w:val="24"/>
      <w:szCs w:val="24"/>
    </w:rPr>
  </w:style>
  <w:style w:type="paragraph" w:customStyle="1" w:styleId="14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42">
    <w:name w:val="font122"/>
    <w:basedOn w:val="39"/>
    <w:qFormat/>
    <w:uiPriority w:val="0"/>
    <w:rPr>
      <w:rFonts w:hint="default" w:ascii="Times New Roman" w:hAnsi="Times New Roman" w:cs="Times New Roman"/>
      <w:color w:val="000000"/>
      <w:sz w:val="20"/>
      <w:szCs w:val="20"/>
      <w:u w:val="none"/>
    </w:rPr>
  </w:style>
  <w:style w:type="character" w:customStyle="1" w:styleId="143">
    <w:name w:val="font01"/>
    <w:basedOn w:val="39"/>
    <w:qFormat/>
    <w:uiPriority w:val="0"/>
    <w:rPr>
      <w:rFonts w:hint="eastAsia" w:ascii="宋体" w:hAnsi="宋体" w:eastAsia="宋体" w:cs="宋体"/>
      <w:color w:val="000000"/>
      <w:sz w:val="22"/>
      <w:szCs w:val="22"/>
      <w:u w:val="none"/>
    </w:rPr>
  </w:style>
  <w:style w:type="paragraph" w:customStyle="1" w:styleId="144">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5">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46">
    <w:name w:val="font11"/>
    <w:basedOn w:val="3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238</Pages>
  <Words>10166</Words>
  <Characters>11464</Characters>
  <Lines>706</Lines>
  <Paragraphs>198</Paragraphs>
  <TotalTime>3</TotalTime>
  <ScaleCrop>false</ScaleCrop>
  <LinksUpToDate>false</LinksUpToDate>
  <CharactersWithSpaces>11586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2024-06-17T15:53:00Z</dcterms:created>
  <dc:creator>Huang Qian</dc:creator>
  <cp:lastModifiedBy>~猫~石榴</cp:lastModifiedBy>
  <cp:lastPrinted>2025-01-06T02:41:00Z</cp:lastPrinted>
  <dcterms:modified xsi:type="dcterms:W3CDTF">2025-01-07T08:26:26Z</dcterms:modified>
  <dc:title>竞争性谈判文件</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4F3F75CBC9CF474689F9A520B33A5CB5</vt:lpwstr>
  </property>
  <property fmtid="{D5CDD505-2E9C-101B-9397-08002B2CF9AE}" pid="4" name="KSOTemplateDocerSaveRecord">
    <vt:lpwstr>eyJoZGlkIjoiMTM0NGFlOTE5YzM3NmI1Mjk3MTU1YWRiMjQ4ZDZiNGUiLCJ1c2VySWQiOiIxMzM5Mjk0NDEwIn0=</vt:lpwstr>
  </property>
</Properties>
</file>