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before="156" w:beforeLines="50" w:line="780" w:lineRule="exact"/>
        <w:jc w:val="center"/>
        <w:rPr>
          <w:rFonts w:ascii="方正小标宋_GBK" w:hAnsi="黑体" w:eastAsia="方正小标宋_GBK"/>
          <w:b/>
          <w:color w:val="0D0D0D" w:themeColor="text1" w:themeTint="F2"/>
          <w:sz w:val="84"/>
          <w:szCs w:val="84"/>
          <w14:textFill>
            <w14:solidFill>
              <w14:schemeClr w14:val="tx1">
                <w14:lumMod w14:val="95000"/>
                <w14:lumOff w14:val="5000"/>
              </w14:schemeClr>
            </w14:solidFill>
          </w14:textFill>
        </w:rPr>
      </w:pPr>
      <w:r>
        <w:rPr>
          <w:rFonts w:hint="eastAsia" w:ascii="方正小标宋_GBK" w:hAnsi="黑体" w:eastAsia="方正小标宋_GBK"/>
          <w:b/>
          <w:color w:val="0D0D0D" w:themeColor="text1" w:themeTint="F2"/>
          <w:sz w:val="84"/>
          <w:szCs w:val="84"/>
          <w14:textFill>
            <w14:solidFill>
              <w14:schemeClr w14:val="tx1">
                <w14:lumMod w14:val="95000"/>
                <w14:lumOff w14:val="5000"/>
              </w14:schemeClr>
            </w14:solidFill>
          </w14:textFill>
        </w:rPr>
        <w:t>竞争性谈判采购文件</w:t>
      </w:r>
    </w:p>
    <w:p/>
    <w:p/>
    <w:p/>
    <w:p/>
    <w:p/>
    <w:p/>
    <w:p/>
    <w:p/>
    <w:p/>
    <w:p/>
    <w:p/>
    <w:p>
      <w:pPr>
        <w:spacing w:line="400" w:lineRule="exact"/>
        <w:ind w:left="3198" w:leftChars="304" w:hanging="2560" w:hangingChars="800"/>
        <w:rPr>
          <w:rFonts w:ascii="方正小标宋_GBK" w:hAnsi="微软雅黑" w:eastAsia="方正小标宋_GBK"/>
          <w:color w:val="0D0D0D" w:themeColor="text1" w:themeTint="F2"/>
          <w:sz w:val="32"/>
          <w:szCs w:val="32"/>
          <w14:textFill>
            <w14:solidFill>
              <w14:schemeClr w14:val="tx1">
                <w14:lumMod w14:val="95000"/>
                <w14:lumOff w14:val="5000"/>
              </w14:schemeClr>
            </w14:solidFill>
          </w14:textFill>
        </w:rPr>
      </w:pPr>
      <w:r>
        <w:rPr>
          <w:rFonts w:hint="eastAsia" w:ascii="方正小标宋_GBK" w:hAnsi="微软雅黑" w:eastAsia="方正小标宋_GBK"/>
          <w:color w:val="0D0D0D" w:themeColor="text1" w:themeTint="F2"/>
          <w:sz w:val="32"/>
          <w:szCs w:val="32"/>
          <w14:textFill>
            <w14:solidFill>
              <w14:schemeClr w14:val="tx1">
                <w14:lumMod w14:val="95000"/>
                <w14:lumOff w14:val="5000"/>
              </w14:schemeClr>
            </w14:solidFill>
          </w14:textFill>
        </w:rPr>
        <w:t xml:space="preserve">  项目名称:钦州幼儿师范高等专科学校中文专业融媒体实训室</w:t>
      </w:r>
    </w:p>
    <w:p>
      <w:pPr>
        <w:spacing w:line="500" w:lineRule="exact"/>
        <w:ind w:firstLine="960" w:firstLineChars="300"/>
        <w:rPr>
          <w:rFonts w:ascii="方正小标宋_GBK" w:hAnsi="微软雅黑" w:eastAsia="方正小标宋_GBK"/>
          <w:color w:val="0D0D0D" w:themeColor="text1" w:themeTint="F2"/>
          <w:sz w:val="32"/>
          <w:szCs w:val="32"/>
          <w14:textFill>
            <w14:solidFill>
              <w14:schemeClr w14:val="tx1">
                <w14:lumMod w14:val="95000"/>
                <w14:lumOff w14:val="5000"/>
              </w14:schemeClr>
            </w14:solidFill>
          </w14:textFill>
        </w:rPr>
      </w:pPr>
      <w:r>
        <w:rPr>
          <w:rFonts w:hint="eastAsia" w:ascii="方正小标宋_GBK" w:hAnsi="微软雅黑" w:eastAsia="方正小标宋_GBK"/>
          <w:color w:val="0D0D0D" w:themeColor="text1" w:themeTint="F2"/>
          <w:sz w:val="32"/>
          <w:szCs w:val="32"/>
          <w14:textFill>
            <w14:solidFill>
              <w14:schemeClr w14:val="tx1">
                <w14:lumMod w14:val="95000"/>
                <w14:lumOff w14:val="5000"/>
              </w14:schemeClr>
            </w14:solidFill>
          </w14:textFill>
        </w:rPr>
        <w:t>项目编号:QZZC2024-J1-990499-QZSZ</w:t>
      </w:r>
    </w:p>
    <w:p/>
    <w:p/>
    <w:p/>
    <w:p/>
    <w:p/>
    <w:p/>
    <w:p/>
    <w:p/>
    <w:p/>
    <w:p/>
    <w:p/>
    <w:p/>
    <w:p/>
    <w:p/>
    <w:p/>
    <w:p/>
    <w:p/>
    <w:p/>
    <w:p/>
    <w:p>
      <w:pPr>
        <w:spacing w:line="360" w:lineRule="exact"/>
        <w:ind w:firstLine="3520" w:firstLineChars="1100"/>
        <w:rPr>
          <w:rFonts w:ascii="方正小标宋_GBK" w:hAnsi="微软雅黑" w:eastAsia="方正小标宋_GBK"/>
          <w:color w:val="0D0D0D" w:themeColor="text1" w:themeTint="F2"/>
          <w:sz w:val="32"/>
          <w:szCs w:val="32"/>
          <w14:textFill>
            <w14:solidFill>
              <w14:schemeClr w14:val="tx1">
                <w14:lumMod w14:val="95000"/>
                <w14:lumOff w14:val="5000"/>
              </w14:schemeClr>
            </w14:solidFill>
          </w14:textFill>
        </w:rPr>
      </w:pPr>
      <w:r>
        <w:rPr>
          <w:rFonts w:hint="eastAsia" w:ascii="方正小标宋_GBK" w:hAnsi="微软雅黑" w:eastAsia="方正小标宋_GBK"/>
          <w:color w:val="0D0D0D" w:themeColor="text1" w:themeTint="F2"/>
          <w:sz w:val="32"/>
          <w:szCs w:val="32"/>
          <w14:textFill>
            <w14:solidFill>
              <w14:schemeClr w14:val="tx1">
                <w14:lumMod w14:val="95000"/>
                <w14:lumOff w14:val="5000"/>
              </w14:schemeClr>
            </w14:solidFill>
          </w14:textFill>
        </w:rPr>
        <w:t>钦州市政府采购中心</w:t>
      </w:r>
    </w:p>
    <w:p>
      <w:pPr>
        <w:tabs>
          <w:tab w:val="left" w:pos="360"/>
        </w:tabs>
        <w:spacing w:line="440" w:lineRule="exact"/>
        <w:jc w:val="center"/>
        <w:rPr>
          <w:rFonts w:hint="eastAsia" w:ascii="仿宋_GB2312" w:hAnsi="宋体" w:eastAsia="方正小标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小标宋_GBK" w:hAnsi="微软雅黑" w:eastAsia="方正小标宋_GBK"/>
          <w:color w:val="0D0D0D" w:themeColor="text1" w:themeTint="F2"/>
          <w:sz w:val="32"/>
          <w:szCs w:val="32"/>
          <w14:textFill>
            <w14:solidFill>
              <w14:schemeClr w14:val="tx1">
                <w14:lumMod w14:val="95000"/>
                <w14:lumOff w14:val="5000"/>
              </w14:schemeClr>
            </w14:solidFill>
          </w14:textFill>
        </w:rPr>
        <w:t>2024年</w:t>
      </w:r>
      <w:r>
        <w:rPr>
          <w:rFonts w:hint="eastAsia" w:ascii="方正小标宋_GBK" w:hAnsi="微软雅黑" w:eastAsia="方正小标宋_GBK"/>
          <w:color w:val="0D0D0D" w:themeColor="text1" w:themeTint="F2"/>
          <w:sz w:val="32"/>
          <w:szCs w:val="32"/>
          <w:lang w:eastAsia="zh-CN"/>
          <w14:textFill>
            <w14:solidFill>
              <w14:schemeClr w14:val="tx1">
                <w14:lumMod w14:val="95000"/>
                <w14:lumOff w14:val="5000"/>
              </w14:schemeClr>
            </w14:solidFill>
          </w14:textFill>
        </w:rPr>
        <w:t>12月</w:t>
      </w:r>
    </w:p>
    <w:p/>
    <w:p/>
    <w:p>
      <w:pPr>
        <w:spacing w:line="640" w:lineRule="exact"/>
        <w:jc w:val="center"/>
        <w:rPr>
          <w:rFonts w:ascii="方正小标宋_GBK" w:hAnsi="宋体" w:eastAsia="方正小标宋_GBK"/>
          <w:b/>
          <w:color w:val="0D0D0D" w:themeColor="text1" w:themeTint="F2"/>
          <w:sz w:val="32"/>
          <w:szCs w:val="32"/>
          <w14:textFill>
            <w14:solidFill>
              <w14:schemeClr w14:val="tx1">
                <w14:lumMod w14:val="95000"/>
                <w14:lumOff w14:val="5000"/>
              </w14:schemeClr>
            </w14:solidFill>
          </w14:textFill>
        </w:rPr>
      </w:pPr>
      <w:r>
        <w:rPr>
          <w:rFonts w:hint="eastAsia" w:ascii="方正小标宋_GBK" w:hAnsi="宋体" w:eastAsia="方正小标宋_GBK"/>
          <w:b/>
          <w:color w:val="0D0D0D" w:themeColor="text1" w:themeTint="F2"/>
          <w:sz w:val="44"/>
          <w:szCs w:val="44"/>
          <w14:textFill>
            <w14:solidFill>
              <w14:schemeClr w14:val="tx1">
                <w14:lumMod w14:val="95000"/>
                <w14:lumOff w14:val="5000"/>
              </w14:schemeClr>
            </w14:solidFill>
          </w14:textFill>
        </w:rPr>
        <w:t>目   录</w:t>
      </w:r>
    </w:p>
    <w:p/>
    <w:p>
      <w:pPr>
        <w:pStyle w:val="29"/>
        <w:tabs>
          <w:tab w:val="right" w:leader="dot" w:pos="9514"/>
        </w:tabs>
        <w:spacing w:line="1000" w:lineRule="exact"/>
        <w:rPr>
          <w:rFonts w:asciiTheme="minorHAnsi" w:hAnsiTheme="minorHAnsi" w:eastAsiaTheme="minorEastAsia" w:cstheme="minorBidi"/>
          <w:sz w:val="28"/>
          <w:szCs w:val="28"/>
        </w:rPr>
      </w:pPr>
      <w:bookmarkStart w:id="0" w:name="_Toc354479497"/>
      <w:r>
        <w:rPr>
          <w:rFonts w:hint="eastAsia" w:ascii="方正小标宋_GBK" w:hAnsi="仿宋" w:eastAsia="方正小标宋_GBK"/>
          <w:b/>
          <w:color w:val="0D0D0D" w:themeColor="text1" w:themeTint="F2"/>
          <w:sz w:val="28"/>
          <w:szCs w:val="28"/>
          <w14:textFill>
            <w14:solidFill>
              <w14:schemeClr w14:val="tx1">
                <w14:lumMod w14:val="95000"/>
                <w14:lumOff w14:val="5000"/>
              </w14:schemeClr>
            </w14:solidFill>
          </w14:textFill>
        </w:rPr>
        <w:fldChar w:fldCharType="begin"/>
      </w:r>
      <w:r>
        <w:rPr>
          <w:rFonts w:hint="eastAsia" w:ascii="方正小标宋_GBK" w:hAnsi="仿宋" w:eastAsia="方正小标宋_GBK"/>
          <w:b/>
          <w:color w:val="0D0D0D" w:themeColor="text1" w:themeTint="F2"/>
          <w:sz w:val="28"/>
          <w:szCs w:val="28"/>
          <w14:textFill>
            <w14:solidFill>
              <w14:schemeClr w14:val="tx1">
                <w14:lumMod w14:val="95000"/>
                <w14:lumOff w14:val="5000"/>
              </w14:schemeClr>
            </w14:solidFill>
          </w14:textFill>
        </w:rPr>
        <w:instrText xml:space="preserve"> TOC \o "1-1" \h \z \u </w:instrText>
      </w:r>
      <w:r>
        <w:rPr>
          <w:rFonts w:hint="eastAsia" w:ascii="方正小标宋_GBK" w:hAnsi="仿宋" w:eastAsia="方正小标宋_GBK"/>
          <w:b/>
          <w:color w:val="0D0D0D" w:themeColor="text1" w:themeTint="F2"/>
          <w:sz w:val="28"/>
          <w:szCs w:val="28"/>
          <w14:textFill>
            <w14:solidFill>
              <w14:schemeClr w14:val="tx1">
                <w14:lumMod w14:val="95000"/>
                <w14:lumOff w14:val="5000"/>
              </w14:schemeClr>
            </w14:solidFill>
          </w14:textFill>
        </w:rPr>
        <w:fldChar w:fldCharType="separate"/>
      </w:r>
      <w:r>
        <w:fldChar w:fldCharType="begin"/>
      </w:r>
      <w:r>
        <w:instrText xml:space="preserve"> HYPERLINK \l "_Toc92355023" </w:instrText>
      </w:r>
      <w:r>
        <w:fldChar w:fldCharType="separate"/>
      </w:r>
      <w:r>
        <w:rPr>
          <w:rStyle w:val="47"/>
          <w:rFonts w:ascii="方正小标宋_GBK" w:hAnsi="宋体" w:eastAsia="方正小标宋_GBK"/>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9"/>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7"/>
          <w:rFonts w:ascii="方正小标宋_GBK" w:hAnsi="宋体" w:eastAsia="方正小标宋_GBK"/>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9"/>
        <w:tabs>
          <w:tab w:val="right" w:leader="dot" w:pos="9514"/>
        </w:tabs>
        <w:spacing w:line="1000" w:lineRule="exact"/>
        <w:rPr>
          <w:rFonts w:asciiTheme="minorHAnsi" w:hAnsiTheme="minorHAnsi" w:cstheme="minorBidi"/>
          <w:sz w:val="28"/>
          <w:szCs w:val="28"/>
        </w:rPr>
      </w:pPr>
      <w:r>
        <w:fldChar w:fldCharType="begin"/>
      </w:r>
      <w:r>
        <w:instrText xml:space="preserve"> HYPERLINK \l "_Toc92355025" </w:instrText>
      </w:r>
      <w:r>
        <w:fldChar w:fldCharType="separate"/>
      </w:r>
      <w:r>
        <w:rPr>
          <w:rStyle w:val="47"/>
          <w:rFonts w:ascii="方正小标宋_GBK" w:hAnsi="宋体" w:eastAsia="方正小标宋_GBK"/>
          <w:sz w:val="28"/>
          <w:szCs w:val="28"/>
        </w:rPr>
        <w:t>第三章  供应商须知</w:t>
      </w:r>
      <w:r>
        <w:rPr>
          <w:sz w:val="28"/>
          <w:szCs w:val="28"/>
        </w:rPr>
        <w:tab/>
      </w:r>
      <w:r>
        <w:rPr>
          <w:sz w:val="28"/>
          <w:szCs w:val="28"/>
        </w:rPr>
        <w:fldChar w:fldCharType="end"/>
      </w:r>
      <w:r>
        <w:rPr>
          <w:rFonts w:hint="eastAsia"/>
          <w:sz w:val="28"/>
          <w:szCs w:val="28"/>
        </w:rPr>
        <w:t>21</w:t>
      </w:r>
    </w:p>
    <w:p>
      <w:pPr>
        <w:pStyle w:val="29"/>
        <w:tabs>
          <w:tab w:val="right" w:leader="dot" w:pos="9514"/>
        </w:tabs>
        <w:spacing w:line="1000" w:lineRule="exact"/>
        <w:rPr>
          <w:rFonts w:asciiTheme="minorHAnsi" w:hAnsiTheme="minorHAnsi" w:cstheme="minorBidi"/>
          <w:sz w:val="28"/>
          <w:szCs w:val="28"/>
        </w:rPr>
      </w:pPr>
      <w:r>
        <w:fldChar w:fldCharType="begin"/>
      </w:r>
      <w:r>
        <w:instrText xml:space="preserve"> HYPERLINK \l "_Toc92355026" </w:instrText>
      </w:r>
      <w:r>
        <w:fldChar w:fldCharType="separate"/>
      </w:r>
      <w:r>
        <w:rPr>
          <w:rStyle w:val="47"/>
          <w:rFonts w:ascii="方正小标宋_GBK" w:hAnsi="宋体" w:eastAsia="方正小标宋_GBK"/>
          <w:sz w:val="28"/>
          <w:szCs w:val="28"/>
        </w:rPr>
        <w:t>第四章  评定标准及推荐原则</w:t>
      </w:r>
      <w:r>
        <w:rPr>
          <w:sz w:val="28"/>
          <w:szCs w:val="28"/>
        </w:rPr>
        <w:tab/>
      </w:r>
      <w:r>
        <w:rPr>
          <w:rFonts w:hint="eastAsia"/>
          <w:sz w:val="28"/>
          <w:szCs w:val="28"/>
        </w:rPr>
        <w:t>3</w:t>
      </w:r>
      <w:r>
        <w:rPr>
          <w:rFonts w:hint="eastAsia"/>
          <w:sz w:val="28"/>
          <w:szCs w:val="28"/>
        </w:rPr>
        <w:fldChar w:fldCharType="end"/>
      </w:r>
      <w:r>
        <w:rPr>
          <w:rFonts w:hint="eastAsia"/>
          <w:sz w:val="28"/>
          <w:szCs w:val="28"/>
        </w:rPr>
        <w:t>3</w:t>
      </w:r>
    </w:p>
    <w:p>
      <w:pPr>
        <w:pStyle w:val="29"/>
        <w:tabs>
          <w:tab w:val="right" w:leader="dot" w:pos="9514"/>
        </w:tabs>
        <w:spacing w:line="1000" w:lineRule="exact"/>
        <w:rPr>
          <w:rFonts w:asciiTheme="minorHAnsi" w:hAnsiTheme="minorHAnsi" w:cstheme="minorBidi"/>
          <w:sz w:val="28"/>
          <w:szCs w:val="28"/>
        </w:rPr>
      </w:pPr>
      <w:r>
        <w:fldChar w:fldCharType="begin"/>
      </w:r>
      <w:r>
        <w:instrText xml:space="preserve"> HYPERLINK \l "_Toc92355027" </w:instrText>
      </w:r>
      <w:r>
        <w:fldChar w:fldCharType="separate"/>
      </w:r>
      <w:r>
        <w:rPr>
          <w:rStyle w:val="47"/>
          <w:rFonts w:ascii="方正小标宋_GBK" w:eastAsia="方正小标宋_GBK"/>
          <w:sz w:val="28"/>
          <w:szCs w:val="28"/>
        </w:rPr>
        <w:t>第五章  合同文本</w:t>
      </w:r>
      <w:r>
        <w:rPr>
          <w:sz w:val="28"/>
          <w:szCs w:val="28"/>
        </w:rPr>
        <w:tab/>
      </w:r>
      <w:r>
        <w:rPr>
          <w:rFonts w:hint="eastAsia"/>
          <w:sz w:val="28"/>
          <w:szCs w:val="28"/>
        </w:rPr>
        <w:t>3</w:t>
      </w:r>
      <w:r>
        <w:rPr>
          <w:rFonts w:hint="eastAsia"/>
          <w:sz w:val="28"/>
          <w:szCs w:val="28"/>
        </w:rPr>
        <w:fldChar w:fldCharType="end"/>
      </w:r>
      <w:r>
        <w:rPr>
          <w:rFonts w:hint="eastAsia"/>
          <w:sz w:val="28"/>
          <w:szCs w:val="28"/>
        </w:rPr>
        <w:t>5</w:t>
      </w:r>
    </w:p>
    <w:p>
      <w:pPr>
        <w:pStyle w:val="29"/>
        <w:tabs>
          <w:tab w:val="right" w:leader="dot" w:pos="9514"/>
        </w:tabs>
        <w:spacing w:line="1000" w:lineRule="exact"/>
        <w:rPr>
          <w:rFonts w:asciiTheme="minorHAnsi" w:hAnsiTheme="minorHAnsi" w:cstheme="minorBidi"/>
          <w:sz w:val="28"/>
          <w:szCs w:val="28"/>
        </w:rPr>
      </w:pPr>
      <w:r>
        <w:fldChar w:fldCharType="begin"/>
      </w:r>
      <w:r>
        <w:instrText xml:space="preserve"> HYPERLINK \l "_Toc92355028" </w:instrText>
      </w:r>
      <w:r>
        <w:fldChar w:fldCharType="separate"/>
      </w:r>
      <w:r>
        <w:rPr>
          <w:rStyle w:val="47"/>
          <w:rFonts w:ascii="方正小标宋_GBK" w:hAnsi="方正小标宋_GBK" w:eastAsia="方正小标宋_GBK"/>
          <w:sz w:val="28"/>
          <w:szCs w:val="28"/>
        </w:rPr>
        <w:t>第六章  响应文件格式</w:t>
      </w:r>
      <w:r>
        <w:rPr>
          <w:sz w:val="28"/>
          <w:szCs w:val="28"/>
        </w:rPr>
        <w:tab/>
      </w:r>
      <w:r>
        <w:rPr>
          <w:rFonts w:hint="eastAsia"/>
          <w:sz w:val="28"/>
          <w:szCs w:val="28"/>
        </w:rPr>
        <w:t>4</w:t>
      </w:r>
      <w:r>
        <w:rPr>
          <w:rFonts w:hint="eastAsia"/>
          <w:sz w:val="28"/>
          <w:szCs w:val="28"/>
        </w:rPr>
        <w:fldChar w:fldCharType="end"/>
      </w:r>
      <w:r>
        <w:rPr>
          <w:rFonts w:hint="eastAsia"/>
          <w:sz w:val="28"/>
          <w:szCs w:val="28"/>
        </w:rPr>
        <w:t>2</w:t>
      </w:r>
    </w:p>
    <w:p>
      <w:p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p>
      <w:pPr>
        <w:widowControl/>
        <w:jc w:val="left"/>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pStyle w:val="3"/>
        <w:spacing w:line="400" w:lineRule="exact"/>
        <w:rPr>
          <w:rFonts w:ascii="方正小标宋_GBK" w:hAnsi="宋体" w:eastAsia="方正小标宋_GBK"/>
          <w:color w:val="0D0D0D" w:themeColor="text1" w:themeTint="F2"/>
          <w14:textFill>
            <w14:solidFill>
              <w14:schemeClr w14:val="tx1">
                <w14:lumMod w14:val="95000"/>
                <w14:lumOff w14:val="5000"/>
              </w14:schemeClr>
            </w14:solidFill>
          </w14:textFill>
        </w:rPr>
      </w:pPr>
      <w:bookmarkStart w:id="1" w:name="_Toc92355023"/>
      <w:r>
        <w:rPr>
          <w:rFonts w:hint="eastAsia" w:ascii="方正小标宋_GBK" w:hAnsi="宋体" w:eastAsia="方正小标宋_GBK"/>
          <w:color w:val="0D0D0D" w:themeColor="text1" w:themeTint="F2"/>
          <w14:textFill>
            <w14:solidFill>
              <w14:schemeClr w14:val="tx1">
                <w14:lumMod w14:val="95000"/>
                <w14:lumOff w14:val="5000"/>
              </w14:schemeClr>
            </w14:solidFill>
          </w14:textFill>
        </w:rPr>
        <w:t>第一章  竞争性谈判公告</w:t>
      </w:r>
      <w:bookmarkEnd w:id="0"/>
      <w:bookmarkEnd w:id="1"/>
    </w:p>
    <w:p>
      <w:pPr>
        <w:spacing w:line="600" w:lineRule="exact"/>
        <w:jc w:val="center"/>
        <w:rPr>
          <w:rFonts w:ascii="黑体" w:hAnsi="宋体" w:eastAsia="黑体"/>
          <w:b/>
          <w:color w:val="0D0D0D" w:themeColor="text1" w:themeTint="F2"/>
          <w:sz w:val="32"/>
          <w:szCs w:val="32"/>
          <w14:textFill>
            <w14:solidFill>
              <w14:schemeClr w14:val="tx1">
                <w14:lumMod w14:val="95000"/>
                <w14:lumOff w14:val="5000"/>
              </w14:schemeClr>
            </w14:solidFill>
          </w14:textFill>
        </w:rPr>
      </w:pPr>
      <w:r>
        <w:rPr>
          <w:rFonts w:ascii="黑体" w:hAnsi="宋体" w:eastAsia="黑体"/>
          <w:b/>
          <w:color w:val="0D0D0D" w:themeColor="text1" w:themeTint="F2"/>
          <w:sz w:val="32"/>
          <w:szCs w:val="32"/>
          <w14:textFill>
            <w14:solidFill>
              <w14:schemeClr w14:val="tx1">
                <w14:lumMod w14:val="95000"/>
                <w14:lumOff w14:val="5000"/>
              </w14:schemeClr>
            </w14:solidFill>
          </w14:textFill>
        </w:rPr>
        <w:br w:type="page"/>
      </w:r>
    </w:p>
    <w:p>
      <w:pPr>
        <w:spacing w:line="600" w:lineRule="exact"/>
        <w:jc w:val="center"/>
        <w:rPr>
          <w:rFonts w:ascii="方正小标宋_GBK" w:hAnsi="宋体" w:eastAsia="方正小标宋_GBK"/>
          <w:b/>
          <w:color w:val="0D0D0D" w:themeColor="text1" w:themeTint="F2"/>
          <w:sz w:val="34"/>
          <w:szCs w:val="34"/>
          <w14:textFill>
            <w14:solidFill>
              <w14:schemeClr w14:val="tx1">
                <w14:lumMod w14:val="95000"/>
                <w14:lumOff w14:val="5000"/>
              </w14:schemeClr>
            </w14:solidFill>
          </w14:textFill>
        </w:rPr>
      </w:pPr>
      <w:r>
        <w:rPr>
          <w:rFonts w:hint="eastAsia" w:ascii="方正小标宋_GBK" w:hAnsi="宋体" w:eastAsia="方正小标宋_GBK"/>
          <w:b/>
          <w:color w:val="0D0D0D" w:themeColor="text1" w:themeTint="F2"/>
          <w:sz w:val="34"/>
          <w:szCs w:val="34"/>
          <w14:textFill>
            <w14:solidFill>
              <w14:schemeClr w14:val="tx1">
                <w14:lumMod w14:val="95000"/>
                <w14:lumOff w14:val="5000"/>
              </w14:schemeClr>
            </w14:solidFill>
          </w14:textFill>
        </w:rPr>
        <w:t>钦州市政府采购中心关</w:t>
      </w:r>
      <w:r>
        <w:rPr>
          <w:rFonts w:hint="eastAsia" w:ascii="方正小标宋_GBK" w:hAnsi="宋体" w:eastAsia="方正小标宋_GBK"/>
          <w:b/>
          <w:color w:val="000000" w:themeColor="text1"/>
          <w:sz w:val="34"/>
          <w:szCs w:val="34"/>
          <w14:textFill>
            <w14:solidFill>
              <w14:schemeClr w14:val="tx1"/>
            </w14:solidFill>
          </w14:textFill>
        </w:rPr>
        <w:t>于钦州幼儿师范高等专科学校中文专业融媒体实训室</w:t>
      </w:r>
      <w:r>
        <w:rPr>
          <w:rFonts w:ascii="方正小标宋_GBK" w:hAnsi="宋体" w:eastAsia="方正小标宋_GBK"/>
          <w:b/>
          <w:color w:val="000000" w:themeColor="text1"/>
          <w:sz w:val="34"/>
          <w:szCs w:val="34"/>
          <w14:textFill>
            <w14:solidFill>
              <w14:schemeClr w14:val="tx1"/>
            </w14:solidFill>
          </w14:textFill>
        </w:rPr>
        <w:t>(</w:t>
      </w:r>
      <w:r>
        <w:rPr>
          <w:rFonts w:hint="eastAsia" w:ascii="方正小标宋_GBK" w:hAnsi="宋体" w:eastAsia="方正小标宋_GBK"/>
          <w:b/>
          <w:color w:val="000000" w:themeColor="text1"/>
          <w:sz w:val="34"/>
          <w:szCs w:val="34"/>
          <w14:textFill>
            <w14:solidFill>
              <w14:schemeClr w14:val="tx1"/>
            </w14:solidFill>
          </w14:textFill>
        </w:rPr>
        <w:t>QZZC2024-J1-990499-QZSZ</w:t>
      </w:r>
      <w:r>
        <w:rPr>
          <w:rFonts w:ascii="方正小标宋_GBK" w:hAnsi="宋体" w:eastAsia="方正小标宋_GBK"/>
          <w:b/>
          <w:color w:val="000000" w:themeColor="text1"/>
          <w:sz w:val="34"/>
          <w:szCs w:val="34"/>
          <w14:textFill>
            <w14:solidFill>
              <w14:schemeClr w14:val="tx1"/>
            </w14:solidFill>
          </w14:textFill>
        </w:rPr>
        <w:t>)</w:t>
      </w:r>
      <w:r>
        <w:rPr>
          <w:rFonts w:hint="eastAsia" w:ascii="方正小标宋_GBK" w:hAnsi="宋体" w:eastAsia="方正小标宋_GBK"/>
          <w:b/>
          <w:color w:val="0D0D0D" w:themeColor="text1" w:themeTint="F2"/>
          <w:sz w:val="34"/>
          <w:szCs w:val="34"/>
          <w14:textFill>
            <w14:solidFill>
              <w14:schemeClr w14:val="tx1">
                <w14:lumMod w14:val="95000"/>
                <w14:lumOff w14:val="5000"/>
              </w14:schemeClr>
            </w14:solidFill>
          </w14:textFill>
        </w:rPr>
        <w:t>的竞争性谈判公告</w:t>
      </w:r>
    </w:p>
    <w:p>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color w:val="0D0D0D" w:themeColor="text1" w:themeTint="F2"/>
          <w:sz w:val="32"/>
          <w:szCs w:val="32"/>
          <w14:textFill>
            <w14:solidFill>
              <w14:schemeClr w14:val="tx1">
                <w14:lumMod w14:val="95000"/>
                <w14:lumOff w14:val="5000"/>
              </w14:schemeClr>
            </w14:solidFill>
          </w14:textFill>
        </w:rPr>
      </w:pPr>
      <w:bookmarkStart w:id="2" w:name="_Toc38370138"/>
      <w:r>
        <w:rPr>
          <w:rFonts w:hint="eastAsia" w:ascii="宋体" w:hAnsi="宋体"/>
          <w:color w:val="0D0D0D" w:themeColor="text1" w:themeTint="F2"/>
          <w:szCs w:val="21"/>
          <w14:textFill>
            <w14:solidFill>
              <w14:schemeClr w14:val="tx1">
                <w14:lumMod w14:val="95000"/>
                <w14:lumOff w14:val="5000"/>
              </w14:schemeClr>
            </w14:solidFill>
          </w14:textFill>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钦州幼儿师范高等专科学校中文专业融媒体实训室项目的潜在供应商应在广西政府采购云平台获取采购文件，并于</w:t>
      </w:r>
      <w:r>
        <w:rPr>
          <w:rFonts w:hint="eastAsia"/>
          <w:color w:val="000000"/>
        </w:rPr>
        <w:t>2024年1</w:t>
      </w:r>
      <w:r>
        <w:rPr>
          <w:rFonts w:hint="eastAsia"/>
          <w:color w:val="000000"/>
          <w:lang w:val="en-US" w:eastAsia="zh-CN"/>
        </w:rPr>
        <w:t>2</w:t>
      </w:r>
      <w:r>
        <w:rPr>
          <w:rFonts w:hint="eastAsia"/>
          <w:color w:val="000000"/>
        </w:rPr>
        <w:t>月</w:t>
      </w:r>
      <w:r>
        <w:rPr>
          <w:rFonts w:hint="eastAsia"/>
          <w:color w:val="000000"/>
          <w:lang w:val="en-US" w:eastAsia="zh-CN"/>
        </w:rPr>
        <w:t>11</w:t>
      </w:r>
      <w:r>
        <w:rPr>
          <w:rFonts w:hint="eastAsia"/>
          <w:color w:val="000000"/>
        </w:rPr>
        <w:t>日9时30分</w:t>
      </w:r>
      <w:r>
        <w:rPr>
          <w:rFonts w:hint="eastAsia" w:ascii="宋体" w:hAnsi="宋体"/>
          <w:bCs/>
          <w:color w:val="0D0D0D" w:themeColor="text1" w:themeTint="F2"/>
          <w:szCs w:val="21"/>
          <w14:textFill>
            <w14:solidFill>
              <w14:schemeClr w14:val="tx1">
                <w14:lumMod w14:val="95000"/>
                <w14:lumOff w14:val="5000"/>
              </w14:schemeClr>
            </w14:solidFill>
          </w14:textFill>
        </w:rPr>
        <w:t>（北京时间）前提交响应</w:t>
      </w:r>
      <w:r>
        <w:rPr>
          <w:rFonts w:ascii="宋体" w:hAnsi="宋体"/>
          <w:bCs/>
          <w:color w:val="0D0D0D" w:themeColor="text1" w:themeTint="F2"/>
          <w:szCs w:val="21"/>
          <w14:textFill>
            <w14:solidFill>
              <w14:schemeClr w14:val="tx1">
                <w14:lumMod w14:val="95000"/>
                <w14:lumOff w14:val="5000"/>
              </w14:schemeClr>
            </w14:solidFill>
          </w14:textFill>
        </w:rPr>
        <w:t>文件</w:t>
      </w:r>
      <w:r>
        <w:rPr>
          <w:rFonts w:hint="eastAsia" w:ascii="宋体" w:hAnsi="宋体"/>
          <w:color w:val="0D0D0D" w:themeColor="text1" w:themeTint="F2"/>
          <w:szCs w:val="21"/>
          <w14:textFill>
            <w14:solidFill>
              <w14:schemeClr w14:val="tx1">
                <w14:lumMod w14:val="95000"/>
                <w14:lumOff w14:val="5000"/>
              </w14:schemeClr>
            </w14:solidFill>
          </w14:textFill>
        </w:rPr>
        <w:t>。</w:t>
      </w:r>
    </w:p>
    <w:bookmarkEnd w:id="2"/>
    <w:p>
      <w:pPr>
        <w:spacing w:line="400" w:lineRule="exact"/>
        <w:rPr>
          <w:b/>
          <w:color w:val="000000"/>
        </w:rPr>
      </w:pPr>
      <w:bookmarkStart w:id="3" w:name="_Toc35393790"/>
      <w:bookmarkStart w:id="4" w:name="_Toc35393621"/>
      <w:bookmarkStart w:id="5" w:name="_Toc28359002"/>
      <w:bookmarkStart w:id="6" w:name="_Toc28359079"/>
      <w:bookmarkStart w:id="7" w:name="_Hlk24379207"/>
      <w:bookmarkStart w:id="8" w:name="_Toc38370146"/>
      <w:r>
        <w:rPr>
          <w:rFonts w:hint="eastAsia"/>
          <w:b/>
          <w:color w:val="000000"/>
        </w:rPr>
        <w:t>一、项目基本情况</w:t>
      </w:r>
      <w:bookmarkEnd w:id="3"/>
      <w:bookmarkEnd w:id="4"/>
      <w:bookmarkEnd w:id="5"/>
      <w:bookmarkEnd w:id="6"/>
    </w:p>
    <w:p>
      <w:pPr>
        <w:spacing w:line="400" w:lineRule="exact"/>
        <w:ind w:firstLine="420"/>
        <w:rPr>
          <w:color w:val="000000"/>
        </w:rPr>
      </w:pPr>
      <w:r>
        <w:rPr>
          <w:rFonts w:hint="eastAsia"/>
          <w:color w:val="000000"/>
        </w:rPr>
        <w:t>项目编号：QZZC2024-J1-990499-QZSZ</w:t>
      </w:r>
    </w:p>
    <w:p>
      <w:pPr>
        <w:spacing w:line="400" w:lineRule="exact"/>
        <w:ind w:firstLine="420"/>
        <w:rPr>
          <w:color w:val="000000"/>
        </w:rPr>
      </w:pPr>
      <w:r>
        <w:rPr>
          <w:rFonts w:hint="eastAsia"/>
          <w:color w:val="000000"/>
        </w:rPr>
        <w:t>项目名称：钦州幼儿师范高等专科学校中文专业融媒体实训室</w:t>
      </w:r>
    </w:p>
    <w:bookmarkEnd w:id="7"/>
    <w:p>
      <w:pPr>
        <w:spacing w:line="400" w:lineRule="exact"/>
        <w:ind w:firstLine="420"/>
        <w:rPr>
          <w:color w:val="000000"/>
        </w:rPr>
      </w:pPr>
      <w:r>
        <w:rPr>
          <w:rFonts w:hint="eastAsia"/>
          <w:color w:val="000000"/>
        </w:rPr>
        <w:t>预算总金额(元)：920000.00</w:t>
      </w:r>
    </w:p>
    <w:p>
      <w:pPr>
        <w:spacing w:line="400" w:lineRule="exact"/>
        <w:ind w:firstLine="420"/>
        <w:rPr>
          <w:color w:val="000000"/>
        </w:rPr>
      </w:pPr>
      <w:r>
        <w:rPr>
          <w:rFonts w:hint="eastAsia"/>
          <w:color w:val="000000"/>
        </w:rPr>
        <w:t>采购需求：</w:t>
      </w:r>
    </w:p>
    <w:p>
      <w:pPr>
        <w:spacing w:line="400" w:lineRule="exact"/>
        <w:ind w:firstLine="420" w:firstLineChars="200"/>
        <w:rPr>
          <w:color w:val="000000"/>
        </w:rPr>
      </w:pPr>
    </w:p>
    <w:p>
      <w:pPr>
        <w:spacing w:line="400" w:lineRule="exact"/>
        <w:ind w:firstLine="420" w:firstLineChars="200"/>
        <w:rPr>
          <w:color w:val="000000"/>
        </w:rPr>
      </w:pPr>
      <w:r>
        <w:rPr>
          <w:rFonts w:hint="eastAsia"/>
          <w:color w:val="000000"/>
        </w:rPr>
        <w:t>标项名称：钦州幼儿师范高等专科学校中文专业融媒体实训室</w:t>
      </w:r>
    </w:p>
    <w:p>
      <w:pPr>
        <w:spacing w:line="400" w:lineRule="exact"/>
        <w:ind w:firstLine="420"/>
        <w:rPr>
          <w:color w:val="000000"/>
        </w:rPr>
      </w:pPr>
      <w:r>
        <w:rPr>
          <w:rFonts w:hint="eastAsia"/>
          <w:color w:val="000000"/>
        </w:rPr>
        <w:t>数量：1项</w:t>
      </w:r>
    </w:p>
    <w:p>
      <w:pPr>
        <w:spacing w:line="400" w:lineRule="exact"/>
        <w:ind w:firstLine="420"/>
        <w:rPr>
          <w:color w:val="000000"/>
        </w:rPr>
      </w:pPr>
      <w:r>
        <w:rPr>
          <w:rFonts w:hint="eastAsia"/>
          <w:color w:val="000000"/>
        </w:rPr>
        <w:t>预算金额(元)：920000.00</w:t>
      </w:r>
    </w:p>
    <w:p>
      <w:pPr>
        <w:spacing w:line="400" w:lineRule="exact"/>
        <w:ind w:firstLine="420"/>
        <w:rPr>
          <w:color w:val="000000"/>
        </w:rPr>
      </w:pPr>
      <w:r>
        <w:rPr>
          <w:rFonts w:hint="eastAsia"/>
          <w:color w:val="000000"/>
        </w:rPr>
        <w:t>简要规格描述或项目基本概况介绍、用途：4K超高清摄像机、摄像机电池、拟演播室服务器调音台、主播话筒、无线领克话筒、监听耳机、监听音箱、广播级监视器、标准机柜、控制台、空调等教学设施设备。等教学设备一批，详见采购文件。</w:t>
      </w:r>
    </w:p>
    <w:p>
      <w:pPr>
        <w:spacing w:line="400" w:lineRule="exact"/>
        <w:ind w:firstLine="420"/>
        <w:rPr>
          <w:color w:val="000000"/>
        </w:rPr>
      </w:pPr>
      <w:r>
        <w:rPr>
          <w:rFonts w:hint="eastAsia"/>
          <w:color w:val="000000"/>
        </w:rPr>
        <w:t>最高限价(如有</w:t>
      </w:r>
      <w:r>
        <w:rPr>
          <w:color w:val="000000"/>
        </w:rPr>
        <w:t>)</w:t>
      </w:r>
      <w:r>
        <w:rPr>
          <w:rFonts w:hint="eastAsia"/>
          <w:color w:val="000000"/>
        </w:rPr>
        <w:t>：</w:t>
      </w:r>
    </w:p>
    <w:p>
      <w:pPr>
        <w:spacing w:line="400" w:lineRule="exact"/>
        <w:ind w:firstLine="420"/>
        <w:rPr>
          <w:color w:val="000000"/>
        </w:rPr>
      </w:pPr>
      <w:r>
        <w:rPr>
          <w:rFonts w:hint="eastAsia"/>
          <w:color w:val="000000"/>
        </w:rPr>
        <w:t>合同履行期限：</w:t>
      </w:r>
      <w:r>
        <w:rPr>
          <w:rFonts w:hint="eastAsia" w:ascii="宋体" w:hAnsi="宋体" w:cs="宋体"/>
          <w:szCs w:val="21"/>
        </w:rPr>
        <w:t>自签订合同之日起30个工作日内交付使用</w:t>
      </w:r>
      <w:r>
        <w:rPr>
          <w:rFonts w:hint="eastAsia"/>
          <w:color w:val="000000"/>
        </w:rPr>
        <w:t>。</w:t>
      </w:r>
    </w:p>
    <w:p>
      <w:pPr>
        <w:spacing w:line="400" w:lineRule="exact"/>
        <w:ind w:firstLine="420"/>
        <w:rPr>
          <w:color w:val="000000"/>
        </w:rPr>
      </w:pPr>
      <w:r>
        <w:rPr>
          <w:rFonts w:hint="eastAsia"/>
          <w:color w:val="000000"/>
        </w:rPr>
        <w:t>本标项(否)接受联合体投标。</w:t>
      </w:r>
    </w:p>
    <w:p>
      <w:pPr>
        <w:spacing w:line="400" w:lineRule="exact"/>
        <w:ind w:firstLine="420"/>
      </w:pPr>
      <w:r>
        <w:rPr>
          <w:rFonts w:hint="eastAsia"/>
        </w:rPr>
        <w:t>备注：</w:t>
      </w:r>
    </w:p>
    <w:p>
      <w:pPr>
        <w:spacing w:line="400" w:lineRule="exact"/>
      </w:pPr>
    </w:p>
    <w:p>
      <w:pPr>
        <w:spacing w:line="400" w:lineRule="exact"/>
        <w:ind w:firstLine="420"/>
        <w:rPr>
          <w:color w:val="000000"/>
        </w:rPr>
      </w:pPr>
      <w:bookmarkStart w:id="9" w:name="_Toc35393622"/>
      <w:bookmarkStart w:id="10" w:name="_Toc28359003"/>
      <w:bookmarkStart w:id="11" w:name="_Toc35393791"/>
      <w:bookmarkStart w:id="12" w:name="_Toc28359080"/>
      <w:r>
        <w:rPr>
          <w:rFonts w:hint="eastAsia"/>
          <w:b/>
          <w:color w:val="000000"/>
        </w:rPr>
        <w:t>二、</w:t>
      </w:r>
      <w:r>
        <w:rPr>
          <w:rFonts w:hint="eastAsia"/>
          <w:color w:val="000000"/>
        </w:rPr>
        <w:t>申请人的资格要求：</w:t>
      </w:r>
      <w:bookmarkEnd w:id="9"/>
      <w:bookmarkEnd w:id="10"/>
      <w:bookmarkEnd w:id="11"/>
      <w:bookmarkEnd w:id="12"/>
      <w:bookmarkStart w:id="13" w:name="_Toc28359004"/>
      <w:bookmarkStart w:id="14" w:name="_Toc35393623"/>
      <w:bookmarkStart w:id="15" w:name="_Toc28359081"/>
      <w:bookmarkStart w:id="16" w:name="_Toc35393792"/>
    </w:p>
    <w:p>
      <w:pPr>
        <w:spacing w:line="400" w:lineRule="exact"/>
        <w:ind w:firstLine="420"/>
        <w:rPr>
          <w:color w:val="000000"/>
        </w:rPr>
      </w:pPr>
      <w:r>
        <w:rPr>
          <w:rFonts w:hint="eastAsia"/>
          <w:color w:val="000000"/>
        </w:rPr>
        <w:t>1.满足《中华人民共和国政府采购法》第二十二条规定</w:t>
      </w:r>
    </w:p>
    <w:p>
      <w:pPr>
        <w:spacing w:line="400" w:lineRule="exact"/>
        <w:ind w:firstLine="420"/>
        <w:rPr>
          <w:color w:val="000000"/>
        </w:rPr>
      </w:pPr>
      <w:r>
        <w:rPr>
          <w:rFonts w:hint="eastAsia"/>
          <w:color w:val="000000"/>
        </w:rPr>
        <w:t>2.落实政府采购政策需满足的资格要求：无</w:t>
      </w:r>
    </w:p>
    <w:p>
      <w:pPr>
        <w:spacing w:line="400" w:lineRule="exact"/>
        <w:ind w:firstLine="420"/>
        <w:rPr>
          <w:color w:val="000000"/>
        </w:rPr>
      </w:pPr>
      <w:r>
        <w:rPr>
          <w:rFonts w:hint="eastAsia"/>
          <w:color w:val="000000"/>
        </w:rPr>
        <w:t>3.本项目的特定资格要求：无</w:t>
      </w:r>
    </w:p>
    <w:p>
      <w:pPr>
        <w:spacing w:line="400" w:lineRule="exact"/>
        <w:ind w:firstLine="422" w:firstLineChars="200"/>
        <w:rPr>
          <w:b/>
          <w:color w:val="000000"/>
        </w:rPr>
      </w:pPr>
      <w:r>
        <w:rPr>
          <w:rFonts w:hint="eastAsia"/>
          <w:b/>
          <w:color w:val="000000"/>
        </w:rPr>
        <w:t>三、获取采购文件</w:t>
      </w:r>
      <w:bookmarkEnd w:id="13"/>
      <w:bookmarkEnd w:id="14"/>
      <w:bookmarkEnd w:id="15"/>
      <w:bookmarkEnd w:id="16"/>
    </w:p>
    <w:p>
      <w:pPr>
        <w:spacing w:line="400" w:lineRule="exact"/>
        <w:ind w:firstLine="420"/>
        <w:jc w:val="left"/>
        <w:rPr>
          <w:color w:val="000000"/>
        </w:rPr>
      </w:pPr>
      <w:bookmarkStart w:id="17" w:name="_Toc38370141"/>
      <w:r>
        <w:rPr>
          <w:rFonts w:hint="eastAsia"/>
          <w:color w:val="000000"/>
        </w:rPr>
        <w:t>时间：2024年</w:t>
      </w:r>
      <w:r>
        <w:rPr>
          <w:rFonts w:hint="eastAsia"/>
          <w:color w:val="000000"/>
          <w:lang w:eastAsia="zh-CN"/>
        </w:rPr>
        <w:t>12月</w:t>
      </w:r>
      <w:r>
        <w:rPr>
          <w:rFonts w:hint="eastAsia"/>
          <w:color w:val="000000"/>
          <w:lang w:val="en-US" w:eastAsia="zh-CN"/>
        </w:rPr>
        <w:t>2</w:t>
      </w:r>
      <w:r>
        <w:rPr>
          <w:rFonts w:hint="eastAsia"/>
          <w:color w:val="000000"/>
        </w:rPr>
        <w:t>日至2024年1</w:t>
      </w:r>
      <w:r>
        <w:rPr>
          <w:rFonts w:hint="eastAsia"/>
          <w:color w:val="000000"/>
          <w:lang w:val="en-US" w:eastAsia="zh-CN"/>
        </w:rPr>
        <w:t>2</w:t>
      </w:r>
      <w:r>
        <w:rPr>
          <w:rFonts w:hint="eastAsia"/>
          <w:color w:val="000000"/>
        </w:rPr>
        <w:t>月</w:t>
      </w:r>
      <w:r>
        <w:rPr>
          <w:rFonts w:hint="eastAsia"/>
          <w:color w:val="000000"/>
          <w:lang w:val="en-US" w:eastAsia="zh-CN"/>
        </w:rPr>
        <w:t>9</w:t>
      </w:r>
      <w:bookmarkStart w:id="145" w:name="_GoBack"/>
      <w:bookmarkEnd w:id="145"/>
      <w:r>
        <w:rPr>
          <w:rFonts w:hint="eastAsia"/>
          <w:color w:val="000000"/>
        </w:rPr>
        <w:t>日 ，每天上午00:00至12:00，下午12:00至23:59（北京时间，法定节假日除外）</w:t>
      </w:r>
    </w:p>
    <w:p>
      <w:pPr>
        <w:spacing w:line="400" w:lineRule="exact"/>
        <w:ind w:firstLine="420"/>
        <w:rPr>
          <w:color w:val="000000" w:themeColor="text1"/>
          <w14:textFill>
            <w14:solidFill>
              <w14:schemeClr w14:val="tx1"/>
            </w14:solidFill>
          </w14:textFill>
        </w:rPr>
      </w:pPr>
      <w:r>
        <w:rPr>
          <w:rFonts w:hint="eastAsia"/>
          <w:color w:val="000000"/>
        </w:rPr>
        <w:t>地点(网址</w:t>
      </w:r>
      <w:r>
        <w:rPr>
          <w:color w:val="000000"/>
        </w:rPr>
        <w:t>)</w:t>
      </w:r>
      <w:r>
        <w:rPr>
          <w:rFonts w:hint="eastAsia"/>
          <w:color w:val="000000"/>
        </w:rPr>
        <w:t>：广西政府采购云平台（https://www.gcy.zfcg.gxzf.gov.cn/）</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方式：</w:t>
      </w:r>
      <w:r>
        <w:rPr>
          <w:rFonts w:hint="eastAsia"/>
        </w:rPr>
        <w:t>供应商登录广西政府采购云平台(以下称“政采云平台”)在线获取采购文件（进入“项目采购”应用选择项目，获取采购文件）</w:t>
      </w:r>
    </w:p>
    <w:p>
      <w:pPr>
        <w:spacing w:line="400" w:lineRule="exact"/>
        <w:ind w:firstLine="420"/>
        <w:rPr>
          <w:color w:val="000000"/>
        </w:rPr>
      </w:pPr>
      <w:r>
        <w:rPr>
          <w:rFonts w:hint="eastAsia"/>
          <w:color w:val="000000"/>
        </w:rPr>
        <w:t>售价(元</w:t>
      </w:r>
      <w:r>
        <w:rPr>
          <w:color w:val="000000"/>
        </w:rPr>
        <w:t>)</w:t>
      </w:r>
      <w:r>
        <w:rPr>
          <w:rFonts w:hint="eastAsia"/>
          <w:color w:val="000000"/>
        </w:rPr>
        <w:t xml:space="preserve">：0 </w:t>
      </w:r>
    </w:p>
    <w:p>
      <w:pPr>
        <w:spacing w:line="400" w:lineRule="exact"/>
        <w:ind w:firstLine="420"/>
        <w:rPr>
          <w:b/>
          <w:color w:val="000000"/>
        </w:rPr>
      </w:pPr>
      <w:r>
        <w:rPr>
          <w:rFonts w:hint="eastAsia"/>
          <w:b/>
          <w:bCs/>
          <w:color w:val="000000"/>
        </w:rPr>
        <w:t>四、</w:t>
      </w:r>
      <w:bookmarkEnd w:id="17"/>
      <w:bookmarkStart w:id="18" w:name="_Toc28359082"/>
      <w:bookmarkStart w:id="19" w:name="_Toc28359005"/>
      <w:bookmarkStart w:id="20" w:name="_Toc35393793"/>
      <w:bookmarkStart w:id="21" w:name="_Toc35393624"/>
      <w:r>
        <w:rPr>
          <w:rFonts w:hint="eastAsia"/>
          <w:b/>
          <w:color w:val="000000"/>
        </w:rPr>
        <w:t>响应文件</w:t>
      </w:r>
      <w:bookmarkEnd w:id="18"/>
      <w:bookmarkEnd w:id="19"/>
      <w:r>
        <w:rPr>
          <w:rFonts w:hint="eastAsia"/>
          <w:b/>
          <w:color w:val="000000"/>
        </w:rPr>
        <w:t>提交</w:t>
      </w:r>
      <w:bookmarkEnd w:id="20"/>
      <w:bookmarkEnd w:id="21"/>
    </w:p>
    <w:p>
      <w:pPr>
        <w:spacing w:line="400" w:lineRule="exact"/>
        <w:ind w:firstLine="420"/>
        <w:rPr>
          <w:color w:val="000000"/>
        </w:rPr>
      </w:pPr>
      <w:r>
        <w:rPr>
          <w:rFonts w:hint="eastAsia"/>
          <w:color w:val="000000"/>
        </w:rPr>
        <w:t>截止时间：2024年1</w:t>
      </w:r>
      <w:r>
        <w:rPr>
          <w:rFonts w:hint="eastAsia"/>
          <w:color w:val="000000"/>
          <w:lang w:val="en-US" w:eastAsia="zh-CN"/>
        </w:rPr>
        <w:t>2</w:t>
      </w:r>
      <w:r>
        <w:rPr>
          <w:rFonts w:hint="eastAsia"/>
          <w:color w:val="000000"/>
        </w:rPr>
        <w:t>月</w:t>
      </w:r>
      <w:r>
        <w:rPr>
          <w:rFonts w:hint="eastAsia"/>
          <w:color w:val="000000"/>
          <w:lang w:val="en-US" w:eastAsia="zh-CN"/>
        </w:rPr>
        <w:t>11</w:t>
      </w:r>
      <w:r>
        <w:rPr>
          <w:rFonts w:hint="eastAsia"/>
          <w:color w:val="000000"/>
        </w:rPr>
        <w:t>日9时30分（北京时间）</w:t>
      </w:r>
    </w:p>
    <w:p>
      <w:pPr>
        <w:spacing w:line="400" w:lineRule="exact"/>
        <w:ind w:firstLine="420"/>
        <w:rPr>
          <w:rFonts w:ascii="宋体" w:hAnsi="宋体" w:cs="Courier New"/>
          <w:color w:val="000000"/>
          <w:szCs w:val="21"/>
        </w:rPr>
      </w:pPr>
      <w:r>
        <w:rPr>
          <w:rFonts w:hint="eastAsia"/>
          <w:color w:val="000000"/>
        </w:rPr>
        <w:t>地点(网址）：广西政府采购云平台（https://www.gcy.zfcg.gxzf.gov.cn/）</w:t>
      </w:r>
    </w:p>
    <w:p>
      <w:pPr>
        <w:spacing w:line="400" w:lineRule="exact"/>
        <w:rPr>
          <w:rFonts w:ascii="宋体" w:hAnsi="宋体" w:cs="Courier New"/>
          <w:b/>
          <w:bCs/>
          <w:color w:val="000000"/>
          <w:szCs w:val="21"/>
        </w:rPr>
      </w:pPr>
      <w:r>
        <w:rPr>
          <w:rFonts w:hint="eastAsia" w:ascii="宋体" w:hAnsi="宋体" w:cs="Courier New"/>
          <w:b/>
          <w:bCs/>
          <w:color w:val="000000"/>
          <w:szCs w:val="21"/>
        </w:rPr>
        <w:t>五、响应文件开启</w:t>
      </w:r>
    </w:p>
    <w:p>
      <w:pPr>
        <w:spacing w:line="400" w:lineRule="exact"/>
        <w:ind w:firstLine="420" w:firstLineChars="200"/>
        <w:rPr>
          <w:rFonts w:ascii="宋体" w:hAnsi="宋体" w:cs="Courier New"/>
          <w:color w:val="000000"/>
          <w:szCs w:val="21"/>
        </w:rPr>
      </w:pPr>
      <w:r>
        <w:rPr>
          <w:rFonts w:hint="eastAsia" w:ascii="宋体" w:hAnsi="宋体" w:cs="Courier New"/>
          <w:color w:val="000000"/>
          <w:szCs w:val="21"/>
        </w:rPr>
        <w:t>开启时间：</w:t>
      </w:r>
      <w:r>
        <w:rPr>
          <w:rFonts w:hint="eastAsia"/>
          <w:color w:val="000000"/>
        </w:rPr>
        <w:t>2024年1</w:t>
      </w:r>
      <w:r>
        <w:rPr>
          <w:rFonts w:hint="eastAsia"/>
          <w:color w:val="000000"/>
          <w:lang w:val="en-US" w:eastAsia="zh-CN"/>
        </w:rPr>
        <w:t>2</w:t>
      </w:r>
      <w:r>
        <w:rPr>
          <w:rFonts w:hint="eastAsia"/>
          <w:color w:val="000000"/>
        </w:rPr>
        <w:t>月</w:t>
      </w:r>
      <w:r>
        <w:rPr>
          <w:rFonts w:hint="eastAsia"/>
          <w:color w:val="000000"/>
          <w:lang w:val="en-US" w:eastAsia="zh-CN"/>
        </w:rPr>
        <w:t>11</w:t>
      </w:r>
      <w:r>
        <w:rPr>
          <w:rFonts w:hint="eastAsia"/>
          <w:color w:val="000000"/>
        </w:rPr>
        <w:t>日9时30分（北京时间）</w:t>
      </w:r>
    </w:p>
    <w:p>
      <w:pPr>
        <w:spacing w:line="400" w:lineRule="exact"/>
        <w:ind w:firstLine="420"/>
        <w:rPr>
          <w:color w:val="000000"/>
        </w:rPr>
      </w:pPr>
      <w:r>
        <w:rPr>
          <w:rFonts w:hint="eastAsia" w:ascii="宋体" w:hAnsi="宋体" w:cs="Courier New"/>
          <w:color w:val="000000"/>
          <w:szCs w:val="21"/>
        </w:rPr>
        <w:t>地点：</w:t>
      </w:r>
      <w:bookmarkStart w:id="22" w:name="_Toc35393625"/>
      <w:bookmarkStart w:id="23" w:name="_Toc28359007"/>
      <w:bookmarkStart w:id="24" w:name="_Toc35393794"/>
      <w:bookmarkStart w:id="25" w:name="_Toc28359084"/>
      <w:r>
        <w:rPr>
          <w:rFonts w:hint="eastAsia"/>
          <w:color w:val="000000"/>
        </w:rPr>
        <w:t>广西钦州市金海湾东大街8号市政务服务中心三楼开标室</w:t>
      </w:r>
    </w:p>
    <w:p>
      <w:pPr>
        <w:spacing w:line="400" w:lineRule="exact"/>
        <w:rPr>
          <w:b/>
          <w:color w:val="000000"/>
        </w:rPr>
      </w:pPr>
      <w:r>
        <w:rPr>
          <w:rFonts w:hint="eastAsia"/>
          <w:b/>
          <w:color w:val="000000"/>
        </w:rPr>
        <w:t>六、公告期限</w:t>
      </w:r>
      <w:bookmarkEnd w:id="22"/>
      <w:bookmarkEnd w:id="23"/>
      <w:bookmarkEnd w:id="24"/>
      <w:bookmarkEnd w:id="25"/>
    </w:p>
    <w:p>
      <w:pPr>
        <w:spacing w:line="400" w:lineRule="exact"/>
        <w:ind w:firstLine="420"/>
        <w:rPr>
          <w:color w:val="000000"/>
        </w:rPr>
      </w:pPr>
      <w:r>
        <w:rPr>
          <w:rFonts w:hint="eastAsia"/>
          <w:color w:val="000000"/>
        </w:rPr>
        <w:t>自本公告发布之日起</w:t>
      </w:r>
      <w:r>
        <w:rPr>
          <w:color w:val="000000"/>
        </w:rPr>
        <w:t>3</w:t>
      </w:r>
      <w:r>
        <w:rPr>
          <w:rFonts w:hint="eastAsia"/>
          <w:color w:val="000000"/>
        </w:rPr>
        <w:t>个工作日。</w:t>
      </w:r>
    </w:p>
    <w:p>
      <w:pPr>
        <w:spacing w:line="400" w:lineRule="exact"/>
        <w:rPr>
          <w:b/>
          <w:color w:val="000000"/>
        </w:rPr>
      </w:pPr>
      <w:bookmarkStart w:id="26" w:name="_Toc28359085"/>
      <w:bookmarkStart w:id="27" w:name="_Toc35393796"/>
      <w:bookmarkStart w:id="28" w:name="_Toc28359008"/>
      <w:bookmarkStart w:id="29" w:name="_Toc35393627"/>
      <w:r>
        <w:rPr>
          <w:rFonts w:hint="eastAsia"/>
          <w:b/>
          <w:color w:val="000000"/>
        </w:rPr>
        <w:t>七、其他补充事宜</w:t>
      </w:r>
    </w:p>
    <w:p>
      <w:pPr>
        <w:spacing w:line="412" w:lineRule="exact"/>
        <w:ind w:firstLine="420"/>
      </w:pPr>
      <w:r>
        <w:rPr>
          <w:rFonts w:hint="eastAsia"/>
          <w:color w:val="000000"/>
        </w:rPr>
        <w:t>1.本项目须要落实的政府采购政策：</w:t>
      </w:r>
      <w:r>
        <w:rPr>
          <w:rFonts w:hint="eastAsia"/>
        </w:rPr>
        <w:t>(1)财政部 工业和信息化部关于印发《政府采购促进中小企业发展管理办法》的通知(财库﹝2020﹞46号)</w:t>
      </w:r>
    </w:p>
    <w:p>
      <w:pPr>
        <w:spacing w:line="412" w:lineRule="exact"/>
        <w:ind w:firstLine="420"/>
      </w:pPr>
      <w:r>
        <w:rPr>
          <w:rFonts w:hint="eastAsia"/>
        </w:rPr>
        <w:t>(2)《广西壮族自治区财政厅关于持续优化政府采购营商环境推动高质量发展的通知》(桂财采〔2024〕55 号)</w:t>
      </w:r>
    </w:p>
    <w:p>
      <w:pPr>
        <w:spacing w:line="412" w:lineRule="exact"/>
        <w:ind w:firstLine="420"/>
      </w:pPr>
      <w:r>
        <w:rPr>
          <w:rFonts w:hint="eastAsia"/>
        </w:rPr>
        <w:t>(3)财政部 司法部关于政府采购支持监狱企业发展有关问题的通知 (财库﹝2014﹞68号)</w:t>
      </w:r>
    </w:p>
    <w:p>
      <w:pPr>
        <w:spacing w:line="412" w:lineRule="exact"/>
        <w:ind w:firstLine="420"/>
      </w:pPr>
      <w:r>
        <w:rPr>
          <w:rFonts w:hint="eastAsia"/>
        </w:rPr>
        <w:t>(4)财政部 民政部 中国残疾人联合会关于促进残疾人就业政府采购政策的通知 (财库</w:t>
      </w:r>
      <w:bookmarkStart w:id="30" w:name="_Hlk150507772"/>
      <w:r>
        <w:rPr>
          <w:rFonts w:hint="eastAsia"/>
        </w:rPr>
        <w:t>﹝2017﹞</w:t>
      </w:r>
      <w:bookmarkEnd w:id="30"/>
      <w:r>
        <w:rPr>
          <w:rFonts w:hint="eastAsia"/>
        </w:rPr>
        <w:t>141号)</w:t>
      </w:r>
    </w:p>
    <w:p>
      <w:pPr>
        <w:spacing w:line="412" w:lineRule="exact"/>
        <w:ind w:firstLine="420"/>
      </w:pPr>
      <w:r>
        <w:rPr>
          <w:rFonts w:hint="eastAsia"/>
        </w:rPr>
        <w:t>(5)财政部 发展改革委 生态环境部 市场监管总局关于调整优化节能产品、环境标志产品政府采购执行机制的通知（财库〔2019〕9号）</w:t>
      </w:r>
    </w:p>
    <w:p>
      <w:pPr>
        <w:spacing w:line="400" w:lineRule="exact"/>
        <w:ind w:firstLine="420"/>
      </w:pPr>
      <w:r>
        <w:rPr>
          <w:rFonts w:hint="eastAsia"/>
        </w:rPr>
        <w:t>2.谈判保证金：无</w:t>
      </w:r>
    </w:p>
    <w:p>
      <w:pPr>
        <w:spacing w:line="400" w:lineRule="exact"/>
        <w:ind w:firstLine="420"/>
        <w:rPr>
          <w:rFonts w:ascii="宋体" w:hAnsi="宋体" w:cs="宋体"/>
          <w:bCs/>
          <w:color w:val="000000"/>
          <w:kern w:val="0"/>
          <w:szCs w:val="21"/>
        </w:rPr>
      </w:pPr>
      <w:r>
        <w:rPr>
          <w:rFonts w:hint="eastAsia" w:ascii="宋体" w:hAnsi="宋体" w:cs="宋体"/>
          <w:bCs/>
          <w:color w:val="000000"/>
          <w:kern w:val="0"/>
          <w:szCs w:val="21"/>
        </w:rPr>
        <w:t>3.</w:t>
      </w:r>
      <w:bookmarkStart w:id="31" w:name="_Hlk91598380"/>
      <w:r>
        <w:rPr>
          <w:rFonts w:hint="eastAsia" w:ascii="宋体" w:hAnsi="宋体" w:cs="宋体"/>
          <w:bCs/>
          <w:color w:val="000000"/>
          <w:kern w:val="0"/>
          <w:szCs w:val="21"/>
        </w:rPr>
        <w:t>全流程电子化</w:t>
      </w:r>
      <w:bookmarkEnd w:id="31"/>
      <w:r>
        <w:rPr>
          <w:rFonts w:hint="eastAsia" w:ascii="宋体" w:hAnsi="宋体" w:cs="宋体"/>
          <w:bCs/>
          <w:color w:val="000000"/>
          <w:kern w:val="0"/>
          <w:szCs w:val="21"/>
        </w:rPr>
        <w:t>要求：</w:t>
      </w:r>
    </w:p>
    <w:p>
      <w:pPr>
        <w:spacing w:line="400" w:lineRule="exact"/>
        <w:ind w:firstLine="420"/>
        <w:rPr>
          <w:rFonts w:ascii="宋体" w:hAnsi="宋体" w:cs="宋体"/>
          <w:bCs/>
          <w:color w:val="000000"/>
          <w:kern w:val="0"/>
          <w:szCs w:val="21"/>
        </w:rPr>
      </w:pPr>
      <w:r>
        <w:rPr>
          <w:rFonts w:hint="eastAsia" w:ascii="宋体" w:hAnsi="宋体" w:cs="宋体"/>
          <w:bCs/>
          <w:color w:val="000000"/>
          <w:kern w:val="0"/>
          <w:szCs w:val="21"/>
        </w:rPr>
        <w:t>本项目为全流程电子化项目，潜在供应商应做好参与全流程电子化交易的充分准备，熟悉掌握电子化采购项目操作指南(操作指南：政采云电子卖场首页右上角—服务中心—帮助文档—项目采购)，及时完成CA申领和绑定(操作指南：政采云电子卖场首页右上角—帮助文档—入驻与配置—CA管理；CA证书申领路径：政采云平台—我的工作台右上角—CA管理—CA证书申领)。因未注册入库、未办理CA数字证书、CA证书故障、操作不当等原因造成投标失败等后果由供应商承担。</w:t>
      </w:r>
    </w:p>
    <w:p>
      <w:pPr>
        <w:spacing w:line="400" w:lineRule="exact"/>
        <w:ind w:firstLine="420"/>
        <w:rPr>
          <w:color w:val="000000"/>
        </w:rPr>
      </w:pPr>
      <w:r>
        <w:rPr>
          <w:rFonts w:hint="eastAsia"/>
        </w:rPr>
        <w:t>(1)</w:t>
      </w:r>
      <w:r>
        <w:rPr>
          <w:rFonts w:hint="eastAsia" w:ascii="宋体" w:hAnsi="宋体" w:cs="宋体"/>
          <w:bCs/>
          <w:color w:val="000000"/>
          <w:kern w:val="0"/>
          <w:szCs w:val="21"/>
        </w:rPr>
        <w:t>依法获取采购文件：供应商须在获取采购文件时间内登陆</w:t>
      </w:r>
      <w:r>
        <w:fldChar w:fldCharType="begin"/>
      </w:r>
      <w:r>
        <w:instrText xml:space="preserve"> HYPERLINK "https://www.zcygov.cn/" </w:instrText>
      </w:r>
      <w:r>
        <w:fldChar w:fldCharType="separate"/>
      </w:r>
      <w:r>
        <w:rPr>
          <w:rFonts w:hint="eastAsia" w:ascii="宋体" w:hAnsi="宋体" w:cs="宋体"/>
          <w:bCs/>
          <w:color w:val="000000"/>
          <w:kern w:val="0"/>
          <w:szCs w:val="21"/>
        </w:rPr>
        <w:t>政府采购云平台</w:t>
      </w:r>
      <w:r>
        <w:rPr>
          <w:rFonts w:hint="eastAsia" w:ascii="宋体" w:hAnsi="宋体" w:cs="宋体"/>
          <w:bCs/>
          <w:color w:val="000000"/>
          <w:kern w:val="0"/>
          <w:szCs w:val="21"/>
        </w:rPr>
        <w:fldChar w:fldCharType="end"/>
      </w:r>
      <w:r>
        <w:rPr>
          <w:rFonts w:hint="eastAsia" w:ascii="宋体" w:hAnsi="宋体" w:cs="宋体"/>
          <w:bCs/>
          <w:color w:val="000000"/>
          <w:kern w:val="0"/>
          <w:szCs w:val="21"/>
        </w:rPr>
        <w:t>申请下载采购文</w:t>
      </w:r>
      <w:r>
        <w:rPr>
          <w:rFonts w:hint="eastAsia"/>
          <w:color w:val="000000"/>
        </w:rPr>
        <w:t>件才视作依法获取采购文件。</w:t>
      </w:r>
    </w:p>
    <w:p>
      <w:pPr>
        <w:spacing w:line="400" w:lineRule="exact"/>
        <w:ind w:firstLine="420"/>
      </w:pPr>
      <w:r>
        <w:rPr>
          <w:rFonts w:hint="eastAsia"/>
        </w:rPr>
        <w:t>(2) 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pPr>
        <w:spacing w:line="400" w:lineRule="exact"/>
        <w:ind w:firstLine="420"/>
        <w:rPr>
          <w:color w:val="000000"/>
        </w:rPr>
      </w:pPr>
      <w:r>
        <w:rPr>
          <w:rFonts w:hint="eastAsia"/>
          <w:color w:val="000000"/>
        </w:rPr>
        <w:t>(</w:t>
      </w:r>
      <w:r>
        <w:rPr>
          <w:color w:val="000000"/>
        </w:rPr>
        <w:t>3)</w:t>
      </w:r>
      <w:r>
        <w:rPr>
          <w:rFonts w:hint="eastAsia"/>
          <w:color w:val="000000"/>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color w:val="000000"/>
        </w:rPr>
      </w:pPr>
      <w:r>
        <w:rPr>
          <w:rFonts w:hint="eastAsia"/>
          <w:color w:val="000000"/>
        </w:rPr>
        <w:t>(</w:t>
      </w:r>
      <w:r>
        <w:rPr>
          <w:color w:val="000000"/>
        </w:rPr>
        <w:t>4)</w:t>
      </w:r>
      <w:r>
        <w:rPr>
          <w:rFonts w:hint="eastAsia"/>
          <w:color w:val="000000"/>
        </w:rPr>
        <w:t>供应商法定代表人或委托代理人须按时登陆</w:t>
      </w:r>
      <w:bookmarkStart w:id="32" w:name="_Hlk90367388"/>
      <w:r>
        <w:rPr>
          <w:rFonts w:hint="eastAsia" w:ascii="宋体" w:hAnsi="宋体" w:cs="Courier New"/>
          <w:color w:val="000000"/>
          <w:szCs w:val="21"/>
        </w:rPr>
        <w:t>政采云远程开标大厅</w:t>
      </w:r>
      <w:bookmarkEnd w:id="32"/>
      <w:r>
        <w:rPr>
          <w:rFonts w:hint="eastAsia"/>
          <w:color w:val="000000"/>
        </w:rPr>
        <w:t>，保持全程在线并关注评审谈判进度，评审期间谈判小组提出澄清等要求时，供应商须在规定时间内进行应答，否则按采购文件或政采云平台的相关规定执行。</w:t>
      </w:r>
    </w:p>
    <w:p>
      <w:pPr>
        <w:spacing w:line="400" w:lineRule="exact"/>
        <w:ind w:firstLine="420"/>
        <w:rPr>
          <w:rFonts w:hAnsi="宋体"/>
          <w:color w:val="000000"/>
        </w:rPr>
      </w:pPr>
      <w:r>
        <w:rPr>
          <w:rFonts w:hint="eastAsia"/>
          <w:color w:val="000000"/>
        </w:rPr>
        <w:t>(</w:t>
      </w:r>
      <w:r>
        <w:rPr>
          <w:color w:val="000000"/>
        </w:rPr>
        <w:t>5)</w:t>
      </w:r>
      <w:r>
        <w:rPr>
          <w:rFonts w:hint="eastAsia"/>
          <w:color w:val="000000"/>
        </w:rPr>
        <w:t>供应商参与谈判过程中涉及政府采购云平台的问题，请咨询政采云</w:t>
      </w:r>
      <w:r>
        <w:rPr>
          <w:rFonts w:hint="eastAsia" w:hAnsi="宋体"/>
          <w:color w:val="000000"/>
        </w:rPr>
        <w:t>技术支持热线：95763。</w:t>
      </w:r>
    </w:p>
    <w:p>
      <w:pPr>
        <w:spacing w:line="400" w:lineRule="exact"/>
        <w:ind w:firstLine="420"/>
        <w:jc w:val="left"/>
        <w:rPr>
          <w:rFonts w:hAnsi="宋体"/>
          <w:color w:val="000000"/>
        </w:rPr>
      </w:pPr>
      <w:r>
        <w:rPr>
          <w:rFonts w:hint="eastAsia" w:hAnsi="宋体"/>
          <w:color w:val="000000"/>
        </w:rPr>
        <w:t>4.查询媒体：</w:t>
      </w:r>
      <w:r>
        <w:rPr>
          <w:rFonts w:hint="eastAsia" w:hAnsi="宋体"/>
        </w:rPr>
        <w:t>中国政府采购网、</w:t>
      </w:r>
      <w:r>
        <w:fldChar w:fldCharType="begin"/>
      </w:r>
      <w:r>
        <w:instrText xml:space="preserve"> HYPERLINK "http://zfcg.gxzf.gov.cn/" </w:instrText>
      </w:r>
      <w:r>
        <w:fldChar w:fldCharType="separate"/>
      </w:r>
      <w:r>
        <w:rPr>
          <w:rStyle w:val="47"/>
          <w:rFonts w:hint="eastAsia" w:hAnsi="宋体"/>
          <w:color w:val="000000" w:themeColor="text1"/>
          <w:u w:val="none"/>
          <w14:textFill>
            <w14:solidFill>
              <w14:schemeClr w14:val="tx1"/>
            </w14:solidFill>
          </w14:textFill>
        </w:rPr>
        <w:t>广西政府采购网</w:t>
      </w:r>
      <w:r>
        <w:rPr>
          <w:rStyle w:val="47"/>
          <w:rFonts w:hint="eastAsia" w:hAnsi="宋体"/>
          <w:color w:val="000000" w:themeColor="text1"/>
          <w:u w:val="none"/>
          <w14:textFill>
            <w14:solidFill>
              <w14:schemeClr w14:val="tx1"/>
            </w14:solidFill>
          </w14:textFill>
        </w:rPr>
        <w:fldChar w:fldCharType="end"/>
      </w:r>
      <w:r>
        <w:rPr>
          <w:rFonts w:hint="eastAsia" w:hAnsi="宋体"/>
          <w:color w:val="000000"/>
        </w:rPr>
        <w:t>。</w:t>
      </w:r>
    </w:p>
    <w:p>
      <w:pPr>
        <w:spacing w:line="400" w:lineRule="exact"/>
        <w:ind w:firstLine="420"/>
        <w:jc w:val="left"/>
        <w:rPr>
          <w:rFonts w:hAnsi="宋体"/>
          <w:color w:val="000000"/>
        </w:rPr>
      </w:pPr>
      <w:bookmarkStart w:id="33" w:name="_Hlk107409555"/>
      <w:r>
        <w:rPr>
          <w:rFonts w:hint="eastAsia" w:hAnsi="宋体"/>
          <w:color w:val="000000"/>
        </w:rPr>
        <w:t>5</w:t>
      </w:r>
      <w:r>
        <w:rPr>
          <w:rFonts w:hAnsi="宋体"/>
          <w:color w:val="000000"/>
        </w:rPr>
        <w:t>.</w:t>
      </w:r>
      <w:r>
        <w:rPr>
          <w:rFonts w:hint="eastAsia" w:hAnsi="宋体"/>
          <w:color w:val="000000"/>
        </w:rPr>
        <w:t>钦州市政府采购中心联系方式：</w:t>
      </w:r>
    </w:p>
    <w:p>
      <w:pPr>
        <w:spacing w:line="400" w:lineRule="exact"/>
        <w:ind w:firstLine="420"/>
        <w:jc w:val="left"/>
        <w:rPr>
          <w:rFonts w:hAnsi="宋体"/>
          <w:color w:val="000000"/>
        </w:rPr>
      </w:pPr>
      <w:r>
        <w:rPr>
          <w:rFonts w:hAnsi="宋体"/>
          <w:color w:val="000000"/>
        </w:rPr>
        <w:t>(1)</w:t>
      </w:r>
      <w:r>
        <w:rPr>
          <w:rFonts w:hint="eastAsia" w:hAnsi="宋体"/>
          <w:color w:val="000000"/>
        </w:rPr>
        <w:t>采购部(采购文件</w:t>
      </w:r>
      <w:r>
        <w:rPr>
          <w:rFonts w:hAnsi="宋体"/>
          <w:color w:val="000000"/>
        </w:rPr>
        <w:t>)</w:t>
      </w:r>
    </w:p>
    <w:p>
      <w:pPr>
        <w:spacing w:line="400" w:lineRule="exact"/>
        <w:ind w:firstLine="420"/>
        <w:jc w:val="left"/>
        <w:rPr>
          <w:rFonts w:hAnsi="宋体"/>
          <w:color w:val="000000"/>
        </w:rPr>
      </w:pPr>
      <w:r>
        <w:rPr>
          <w:rFonts w:hint="eastAsia" w:hAnsi="宋体"/>
          <w:color w:val="000000"/>
        </w:rPr>
        <w:t>联系人：黄聪妍</w:t>
      </w:r>
      <w:r>
        <w:rPr>
          <w:rFonts w:hAnsi="宋体"/>
          <w:color w:val="000000"/>
        </w:rPr>
        <w:t xml:space="preserve">  </w:t>
      </w:r>
      <w:r>
        <w:rPr>
          <w:rFonts w:hint="eastAsia" w:hAnsi="宋体"/>
          <w:color w:val="000000"/>
        </w:rPr>
        <w:t xml:space="preserve"> 联系方式：0777-2886022</w:t>
      </w:r>
    </w:p>
    <w:p>
      <w:pPr>
        <w:spacing w:line="400" w:lineRule="exact"/>
        <w:ind w:firstLine="420"/>
        <w:jc w:val="left"/>
        <w:rPr>
          <w:rFonts w:hAnsi="宋体"/>
          <w:color w:val="000000"/>
        </w:rPr>
      </w:pPr>
      <w:r>
        <w:rPr>
          <w:rFonts w:hint="eastAsia" w:hAnsi="宋体"/>
          <w:color w:val="000000"/>
        </w:rPr>
        <w:t>(</w:t>
      </w:r>
      <w:r>
        <w:rPr>
          <w:rFonts w:hAnsi="宋体"/>
          <w:color w:val="000000"/>
        </w:rPr>
        <w:t>2)</w:t>
      </w:r>
      <w:r>
        <w:rPr>
          <w:rFonts w:hint="eastAsia" w:hAnsi="宋体"/>
          <w:color w:val="000000"/>
        </w:rPr>
        <w:t>综合二部</w:t>
      </w:r>
      <w:r>
        <w:rPr>
          <w:rFonts w:hint="eastAsia" w:hAnsi="宋体"/>
        </w:rPr>
        <w:t>(评审、谈判、成交及合同管理)</w:t>
      </w:r>
    </w:p>
    <w:p>
      <w:pPr>
        <w:spacing w:line="400" w:lineRule="exact"/>
        <w:ind w:firstLine="420"/>
        <w:jc w:val="left"/>
        <w:rPr>
          <w:rFonts w:hAnsi="宋体"/>
          <w:color w:val="000000"/>
        </w:rPr>
      </w:pPr>
      <w:r>
        <w:rPr>
          <w:rFonts w:hint="eastAsia" w:hAnsi="宋体"/>
          <w:color w:val="000000"/>
        </w:rPr>
        <w:t xml:space="preserve">联系人：陈启梅、陈侃 </w:t>
      </w:r>
      <w:r>
        <w:rPr>
          <w:rFonts w:hAnsi="宋体"/>
          <w:color w:val="000000"/>
        </w:rPr>
        <w:t xml:space="preserve">  </w:t>
      </w:r>
      <w:r>
        <w:rPr>
          <w:rFonts w:hint="eastAsia" w:hAnsi="宋体"/>
          <w:color w:val="000000"/>
        </w:rPr>
        <w:t>联系方式：0777-2886006</w:t>
      </w:r>
      <w:bookmarkEnd w:id="33"/>
    </w:p>
    <w:p>
      <w:pPr>
        <w:spacing w:line="400" w:lineRule="exact"/>
        <w:rPr>
          <w:b/>
          <w:color w:val="000000"/>
        </w:rPr>
      </w:pPr>
      <w:r>
        <w:rPr>
          <w:rFonts w:hint="eastAsia"/>
          <w:b/>
          <w:color w:val="000000"/>
        </w:rPr>
        <w:t>八、对本次采购项目提出询问，请按</w:t>
      </w:r>
      <w:r>
        <w:rPr>
          <w:b/>
          <w:color w:val="000000"/>
        </w:rPr>
        <w:t>以下方式</w:t>
      </w:r>
      <w:r>
        <w:rPr>
          <w:rFonts w:hint="eastAsia"/>
          <w:b/>
          <w:color w:val="000000"/>
        </w:rPr>
        <w:t>联系</w:t>
      </w:r>
      <w:bookmarkEnd w:id="26"/>
      <w:bookmarkEnd w:id="27"/>
      <w:bookmarkEnd w:id="28"/>
      <w:bookmarkEnd w:id="29"/>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1.采购人信息</w:t>
      </w:r>
      <w:bookmarkEnd w:id="8"/>
    </w:p>
    <w:p>
      <w:pPr>
        <w:spacing w:line="500" w:lineRule="exact"/>
        <w:ind w:firstLine="420" w:firstLineChars="200"/>
      </w:pPr>
      <w:r>
        <w:rPr>
          <w:rFonts w:hint="eastAsia"/>
        </w:rPr>
        <w:t>名称：</w:t>
      </w:r>
      <w:r>
        <w:fldChar w:fldCharType="begin"/>
      </w:r>
      <w:r>
        <w:instrText xml:space="preserve"> HYPERLINK "https://www.zcygov.cn/delegation-order/order/orderInfo/detail/6821773913923501264?utm=web-delegation-order-front.3fd4fe5e.0.0.2063858058ed11ed998a2bb9cf60cb05" \t "_blank" </w:instrText>
      </w:r>
      <w:r>
        <w:fldChar w:fldCharType="separate"/>
      </w:r>
      <w:r>
        <w:rPr>
          <w:rFonts w:hint="eastAsia"/>
        </w:rPr>
        <w:t>钦州幼儿师范高等专科学校</w:t>
      </w:r>
      <w:r>
        <w:rPr>
          <w:rFonts w:hint="eastAsia"/>
        </w:rPr>
        <w:fldChar w:fldCharType="end"/>
      </w:r>
    </w:p>
    <w:p>
      <w:pPr>
        <w:spacing w:line="400" w:lineRule="exact"/>
        <w:ind w:firstLine="420" w:firstLineChars="200"/>
      </w:pPr>
      <w:bookmarkStart w:id="34" w:name="_Toc38370147"/>
      <w:r>
        <w:rPr>
          <w:rFonts w:hint="eastAsia"/>
        </w:rPr>
        <w:t>地址：钦州市钦南区南珠街道西环南路89号</w:t>
      </w:r>
    </w:p>
    <w:p>
      <w:pPr>
        <w:spacing w:line="400" w:lineRule="exact"/>
        <w:ind w:firstLine="420" w:firstLineChars="200"/>
      </w:pPr>
      <w:r>
        <w:rPr>
          <w:rFonts w:hint="eastAsia"/>
        </w:rPr>
        <w:t>联系人：郭文惠</w:t>
      </w:r>
    </w:p>
    <w:p>
      <w:pPr>
        <w:spacing w:line="400" w:lineRule="exact"/>
        <w:ind w:firstLine="420" w:firstLineChars="200"/>
      </w:pPr>
      <w:r>
        <w:rPr>
          <w:rFonts w:hint="eastAsia"/>
        </w:rPr>
        <w:t>联系方式</w:t>
      </w:r>
      <w:bookmarkEnd w:id="34"/>
      <w:r>
        <w:rPr>
          <w:rFonts w:hint="eastAsia"/>
        </w:rPr>
        <w:t>：</w:t>
      </w:r>
      <w:r>
        <w:t>0777-</w:t>
      </w:r>
      <w:r>
        <w:rPr>
          <w:rFonts w:hint="eastAsia"/>
        </w:rPr>
        <w:t>2</w:t>
      </w:r>
      <w:r>
        <w:t>596801</w:t>
      </w:r>
    </w:p>
    <w:p>
      <w:pPr>
        <w:spacing w:line="400" w:lineRule="exact"/>
        <w:ind w:firstLine="420" w:firstLineChars="200"/>
      </w:pPr>
      <w:r>
        <w:rPr>
          <w:rFonts w:hint="eastAsia"/>
        </w:rPr>
        <w:t>2.采购代理机构信息</w:t>
      </w:r>
    </w:p>
    <w:p>
      <w:pPr>
        <w:spacing w:line="400" w:lineRule="exact"/>
        <w:ind w:firstLine="420" w:firstLineChars="200"/>
      </w:pPr>
      <w:r>
        <w:rPr>
          <w:rFonts w:hint="eastAsia"/>
        </w:rPr>
        <w:t>名称：钦州市政府采购中心</w:t>
      </w:r>
    </w:p>
    <w:p>
      <w:pPr>
        <w:spacing w:line="400" w:lineRule="exact"/>
        <w:ind w:firstLine="420" w:firstLineChars="200"/>
      </w:pPr>
      <w:r>
        <w:rPr>
          <w:rFonts w:hint="eastAsia"/>
        </w:rPr>
        <w:t>地址：钦州市金海湾东大街8号</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w:t>
      </w:r>
      <w:bookmarkStart w:id="35" w:name="_Toc28359010"/>
      <w:bookmarkStart w:id="36" w:name="_Toc28359087"/>
      <w:r>
        <w:rPr>
          <w:rFonts w:hint="eastAsia"/>
          <w:color w:val="000000" w:themeColor="text1"/>
          <w14:textFill>
            <w14:solidFill>
              <w14:schemeClr w14:val="tx1"/>
            </w14:solidFill>
          </w14:textFill>
        </w:rPr>
        <w:t>黄聪妍、陈启梅、陈侃</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项目联系方式：0</w:t>
      </w:r>
      <w:r>
        <w:rPr>
          <w:color w:val="000000" w:themeColor="text1"/>
          <w14:textFill>
            <w14:solidFill>
              <w14:schemeClr w14:val="tx1"/>
            </w14:solidFill>
          </w14:textFill>
        </w:rPr>
        <w:t>777-2886022</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886006</w:t>
      </w:r>
    </w:p>
    <w:p>
      <w:pPr>
        <w:widowControl/>
        <w:jc w:val="left"/>
      </w:pPr>
      <w:r>
        <w:br w:type="page"/>
      </w:r>
    </w:p>
    <w:p>
      <w:pPr>
        <w:spacing w:line="400" w:lineRule="exact"/>
        <w:ind w:firstLine="420" w:firstLineChars="200"/>
      </w:pPr>
    </w:p>
    <w:p/>
    <w:bookmarkEnd w:id="35"/>
    <w:bookmarkEnd w:id="36"/>
    <w:p/>
    <w:p/>
    <w:p/>
    <w:p/>
    <w:p/>
    <w:p/>
    <w:p/>
    <w:p/>
    <w:p/>
    <w:p/>
    <w:p/>
    <w:p/>
    <w:p>
      <w:pPr>
        <w:pStyle w:val="3"/>
        <w:spacing w:line="400" w:lineRule="exact"/>
        <w:rPr>
          <w:rFonts w:ascii="方正小标宋_GBK" w:hAnsi="宋体" w:eastAsia="方正小标宋_GBK"/>
          <w:color w:val="0D0D0D" w:themeColor="text1" w:themeTint="F2"/>
          <w14:textFill>
            <w14:solidFill>
              <w14:schemeClr w14:val="tx1">
                <w14:lumMod w14:val="95000"/>
                <w14:lumOff w14:val="5000"/>
              </w14:schemeClr>
            </w14:solidFill>
          </w14:textFill>
        </w:rPr>
      </w:pPr>
      <w:bookmarkStart w:id="37" w:name="_Toc92355024"/>
      <w:r>
        <w:rPr>
          <w:rFonts w:hint="eastAsia" w:ascii="方正小标宋_GBK" w:hAnsi="宋体" w:eastAsia="方正小标宋_GBK"/>
          <w:color w:val="0D0D0D" w:themeColor="text1" w:themeTint="F2"/>
          <w14:textFill>
            <w14:solidFill>
              <w14:schemeClr w14:val="tx1">
                <w14:lumMod w14:val="95000"/>
                <w14:lumOff w14:val="5000"/>
              </w14:schemeClr>
            </w14:solidFill>
          </w14:textFill>
        </w:rPr>
        <w:t>第二章  项目需求</w:t>
      </w:r>
      <w:bookmarkEnd w:id="37"/>
    </w:p>
    <w:p>
      <w:pPr>
        <w:spacing w:line="440" w:lineRule="exact"/>
        <w:jc w:val="center"/>
        <w:rPr>
          <w:rFonts w:ascii="宋体" w:hAnsi="宋体"/>
          <w:b/>
          <w:color w:val="0D0D0D" w:themeColor="text1" w:themeTint="F2"/>
          <w:szCs w:val="21"/>
          <w14:textFill>
            <w14:solidFill>
              <w14:schemeClr w14:val="tx1">
                <w14:lumMod w14:val="95000"/>
                <w14:lumOff w14:val="5000"/>
              </w14:schemeClr>
            </w14:solidFill>
          </w14:textFill>
        </w:rPr>
      </w:pPr>
      <w:r>
        <w:rPr>
          <w:rFonts w:ascii="宋体" w:hAnsi="宋体"/>
          <w:b/>
          <w:color w:val="0D0D0D" w:themeColor="text1" w:themeTint="F2"/>
          <w:szCs w:val="21"/>
          <w14:textFill>
            <w14:solidFill>
              <w14:schemeClr w14:val="tx1">
                <w14:lumMod w14:val="95000"/>
                <w14:lumOff w14:val="5000"/>
              </w14:schemeClr>
            </w14:solidFill>
          </w14:textFill>
        </w:rPr>
        <w:br w:type="page"/>
      </w:r>
    </w:p>
    <w:p>
      <w:pPr>
        <w:spacing w:line="440" w:lineRule="exact"/>
        <w:ind w:firstLine="3253" w:firstLineChars="900"/>
        <w:rPr>
          <w:rFonts w:ascii="宋体" w:hAnsi="宋体"/>
          <w:b/>
          <w:sz w:val="36"/>
          <w:szCs w:val="36"/>
        </w:rPr>
      </w:pPr>
      <w:bookmarkStart w:id="38" w:name="_Toc358477280"/>
      <w:bookmarkStart w:id="39" w:name="_Toc354479498"/>
      <w:r>
        <w:rPr>
          <w:rFonts w:hint="eastAsia" w:ascii="宋体" w:hAnsi="宋体"/>
          <w:b/>
          <w:sz w:val="36"/>
          <w:szCs w:val="36"/>
        </w:rPr>
        <w:t>项目需求一览表</w:t>
      </w:r>
    </w:p>
    <w:p>
      <w:pPr>
        <w:spacing w:line="440" w:lineRule="exact"/>
        <w:rPr>
          <w:rFonts w:ascii="宋体" w:hAnsi="宋体"/>
          <w:b/>
          <w:szCs w:val="21"/>
        </w:rPr>
      </w:pPr>
    </w:p>
    <w:p>
      <w:pPr>
        <w:spacing w:line="400" w:lineRule="exact"/>
        <w:ind w:firstLine="420"/>
        <w:rPr>
          <w:color w:val="000000"/>
        </w:rPr>
      </w:pPr>
      <w:bookmarkStart w:id="40" w:name="_Hlk89960406"/>
      <w:r>
        <w:rPr>
          <w:rFonts w:hint="eastAsia"/>
          <w:color w:val="000000"/>
        </w:rPr>
        <w:t>一、采购预算：玖拾贰万元整(￥920000.00)</w:t>
      </w:r>
    </w:p>
    <w:p>
      <w:pPr>
        <w:widowControl/>
        <w:spacing w:line="400" w:lineRule="exact"/>
        <w:ind w:firstLine="420"/>
        <w:jc w:val="left"/>
        <w:rPr>
          <w:color w:val="000000"/>
        </w:rPr>
      </w:pPr>
      <w:r>
        <w:rPr>
          <w:rFonts w:hint="eastAsia"/>
          <w:color w:val="000000"/>
        </w:rPr>
        <w:t>二、项目需求说明：</w:t>
      </w:r>
    </w:p>
    <w:p>
      <w:pPr>
        <w:spacing w:line="430" w:lineRule="exact"/>
        <w:ind w:firstLine="420" w:firstLineChars="200"/>
        <w:rPr>
          <w:rFonts w:ascii="宋体" w:hAnsi="宋体"/>
          <w:szCs w:val="21"/>
        </w:rPr>
      </w:pPr>
      <w:r>
        <w:rPr>
          <w:rFonts w:hint="eastAsia" w:ascii="宋体" w:hAnsi="宋体"/>
          <w:szCs w:val="21"/>
        </w:rPr>
        <w:t>1.本表中的品牌型号、技术参数及其性能（规格）仅起参考作用，供应商可选用其他品牌型号替代，但替代的产品整体上要相当于或优于参考品牌型号或其技术参数性能（规格）要求。</w:t>
      </w:r>
    </w:p>
    <w:p>
      <w:pPr>
        <w:spacing w:line="43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widowControl/>
        <w:ind w:firstLine="420" w:firstLineChars="200"/>
        <w:jc w:val="left"/>
        <w:rPr>
          <w:rFonts w:ascii="宋体" w:hAnsi="宋体" w:cs="宋体"/>
          <w:kern w:val="0"/>
          <w:szCs w:val="21"/>
        </w:rPr>
      </w:pPr>
      <w:r>
        <w:rPr>
          <w:rFonts w:hint="eastAsia" w:ascii="宋体" w:hAnsi="宋体" w:cs="宋体"/>
          <w:kern w:val="0"/>
          <w:szCs w:val="21"/>
        </w:rPr>
        <w:t>3.根据《财政部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号）的规定，采购需求中的产品属于节能产品政府采购品目清单内标注“★”的，供应商必须在响应文件中</w:t>
      </w:r>
    </w:p>
    <w:p>
      <w:pPr>
        <w:widowControl/>
        <w:ind w:firstLine="420" w:firstLineChars="200"/>
        <w:jc w:val="left"/>
        <w:rPr>
          <w:rFonts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根据国家互联网信息办公室、工业和信息化部、公安部、财政部、国家认证认可监督管理委员发布的《关于调整网络安全专用产品安全管理有关事项的公告》（2023年第1号），列入《网络关键设备和网络安全专用产品目录》的网络安全专用产品应当按照《信息安全技术网络安全专用产品安全技术要求》等相关国家标准的强制性要求，由具备资格的机构安全认证合格或者安全检测符合要求后，方可销售或者提供。具备资格的机构是指列入《承担网络关键设备和网络安全专用产品安全认证和安全检测任务机构名录》的机构。</w:t>
      </w:r>
    </w:p>
    <w:p>
      <w:pPr>
        <w:spacing w:line="430" w:lineRule="exact"/>
        <w:ind w:firstLine="420" w:firstLineChars="200"/>
        <w:rPr>
          <w:rFonts w:ascii="宋体" w:hAnsi="宋体"/>
          <w:szCs w:val="21"/>
        </w:rPr>
      </w:pPr>
      <w:r>
        <w:rPr>
          <w:rFonts w:hint="eastAsia" w:ascii="宋体" w:hAnsi="宋体"/>
          <w:szCs w:val="21"/>
        </w:rPr>
        <w:t>5.本项目不接受供应商提供通过中国海关报关验放进入中国境内且产自关境外的产品。</w:t>
      </w:r>
    </w:p>
    <w:p>
      <w:pPr>
        <w:spacing w:line="43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采购文件第二、三章标注★号的技术参数为实质性要求的参数，要求必须满足或优于，否则视为无效响应文件。</w:t>
      </w:r>
    </w:p>
    <w:p>
      <w:pPr>
        <w:spacing w:line="430" w:lineRule="exact"/>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谈判文件中可能实质性变动的内容：</w:t>
      </w:r>
      <w:r>
        <w:rPr>
          <w:rFonts w:hint="eastAsia" w:ascii="宋体" w:hAnsi="宋体" w:cs="宋体"/>
          <w:kern w:val="0"/>
          <w:szCs w:val="21"/>
          <w:u w:val="single"/>
        </w:rPr>
        <w:t>采购需求的技术、服务要求以及合同草案条款</w:t>
      </w:r>
      <w:r>
        <w:rPr>
          <w:rFonts w:hint="eastAsia" w:ascii="宋体" w:hAnsi="宋体" w:cs="宋体"/>
          <w:b/>
          <w:kern w:val="0"/>
          <w:szCs w:val="21"/>
        </w:rPr>
        <w:t>。</w:t>
      </w:r>
    </w:p>
    <w:p>
      <w:pPr>
        <w:spacing w:line="430" w:lineRule="exact"/>
        <w:ind w:firstLine="422" w:firstLineChars="200"/>
        <w:rPr>
          <w:rFonts w:ascii="宋体" w:hAnsi="宋体"/>
          <w:b/>
          <w:bCs/>
          <w:szCs w:val="21"/>
          <w:u w:val="single"/>
        </w:rPr>
      </w:pPr>
      <w:r>
        <w:rPr>
          <w:rFonts w:hint="eastAsia" w:ascii="宋体" w:hAnsi="宋体"/>
          <w:b/>
          <w:bCs/>
          <w:szCs w:val="21"/>
        </w:rPr>
        <w:t>8</w:t>
      </w:r>
      <w:r>
        <w:rPr>
          <w:rFonts w:ascii="宋体" w:hAnsi="宋体"/>
          <w:b/>
          <w:bCs/>
          <w:szCs w:val="21"/>
        </w:rPr>
        <w:t>.</w:t>
      </w:r>
      <w:r>
        <w:rPr>
          <w:rFonts w:hint="eastAsia" w:ascii="宋体" w:hAnsi="宋体"/>
          <w:b/>
          <w:bCs/>
          <w:szCs w:val="21"/>
        </w:rPr>
        <w:t>本项目对应的中小企业划分标准所属行业为</w:t>
      </w:r>
      <w:r>
        <w:rPr>
          <w:rFonts w:hint="eastAsia" w:ascii="宋体" w:hAnsi="宋体"/>
          <w:b/>
          <w:bCs/>
          <w:szCs w:val="21"/>
          <w:u w:val="single"/>
        </w:rPr>
        <w:t xml:space="preserve"> 工业。</w:t>
      </w:r>
    </w:p>
    <w:p>
      <w:pPr>
        <w:pStyle w:val="37"/>
      </w:pPr>
    </w:p>
    <w:p/>
    <w:p>
      <w:pPr>
        <w:pStyle w:val="13"/>
      </w:pPr>
    </w:p>
    <w:p/>
    <w:p>
      <w:pPr>
        <w:pStyle w:val="13"/>
      </w:pPr>
    </w:p>
    <w:p/>
    <w:p>
      <w:pPr>
        <w:pStyle w:val="13"/>
      </w:pPr>
    </w:p>
    <w:p/>
    <w:p>
      <w:pPr>
        <w:pStyle w:val="13"/>
      </w:pPr>
    </w:p>
    <w:p/>
    <w:p>
      <w:pPr>
        <w:pStyle w:val="13"/>
      </w:pPr>
    </w:p>
    <w:p/>
    <w:p>
      <w:pPr>
        <w:pStyle w:val="13"/>
      </w:pPr>
    </w:p>
    <w:p/>
    <w:p>
      <w:pPr>
        <w:pStyle w:val="13"/>
      </w:pPr>
    </w:p>
    <w:p>
      <w:pPr>
        <w:spacing w:line="440" w:lineRule="exact"/>
        <w:ind w:firstLine="3253" w:firstLineChars="900"/>
        <w:rPr>
          <w:rFonts w:ascii="宋体" w:hAnsi="宋体"/>
          <w:b/>
          <w:sz w:val="36"/>
          <w:szCs w:val="36"/>
        </w:rPr>
      </w:pPr>
      <w:r>
        <w:rPr>
          <w:rFonts w:hint="eastAsia" w:ascii="宋体" w:hAnsi="宋体"/>
          <w:b/>
          <w:sz w:val="36"/>
          <w:szCs w:val="36"/>
        </w:rPr>
        <w:t>货物需求一览表</w:t>
      </w:r>
    </w:p>
    <w:p/>
    <w:tbl>
      <w:tblPr>
        <w:tblStyle w:val="40"/>
        <w:tblW w:w="10179" w:type="dxa"/>
        <w:jc w:val="center"/>
        <w:tblLayout w:type="fixed"/>
        <w:tblCellMar>
          <w:top w:w="0" w:type="dxa"/>
          <w:left w:w="108" w:type="dxa"/>
          <w:bottom w:w="0" w:type="dxa"/>
          <w:right w:w="108" w:type="dxa"/>
        </w:tblCellMar>
      </w:tblPr>
      <w:tblGrid>
        <w:gridCol w:w="735"/>
        <w:gridCol w:w="1351"/>
        <w:gridCol w:w="720"/>
        <w:gridCol w:w="720"/>
        <w:gridCol w:w="708"/>
        <w:gridCol w:w="5945"/>
      </w:tblGrid>
      <w:tr>
        <w:tblPrEx>
          <w:tblCellMar>
            <w:top w:w="0" w:type="dxa"/>
            <w:left w:w="108" w:type="dxa"/>
            <w:bottom w:w="0" w:type="dxa"/>
            <w:right w:w="108" w:type="dxa"/>
          </w:tblCellMar>
        </w:tblPrEx>
        <w:trPr>
          <w:trHeight w:val="440" w:hRule="atLeast"/>
          <w:tblHeade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b/>
                <w:bCs/>
                <w:color w:val="000000"/>
                <w:kern w:val="0"/>
                <w:szCs w:val="21"/>
              </w:rPr>
            </w:pPr>
            <w:r>
              <w:rPr>
                <w:rFonts w:hint="eastAsia" w:ascii="宋体" w:hAnsi="宋体" w:cs="宋体"/>
                <w:b/>
                <w:bCs/>
                <w:color w:val="000000"/>
                <w:kern w:val="0"/>
                <w:szCs w:val="21"/>
              </w:rPr>
              <w:t>项号</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b/>
                <w:bCs/>
                <w:color w:val="000000"/>
                <w:kern w:val="0"/>
                <w:szCs w:val="21"/>
              </w:rPr>
            </w:pPr>
            <w:r>
              <w:rPr>
                <w:rFonts w:hint="eastAsia" w:ascii="宋体" w:hAnsi="宋体" w:cs="宋体"/>
                <w:b/>
                <w:bCs/>
                <w:color w:val="000000"/>
                <w:kern w:val="0"/>
                <w:szCs w:val="21"/>
              </w:rPr>
              <w:t>货物名称</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b/>
                <w:bCs/>
                <w:color w:val="000000"/>
                <w:kern w:val="0"/>
                <w:szCs w:val="21"/>
              </w:rPr>
            </w:pPr>
            <w:r>
              <w:rPr>
                <w:rFonts w:hint="eastAsia" w:ascii="宋体" w:hAnsi="宋体" w:cs="宋体"/>
                <w:b/>
                <w:bCs/>
                <w:color w:val="000000"/>
                <w:kern w:val="0"/>
                <w:szCs w:val="21"/>
              </w:rPr>
              <w:t>所属</w:t>
            </w:r>
          </w:p>
          <w:p>
            <w:pPr>
              <w:keepNext w:val="0"/>
              <w:keepLines w:val="0"/>
              <w:pageBreakBefore w:val="0"/>
              <w:widowControl/>
              <w:kinsoku/>
              <w:wordWrap/>
              <w:overflowPunct/>
              <w:topLinePunct w:val="0"/>
              <w:bidi w:val="0"/>
              <w:snapToGrid/>
              <w:spacing w:line="430" w:lineRule="exact"/>
              <w:ind w:left="0" w:leftChars="0"/>
              <w:jc w:val="both"/>
              <w:rPr>
                <w:rFonts w:ascii="宋体" w:hAnsi="宋体" w:cs="宋体"/>
                <w:b/>
                <w:bCs/>
                <w:color w:val="000000"/>
                <w:kern w:val="0"/>
                <w:szCs w:val="21"/>
              </w:rPr>
            </w:pPr>
            <w:r>
              <w:rPr>
                <w:rFonts w:hint="eastAsia" w:ascii="宋体" w:hAnsi="宋体" w:cs="宋体"/>
                <w:b/>
                <w:bCs/>
                <w:color w:val="000000"/>
                <w:kern w:val="0"/>
                <w:szCs w:val="21"/>
              </w:rPr>
              <w:t>行业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b/>
                <w:bCs/>
                <w:color w:val="000000"/>
                <w:kern w:val="0"/>
                <w:szCs w:val="21"/>
              </w:rPr>
            </w:pPr>
            <w:r>
              <w:rPr>
                <w:rFonts w:hint="eastAsia" w:ascii="宋体" w:hAnsi="宋体" w:cs="宋体"/>
                <w:b/>
                <w:bCs/>
                <w:color w:val="000000"/>
                <w:kern w:val="0"/>
                <w:szCs w:val="21"/>
              </w:rPr>
              <w:t>数量</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b/>
                <w:bCs/>
                <w:color w:val="000000"/>
                <w:kern w:val="0"/>
                <w:szCs w:val="21"/>
              </w:rPr>
            </w:pPr>
            <w:r>
              <w:rPr>
                <w:rFonts w:hint="eastAsia" w:ascii="宋体" w:hAnsi="宋体" w:cs="宋体"/>
                <w:b/>
                <w:bCs/>
                <w:color w:val="000000"/>
                <w:kern w:val="0"/>
                <w:szCs w:val="21"/>
              </w:rPr>
              <w:t>单位</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b/>
                <w:bCs/>
                <w:color w:val="000000"/>
                <w:kern w:val="0"/>
                <w:szCs w:val="21"/>
              </w:rPr>
            </w:pPr>
            <w:r>
              <w:rPr>
                <w:rFonts w:hint="eastAsia" w:ascii="宋体" w:hAnsi="宋体" w:cs="宋体"/>
                <w:b/>
                <w:bCs/>
                <w:color w:val="000000"/>
                <w:kern w:val="0"/>
                <w:szCs w:val="21"/>
              </w:rPr>
              <w:t>技术参数及性能（配置）要求</w:t>
            </w:r>
          </w:p>
        </w:tc>
      </w:tr>
      <w:tr>
        <w:tblPrEx>
          <w:tblCellMar>
            <w:top w:w="0" w:type="dxa"/>
            <w:left w:w="108" w:type="dxa"/>
            <w:bottom w:w="0" w:type="dxa"/>
            <w:right w:w="108" w:type="dxa"/>
          </w:tblCellMar>
        </w:tblPrEx>
        <w:trPr>
          <w:trHeight w:val="485" w:hRule="atLeast"/>
          <w:jc w:val="center"/>
        </w:trPr>
        <w:tc>
          <w:tcPr>
            <w:tcW w:w="10179" w:type="dxa"/>
            <w:gridSpan w:val="6"/>
            <w:tcBorders>
              <w:top w:val="single" w:color="000000" w:sz="4" w:space="0"/>
              <w:left w:val="single" w:color="000000" w:sz="4" w:space="0"/>
              <w:bottom w:val="single" w:color="auto" w:sz="4" w:space="0"/>
              <w:right w:val="single" w:color="000000" w:sz="4" w:space="0"/>
            </w:tcBorders>
            <w:vAlign w:val="center"/>
          </w:tcPr>
          <w:p>
            <w:pPr>
              <w:pStyle w:val="49"/>
              <w:keepNext w:val="0"/>
              <w:keepLines w:val="0"/>
              <w:pageBreakBefore w:val="0"/>
              <w:kinsoku/>
              <w:wordWrap/>
              <w:overflowPunct/>
              <w:topLinePunct w:val="0"/>
              <w:bidi w:val="0"/>
              <w:snapToGrid/>
              <w:spacing w:line="430" w:lineRule="exact"/>
              <w:ind w:left="0" w:leftChars="0"/>
              <w:jc w:val="both"/>
              <w:rPr>
                <w:rFonts w:hAnsi="宋体"/>
                <w:b/>
                <w:bCs/>
                <w:sz w:val="21"/>
                <w:szCs w:val="21"/>
              </w:rPr>
            </w:pPr>
            <w:r>
              <w:rPr>
                <w:rFonts w:hint="eastAsia" w:hAnsi="宋体"/>
                <w:b/>
                <w:bCs/>
                <w:sz w:val="21"/>
                <w:szCs w:val="21"/>
              </w:rPr>
              <w:t>一、摄像机拍摄及承托子设备</w:t>
            </w:r>
          </w:p>
        </w:tc>
      </w:tr>
      <w:tr>
        <w:tblPrEx>
          <w:tblCellMar>
            <w:top w:w="0" w:type="dxa"/>
            <w:left w:w="108" w:type="dxa"/>
            <w:bottom w:w="0" w:type="dxa"/>
            <w:right w:w="108" w:type="dxa"/>
          </w:tblCellMar>
        </w:tblPrEx>
        <w:trPr>
          <w:trHeight w:val="3183" w:hRule="atLeast"/>
          <w:jc w:val="center"/>
        </w:trPr>
        <w:tc>
          <w:tcPr>
            <w:tcW w:w="73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1</w:t>
            </w:r>
          </w:p>
        </w:tc>
        <w:tc>
          <w:tcPr>
            <w:tcW w:w="1351" w:type="dxa"/>
            <w:tcBorders>
              <w:top w:val="single" w:color="000000" w:sz="4" w:space="0"/>
              <w:left w:val="single" w:color="000000" w:sz="4" w:space="0"/>
              <w:bottom w:val="single" w:color="auto" w:sz="4" w:space="0"/>
              <w:right w:val="single" w:color="000000" w:sz="4" w:space="0"/>
            </w:tcBorders>
            <w:vAlign w:val="center"/>
          </w:tcPr>
          <w:p>
            <w:pPr>
              <w:pStyle w:val="2"/>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4K超高清摄像机</w:t>
            </w:r>
          </w:p>
        </w:tc>
        <w:tc>
          <w:tcPr>
            <w:tcW w:w="72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70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台</w:t>
            </w:r>
          </w:p>
        </w:tc>
        <w:tc>
          <w:tcPr>
            <w:tcW w:w="5945" w:type="dxa"/>
            <w:tcBorders>
              <w:top w:val="single" w:color="000000" w:sz="4" w:space="0"/>
              <w:left w:val="single" w:color="000000" w:sz="4" w:space="0"/>
              <w:bottom w:val="single" w:color="auto" w:sz="4" w:space="0"/>
              <w:right w:val="single" w:color="000000" w:sz="4" w:space="0"/>
            </w:tcBorders>
          </w:tcPr>
          <w:p>
            <w:pPr>
              <w:pStyle w:val="49"/>
              <w:keepNext w:val="0"/>
              <w:keepLines w:val="0"/>
              <w:pageBreakBefore w:val="0"/>
              <w:kinsoku/>
              <w:wordWrap/>
              <w:overflowPunct/>
              <w:topLinePunct w:val="0"/>
              <w:bidi w:val="0"/>
              <w:snapToGrid/>
              <w:spacing w:line="430" w:lineRule="exact"/>
              <w:ind w:left="0" w:leftChars="0"/>
              <w:jc w:val="both"/>
              <w:rPr>
                <w:rFonts w:hAnsi="宋体"/>
                <w:color w:val="auto"/>
                <w:kern w:val="2"/>
                <w:sz w:val="21"/>
                <w:szCs w:val="21"/>
              </w:rPr>
            </w:pPr>
            <w:r>
              <w:rPr>
                <w:rFonts w:hint="eastAsia" w:hAnsi="宋体"/>
                <w:color w:val="auto"/>
                <w:kern w:val="2"/>
                <w:sz w:val="21"/>
                <w:szCs w:val="21"/>
              </w:rPr>
              <w:t>1.采用相当于三片1/2英寸成像器。</w:t>
            </w:r>
          </w:p>
          <w:p>
            <w:pPr>
              <w:pStyle w:val="49"/>
              <w:keepNext w:val="0"/>
              <w:keepLines w:val="0"/>
              <w:pageBreakBefore w:val="0"/>
              <w:kinsoku/>
              <w:wordWrap/>
              <w:overflowPunct/>
              <w:topLinePunct w:val="0"/>
              <w:bidi w:val="0"/>
              <w:snapToGrid/>
              <w:spacing w:line="430" w:lineRule="exact"/>
              <w:ind w:left="0" w:leftChars="0"/>
              <w:jc w:val="both"/>
              <w:rPr>
                <w:rFonts w:hAnsi="宋体"/>
                <w:color w:val="auto"/>
                <w:kern w:val="2"/>
                <w:sz w:val="21"/>
                <w:szCs w:val="21"/>
              </w:rPr>
            </w:pPr>
            <w:r>
              <w:rPr>
                <w:rFonts w:hint="eastAsia" w:hAnsi="宋体"/>
                <w:color w:val="auto"/>
                <w:kern w:val="2"/>
                <w:sz w:val="21"/>
                <w:szCs w:val="21"/>
              </w:rPr>
              <w:t>2.灵敏度：F4.4-F14（照度2000lx，色温3100K±100K，灰度卡反射率89.9%，增益：0dB，DTL:0，输出视频格式：3840×2160/50/P)。</w:t>
            </w:r>
          </w:p>
          <w:p>
            <w:pPr>
              <w:pStyle w:val="49"/>
              <w:keepNext w:val="0"/>
              <w:keepLines w:val="0"/>
              <w:pageBreakBefore w:val="0"/>
              <w:kinsoku/>
              <w:wordWrap/>
              <w:overflowPunct/>
              <w:topLinePunct w:val="0"/>
              <w:bidi w:val="0"/>
              <w:snapToGrid/>
              <w:spacing w:line="430" w:lineRule="exact"/>
              <w:ind w:left="0" w:leftChars="0"/>
              <w:jc w:val="both"/>
              <w:rPr>
                <w:rFonts w:hAnsi="宋体"/>
                <w:color w:val="auto"/>
                <w:kern w:val="2"/>
                <w:sz w:val="21"/>
                <w:szCs w:val="21"/>
              </w:rPr>
            </w:pPr>
            <w:r>
              <w:rPr>
                <w:rFonts w:hint="eastAsia" w:hAnsi="宋体"/>
                <w:color w:val="auto"/>
                <w:kern w:val="2"/>
                <w:sz w:val="21"/>
                <w:szCs w:val="21"/>
              </w:rPr>
              <w:t>3.能提供4K50P/60P10bit4：2：2的性能。</w:t>
            </w:r>
          </w:p>
          <w:p>
            <w:pPr>
              <w:pStyle w:val="49"/>
              <w:keepNext w:val="0"/>
              <w:keepLines w:val="0"/>
              <w:pageBreakBefore w:val="0"/>
              <w:kinsoku/>
              <w:wordWrap/>
              <w:overflowPunct/>
              <w:topLinePunct w:val="0"/>
              <w:bidi w:val="0"/>
              <w:snapToGrid/>
              <w:spacing w:line="430" w:lineRule="exact"/>
              <w:ind w:left="0" w:leftChars="0"/>
              <w:jc w:val="both"/>
              <w:rPr>
                <w:rFonts w:hAnsi="宋体"/>
                <w:color w:val="auto"/>
                <w:kern w:val="2"/>
                <w:sz w:val="21"/>
                <w:szCs w:val="21"/>
              </w:rPr>
            </w:pPr>
            <w:r>
              <w:rPr>
                <w:rFonts w:hint="eastAsia" w:hAnsi="宋体"/>
                <w:color w:val="auto"/>
                <w:kern w:val="2"/>
                <w:sz w:val="21"/>
                <w:szCs w:val="21"/>
              </w:rPr>
              <w:t>4.配备≥17倍光学变焦镜头。</w:t>
            </w:r>
          </w:p>
          <w:p>
            <w:pPr>
              <w:pStyle w:val="49"/>
              <w:keepNext w:val="0"/>
              <w:keepLines w:val="0"/>
              <w:pageBreakBefore w:val="0"/>
              <w:kinsoku/>
              <w:wordWrap/>
              <w:overflowPunct/>
              <w:topLinePunct w:val="0"/>
              <w:bidi w:val="0"/>
              <w:snapToGrid/>
              <w:spacing w:line="430" w:lineRule="exact"/>
              <w:ind w:left="0" w:leftChars="0"/>
              <w:jc w:val="both"/>
              <w:rPr>
                <w:rFonts w:hAnsi="宋体"/>
                <w:color w:val="auto"/>
                <w:kern w:val="2"/>
                <w:sz w:val="21"/>
                <w:szCs w:val="21"/>
              </w:rPr>
            </w:pPr>
            <w:r>
              <w:rPr>
                <w:rFonts w:hint="eastAsia" w:hAnsi="宋体"/>
                <w:color w:val="auto"/>
                <w:kern w:val="2"/>
                <w:sz w:val="21"/>
                <w:szCs w:val="21"/>
              </w:rPr>
              <w:t>5.双卡槽同步记录，兼容ExpressCard/34、XQD卡、SXS卡。</w:t>
            </w:r>
          </w:p>
          <w:p>
            <w:pPr>
              <w:pStyle w:val="49"/>
              <w:keepNext w:val="0"/>
              <w:keepLines w:val="0"/>
              <w:pageBreakBefore w:val="0"/>
              <w:kinsoku/>
              <w:wordWrap/>
              <w:overflowPunct/>
              <w:topLinePunct w:val="0"/>
              <w:bidi w:val="0"/>
              <w:snapToGrid/>
              <w:spacing w:line="430" w:lineRule="exact"/>
              <w:ind w:left="0" w:leftChars="0"/>
              <w:jc w:val="both"/>
              <w:rPr>
                <w:rFonts w:hAnsi="宋体"/>
                <w:color w:val="auto"/>
                <w:kern w:val="2"/>
                <w:sz w:val="21"/>
                <w:szCs w:val="21"/>
              </w:rPr>
            </w:pPr>
            <w:r>
              <w:rPr>
                <w:rFonts w:hint="eastAsia" w:hAnsi="宋体"/>
                <w:color w:val="auto"/>
                <w:kern w:val="2"/>
                <w:sz w:val="21"/>
                <w:szCs w:val="21"/>
              </w:rPr>
              <w:t>6.至少有配备一个12G-SDI和一个HDMI接口实现一根BNC或一根HDMI线输出4K50P/60P信号。</w:t>
            </w:r>
          </w:p>
          <w:p>
            <w:pPr>
              <w:pStyle w:val="49"/>
              <w:keepNext w:val="0"/>
              <w:keepLines w:val="0"/>
              <w:pageBreakBefore w:val="0"/>
              <w:kinsoku/>
              <w:wordWrap/>
              <w:overflowPunct/>
              <w:topLinePunct w:val="0"/>
              <w:bidi w:val="0"/>
              <w:snapToGrid/>
              <w:spacing w:line="430" w:lineRule="exact"/>
              <w:ind w:left="0" w:leftChars="0"/>
              <w:jc w:val="both"/>
              <w:rPr>
                <w:rFonts w:hAnsi="宋体"/>
                <w:color w:val="auto"/>
                <w:kern w:val="2"/>
                <w:sz w:val="21"/>
                <w:szCs w:val="21"/>
              </w:rPr>
            </w:pPr>
            <w:r>
              <w:rPr>
                <w:rFonts w:hint="eastAsia" w:hAnsi="宋体"/>
                <w:color w:val="auto"/>
                <w:kern w:val="2"/>
                <w:sz w:val="21"/>
                <w:szCs w:val="21"/>
              </w:rPr>
              <w:t>7.能实现从1/4ND到1/128ND连续线性调整，并可以设置为全自动。</w:t>
            </w:r>
          </w:p>
          <w:p>
            <w:pPr>
              <w:pStyle w:val="49"/>
              <w:keepNext w:val="0"/>
              <w:keepLines w:val="0"/>
              <w:pageBreakBefore w:val="0"/>
              <w:kinsoku/>
              <w:wordWrap/>
              <w:overflowPunct/>
              <w:topLinePunct w:val="0"/>
              <w:bidi w:val="0"/>
              <w:snapToGrid/>
              <w:spacing w:line="430" w:lineRule="exact"/>
              <w:ind w:left="0" w:leftChars="0"/>
              <w:jc w:val="both"/>
              <w:rPr>
                <w:rFonts w:hAnsi="宋体"/>
                <w:color w:val="auto"/>
                <w:kern w:val="2"/>
                <w:sz w:val="21"/>
                <w:szCs w:val="21"/>
              </w:rPr>
            </w:pPr>
            <w:r>
              <w:rPr>
                <w:rFonts w:hint="eastAsia" w:hAnsi="宋体"/>
                <w:color w:val="auto"/>
                <w:kern w:val="2"/>
                <w:sz w:val="21"/>
                <w:szCs w:val="21"/>
              </w:rPr>
              <w:t>8.具备支持 XAVC Intra 和 Long GOP；MPEG HD420 以及HD422 50Mbps 高清格式。</w:t>
            </w:r>
          </w:p>
          <w:p>
            <w:pPr>
              <w:pStyle w:val="49"/>
              <w:keepNext w:val="0"/>
              <w:keepLines w:val="0"/>
              <w:pageBreakBefore w:val="0"/>
              <w:kinsoku/>
              <w:wordWrap/>
              <w:overflowPunct/>
              <w:topLinePunct w:val="0"/>
              <w:bidi w:val="0"/>
              <w:snapToGrid/>
              <w:spacing w:line="430" w:lineRule="exact"/>
              <w:ind w:left="0" w:leftChars="0"/>
              <w:jc w:val="both"/>
              <w:rPr>
                <w:rFonts w:hAnsi="宋体"/>
                <w:color w:val="auto"/>
                <w:kern w:val="2"/>
                <w:sz w:val="21"/>
                <w:szCs w:val="21"/>
              </w:rPr>
            </w:pPr>
            <w:r>
              <w:rPr>
                <w:rFonts w:hint="eastAsia" w:hAnsi="宋体"/>
                <w:color w:val="auto"/>
                <w:kern w:val="2"/>
                <w:sz w:val="21"/>
                <w:szCs w:val="21"/>
              </w:rPr>
              <w:t>9.具备Gen-Lock锁相及时码接口，用于演播室应用。</w:t>
            </w:r>
          </w:p>
          <w:p>
            <w:pPr>
              <w:pStyle w:val="49"/>
              <w:keepNext w:val="0"/>
              <w:keepLines w:val="0"/>
              <w:pageBreakBefore w:val="0"/>
              <w:kinsoku/>
              <w:wordWrap/>
              <w:overflowPunct/>
              <w:topLinePunct w:val="0"/>
              <w:bidi w:val="0"/>
              <w:snapToGrid/>
              <w:spacing w:line="430" w:lineRule="exact"/>
              <w:ind w:left="0" w:leftChars="0"/>
              <w:jc w:val="both"/>
              <w:rPr>
                <w:rFonts w:hAnsi="宋体"/>
                <w:color w:val="auto"/>
                <w:kern w:val="2"/>
                <w:sz w:val="21"/>
                <w:szCs w:val="21"/>
              </w:rPr>
            </w:pPr>
            <w:r>
              <w:rPr>
                <w:rFonts w:hint="eastAsia" w:hAnsi="宋体"/>
                <w:color w:val="auto"/>
                <w:kern w:val="2"/>
                <w:sz w:val="21"/>
                <w:szCs w:val="21"/>
              </w:rPr>
              <w:t>10.支持3840×2160 4K 50fps/60fps，10bit 4:2:2，具有HDR拍摄模式。</w:t>
            </w:r>
          </w:p>
        </w:tc>
      </w:tr>
      <w:tr>
        <w:tblPrEx>
          <w:tblCellMar>
            <w:top w:w="0" w:type="dxa"/>
            <w:left w:w="108" w:type="dxa"/>
            <w:bottom w:w="0" w:type="dxa"/>
            <w:right w:w="108" w:type="dxa"/>
          </w:tblCellMar>
        </w:tblPrEx>
        <w:trPr>
          <w:trHeight w:val="1073" w:hRule="atLeast"/>
          <w:jc w:val="center"/>
        </w:trPr>
        <w:tc>
          <w:tcPr>
            <w:tcW w:w="73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2</w:t>
            </w:r>
          </w:p>
        </w:tc>
        <w:tc>
          <w:tcPr>
            <w:tcW w:w="135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三脚架</w:t>
            </w:r>
          </w:p>
        </w:tc>
        <w:tc>
          <w:tcPr>
            <w:tcW w:w="72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2</w:t>
            </w:r>
          </w:p>
        </w:tc>
        <w:tc>
          <w:tcPr>
            <w:tcW w:w="70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套</w:t>
            </w:r>
          </w:p>
        </w:tc>
        <w:tc>
          <w:tcPr>
            <w:tcW w:w="5945" w:type="dxa"/>
            <w:tcBorders>
              <w:top w:val="single" w:color="000000" w:sz="4" w:space="0"/>
              <w:left w:val="single" w:color="000000" w:sz="4" w:space="0"/>
              <w:bottom w:val="single" w:color="auto"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color w:val="C00000"/>
                <w:kern w:val="0"/>
                <w:szCs w:val="21"/>
              </w:rPr>
            </w:pPr>
            <w:r>
              <w:rPr>
                <w:rFonts w:hint="eastAsia" w:ascii="宋体" w:hAnsi="宋体" w:cs="宋体"/>
                <w:szCs w:val="21"/>
              </w:rPr>
              <w:t>液压云台承重12Kg ，球碗100mm，动态平衡3档，水平及俯仰阻尼各3档（含0档），水平仪，俯仰范围-75°～+90°，平衡托板60mm ，螺丝固定3/8″和1/4″；PRO铝合金三脚架，承重40Kg，升降高度400-1490mm，携带高度780mm；单440mm手柄，地板延伸器或中置延伸器，便携包。</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Style w:val="105"/>
              <w:keepNext w:val="0"/>
              <w:keepLines w:val="0"/>
              <w:pageBreakBefore w:val="0"/>
              <w:kinsoku/>
              <w:wordWrap/>
              <w:overflowPunct/>
              <w:topLinePunct w:val="0"/>
              <w:bidi w:val="0"/>
              <w:snapToGrid/>
              <w:spacing w:line="430" w:lineRule="exact"/>
              <w:ind w:left="0" w:leftChars="0" w:firstLine="230" w:firstLineChars="100"/>
              <w:jc w:val="both"/>
              <w:rPr>
                <w:rFonts w:ascii="宋体" w:hAnsi="宋体" w:cs="宋体"/>
                <w:sz w:val="21"/>
                <w:szCs w:val="21"/>
              </w:rPr>
            </w:pPr>
            <w:r>
              <w:rPr>
                <w:rFonts w:hint="eastAsia" w:ascii="宋体" w:hAnsi="宋体" w:cs="宋体"/>
                <w:sz w:val="21"/>
                <w:szCs w:val="21"/>
              </w:rPr>
              <w:t>3</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szCs w:val="21"/>
              </w:rPr>
            </w:pPr>
            <w:r>
              <w:rPr>
                <w:rFonts w:hint="eastAsia" w:ascii="宋体" w:hAnsi="宋体" w:cs="宋体"/>
                <w:szCs w:val="21"/>
              </w:rPr>
              <w:t>摄像机电池</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块</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摄像机同品牌原装电池，较大/标称电压：16.4 V DC/14.4 V DC</w:t>
            </w:r>
          </w:p>
          <w:p>
            <w:pPr>
              <w:keepNext w:val="0"/>
              <w:keepLines w:val="0"/>
              <w:pageBreakBefore w:val="0"/>
              <w:kinsoku/>
              <w:wordWrap/>
              <w:overflowPunct/>
              <w:topLinePunct w:val="0"/>
              <w:bidi w:val="0"/>
              <w:snapToGrid/>
              <w:spacing w:line="430" w:lineRule="exact"/>
              <w:ind w:left="0" w:leftChars="0"/>
              <w:jc w:val="both"/>
              <w:rPr>
                <w:rFonts w:ascii="宋体" w:hAnsi="宋体" w:cs="宋体"/>
                <w:b/>
                <w:bCs/>
                <w:kern w:val="0"/>
                <w:szCs w:val="21"/>
              </w:rPr>
            </w:pPr>
            <w:r>
              <w:rPr>
                <w:rFonts w:hint="eastAsia" w:ascii="宋体" w:hAnsi="宋体" w:cs="宋体"/>
                <w:szCs w:val="21"/>
              </w:rPr>
              <w:t>容量：72 Wh</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Style w:val="105"/>
              <w:keepNext w:val="0"/>
              <w:keepLines w:val="0"/>
              <w:pageBreakBefore w:val="0"/>
              <w:kinsoku/>
              <w:wordWrap/>
              <w:overflowPunct/>
              <w:topLinePunct w:val="0"/>
              <w:bidi w:val="0"/>
              <w:snapToGrid/>
              <w:spacing w:line="430" w:lineRule="exact"/>
              <w:ind w:left="0" w:leftChars="0" w:firstLine="230" w:firstLineChars="100"/>
              <w:jc w:val="both"/>
              <w:rPr>
                <w:rFonts w:ascii="宋体" w:hAnsi="宋体" w:cs="宋体"/>
                <w:sz w:val="21"/>
                <w:szCs w:val="21"/>
              </w:rPr>
            </w:pPr>
            <w:r>
              <w:rPr>
                <w:rFonts w:hint="eastAsia" w:ascii="宋体" w:hAnsi="宋体" w:cs="宋体"/>
                <w:sz w:val="21"/>
                <w:szCs w:val="21"/>
              </w:rPr>
              <w:t>4</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szCs w:val="21"/>
              </w:rPr>
            </w:pPr>
            <w:r>
              <w:rPr>
                <w:rFonts w:hint="eastAsia" w:ascii="宋体" w:hAnsi="宋体" w:cs="宋体"/>
                <w:szCs w:val="21"/>
              </w:rPr>
              <w:t>存储卡</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张</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pPr>
            <w:r>
              <w:rPr>
                <w:rFonts w:hint="eastAsia"/>
              </w:rPr>
              <w:t>1.容量：128G。</w:t>
            </w:r>
          </w:p>
          <w:p>
            <w:pPr>
              <w:keepNext w:val="0"/>
              <w:keepLines w:val="0"/>
              <w:pageBreakBefore w:val="0"/>
              <w:kinsoku/>
              <w:wordWrap/>
              <w:overflowPunct/>
              <w:topLinePunct w:val="0"/>
              <w:bidi w:val="0"/>
              <w:snapToGrid/>
              <w:spacing w:line="430" w:lineRule="exact"/>
              <w:ind w:left="0" w:leftChars="0"/>
              <w:jc w:val="both"/>
            </w:pPr>
            <w:r>
              <w:rPr>
                <w:rFonts w:hint="eastAsia"/>
              </w:rPr>
              <w:t>2.接口ExpressCard/34，PCI Express Gen2。</w:t>
            </w:r>
          </w:p>
          <w:p>
            <w:pPr>
              <w:keepNext w:val="0"/>
              <w:keepLines w:val="0"/>
              <w:pageBreakBefore w:val="0"/>
              <w:kinsoku/>
              <w:wordWrap/>
              <w:overflowPunct/>
              <w:topLinePunct w:val="0"/>
              <w:bidi w:val="0"/>
              <w:snapToGrid/>
              <w:spacing w:line="430" w:lineRule="exact"/>
              <w:ind w:left="0" w:leftChars="0"/>
              <w:jc w:val="both"/>
            </w:pPr>
            <w:r>
              <w:rPr>
                <w:rFonts w:hint="eastAsia"/>
              </w:rPr>
              <w:t>3.读取速度：3.5Gbps (=440MB/s)。</w:t>
            </w:r>
          </w:p>
          <w:p>
            <w:pPr>
              <w:keepNext w:val="0"/>
              <w:keepLines w:val="0"/>
              <w:pageBreakBefore w:val="0"/>
              <w:kinsoku/>
              <w:wordWrap/>
              <w:overflowPunct/>
              <w:topLinePunct w:val="0"/>
              <w:bidi w:val="0"/>
              <w:snapToGrid/>
              <w:spacing w:line="430" w:lineRule="exact"/>
              <w:ind w:left="0" w:leftChars="0"/>
              <w:jc w:val="both"/>
            </w:pPr>
            <w:r>
              <w:rPr>
                <w:rFonts w:hint="eastAsia"/>
              </w:rPr>
              <w:t>4.写入速度：1.6Gbps (=200Mb/s)。</w:t>
            </w:r>
          </w:p>
        </w:tc>
      </w:tr>
      <w:tr>
        <w:tblPrEx>
          <w:tblCellMar>
            <w:top w:w="0" w:type="dxa"/>
            <w:left w:w="108" w:type="dxa"/>
            <w:bottom w:w="0" w:type="dxa"/>
            <w:right w:w="108" w:type="dxa"/>
          </w:tblCellMar>
        </w:tblPrEx>
        <w:trPr>
          <w:trHeight w:val="39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Style w:val="105"/>
              <w:keepNext w:val="0"/>
              <w:keepLines w:val="0"/>
              <w:pageBreakBefore w:val="0"/>
              <w:kinsoku/>
              <w:wordWrap/>
              <w:overflowPunct/>
              <w:topLinePunct w:val="0"/>
              <w:bidi w:val="0"/>
              <w:snapToGrid/>
              <w:spacing w:line="430" w:lineRule="exact"/>
              <w:ind w:left="0" w:leftChars="0" w:firstLine="230" w:firstLineChars="100"/>
              <w:jc w:val="both"/>
              <w:rPr>
                <w:rFonts w:ascii="宋体" w:hAnsi="宋体" w:cs="宋体"/>
                <w:sz w:val="21"/>
                <w:szCs w:val="21"/>
              </w:rPr>
            </w:pPr>
            <w:r>
              <w:rPr>
                <w:rFonts w:hint="eastAsia" w:ascii="宋体" w:hAnsi="宋体" w:cs="宋体"/>
                <w:sz w:val="21"/>
                <w:szCs w:val="21"/>
              </w:rPr>
              <w:t>5</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szCs w:val="21"/>
              </w:rPr>
            </w:pPr>
            <w:r>
              <w:rPr>
                <w:rFonts w:hint="eastAsia" w:ascii="宋体" w:hAnsi="宋体" w:cs="宋体"/>
                <w:szCs w:val="21"/>
              </w:rPr>
              <w:t>读卡器</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个</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b/>
                <w:bCs/>
                <w:kern w:val="0"/>
                <w:szCs w:val="21"/>
              </w:rPr>
            </w:pPr>
            <w:r>
              <w:rPr>
                <w:rFonts w:hint="eastAsia" w:ascii="宋体" w:hAnsi="宋体" w:cs="宋体"/>
                <w:szCs w:val="21"/>
              </w:rPr>
              <w:t>SXS专用读卡器，支持USB 3.0 接口。</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Style w:val="105"/>
              <w:keepNext w:val="0"/>
              <w:keepLines w:val="0"/>
              <w:pageBreakBefore w:val="0"/>
              <w:kinsoku/>
              <w:wordWrap/>
              <w:overflowPunct/>
              <w:topLinePunct w:val="0"/>
              <w:bidi w:val="0"/>
              <w:snapToGrid/>
              <w:spacing w:line="430" w:lineRule="exact"/>
              <w:ind w:left="0" w:leftChars="0" w:firstLine="230" w:firstLineChars="100"/>
              <w:jc w:val="both"/>
              <w:rPr>
                <w:rFonts w:ascii="宋体" w:hAnsi="宋体" w:cs="宋体"/>
                <w:sz w:val="21"/>
                <w:szCs w:val="21"/>
              </w:rPr>
            </w:pPr>
            <w:r>
              <w:rPr>
                <w:rFonts w:hint="eastAsia" w:ascii="宋体" w:hAnsi="宋体" w:cs="宋体"/>
                <w:sz w:val="21"/>
                <w:szCs w:val="21"/>
              </w:rPr>
              <w:t>6</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szCs w:val="21"/>
              </w:rPr>
            </w:pPr>
            <w:r>
              <w:rPr>
                <w:rFonts w:hint="eastAsia" w:ascii="宋体" w:hAnsi="宋体" w:cs="宋体"/>
                <w:szCs w:val="21"/>
              </w:rPr>
              <w:t>电池充电器</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个</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b/>
                <w:bCs/>
                <w:kern w:val="0"/>
                <w:szCs w:val="21"/>
              </w:rPr>
            </w:pPr>
            <w:r>
              <w:rPr>
                <w:rFonts w:hint="eastAsia" w:ascii="宋体" w:hAnsi="宋体" w:cs="宋体"/>
                <w:szCs w:val="21"/>
              </w:rPr>
              <w:t>双通道同步电池充电器，适用于 BP-U100/U90/U60/U70/U30 锂电池的交流适配器</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Style w:val="105"/>
              <w:keepNext w:val="0"/>
              <w:keepLines w:val="0"/>
              <w:pageBreakBefore w:val="0"/>
              <w:kinsoku/>
              <w:wordWrap/>
              <w:overflowPunct/>
              <w:topLinePunct w:val="0"/>
              <w:bidi w:val="0"/>
              <w:snapToGrid/>
              <w:spacing w:line="430" w:lineRule="exact"/>
              <w:ind w:left="0" w:leftChars="0" w:firstLine="230" w:firstLineChars="100"/>
              <w:jc w:val="both"/>
              <w:rPr>
                <w:rFonts w:ascii="宋体" w:hAnsi="宋体" w:cs="宋体"/>
                <w:sz w:val="21"/>
                <w:szCs w:val="21"/>
              </w:rPr>
            </w:pPr>
            <w:r>
              <w:rPr>
                <w:rFonts w:hint="eastAsia" w:ascii="宋体" w:hAnsi="宋体" w:cs="宋体"/>
                <w:sz w:val="21"/>
                <w:szCs w:val="21"/>
              </w:rPr>
              <w:t>7</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szCs w:val="21"/>
              </w:rPr>
            </w:pPr>
            <w:r>
              <w:rPr>
                <w:rFonts w:hint="eastAsia" w:ascii="宋体" w:hAnsi="宋体" w:cs="宋体"/>
                <w:szCs w:val="21"/>
              </w:rPr>
              <w:t>采访话筒</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支</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pPr>
            <w:r>
              <w:rPr>
                <w:rFonts w:hint="eastAsia"/>
              </w:rPr>
              <w:t>1.指向特征：单向</w:t>
            </w:r>
          </w:p>
          <w:p>
            <w:pPr>
              <w:keepNext w:val="0"/>
              <w:keepLines w:val="0"/>
              <w:pageBreakBefore w:val="0"/>
              <w:kinsoku/>
              <w:wordWrap/>
              <w:overflowPunct/>
              <w:topLinePunct w:val="0"/>
              <w:bidi w:val="0"/>
              <w:snapToGrid/>
              <w:spacing w:line="430" w:lineRule="exact"/>
              <w:ind w:left="0" w:leftChars="0"/>
              <w:jc w:val="both"/>
            </w:pPr>
            <w:r>
              <w:rPr>
                <w:rFonts w:hint="eastAsia"/>
              </w:rPr>
              <w:t>2.灵敏度:-33±3db</w:t>
            </w:r>
          </w:p>
          <w:p>
            <w:pPr>
              <w:keepNext w:val="0"/>
              <w:keepLines w:val="0"/>
              <w:pageBreakBefore w:val="0"/>
              <w:kinsoku/>
              <w:wordWrap/>
              <w:overflowPunct/>
              <w:topLinePunct w:val="0"/>
              <w:bidi w:val="0"/>
              <w:snapToGrid/>
              <w:spacing w:line="430" w:lineRule="exact"/>
              <w:ind w:left="0" w:leftChars="0"/>
              <w:jc w:val="both"/>
            </w:pPr>
            <w:r>
              <w:rPr>
                <w:rFonts w:hint="eastAsia"/>
              </w:rPr>
              <w:t>3.频率范围:40-20000Hz</w:t>
            </w:r>
          </w:p>
          <w:p>
            <w:pPr>
              <w:keepNext w:val="0"/>
              <w:keepLines w:val="0"/>
              <w:pageBreakBefore w:val="0"/>
              <w:kinsoku/>
              <w:wordWrap/>
              <w:overflowPunct/>
              <w:topLinePunct w:val="0"/>
              <w:bidi w:val="0"/>
              <w:snapToGrid/>
              <w:spacing w:line="430" w:lineRule="exact"/>
              <w:ind w:left="0" w:leftChars="0"/>
              <w:jc w:val="both"/>
            </w:pPr>
            <w:r>
              <w:rPr>
                <w:rFonts w:hint="eastAsia"/>
              </w:rPr>
              <w:t>4.产品声道:单声道</w:t>
            </w:r>
          </w:p>
          <w:p>
            <w:pPr>
              <w:keepNext w:val="0"/>
              <w:keepLines w:val="0"/>
              <w:pageBreakBefore w:val="0"/>
              <w:kinsoku/>
              <w:wordWrap/>
              <w:overflowPunct/>
              <w:topLinePunct w:val="0"/>
              <w:bidi w:val="0"/>
              <w:snapToGrid/>
              <w:spacing w:line="430" w:lineRule="exact"/>
              <w:ind w:left="0" w:leftChars="0"/>
              <w:jc w:val="both"/>
            </w:pPr>
            <w:r>
              <w:rPr>
                <w:rFonts w:hint="eastAsia"/>
              </w:rPr>
              <w:t>5.产品阻抗:60欧姆</w:t>
            </w:r>
          </w:p>
          <w:p>
            <w:pPr>
              <w:keepNext w:val="0"/>
              <w:keepLines w:val="0"/>
              <w:pageBreakBefore w:val="0"/>
              <w:kinsoku/>
              <w:wordWrap/>
              <w:overflowPunct/>
              <w:topLinePunct w:val="0"/>
              <w:bidi w:val="0"/>
              <w:snapToGrid/>
              <w:spacing w:line="430" w:lineRule="exact"/>
              <w:ind w:left="0" w:leftChars="0"/>
              <w:jc w:val="both"/>
            </w:pPr>
            <w:r>
              <w:rPr>
                <w:rFonts w:hint="eastAsia"/>
              </w:rPr>
              <w:t>6.信噪比:76db</w:t>
            </w:r>
          </w:p>
          <w:p>
            <w:pPr>
              <w:keepNext w:val="0"/>
              <w:keepLines w:val="0"/>
              <w:pageBreakBefore w:val="0"/>
              <w:kinsoku/>
              <w:wordWrap/>
              <w:overflowPunct/>
              <w:topLinePunct w:val="0"/>
              <w:bidi w:val="0"/>
              <w:snapToGrid/>
              <w:spacing w:line="430" w:lineRule="exact"/>
              <w:ind w:left="0" w:leftChars="0"/>
              <w:jc w:val="both"/>
            </w:pPr>
          </w:p>
        </w:tc>
      </w:tr>
      <w:tr>
        <w:tblPrEx>
          <w:tblCellMar>
            <w:top w:w="0" w:type="dxa"/>
            <w:left w:w="108" w:type="dxa"/>
            <w:bottom w:w="0" w:type="dxa"/>
            <w:right w:w="108" w:type="dxa"/>
          </w:tblCellMar>
        </w:tblPrEx>
        <w:trPr>
          <w:trHeight w:val="440" w:hRule="atLeast"/>
          <w:jc w:val="center"/>
        </w:trPr>
        <w:tc>
          <w:tcPr>
            <w:tcW w:w="1017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b/>
                <w:bCs/>
                <w:kern w:val="0"/>
                <w:szCs w:val="21"/>
              </w:rPr>
            </w:pPr>
            <w:r>
              <w:rPr>
                <w:rFonts w:hint="eastAsia" w:ascii="宋体" w:hAnsi="宋体" w:cs="宋体"/>
                <w:b/>
                <w:bCs/>
                <w:szCs w:val="21"/>
              </w:rPr>
              <w:t>二、虚拟演播子设备</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szCs w:val="21"/>
              </w:rPr>
            </w:pPr>
            <w:r>
              <w:rPr>
                <w:rFonts w:hint="eastAsia" w:ascii="宋体" w:hAnsi="宋体" w:cs="宋体"/>
                <w:szCs w:val="21"/>
              </w:rPr>
              <w:t>虚拟演播器</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采用无轨跟踪技术；具备4路4K信号（单路12G）或4路数字高/标清信号（HDSDI/SDI），入出可配；具备4K HDR 10bit线性工作流模式；具备1个Ref信号输入通道；支持SDI内嵌音频输入、输出；具备4路本地硬盘素材播放通道、1路PPT素材播放通道、8路网络信号输入通道、8路USB视频信号输入通道、2路NDI信号输入通道、8路窗口抓取通道；支持4K节目录制、流媒体直播输出、多画面监看、音频调节、图文包装、特技切换、云交互、提词器、延时播、变速播等功能；支持语音智能控制、跨平台H5多屏控制等多种控制方式</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硬件配置：</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1.CPU：双颗12核心，24线程，基础频率不低于2.2GHz，最高频率不低于3.2GHz</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2.显卡：显存不低于12GB DDR6</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3.内存：不低于16GB DDR5</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4.系统盘：不低于512G M.2接口SSD固态硬盘（NVME协议）</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5.数据盘：不低于4TB 3.5" SATA3企业级硬盘</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6.机箱：视音频服务器（570x430x176mm）</w:t>
            </w:r>
          </w:p>
          <w:p>
            <w:pPr>
              <w:keepNext w:val="0"/>
              <w:keepLines w:val="0"/>
              <w:pageBreakBefore w:val="0"/>
              <w:kinsoku/>
              <w:wordWrap/>
              <w:overflowPunct/>
              <w:topLinePunct w:val="0"/>
              <w:bidi w:val="0"/>
              <w:snapToGrid/>
              <w:spacing w:line="430" w:lineRule="exact"/>
              <w:ind w:left="0" w:leftChars="0"/>
              <w:jc w:val="both"/>
              <w:rPr>
                <w:rFonts w:ascii="宋体" w:hAnsi="宋体" w:cs="宋体"/>
                <w:b/>
                <w:bCs/>
                <w:kern w:val="0"/>
                <w:szCs w:val="21"/>
              </w:rPr>
            </w:pPr>
            <w:r>
              <w:rPr>
                <w:rFonts w:hint="eastAsia" w:ascii="宋体" w:hAnsi="宋体" w:cs="宋体"/>
                <w:szCs w:val="21"/>
              </w:rPr>
              <w:t>7.接口卡： 广播级4K接口卡，需提供4K/HD/SD 12G-SDI接口4路（入出可配）；专业声卡具备2路TRS模拟线路输入，2路TRS模拟线路输出，支持1路48V幻象供电</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szCs w:val="21"/>
              </w:rPr>
            </w:pPr>
            <w:r>
              <w:rPr>
                <w:rFonts w:hint="eastAsia" w:ascii="宋体" w:hAnsi="宋体" w:cs="宋体"/>
                <w:szCs w:val="21"/>
              </w:rPr>
              <w:t>虚拟演播室设备软件</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套</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1.实现真实的三维空间还原；</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2.系统至少支持4路SDI信号、12路拉流，提供操作截图；</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3.支持多种抠像模式（软件抠像、板卡抠像和外置色键器抠像三种模式选择）；</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4.支持真实的地面反射效果，能将摄像机画面及虚拟大屏中播放的实时内容，真实反射到地面及周围物体上；</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5.支持阴影位置实时调整；</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6.应实现真实的光线追踪效果，从而反应出真实的色彩反射，；</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7.实现主持人在虚拟空间中，与虚拟物件的光影效果，阴影可以根据光影变化而变化（抬脚、伸手，阴影拉长）；</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8.应支持背景虚化功能，从而实现大光圈的效果；</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9.系统应支持自带内录功能，并在录制完成后，无需借助第三方软件便可进行实时回显观看；</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10.支持将手机画面以信号的方式输入到虚拟软件中，并可以配合虚拟场景同步进行推拉摇移；</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11.支持桌面投屏功能；</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12.要求系统三角面片数应支持1亿面，纹理贴图容量达8G；</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13.支持本地视频文件打点播出；</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14.支持多个虚拟大屏，并支持在播出过程中对内容进行实时替换；</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15.支持在播出过程中实时调节PGM输出的音频大小；</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16.支持对虚拟背景、虚拟前景、DDR、PPT、图文、字幕建立播出单，并支持在播出的过程中同时还可以导入场景，而不影响播出功能，提供界面操作截图；</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17.系统应具备区域抠像保护功能，即当主持人身上有与绿箱或蓝箱背景一致的颜色时，可以将主持人身上的颜色单独提取出来，不被抠掉；</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18.系统应具备对主持人面部进行面部提亮功能；</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19.系统应满足多个虚拟机位的一键式导播切换效果，且摄像机运动过程的时长可以由用户通过系统自定义和修改；</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20.系统应可实现将一台摄像机的信号分配给多个机位使用，实现多台摄像机的效果，并可以在这两个机位间实现自由特技切换，实现多主持人效果，并可自定义摄像机信号绑定到哪个虚拟机位中；</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21.支持摇臂曲线灯光，且光源点数无限制；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22.支持流媒体信号的接入，并对流媒体信号及本地视频文件做抠像处理，提供操作截图；</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23.系统应兼容高清和标清，支持1080P码流本地录制输出，并能调整其合成与输出分辨率和帧率，输出的文件为常见高标清视频格式。如MP4、H.264、AVI、FLV、WMV、M4V、CAMV、MOV、RM、GIF动画等。</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24.支持实时流媒体发布功能，系统合成视频可直接输入流媒体服务器或视频会议系统或即时通讯工具做课堂直播，实现网络直播；</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25.软件支持翻页笔功能，让主持人可以独立完成节目流程的制作，无需技术人员配合；</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26.支持将图文、DDR独立分离出来，将其放置到另外一台笔记本上进行独立控制播出；</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27.要求系统场景模型中的纹理可随意更换内容，并在播出端展现出来；</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28.要求支持将场景中的纹理通过简单的操作，使物件纹理运动起来，从而实现一个动态纹理的效果，无需重新再用第三方三维软件制作的动画文件作为贴图；</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29.要求提供300套虚拟场景库，场景可做微调且无版权问题；</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30.要求支持模拟演播室开始或结束时，真实的灯光明暗变化效果播出；</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31.要求支持灯光和正反向控制；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32.系统应能够导入3Dmax的fbx、obj、X、3DS等工程和三维图形文件，并且可以编单播出；</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33.系统应支持下游键功能，可实现多层图文字幕的叠加，且多层字幕所在层号可自由分配，实现多层字幕自定义遮挡关系；</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34.系统应提供快速场景编辑软件模块，可修改3DMax和Unreal软件制作的三维场景，包括改变物件纹理、光效、空间位置、大小、朝向等属性，添加或删除三维物件，无需等街渲染，即可实时生成新的场景；</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35.支持场景实时动态变焦的效果，即随着镜头推近，景深变浅背景变虚，而拉远时景深变深背景逐渐变实；</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36.支持直接操控界面，有真实的阴影及投影反射效果，且不论是投影还是阴影，在操控界面进行摄像机画面调整时，都可以实时显示阴影效果，且可以和场影中的虚拟模型有真实的折射关系，而不是简单的地面反射；</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37.虚拟软件应支持通过推拽节点的方式，轻松实现多表单的联动播出；</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38.虚拟软件应支持虚幻场景和传统3DMax场景的混合编辑及建立播出单。</w:t>
            </w:r>
          </w:p>
          <w:p>
            <w:pPr>
              <w:keepNext w:val="0"/>
              <w:keepLines w:val="0"/>
              <w:pageBreakBefore w:val="0"/>
              <w:kinsoku/>
              <w:wordWrap/>
              <w:overflowPunct/>
              <w:topLinePunct w:val="0"/>
              <w:bidi w:val="0"/>
              <w:snapToGrid/>
              <w:spacing w:line="430" w:lineRule="exact"/>
              <w:ind w:left="0" w:leftChars="0"/>
              <w:jc w:val="both"/>
              <w:rPr>
                <w:rFonts w:ascii="宋体" w:hAnsi="宋体" w:cs="宋体"/>
                <w:color w:val="auto"/>
                <w:szCs w:val="21"/>
                <w:highlight w:val="none"/>
              </w:rPr>
            </w:pPr>
            <w:r>
              <w:rPr>
                <w:rFonts w:hint="eastAsia" w:ascii="宋体" w:hAnsi="宋体" w:cs="宋体"/>
                <w:color w:val="auto"/>
                <w:szCs w:val="21"/>
                <w:highlight w:val="none"/>
              </w:rPr>
              <w:t>39.1★具有短视频截取及多平台发布功能（供应商须在响应文件中提供配置功能证明材料，包含但不限于国家认可且具备资质的第三方检测机构出具的检测报告复印件或产品官网功能截图等，并加盖竞标人公章)。</w:t>
            </w:r>
          </w:p>
          <w:p>
            <w:pPr>
              <w:keepNext w:val="0"/>
              <w:keepLines w:val="0"/>
              <w:pageBreakBefore w:val="0"/>
              <w:kinsoku/>
              <w:wordWrap/>
              <w:overflowPunct/>
              <w:topLinePunct w:val="0"/>
              <w:bidi w:val="0"/>
              <w:snapToGrid/>
              <w:spacing w:line="430" w:lineRule="exact"/>
              <w:ind w:left="0" w:leftChars="0"/>
              <w:jc w:val="both"/>
              <w:rPr>
                <w:rFonts w:ascii="宋体" w:hAnsi="宋体" w:cs="宋体"/>
                <w:color w:val="auto"/>
                <w:szCs w:val="21"/>
                <w:highlight w:val="none"/>
              </w:rPr>
            </w:pPr>
            <w:r>
              <w:rPr>
                <w:rFonts w:hint="eastAsia" w:ascii="宋体" w:hAnsi="宋体" w:cs="宋体"/>
                <w:color w:val="auto"/>
                <w:szCs w:val="21"/>
                <w:highlight w:val="none"/>
              </w:rPr>
              <w:t>39.2直播时选择“拆条发布”以及拆条时长5秒、10秒、15秒，可往前截取相应时长内容自动生成视频文件，并自动加载到发布列表中对列表中每条视频可以打点处理，列表中素材可实现顺序播放、循环播放、断点播放等模式，并可改变每条素材的播放速度，30%-200%任意调整。发布列表中的视频可同时发布到不同自媒体平台，例如抖音、快手、BILIBILI等</w:t>
            </w:r>
          </w:p>
          <w:p>
            <w:pPr>
              <w:keepNext w:val="0"/>
              <w:keepLines w:val="0"/>
              <w:pageBreakBefore w:val="0"/>
              <w:kinsoku/>
              <w:wordWrap/>
              <w:overflowPunct/>
              <w:topLinePunct w:val="0"/>
              <w:bidi w:val="0"/>
              <w:snapToGrid/>
              <w:spacing w:line="430" w:lineRule="exact"/>
              <w:ind w:left="0" w:leftChars="0"/>
              <w:jc w:val="both"/>
              <w:rPr>
                <w:rFonts w:ascii="宋体" w:hAnsi="宋体" w:cs="宋体"/>
                <w:color w:val="auto"/>
                <w:szCs w:val="21"/>
                <w:highlight w:val="none"/>
              </w:rPr>
            </w:pPr>
            <w:r>
              <w:rPr>
                <w:rFonts w:hint="eastAsia" w:ascii="宋体" w:hAnsi="宋体" w:cs="宋体"/>
                <w:color w:val="auto"/>
                <w:szCs w:val="21"/>
                <w:highlight w:val="none"/>
              </w:rPr>
              <w:t>发布列表中可显示发布平台、发布状态、任务状态等内容，发布状态包括正在发布、已发布，任务状态包括正常、异常</w:t>
            </w:r>
          </w:p>
          <w:p>
            <w:pPr>
              <w:keepNext w:val="0"/>
              <w:keepLines w:val="0"/>
              <w:pageBreakBefore w:val="0"/>
              <w:kinsoku/>
              <w:wordWrap/>
              <w:overflowPunct/>
              <w:topLinePunct w:val="0"/>
              <w:bidi w:val="0"/>
              <w:snapToGrid/>
              <w:spacing w:line="430" w:lineRule="exact"/>
              <w:ind w:left="0" w:leftChars="0"/>
              <w:jc w:val="both"/>
              <w:rPr>
                <w:rFonts w:ascii="宋体" w:hAnsi="宋体" w:cs="宋体"/>
                <w:color w:val="auto"/>
                <w:szCs w:val="21"/>
                <w:highlight w:val="none"/>
              </w:rPr>
            </w:pPr>
            <w:r>
              <w:rPr>
                <w:rFonts w:hint="eastAsia" w:ascii="宋体" w:hAnsi="宋体" w:cs="宋体"/>
                <w:color w:val="auto"/>
                <w:szCs w:val="21"/>
                <w:highlight w:val="none"/>
              </w:rPr>
              <w:t>无需浏览器，在软件中的“授权”界面即可添加各个平台的授权账号，添加账号数量不限</w:t>
            </w:r>
          </w:p>
          <w:p>
            <w:pPr>
              <w:keepNext w:val="0"/>
              <w:keepLines w:val="0"/>
              <w:pageBreakBefore w:val="0"/>
              <w:kinsoku/>
              <w:wordWrap/>
              <w:overflowPunct/>
              <w:topLinePunct w:val="0"/>
              <w:bidi w:val="0"/>
              <w:snapToGrid/>
              <w:spacing w:line="430" w:lineRule="exact"/>
              <w:ind w:left="0" w:leftChars="0"/>
              <w:jc w:val="both"/>
              <w:rPr>
                <w:rFonts w:ascii="宋体" w:hAnsi="宋体" w:cs="宋体"/>
                <w:color w:val="auto"/>
                <w:szCs w:val="21"/>
                <w:highlight w:val="none"/>
              </w:rPr>
            </w:pPr>
            <w:r>
              <w:rPr>
                <w:rFonts w:hint="eastAsia" w:ascii="宋体" w:hAnsi="宋体" w:cs="宋体"/>
                <w:color w:val="auto"/>
                <w:szCs w:val="21"/>
                <w:highlight w:val="none"/>
              </w:rPr>
              <w:t>在软件中“综合”界面可以显示已发布视频在抖音、快手、哔哩哔哩等多个主流媒体平台上的多种数据，如发布量、播放量、点赞数、转发量、评论数等，并采用饼状图、曲线、数据等方式呈现。</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40.1提供AI语音远程控制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40.2无需手动操作，通过语音实时发出指令，操作虚拟软件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通过语音发送指令，实时开启系统中的各种软件功能</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通过语音实时切换信号源、虚拟机位、传感机位、虚拟摇臂等</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 xml:space="preserve">通过语音实现开始录制、停止录制、开始推流、停止推流、延时播、停止延时播、PPT翻页、抠像、抓帧等功能 </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41.1 支持本地绘画功能</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41.2具体功能如下：</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a) 需借助其他设备，通过操作鼠标即可在合成输出画面进行实时绘画、标注、批注等</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b) 提供画笔的颜色可选,提供不少于12种画笔颜色选择</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c) 画笔功能绘画的内容，可通过本地录制功能录制到最终合成画面</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d) 提供绘画撤销、恢复及一键擦除功能，实现对标注内容的编辑</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42.1 ★ 支持手机的远程控制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42.2具体功能如下：</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a) 提供远程控制二维码，使用手机扫码可进入H5远程控制界面</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b) 远程控制界面包括控制台、播单、大播单、Tally、信号等多个模块</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c) 控制台模块可实现信号导切、虚拟机位导切、PPT翻页、提词器翻页、摇臂、录制、推流等，同时按键状态、亮灯颜色与虚拟软件主界面一致</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d) 播单模块既可以控制视频列表的逐条播出，也可控制列表中场景、图文模板的播放、停止，远程播单与虚拟软件中对应条目状态一致</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e) 大播单模块可控制播单逐条播放、触发播放，远程播单与虚拟软件中对应条目状态一致</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f) 切换摄像机信号时，手机端远程控制界面中的Tally状态灯实时变化，PGM输出信号亮红灯，PVW预监信号亮绿灯，手机可作为Tally灯使用</w:t>
            </w:r>
          </w:p>
          <w:p>
            <w:pPr>
              <w:keepNext w:val="0"/>
              <w:keepLines w:val="0"/>
              <w:pageBreakBefore w:val="0"/>
              <w:kinsoku/>
              <w:wordWrap/>
              <w:overflowPunct/>
              <w:topLinePunct w:val="0"/>
              <w:bidi w:val="0"/>
              <w:snapToGrid/>
              <w:spacing w:line="430" w:lineRule="exact"/>
              <w:ind w:left="0" w:leftChars="0"/>
              <w:jc w:val="both"/>
              <w:rPr>
                <w:rFonts w:ascii="宋体" w:hAnsi="宋体" w:cs="宋体"/>
                <w:b/>
                <w:bCs/>
                <w:kern w:val="0"/>
                <w:szCs w:val="21"/>
              </w:rPr>
            </w:pPr>
            <w:r>
              <w:rPr>
                <w:rFonts w:hint="eastAsia" w:ascii="宋体" w:hAnsi="宋体" w:cs="宋体"/>
                <w:szCs w:val="21"/>
              </w:rPr>
              <w:t>g) 手机端远程控制界面的信号模块可手动输入或拷贝流信号地址、推流地址，可设置分辨率、码率、推流通道等，“确定”后这些参数与虚拟软件同步更新</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显示器</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23.8英寸商用显示器 三面窄边框 防眩光 低蓝光HDMI VGA接口 IPS全高清</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lang w:bidi="ar"/>
              </w:rPr>
              <w:t>★</w:t>
            </w:r>
            <w:r>
              <w:rPr>
                <w:rFonts w:hint="eastAsia" w:ascii="宋体" w:hAnsi="宋体" w:cs="宋体"/>
                <w:b/>
                <w:sz w:val="21"/>
                <w:szCs w:val="21"/>
                <w:lang w:bidi="ar"/>
              </w:rPr>
              <w:t>响应文件中必须提供该产品由国家确定的认证机构出具的处于有效期之内的节能产品认证并加盖供应商公章，否则视为无效响应文件。</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szCs w:val="21"/>
              </w:rPr>
            </w:pPr>
            <w:r>
              <w:rPr>
                <w:rFonts w:hint="eastAsia" w:ascii="宋体" w:hAnsi="宋体" w:cs="宋体"/>
                <w:szCs w:val="21"/>
              </w:rPr>
              <w:t>外置控制面板</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1.新一代外置切换台，可实现各虚拟机位之间的特技切换、摇臂效果，同时具有调音及录制控制功能并可控制电控摄像头。</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2.面板尺寸约为：长410mm，宽170mm，高60mm</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3.配备18mmX18mm正方圆角按钮孔位28个；</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4.配备12mmX12mm正方圆角按钮孔位30个；</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5.按钮能够显示白、红、黄、蓝、绿五种基本颜色；</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6.配备9mm直径，旋钮10个，支持垂直向下按击功能；</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7.配备T型杆组件1个，包含两个顶端电位显示灯，T型杆移动至顶端或底端时不会有撞击感；</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8.支持USB模拟串口控制；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9.USB接口带有锁止结构，不易脱落；</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10.配有COM口用于控制；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11.配有RJ45接口用于控制或固件升级；</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12.支持固件升级；</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13.两侧固定孔，支持标准机架式安装固定；</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14.连续点按多个按钮，控制台反应迅速，无延迟；</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15.允许多个旋钮同时调整，无冲突；</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16.T型杆在操作过程中，可以操作旋钮和按钮，无冲突；</w:t>
            </w:r>
          </w:p>
          <w:p>
            <w:pPr>
              <w:keepNext w:val="0"/>
              <w:keepLines w:val="0"/>
              <w:pageBreakBefore w:val="0"/>
              <w:kinsoku/>
              <w:wordWrap/>
              <w:overflowPunct/>
              <w:topLinePunct w:val="0"/>
              <w:bidi w:val="0"/>
              <w:snapToGrid/>
              <w:spacing w:line="430" w:lineRule="exact"/>
              <w:ind w:left="0" w:leftChars="0"/>
              <w:jc w:val="both"/>
              <w:rPr>
                <w:rFonts w:ascii="宋体" w:hAnsi="宋体" w:cs="宋体"/>
                <w:b/>
                <w:bCs/>
                <w:kern w:val="0"/>
                <w:szCs w:val="21"/>
              </w:rPr>
            </w:pPr>
            <w:r>
              <w:rPr>
                <w:rFonts w:hint="eastAsia" w:ascii="宋体" w:hAnsi="宋体" w:cs="宋体"/>
                <w:szCs w:val="21"/>
              </w:rPr>
              <w:t>17.支持64位操作系统；</w:t>
            </w:r>
          </w:p>
        </w:tc>
      </w:tr>
      <w:tr>
        <w:tblPrEx>
          <w:tblCellMar>
            <w:top w:w="0" w:type="dxa"/>
            <w:left w:w="108" w:type="dxa"/>
            <w:bottom w:w="0" w:type="dxa"/>
            <w:right w:w="108" w:type="dxa"/>
          </w:tblCellMar>
        </w:tblPrEx>
        <w:trPr>
          <w:trHeight w:val="440" w:hRule="atLeast"/>
          <w:jc w:val="center"/>
        </w:trPr>
        <w:tc>
          <w:tcPr>
            <w:tcW w:w="1017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b/>
                <w:bCs/>
                <w:kern w:val="0"/>
                <w:szCs w:val="21"/>
              </w:rPr>
            </w:pPr>
            <w:r>
              <w:rPr>
                <w:rFonts w:hint="eastAsia" w:ascii="宋体" w:hAnsi="宋体" w:cs="宋体"/>
                <w:b/>
                <w:bCs/>
                <w:szCs w:val="21"/>
              </w:rPr>
              <w:t>三、音频及通话子设备</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szCs w:val="21"/>
              </w:rPr>
            </w:pPr>
            <w:r>
              <w:rPr>
                <w:rFonts w:hint="eastAsia" w:ascii="宋体" w:hAnsi="宋体" w:cs="宋体"/>
                <w:szCs w:val="21"/>
              </w:rPr>
              <w:t>调音台</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10个话筒 / 16个线路输入 (8个单声道 + 4个立体声)</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4编组母线 + 1立体声母线</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 AUX (包括FX)</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“D-PRE”话放，带有倒向晶体管电路。</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单旋钮压缩器</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单声道输入通道上的PAD开关</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+48V幻象供电</w:t>
            </w:r>
          </w:p>
          <w:p>
            <w:pPr>
              <w:keepNext w:val="0"/>
              <w:keepLines w:val="0"/>
              <w:pageBreakBefore w:val="0"/>
              <w:kinsoku/>
              <w:wordWrap/>
              <w:overflowPunct/>
              <w:topLinePunct w:val="0"/>
              <w:bidi w:val="0"/>
              <w:snapToGrid/>
              <w:spacing w:line="430" w:lineRule="exact"/>
              <w:ind w:left="0" w:leftChars="0"/>
              <w:jc w:val="both"/>
              <w:rPr>
                <w:rFonts w:ascii="宋体" w:hAnsi="宋体" w:cs="宋体"/>
                <w:b/>
                <w:bCs/>
                <w:kern w:val="0"/>
                <w:szCs w:val="21"/>
              </w:rPr>
            </w:pPr>
            <w:r>
              <w:rPr>
                <w:rFonts w:hint="eastAsia" w:ascii="宋体" w:hAnsi="宋体" w:cs="宋体"/>
                <w:szCs w:val="21"/>
              </w:rPr>
              <w:t>XLR平衡输出</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szCs w:val="21"/>
              </w:rPr>
            </w:pPr>
            <w:r>
              <w:rPr>
                <w:rFonts w:hint="eastAsia" w:ascii="宋体" w:hAnsi="宋体" w:cs="宋体"/>
                <w:szCs w:val="21"/>
              </w:rPr>
              <w:t>主播话筒</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支</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播音、会议话筒主要技术指标：</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频率范围：40—16000Hz</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灵敏度：-38dB±3dB（1dB=1V/Pa at 1kHz）</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指向性：超心形</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拾音角度：120º</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最大声压级：130dB</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阻抗：200Ω</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工作电压：48V</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信噪比：≥72dB</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该话筒外观新颖、音质优异、清晰度高，不容易引起声反馈。</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精巧的设计不影响画面，且不会阻碍讲话者与观众的视线。</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适用于新闻广播、高品质会谈。</w:t>
            </w:r>
          </w:p>
          <w:p>
            <w:pPr>
              <w:keepNext w:val="0"/>
              <w:keepLines w:val="0"/>
              <w:pageBreakBefore w:val="0"/>
              <w:kinsoku/>
              <w:wordWrap/>
              <w:overflowPunct/>
              <w:topLinePunct w:val="0"/>
              <w:bidi w:val="0"/>
              <w:snapToGrid/>
              <w:spacing w:line="430" w:lineRule="exact"/>
              <w:ind w:left="0" w:leftChars="0"/>
              <w:jc w:val="both"/>
              <w:rPr>
                <w:rFonts w:ascii="宋体" w:hAnsi="宋体" w:cs="宋体"/>
                <w:b/>
                <w:bCs/>
                <w:kern w:val="0"/>
                <w:szCs w:val="21"/>
              </w:rPr>
            </w:pPr>
            <w:r>
              <w:rPr>
                <w:rFonts w:hint="eastAsia" w:ascii="宋体" w:hAnsi="宋体" w:cs="宋体"/>
                <w:szCs w:val="21"/>
              </w:rPr>
              <w:t>使用方法及注意事项：使用时将话筒连接好，并将话筒的拾音角度调节到适当位置。讲话时与话筒距离应尽量保持在10厘米以上，以保证话筒的正常使用。</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无线领夹话筒</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套</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包括：ATW-R2100b 接收机、ATW-T210a盒式发生器，838CW无线领夹及配件等。</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无线话筒参数:</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射频输出功率：高输出 30mW , 低输出 10mW (于50Ω, 可切换)；输入接口：4针带锁接头</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电池：1.5V AA5号碱性电池×2 (不包含)；电池耗电/寿命：高输出7小时，低输出 9小时(视乎电池种类)；尺寸：233.0mm×48.0mm (长度×直径)；重量：252克；</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无线接收机参数：</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接收系统：两组独立调谐器，分集式自动选择；镜频抑制：60 dB正常、55 dB最小；灵敏度：20 dBμV 于信噪比 60dB(50Ω 终端)；最大输出电平：平衡: +9 dBV (XLRM 卡农公座)；平衡: +4 dBV (6.3mm 插座)； 输入衰减：0/-12 dB 两段选择；天线输入：BNC型, 50Ω；每端子偏压电压：12V直流, 60mA ；供电：直流12-18V,500mA, 提供电源适配器；尺寸 210.0mm× 44.0mm×162.2mm (宽×高×长)；重量：1.0 kg；标配:两根鞭状天线，机架套件，电源适配器。</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监听耳机</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支</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监听耳机</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监听音箱</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支</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专业播音监听音箱，清晰低噪，实时反映播音现况</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无线通话设备</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套</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广播级无线通话设备，采用低功耗低辐射GFSK模式420MHZ～440MHZ频带，通话主机与子机基于定频加密处理技术，可满足同一个活动现场多套通话同时使用不串频。通话主机采用1托8设计，标配1托4，用户可根据需要选择一对一、一对多或多对多的通话方式，支持8路，16路，24路或跟多路全双工级联通话模式，让导播快速的传达信息至摄像师，应对复杂多变的导播活动。</w:t>
            </w:r>
          </w:p>
        </w:tc>
      </w:tr>
      <w:tr>
        <w:tblPrEx>
          <w:tblCellMar>
            <w:top w:w="0" w:type="dxa"/>
            <w:left w:w="108" w:type="dxa"/>
            <w:bottom w:w="0" w:type="dxa"/>
            <w:right w:w="108" w:type="dxa"/>
          </w:tblCellMar>
        </w:tblPrEx>
        <w:trPr>
          <w:trHeight w:val="440" w:hRule="atLeast"/>
          <w:jc w:val="center"/>
        </w:trPr>
        <w:tc>
          <w:tcPr>
            <w:tcW w:w="1017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b/>
                <w:bCs/>
                <w:szCs w:val="21"/>
              </w:rPr>
              <w:t>四、监看子设备</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监看电视</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hint="eastAsia" w:ascii="宋体" w:hAnsi="宋体" w:cs="宋体"/>
                <w:szCs w:val="21"/>
              </w:rPr>
            </w:pPr>
            <w:r>
              <w:rPr>
                <w:rFonts w:hint="eastAsia" w:ascii="宋体" w:hAnsi="宋体" w:cs="宋体"/>
                <w:szCs w:val="21"/>
                <w:lang w:val="en-US" w:eastAsia="zh-CN"/>
              </w:rPr>
              <w:t>55寸</w:t>
            </w:r>
            <w:r>
              <w:rPr>
                <w:rFonts w:hint="eastAsia" w:ascii="宋体" w:hAnsi="宋体" w:cs="宋体"/>
                <w:szCs w:val="21"/>
              </w:rPr>
              <w:t>4K液晶电视机，用于导播间监看。含壁挂支架。</w:t>
            </w:r>
          </w:p>
          <w:p>
            <w:pPr>
              <w:keepNext w:val="0"/>
              <w:keepLines w:val="0"/>
              <w:pageBreakBefore w:val="0"/>
              <w:kinsoku/>
              <w:wordWrap/>
              <w:overflowPunct/>
              <w:topLinePunct w:val="0"/>
              <w:bidi w:val="0"/>
              <w:snapToGrid/>
              <w:spacing w:line="430" w:lineRule="exact"/>
              <w:ind w:left="0" w:leftChars="0"/>
              <w:jc w:val="both"/>
              <w:rPr>
                <w:rFonts w:hint="eastAsia" w:ascii="宋体" w:hAnsi="宋体" w:cs="宋体"/>
                <w:szCs w:val="21"/>
              </w:rPr>
            </w:pPr>
            <w:r>
              <w:rPr>
                <w:rFonts w:hint="eastAsia" w:ascii="宋体" w:hAnsi="宋体" w:cs="宋体"/>
                <w:szCs w:val="21"/>
              </w:rPr>
              <w:t>★响应文件中必须提供该产品由国家确定的认证机构出具的处于有效期之内的节能产品认证并加盖供应商公章，否则视为无效响应文件。</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返看电视</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hint="eastAsia"/>
              </w:rPr>
            </w:pPr>
            <w:r>
              <w:rPr>
                <w:rFonts w:hint="eastAsia"/>
              </w:rPr>
              <w:t>专业55寸4K液晶电视机，用于演播室返看。</w:t>
            </w:r>
          </w:p>
          <w:p>
            <w:pPr>
              <w:keepNext w:val="0"/>
              <w:keepLines w:val="0"/>
              <w:pageBreakBefore w:val="0"/>
              <w:kinsoku/>
              <w:wordWrap/>
              <w:overflowPunct/>
              <w:topLinePunct w:val="0"/>
              <w:bidi w:val="0"/>
              <w:snapToGrid/>
              <w:spacing w:line="430" w:lineRule="exact"/>
              <w:ind w:left="0" w:leftChars="0"/>
              <w:jc w:val="both"/>
              <w:rPr>
                <w:rFonts w:hint="eastAsia" w:ascii="宋体" w:hAnsi="宋体" w:cs="宋体"/>
                <w:szCs w:val="21"/>
              </w:rPr>
            </w:pPr>
            <w:r>
              <w:rPr>
                <w:rFonts w:hint="eastAsia"/>
              </w:rPr>
              <w:t>★响应文件中必须提供该产品由国家确定的认证机构出具的处于有效期之内的节能产品认证并加盖供应商公章，否则视为无效响应文件。</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落地支架</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专业55寸液晶电视落地支架</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SDI转换器</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套</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1路3G/HD/SD-SDI输入及1组模拟立体声输入；1路输入环出、1路HDMI转换输出及1组立体声输出；HDMI输出支持变频和分辨率转换；支持外接音频加解嵌处理。</w:t>
            </w:r>
          </w:p>
        </w:tc>
      </w:tr>
      <w:tr>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广播级监视器</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 xml:space="preserve">屏幕尺寸: 17〞  屏显比例: 16:9  分辨率: 1366×768 色深: 16.7M </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视角: 178°H×178°V亮度:350cd/㎡  对比度: 900:1 ；</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 xml:space="preserve"> 2路3G/HD/SD-SDI输入, 2路SDI环出, 支持SMPTE425-AB 4:4:4 12bit及2K信号；</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1路HDMI输入，1路DVI输入兼容HDMI/VGA信号, 1路复合输入带环出, 1路YUV输入带环出；</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SDI和HDMI信号都支持波形图、矢量图、直方图同时显示；</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 xml:space="preserve"> 暗部细节查看功能（Black stretch）；左右声道选择；</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 xml:space="preserve">支持SDI信号16路嵌入音频表水平/垂直两种显示方式，支持音频相位功能； </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支持HDMI信号2路嵌入音频表水平/垂直两种显示方式；</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内置3D LUT色彩校正信号发生器, 支持自动色彩校正功能；</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 xml:space="preserve">双画面PBP/PIP显示, 极速交换功能, PIP子窗口画幅大小、任意位置可调； </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支持像素点测量功能，信号报警功能(无信号、黑场、静帧、无音频）；</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支持任意位置局部放大, 水平镜像功能，支持伪彩色、辅助聚焦、斑马线；</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支持静态和动态UMD功能(支持TSL3.1/4.0协议)；</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支持Tally、TC码、快速模式功能；支持按键锁定功能；</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支持全蓝/黑白模式, Over scan，Aspect Ratio，Safe &amp; Area Marker，H/V Delay；</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RS422输入带输出； 以太网/GPI控制接口；</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双电源输入：DC直流电源和内置220V交流电源、电源状态断电记忆功能；内置扬声器，TALLY指示灯；</w:t>
            </w:r>
          </w:p>
        </w:tc>
      </w:tr>
      <w:tr>
        <w:tblPrEx>
          <w:tblCellMar>
            <w:top w:w="0" w:type="dxa"/>
            <w:left w:w="108" w:type="dxa"/>
            <w:bottom w:w="0" w:type="dxa"/>
            <w:right w:w="108" w:type="dxa"/>
          </w:tblCellMar>
        </w:tblPrEx>
        <w:trPr>
          <w:trHeight w:val="440" w:hRule="atLeast"/>
          <w:jc w:val="center"/>
        </w:trPr>
        <w:tc>
          <w:tcPr>
            <w:tcW w:w="1017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b/>
                <w:bCs/>
                <w:szCs w:val="21"/>
              </w:rPr>
              <w:t>五、时钟子设备</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非编工作站</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系统要求：采用原厂工业级主机，全中文操作界面，可实现超高清视音频剪辑制作、特效制作、字幕制作、音频处理、专业调色及环绕声输出等后期制作完整流程。系统支持4K HDR制作，具备智能颜色管理，广泛支持JPEG-XS*、XAVC、AVC-Ultra、AVC-LongG、H.264 、H.265、ProRes、DNxHR等4K超高清编解码格式；基于SQL Server/MYSQL底层网络数据库资源管理系统，保证非编实现采、编、制、存、管整套的节目网络化协同制作流程。</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配置要求：AMD R7 5700G/4G显存显卡/16GB/2T SSD M.2接口硬盘</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融媒非编软件</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hint="eastAsia" w:ascii="宋体" w:hAnsi="宋体" w:cs="宋体"/>
                <w:szCs w:val="21"/>
              </w:rPr>
            </w:pPr>
            <w:r>
              <w:rPr>
                <w:rFonts w:hint="eastAsia" w:ascii="宋体" w:hAnsi="宋体" w:cs="宋体"/>
                <w:szCs w:val="21"/>
              </w:rPr>
              <w:t>系统自带工具套装软件，包括：超高清后期制作软件、字幕制作软件、资源交互软件、转码软件、唱词制作软件、公告版制作软件、手写动画软件、序列动画合成软件、PPT转换软件、数据库智能备份软件、非编管控软件，且均为同一品牌。</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 xml:space="preserve">具体要求： </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非编管控软件：在网络工作模式下基于数据库后台管理，支持存储、栏目、用户的三级空间控制管理；支持多用户共用非编系统，可按不同用户角色分配非编权限；支持用户名、密码的强制性设置要求；可自动匹配统一认证系统的新用户；支持超级管理员对项目的管理和日志查询。</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2.唱词制作软件：支持智能语音识别、自动断句（连网条件）；支持复读机式手扒唱词和传统拍制流程；支持单行和双行唱词制作；支持导出标准SRT文件。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3.★数据库智能备份软件：通过设定数据库备份策略，实现本机或网络SQL Server/MYSQL数据库的定时备份；支持手动还原数据库，数据库修复、收缩处理。</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4.手写动画软件：支持记录手绘过程并生成动画文件；支持快速手绘和精细手绘两种方式；支持生成FLC动画文件。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5.转码软件：支持4K、高标清格式文件的批量转换；支持P2/EX/XDCAM/ AVCHD文件批量转换；支持多任务、多线程并行；支持自定义任务模板和任务监控。</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6.公告版制作软件：支持对整段文字自动折行和分屏；支持对首行标点符号缩进处理；可为每屏字幕制作入、出、停留动画特技；支持输出CG、FLC动画或带通道MOV、AVI文件。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7.提供单机工作模式，数据库管理免安装、免维护、自动备份、自动数据库脚本升级。</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8.提供嵌入式计算机资源窗，直接浏览磁盘文件、介质文件，可将选中的媒体文件拖入轨道编辑；本地、网络、移动、外接设备的资源文件可自由编辑；支持网络项目资源、公共区资源、本地项目资源的共享和交互，实现资源利用最大化；支持移动项目编辑，未制作完成的项目工程，可用移动硬盘拷走制作，也可直接将项目工程建在移动硬盘上，方便随时带走。</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9.★提供本地项目资源一键同步到网络项目功能，保障突发网络异常时仍可安全生产，在网络故障解除后可高效恢复。</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10.嵌入的融媒体VMS资源池，可高效调用资源平台中记者回传、多方汇聚的媒体资源，迅速完成新闻节目制作。</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11.一键导入图像序列，自动生成32bit带Alpha通道的高画质MOV文件；可批量导入PNG、PSD、TGA、BMP、JPG图片文件；清晰实用的素材标识，方便查看故事板引用标识、离线标识、项目路径标识；支持大图浏览功能，鼠标滑过素材图标可浏览内容；支持素材、故事板、项目的实体文件的一键归集操作；支持素材的场序设置；支持对离线素材的重新匹配和删除清理。</w:t>
            </w:r>
          </w:p>
          <w:p>
            <w:pPr>
              <w:keepNext w:val="0"/>
              <w:keepLines w:val="0"/>
              <w:pageBreakBefore w:val="0"/>
              <w:kinsoku/>
              <w:wordWrap/>
              <w:overflowPunct/>
              <w:topLinePunct w:val="0"/>
              <w:bidi w:val="0"/>
              <w:snapToGrid/>
              <w:spacing w:line="430" w:lineRule="exact"/>
              <w:ind w:left="0" w:leftChars="0"/>
              <w:jc w:val="both"/>
              <w:rPr>
                <w:rFonts w:hint="eastAsia" w:ascii="宋体" w:hAnsi="宋体" w:cs="宋体"/>
                <w:szCs w:val="21"/>
              </w:rPr>
            </w:pPr>
            <w:r>
              <w:rPr>
                <w:rFonts w:hint="eastAsia" w:ascii="宋体" w:hAnsi="宋体" w:cs="宋体"/>
                <w:szCs w:val="21"/>
              </w:rPr>
              <w:t>12.★提供智能目录资源管理，按素材特性建立多级分类资源管理机制。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13.提供高效介质文件编辑流程：自动识别P2、XDCAM、XDCAM EX、AVCHD等介质文件，自动视音频成组，跨卡素材自动合并导入；支持介质文件直接上轨编辑；支持故事板回写到P2、XDCAM、XDCAM EX（含SD FAT的回写）设备。</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14.支持导入苹果非编的FCP XML工程文件；支持导出的AAF工程文件导入到达芬奇系统。</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15.智能场景检测，自动切分素材的镜头片段；同时支持手动精选镜头，在素材库生成索引素材。</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16.支持素材合并管理，减少非编资源库碎片素材。（提供界面截图或操作视频）</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17.非编系统支持对接统一用户认证系统，自动同步认证系统中变更的用户信息；支持预设用户模板，同步中自动创建非编新用户。</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18.4K超高清节目制作，支持3840*2160或4096*2160超高分辨率的源码剪辑，提供完备的采集、剪辑、特技、字幕、监看、输出的4K原生制作流程。</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19.支持不同帧率、不同格式、不同分辨率的混合编辑；广泛兼容专业、民用、网络、移动领域主流视音频格式，包括4K AVC-ULTRA、XAVC、PRORESS及H.265编码的媒体文件；支持实时上下变换处理，提供信箱、切边、变形、窗口等变换方式。</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20.支持VR全景素材的混合编辑，可调节视角和视窗位置。（提供界面截图或操作视频）</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21.支持创建任意画幅尺寸的项目工程，方便实现手机竖屏、不规则大屏、异形幅面的节目制作。</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22.内置视频示波器，可通过波形图/矢量图/RGB图/直方图监测画面指标；提供HDR高动态范围波形示波器。</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23.提供故事板嵌套、故事板引用、虚拟素材、序列素材等功能，为复杂节目编辑提供强大工具集；</w:t>
            </w:r>
          </w:p>
          <w:p>
            <w:pPr>
              <w:keepNext w:val="0"/>
              <w:keepLines w:val="0"/>
              <w:pageBreakBefore w:val="0"/>
              <w:kinsoku/>
              <w:wordWrap/>
              <w:overflowPunct/>
              <w:topLinePunct w:val="0"/>
              <w:bidi w:val="0"/>
              <w:snapToGrid/>
              <w:spacing w:line="430" w:lineRule="exact"/>
              <w:ind w:left="0" w:leftChars="0"/>
              <w:jc w:val="both"/>
              <w:rPr>
                <w:rFonts w:hint="eastAsia" w:ascii="宋体" w:hAnsi="宋体" w:cs="宋体"/>
                <w:szCs w:val="21"/>
              </w:rPr>
            </w:pPr>
            <w:r>
              <w:rPr>
                <w:rFonts w:hint="eastAsia" w:ascii="宋体" w:hAnsi="宋体" w:cs="宋体"/>
                <w:szCs w:val="21"/>
              </w:rPr>
              <w:t>24.★多镜头切换编辑，支持按音频波形、时码、标记点等对多机位素材对齐处理，可快速调整切点位置、替换镜头，添加镜头间转场；游机素材可按TC码横向成组，解决多镜头编辑中碎片化游机素材的成组问题；</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25.支持通过标准XML信息无缝导入多路切换采集的视音频文件，还原全部的多机位镜头及切点信息。</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26.提供高效易用的剪辑方式：波纹编辑模式，移动、删除素材时不留空隙；一键为素材添加淡入淡出；一键设置当前素材为静帧；一键替换素材，保持原有特技效果和时长不变；一键时间线填充，填充的素材可自动匹配轨道空隙；钢笔工具提供曲线关键点调节的同时，还可任意剪辑操作；支持多轨素材整体纵向、横向灵活移动，编辑调整更自由。</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27.素材剪辑中，支持将打好点的片段以“追加上轨”方式自动顺序排列到时间线上，加速素材粗剪效率。（提供界面截图或操作视频）</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28.提供“文本剪视频”工具，借助语音转文字的智能技术，编辑人员剪切不需要的文字段落，即可同步实现视音频的快速剪辑。 （提供界面截图或操作视频）</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29.提供素材的“智能编辑”窗，利用AI智能技术提取视音频文件中人脸、语音、场景等数据信息，加速特征镜头的查找。（提供界面截图或操作视频）</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30.提供故事板及素材的敏感人物检测，通过人脸检测结果与人物特征库的信息对比，可标识出含有敏感人物镜头的素材、故事板，方便编辑人员及时处理。（提供界面截图或操作视频）</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31.故事板配音，可参考视频画面完成配音操作，生成的音频素材自动上轨。</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32.提供代理编辑模式，自带低码文件的可编辑低码，不带低码的自动转换低码编辑，最终可灵活选择高码或低码合成输出。</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33.故事板操作及字幕制作，步步备份，确保意外发生时可恢复到最后一步操作。</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34.故事板版本管理，随时备份编辑中重要状态，需要时调出备份故事板还原。</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35.提供提词器功能，文本大小和滚动速度可调，方便故事板配音。</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36.提供多种输出监看方式，包括板卡输出上监、显卡辅屏输出监看、回显窗全屏显示，满足不同场景监看要求；</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37.提供静帧过渡的转场方式，接点处画面静帧处理，分别向前后补齐，以实现在一段素材内两镜头间的转场制作；</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38.提供灵活的轨道特技方式：故事板总FX轨，特技作用于全部轨道；轨内FX轨，特技作用于当前轨道；轨内KEY轨，可实现轨道图形键效果。</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39.智能图像跟踪技术，动态跟踪画面中的单点和多点，提取运动对象的特征点及运动轨迹，结合二维DVE、三维DVE、高级掩膜等特技，可实现虚拟电视墙、文随人动、动态马赛克等效果。</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40.手机视频编辑，自动识别手机视频和手机图片的重力感应，自动翻转呈现正常状态；一键添加手机视频特技；可自由截选输出区域。</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41.支持素材稳定处理，对晃动的跟拍镜头进行平稳处理。</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42.系统预置矫正LUT和风格LUT滤镜效果库，可快速实现色彩空间转换，丰富影视后期的制作；支持自行扩展LUT效果库。</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43.支持PPT文件从WINDOWS资源管理器直接拖到非编轨道进行编辑。</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44.支持对网络版非编的用户密码及非编操作的时效性进行强制性要求，包括对口令复杂性、口令修改的时间间隔及用户登录时间有效期的要求。</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45.内置三维字幕制作系统，提供真三维场景下的三维物件、摄像机、灯光的关键帧制作；任意二维物件可转化为三维物件；支持立体字、球体、立方体等三维物件及三维效果的制作；支持三维柱图、饼图、翻牌动画等字幕制作；支持三维动态纹理、光影贴图；</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 xml:space="preserve">46.字幕制作，支持编辑窗无级缩放、平移；支持物件中心点的缩放、位移、旋转编辑；任意二维物件和文字均可转矢量图，实现任意轮廓塑造；支持大段文本自动软换行排版；支持起始位置标点符号自动缩进；提供TAB键对位方式，纵向人名单可准确对齐； </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47.字幕制作，提供计时器、公告板、曲线文字、轨迹动画、曲线生长、布尔运算等物件模板应用；内嵌字幕资源库，提供丰富的图元物件模板和字幕模板，用户可自行丰富资源库内容；滚屏制作可分别定义标题和正文属性；支持将字幕工程输出FLC、MOV带通道文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48.字幕制作，可通过绘制贝塞尔曲线实现轨迹动画的制作；提供丰富滤镜特效，可赋予图片及二维图元艺术表现力；支持图片、动画文件的裁切、遮罩、纵深效果处理；支持数学公式的编辑制作，预置可编辑的公式模板；</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49.支持SVG矢量图导入，二次编辑；支持PSD分层导入编辑；支持3D模型的导入编辑。</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50.故事板时间线可快速修改字幕中的文字内容，无需进入字幕制作系统。</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51.智能语音免拍唱词制作；支持外来SRT文件直接轨道生成唱词字幕。</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52.通过AI语音合技术可将稿件文本生成虚拟播报音频，同步生成唱词字幕。</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53.提供7.1.4、5.1.4专业环绕声制作，可指定任意音箱参与混音；提供立体声耳机混音环绕声的监听方式。（提供界面截图或操作视频）</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54.支持轨道音频素材的GAIN整体增益调整，音频波形可实时变化，支持0.1dB精确调节；支持采样点级精度的音频调节，提供采样降噪、消除爆破音、声音拉伸、语音变速、10/20/31段EQ等效果；预置音效库，提供音效素材；</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55.支持音频轨道统一响度控制，ITU-R响度值可设置，实现节目音频输出的自动规格化处理。</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56.支持与编辑制式无关的视音频信号采集；支持播放故事板片段的同时采集外来信号的边播边采功能。</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57.支持双码流采集，主码流采集到项目路径，从码流到指定路径，满足本地化超高清顺畅编辑的特殊应用。</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58.信号采集过程支持初级编目，编目信息可作为素材搜索的查询条件。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59.支持IP流信号采集，在不间断拉流采集的同时，可对收录的流文件进行同步编辑。</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60.支持NDI流信号边采边编功能。</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61.支持故事板选区输出，可选择故事板任意区域进行节目合成输出。</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62.提供“快速合成”输出模式，当故事板输出的目标格式与轨道素材源格式一致时，系统充分利用可复用段落进行“快速合成”输出，故事板输出效率数倍提升。</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63.支持一次批量输出多种格式的视音频文件，对输出文件可同步静帧、黑场检测；</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64.支持GPU和核芯硬件加速，输出H.264或H.265格式文件。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65.可根据实际业务进行制作域流程化管理，通过工作流引擎服务及工作流程的定义、配置、监控管理，实现非编业务节点间及非编与各系统之间的强耦合交互。</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66.4K格式兼容要求：支持XAVC、AVC-Intra 4K、 AVC-Intra 4K LT、H.264(AVC)、H.265(HEVC)、ProRes 422、 ProRes 422 HQ、DNxHR HQX、 DNxHR HQ、 DNxHR SQ、DPX、R3D、YUV/RGB 10bit无压缩等4K超高清格式文件的导入和编辑；可将DPX格式的图片序列合成为带通道4K分辨率的文件；支持XAVC、AVC、HEVC、ProRes 422、 YUV/RGB 10bit无压缩4K超高清格式文件输出。</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67.HDR编辑要求：可识别PQ、HLG、V-Log等不同HDR素材的色域和伽马曲线；可手动填写伽马曲线和颜色空间；运行色域可以在BT.601、BT.709、BT.2020等色域之间切换；支持包括PQ、HLG、S-Log3、V-Log、C-Log、LogC等曲线类型；支持输出为PQ、HLG和S-Log3等HDR曲线类型的文件；在4K HDR编辑时，软件回显窗可以BT.709方式进行回显；支持运行环境的自定义设置，包括渲染处理参数、回显、板卡、色域、曲线、输出等设置。</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68.高清格式兼容要求：支持编辑Mpeg2 I/IBP格式的文件，支持100Mb/s、200Mb/s、300Mb/s码率Mpeg2 I帧文件的编辑；支持编辑H.264编码格式的文件；支持将信号采集和编辑DVCPro(DV25/DV50)/DVCPro HD(DVHD)格式的文件，也可打包输出该格式的文件；支持DVCPro(DV25/DV50)/DVCPro HD(DVHD)格式文件的编辑；支持将信号采集成XDCAM HD格式的文件，也可打包输出该格式的文件；支持编辑XDCAM HD编码格式的文件；支持将信号采集成AVC-IntraHD格式的文件，也可打包输出该格式的文件；支持编辑AVC-IntraHD编码格式的文件；支持将信号采集成DVSD/HDV格式的文件，也可打包输出该格式的文件；支持编辑DVSD/HDV编码格式的文件；支持将信号采集成Mpeg4封装的文件，也可打包输出该格式的文件；支持编辑Mpeg4编码格式的文件；支持编辑AVCHD编码格式的文件；支持编辑XAVC编码格式的文件；支持将信号采集和编辑WMV封装的文件，也可打包输出该格式的文件；支持将信号采集和编辑MOV封装的文件，也可打包输出该格式的文件；支持将信号采集和编辑TS封装的文件，也可打包输出该格式的文件；支持将信号采集和编辑无压缩 8-bit HD格式的文件，也可打包输出该格式的文件；支持生成32bit带Alpha通道的图片序列，可选择帧方式或场方式；支持编辑苹果ProRes 422编码的文件；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69.技审要求：整机支持对故事板上节目内黑场、蓝底、绿底、高标清彩条以及静帧的技术检测；支持对故事板上节目中的YUV指标是否超标，可以定义Y/U/V各元素的阈值范围，出现异常的时间阈值，检测范围以及容错度；支持对故事板上节目中的RGB指标是否超标，可以定义R/G/B各元素的阈值范围，出现异常的时间阈值，检测范围以及容错度；支持对故事板上节目中的YC指标是否超标，可以定义检测的时间阈值、检测范围、容错度以及YC元素的阈值；支持对故事板上节目中的亮度指标是否超标，可以定义检测的时间阈值、检测范围、亮度阈值；支持对故事板上节目中的雪花场进行检测，可以定义检测的时间帧数和误差阈值；支持对故事板上节目中的夹帧进行检测，可定义出现夹帧问题的时间阈值；支持对故事板上节目中的花屏进行检测，可定义花屏出现的时间阈值、误差和容错度；支持对故事板上节目中的立00体声相位进行检测，可定义出现问题的时间阈值和相位差百分比；支持对故事板上节目中的静音，以及VU或峰值超标进行检测，可定义出现问题的时间阈值以及DB阈值；支持对故事板上节目中的电平偏移进行检测，可定义出现问题的时间阈值以及偏离百分比；支持对故事板上节目中的响度进行检测，可定义响度检测的短时时间、短时响度以及平均响度；支持对故事板上节目中的削波进行检测，可定义削波出现的时间阈值以及被削百分比。</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显示器</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23.8英寸商用显示器 三面窄边框 防眩光 低蓝光HDMI VGA接口 IPS全高清</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kern w:val="0"/>
                <w:szCs w:val="21"/>
                <w:lang w:bidi="ar"/>
              </w:rPr>
              <w:t>★</w:t>
            </w:r>
            <w:r>
              <w:rPr>
                <w:rFonts w:hint="eastAsia" w:ascii="宋体" w:hAnsi="宋体" w:cs="宋体"/>
                <w:b/>
                <w:bCs/>
                <w:kern w:val="0"/>
                <w:szCs w:val="21"/>
                <w:lang w:bidi="ar"/>
              </w:rPr>
              <w:t>响应文件中必须提供该产品由国家确定的认证机构出具的处于有效期之内的节能产品认证并加盖供应商公章，否则视为无效响应文件。</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p>
        </w:tc>
      </w:tr>
      <w:tr>
        <w:tblPrEx>
          <w:tblCellMar>
            <w:top w:w="0" w:type="dxa"/>
            <w:left w:w="108" w:type="dxa"/>
            <w:bottom w:w="0" w:type="dxa"/>
            <w:right w:w="108" w:type="dxa"/>
          </w:tblCellMar>
        </w:tblPrEx>
        <w:trPr>
          <w:trHeight w:val="440" w:hRule="atLeast"/>
          <w:jc w:val="center"/>
        </w:trPr>
        <w:tc>
          <w:tcPr>
            <w:tcW w:w="1017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b/>
                <w:bCs/>
                <w:szCs w:val="21"/>
              </w:rPr>
              <w:t>六、其他配套设备</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提词器</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套</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系统支持Li</w:t>
            </w:r>
            <w:r>
              <w:rPr>
                <w:rFonts w:hint="eastAsia" w:ascii="宋体" w:hAnsi="宋体" w:cs="宋体"/>
                <w:szCs w:val="21"/>
                <w:lang w:val="en-US" w:eastAsia="zh-CN"/>
              </w:rPr>
              <w:t>nu</w:t>
            </w:r>
            <w:r>
              <w:rPr>
                <w:rFonts w:hint="eastAsia" w:ascii="宋体" w:hAnsi="宋体" w:cs="宋体"/>
                <w:szCs w:val="21"/>
              </w:rPr>
              <w:t>x嵌入式和Windows 7、Windows 8、Windows 10，整套设备采用一体化手拧螺丝结构，安装快捷，操作简单，控制方便，分光效果可达97%以上，提词器可解决播音中忘词，错词的问题，使播音变得更加轻松自然。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1.支持Li</w:t>
            </w:r>
            <w:r>
              <w:rPr>
                <w:rFonts w:hint="eastAsia" w:ascii="宋体" w:hAnsi="宋体" w:cs="宋体"/>
                <w:szCs w:val="21"/>
                <w:lang w:val="en-US" w:eastAsia="zh-CN"/>
              </w:rPr>
              <w:t>nu</w:t>
            </w:r>
            <w:r>
              <w:rPr>
                <w:rFonts w:hint="eastAsia" w:ascii="宋体" w:hAnsi="宋体" w:cs="宋体"/>
                <w:szCs w:val="21"/>
              </w:rPr>
              <w:t>x、Windows 7、Windows 8和 Windows 10。</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2.设备要求字色、底色256色任意搭配，男女播音员可分别选择不同的背景色和字色方便男女播音员选择自己的播音词,字体和字的大小任意选择，可选多种角色，以区分男角女角或更多播音角色。</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3.文稿录入、编辑方便，操作简单，自动完成排版,支持txt、rtf、word等格式文本，并支持直接打开图片，word，PPT，视频等文件。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分别采用监视器和高分辨率的彩显，清晰度高，字迹清晰。可与文稿摄像方式联用，组成三合一型。适用于各电视台演播室的录、直播节目需要。文稿字迹明亮清晰支持自定义不同角色的字号、字体、颜色显示。</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5.提词器显示器，可设置外接笔记本电脑或者台式电脑，进行播音使用。</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auto"/>
                <w:szCs w:val="21"/>
                <w:highlight w:val="none"/>
              </w:rPr>
            </w:pPr>
            <w:r>
              <w:rPr>
                <w:rFonts w:hint="eastAsia" w:ascii="宋体" w:hAnsi="宋体" w:cs="宋体"/>
                <w:color w:val="auto"/>
                <w:szCs w:val="21"/>
                <w:highlight w:val="none"/>
              </w:rPr>
              <w:t>2</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auto"/>
                <w:szCs w:val="21"/>
                <w:highlight w:val="none"/>
              </w:rPr>
            </w:pPr>
            <w:r>
              <w:rPr>
                <w:rFonts w:hint="eastAsia" w:ascii="宋体" w:hAnsi="宋体" w:cs="宋体"/>
                <w:color w:val="auto"/>
                <w:szCs w:val="21"/>
                <w:highlight w:val="none"/>
              </w:rPr>
              <w:t>电脑</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auto"/>
                <w:kern w:val="0"/>
                <w:szCs w:val="21"/>
                <w:highlight w:val="none"/>
              </w:rPr>
            </w:pPr>
            <w:r>
              <w:rPr>
                <w:rFonts w:hint="eastAsia" w:ascii="宋体" w:hAnsi="宋体" w:cs="宋体"/>
                <w:color w:val="auto"/>
                <w:kern w:val="0"/>
                <w:szCs w:val="21"/>
                <w:highlight w:val="none"/>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auto"/>
                <w:szCs w:val="21"/>
                <w:highlight w:val="none"/>
              </w:rPr>
            </w:pPr>
            <w:r>
              <w:rPr>
                <w:rFonts w:hint="eastAsia" w:ascii="宋体" w:hAnsi="宋体" w:cs="宋体"/>
                <w:color w:val="auto"/>
                <w:szCs w:val="21"/>
                <w:highlight w:val="none"/>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color w:val="auto"/>
                <w:szCs w:val="21"/>
                <w:highlight w:val="none"/>
              </w:rPr>
            </w:pPr>
            <w:r>
              <w:rPr>
                <w:rFonts w:hint="eastAsia" w:ascii="宋体" w:hAnsi="宋体" w:cs="宋体"/>
                <w:color w:val="auto"/>
                <w:szCs w:val="21"/>
                <w:highlight w:val="none"/>
              </w:rPr>
              <w:t>套</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pPr>
            <w:r>
              <w:rPr>
                <w:rFonts w:hint="eastAsia"/>
              </w:rPr>
              <w:t>1</w:t>
            </w:r>
            <w:r>
              <w:rPr>
                <w:rFonts w:hint="eastAsia"/>
                <w:lang w:val="en-US" w:eastAsia="zh-CN"/>
              </w:rPr>
              <w:t>.</w:t>
            </w:r>
            <w:r>
              <w:rPr>
                <w:rFonts w:hint="eastAsia"/>
              </w:rPr>
              <w:t>处理器：不低于兆芯（8核,2.7GHz主频）；</w:t>
            </w:r>
          </w:p>
          <w:p>
            <w:pPr>
              <w:keepNext w:val="0"/>
              <w:keepLines w:val="0"/>
              <w:pageBreakBefore w:val="0"/>
              <w:kinsoku/>
              <w:wordWrap/>
              <w:overflowPunct/>
              <w:topLinePunct w:val="0"/>
              <w:bidi w:val="0"/>
              <w:snapToGrid/>
              <w:spacing w:line="430" w:lineRule="exact"/>
              <w:ind w:left="0" w:leftChars="0"/>
              <w:jc w:val="both"/>
            </w:pPr>
            <w:r>
              <w:rPr>
                <w:rFonts w:hint="eastAsia"/>
              </w:rPr>
              <w:t>2</w:t>
            </w:r>
            <w:r>
              <w:rPr>
                <w:rFonts w:hint="eastAsia"/>
                <w:lang w:val="en-US" w:eastAsia="zh-CN"/>
              </w:rPr>
              <w:t>.</w:t>
            </w:r>
            <w:r>
              <w:rPr>
                <w:rFonts w:hint="eastAsia"/>
              </w:rPr>
              <w:t>内存：≥8GB 频率不少于2666Mhz，最大支持32G内存；</w:t>
            </w:r>
          </w:p>
          <w:p>
            <w:pPr>
              <w:keepNext w:val="0"/>
              <w:keepLines w:val="0"/>
              <w:pageBreakBefore w:val="0"/>
              <w:kinsoku/>
              <w:wordWrap/>
              <w:overflowPunct/>
              <w:topLinePunct w:val="0"/>
              <w:bidi w:val="0"/>
              <w:snapToGrid/>
              <w:spacing w:line="430" w:lineRule="exact"/>
              <w:ind w:left="0" w:leftChars="0"/>
              <w:jc w:val="both"/>
            </w:pPr>
            <w:r>
              <w:rPr>
                <w:rFonts w:hint="eastAsia"/>
              </w:rPr>
              <w:t>3</w:t>
            </w:r>
            <w:r>
              <w:rPr>
                <w:rFonts w:hint="eastAsia"/>
                <w:lang w:val="en-US" w:eastAsia="zh-CN"/>
              </w:rPr>
              <w:t>.</w:t>
            </w:r>
            <w:r>
              <w:rPr>
                <w:rFonts w:hint="eastAsia"/>
              </w:rPr>
              <w:t>硬盘： ≥512G M.2 NVMeSSD硬盘，读速度≥1200MB/S、写速度 ≥550MB/S（提供AS SSD Benchmark 软件测试结果），最大可扩展至1TB SSD硬盘 ，支持双硬盘扩展；</w:t>
            </w:r>
          </w:p>
          <w:p>
            <w:pPr>
              <w:keepNext w:val="0"/>
              <w:keepLines w:val="0"/>
              <w:pageBreakBefore w:val="0"/>
              <w:kinsoku/>
              <w:wordWrap/>
              <w:overflowPunct/>
              <w:topLinePunct w:val="0"/>
              <w:bidi w:val="0"/>
              <w:snapToGrid/>
              <w:spacing w:line="430" w:lineRule="exact"/>
              <w:ind w:left="0" w:leftChars="0"/>
              <w:jc w:val="both"/>
            </w:pPr>
            <w:r>
              <w:rPr>
                <w:rFonts w:hint="eastAsia"/>
              </w:rPr>
              <w:t>4</w:t>
            </w:r>
            <w:r>
              <w:rPr>
                <w:rFonts w:hint="eastAsia"/>
                <w:lang w:val="en-US" w:eastAsia="zh-CN"/>
              </w:rPr>
              <w:t>.</w:t>
            </w:r>
            <w:r>
              <w:rPr>
                <w:rFonts w:hint="eastAsia"/>
              </w:rPr>
              <w:t>显卡：≥2G独立显卡，显存GDDR5,输出接口：VGA+HDMI；</w:t>
            </w:r>
          </w:p>
          <w:p>
            <w:pPr>
              <w:keepNext w:val="0"/>
              <w:keepLines w:val="0"/>
              <w:pageBreakBefore w:val="0"/>
              <w:kinsoku/>
              <w:wordWrap/>
              <w:overflowPunct/>
              <w:topLinePunct w:val="0"/>
              <w:bidi w:val="0"/>
              <w:snapToGrid/>
              <w:spacing w:line="430" w:lineRule="exact"/>
              <w:ind w:left="0" w:leftChars="0"/>
              <w:jc w:val="both"/>
            </w:pPr>
            <w:r>
              <w:rPr>
                <w:rFonts w:hint="eastAsia"/>
              </w:rPr>
              <w:t>5</w:t>
            </w:r>
            <w:r>
              <w:rPr>
                <w:rFonts w:hint="eastAsia"/>
                <w:lang w:val="en-US" w:eastAsia="zh-CN"/>
              </w:rPr>
              <w:t>.</w:t>
            </w:r>
            <w:r>
              <w:rPr>
                <w:rFonts w:hint="eastAsia"/>
              </w:rPr>
              <w:t>电源：≥180 W；80PLUS 铜牌电源；</w:t>
            </w:r>
          </w:p>
          <w:p>
            <w:pPr>
              <w:keepNext w:val="0"/>
              <w:keepLines w:val="0"/>
              <w:pageBreakBefore w:val="0"/>
              <w:kinsoku/>
              <w:wordWrap/>
              <w:overflowPunct/>
              <w:topLinePunct w:val="0"/>
              <w:bidi w:val="0"/>
              <w:snapToGrid/>
              <w:spacing w:line="430" w:lineRule="exact"/>
              <w:ind w:left="0" w:leftChars="0"/>
              <w:jc w:val="both"/>
            </w:pPr>
            <w:r>
              <w:rPr>
                <w:rFonts w:hint="eastAsia"/>
              </w:rPr>
              <w:t>6</w:t>
            </w:r>
            <w:r>
              <w:rPr>
                <w:rFonts w:hint="eastAsia"/>
                <w:lang w:val="en-US" w:eastAsia="zh-CN"/>
              </w:rPr>
              <w:t>.</w:t>
            </w:r>
            <w:r>
              <w:rPr>
                <w:rFonts w:hint="eastAsia"/>
              </w:rPr>
              <w:t>声卡：集成声卡；</w:t>
            </w:r>
          </w:p>
          <w:p>
            <w:pPr>
              <w:keepNext w:val="0"/>
              <w:keepLines w:val="0"/>
              <w:pageBreakBefore w:val="0"/>
              <w:kinsoku/>
              <w:wordWrap/>
              <w:overflowPunct/>
              <w:topLinePunct w:val="0"/>
              <w:bidi w:val="0"/>
              <w:snapToGrid/>
              <w:spacing w:line="430" w:lineRule="exact"/>
              <w:ind w:left="0" w:leftChars="0"/>
              <w:jc w:val="both"/>
            </w:pPr>
            <w:r>
              <w:rPr>
                <w:rFonts w:hint="eastAsia"/>
              </w:rPr>
              <w:t>7</w:t>
            </w:r>
            <w:r>
              <w:rPr>
                <w:rFonts w:hint="eastAsia"/>
                <w:lang w:val="en-US" w:eastAsia="zh-CN"/>
              </w:rPr>
              <w:t>.</w:t>
            </w:r>
            <w:r>
              <w:rPr>
                <w:rFonts w:hint="eastAsia"/>
              </w:rPr>
              <w:t>接口：≥8个USB接口（其中至少6个USB3.0接口，2个USB2.0接口）；</w:t>
            </w:r>
          </w:p>
          <w:p>
            <w:pPr>
              <w:keepNext w:val="0"/>
              <w:keepLines w:val="0"/>
              <w:pageBreakBefore w:val="0"/>
              <w:kinsoku/>
              <w:wordWrap/>
              <w:overflowPunct/>
              <w:topLinePunct w:val="0"/>
              <w:bidi w:val="0"/>
              <w:snapToGrid/>
              <w:spacing w:line="430" w:lineRule="exact"/>
              <w:ind w:left="0" w:leftChars="0"/>
              <w:jc w:val="both"/>
            </w:pPr>
            <w:r>
              <w:rPr>
                <w:rFonts w:hint="eastAsia"/>
              </w:rPr>
              <w:t xml:space="preserve"> 8</w:t>
            </w:r>
            <w:r>
              <w:rPr>
                <w:rFonts w:hint="eastAsia"/>
                <w:lang w:val="en-US" w:eastAsia="zh-CN"/>
              </w:rPr>
              <w:t>.</w:t>
            </w:r>
            <w:r>
              <w:rPr>
                <w:rFonts w:hint="eastAsia"/>
              </w:rPr>
              <w:t>顶置提手方便提拿，机箱体积≥15L，支持免工具拆卸；</w:t>
            </w:r>
          </w:p>
          <w:p>
            <w:pPr>
              <w:keepNext w:val="0"/>
              <w:keepLines w:val="0"/>
              <w:pageBreakBefore w:val="0"/>
              <w:kinsoku/>
              <w:wordWrap/>
              <w:overflowPunct/>
              <w:topLinePunct w:val="0"/>
              <w:bidi w:val="0"/>
              <w:snapToGrid/>
              <w:spacing w:line="430" w:lineRule="exact"/>
              <w:ind w:left="0" w:leftChars="0"/>
              <w:jc w:val="both"/>
              <w:rPr>
                <w:rFonts w:hint="eastAsia"/>
              </w:rPr>
            </w:pPr>
            <w:r>
              <w:rPr>
                <w:rFonts w:hint="eastAsia"/>
              </w:rPr>
              <w:t>9</w:t>
            </w:r>
            <w:r>
              <w:rPr>
                <w:rFonts w:hint="eastAsia"/>
                <w:lang w:val="en-US" w:eastAsia="zh-CN"/>
              </w:rPr>
              <w:t>.</w:t>
            </w:r>
            <w:r>
              <w:rPr>
                <w:rFonts w:hint="eastAsia"/>
              </w:rPr>
              <w:t>配置≥23.8寸宽屏LED液晶宽屏显示器，分辨率1920*1080；</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kern w:val="0"/>
                <w:szCs w:val="21"/>
                <w:lang w:bidi="ar"/>
              </w:rPr>
              <w:t>★</w:t>
            </w:r>
            <w:r>
              <w:rPr>
                <w:rFonts w:hint="eastAsia" w:ascii="宋体" w:hAnsi="宋体" w:cs="宋体"/>
                <w:b/>
                <w:bCs/>
                <w:kern w:val="0"/>
                <w:szCs w:val="21"/>
                <w:lang w:bidi="ar"/>
              </w:rPr>
              <w:t>响应文件中必须提供该产品由国家确定的认证机构出具的处于有效期之内的节能产品认证并加盖供应商公章，否则视为无效响应文件。</w:t>
            </w:r>
          </w:p>
          <w:p>
            <w:pPr>
              <w:pStyle w:val="13"/>
            </w:pP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交换机</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24*10/100/1000TX以太网端口+ 4个SFP+端口，1个Console口，交换容量：336Gbps/3.36Tbps，包转发：126Mpps</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标准机柜</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服务器机柜600*1000*2000，托架8对、托板1块，绑线棍8根，1U盲板10块，42U竖向绑线排1套，8位国标PDU电源2套（3年质保，如有质量问题免费换新),运输及送货电梯上楼（不含偏远地区）</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控制台</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联</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控制台主体框架1套，防火板前台面板1块、后台面板1块，侧板1块、8U19英寸机（吊）柜1台、托架4条、后门1套、4U斜面控制设备窗口1套、控制台键盘盆1件、控制台扎线槽1套，M6*20螺丝+螺丝母+卡子（50套），含配套座椅1把。运输及送货电梯上楼（不含偏远地区）</w:t>
            </w:r>
          </w:p>
        </w:tc>
      </w:tr>
      <w:tr>
        <w:tblPrEx>
          <w:tblCellMar>
            <w:top w:w="0" w:type="dxa"/>
            <w:left w:w="108" w:type="dxa"/>
            <w:bottom w:w="0" w:type="dxa"/>
            <w:right w:w="108" w:type="dxa"/>
          </w:tblCellMar>
        </w:tblPrEx>
        <w:trPr>
          <w:trHeight w:val="440" w:hRule="atLeast"/>
          <w:jc w:val="center"/>
        </w:trPr>
        <w:tc>
          <w:tcPr>
            <w:tcW w:w="1017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b/>
                <w:bCs/>
                <w:szCs w:val="21"/>
              </w:rPr>
              <w:t>七、环境装修部分</w:t>
            </w:r>
          </w:p>
        </w:tc>
      </w:tr>
      <w:tr>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蓝箱制作</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40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平方</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1.2*3木龙骨</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2.75mm轻钢龙骨</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3.9.5mm石膏板</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4.地台9.5mm水泥板</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5.涂刷两遍抠像漆</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高3.3m,长4.2m,宽3.5m,L型蓝箱</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6.装修环保达到国标E1等级，使用符合国家标准的建筑材料。</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抠像地胶</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17</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平方</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1.耐磨、耐踩、不反光、适合做全身抠像。</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2.易清洁、易维护、可直接用抹布撑拭、或干净拖把拖。</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3.直接铺到蓝箱或绿箱地面，不会出现皱纹，每年可以为蓝箱绿箱维护省下一大笔费用(因地面经常踩坏，修补，补腻子，刷漆，影响节目拍摄而烦恼)，不用再担心使用幕布出现皱褶，或者透明桌布铺上去反光。</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4.每块地胶有两面，经济使用，一面是蓝色，一面是绿色，专为影视拍摄抠像设计的地胶。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5.每卷标准长度为40米，宽度为1.6米，厚度为1.3毫米</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6.装修环保达到国标E1等级，使用符合国家标准的建筑材料。</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虚拟区演播桌椅</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套</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rPr>
              <w:t>虚拟区演播桌椅   一字形布艺沙发 ,产品尺寸（长*宽*高）(mm):1900*1200*400 高密度冷发泡定型海绵 内架结构木质框架结构</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操作区桌椅</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套</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pPr>
            <w:r>
              <w:rPr>
                <w:rFonts w:hint="eastAsia"/>
              </w:rPr>
              <w:t xml:space="preserve">操作桌1张，规格尺寸：2400*600*750 </w:t>
            </w:r>
          </w:p>
          <w:p>
            <w:pPr>
              <w:keepNext w:val="0"/>
              <w:keepLines w:val="0"/>
              <w:pageBreakBefore w:val="0"/>
              <w:kinsoku/>
              <w:wordWrap/>
              <w:overflowPunct/>
              <w:topLinePunct w:val="0"/>
              <w:bidi w:val="0"/>
              <w:snapToGrid/>
              <w:spacing w:line="430" w:lineRule="exact"/>
              <w:ind w:left="0" w:leftChars="0"/>
              <w:jc w:val="both"/>
            </w:pPr>
            <w:r>
              <w:rPr>
                <w:rFonts w:hint="eastAsia"/>
              </w:rPr>
              <w:t>1.基材：选用优质免漆颗粒板基材。台面厚度25MM,板材通过GB 18580-2017《室内装饰装修材料人造板及其制品中甲醛释放限量》检测合格，优质三聚氰胺贴面，1.0mm厚PVC封边；所有板材均经过脱脂、除虫、干燥处理，含水率低于9%；表面光亮平整无颗粒，无气泡、无渣所有材料均经过防虫、防腐等化学处理。</w:t>
            </w:r>
          </w:p>
          <w:p>
            <w:pPr>
              <w:keepNext w:val="0"/>
              <w:keepLines w:val="0"/>
              <w:pageBreakBefore w:val="0"/>
              <w:kinsoku/>
              <w:wordWrap/>
              <w:overflowPunct/>
              <w:topLinePunct w:val="0"/>
              <w:bidi w:val="0"/>
              <w:snapToGrid/>
              <w:spacing w:line="430" w:lineRule="exact"/>
              <w:ind w:left="0" w:leftChars="0"/>
              <w:jc w:val="both"/>
            </w:pPr>
            <w:r>
              <w:rPr>
                <w:rFonts w:hint="eastAsia"/>
              </w:rPr>
              <w:t>2、钢架、前后脚管：采用1.0厚40*40MM优质方管型材，确保产品坚固稳定，表面经酸洗、脱脂、磷化、静电粉沫喷涂等,表面采用环保涂料静电喷涂，平整光洁。</w:t>
            </w:r>
          </w:p>
          <w:p>
            <w:pPr>
              <w:keepNext w:val="0"/>
              <w:keepLines w:val="0"/>
              <w:pageBreakBefore w:val="0"/>
              <w:kinsoku/>
              <w:wordWrap/>
              <w:overflowPunct/>
              <w:topLinePunct w:val="0"/>
              <w:bidi w:val="0"/>
              <w:snapToGrid/>
              <w:spacing w:line="430" w:lineRule="exact"/>
              <w:ind w:left="0" w:leftChars="0"/>
              <w:jc w:val="both"/>
            </w:pPr>
            <w:r>
              <w:rPr>
                <w:rFonts w:hint="eastAsia"/>
              </w:rPr>
              <w:t>3.封边：采用封边条优质同色ABS封边条，无起花，异色边缘修饰平整、光滑。</w:t>
            </w:r>
          </w:p>
          <w:p>
            <w:pPr>
              <w:keepNext w:val="0"/>
              <w:keepLines w:val="0"/>
              <w:pageBreakBefore w:val="0"/>
              <w:kinsoku/>
              <w:wordWrap/>
              <w:overflowPunct/>
              <w:topLinePunct w:val="0"/>
              <w:bidi w:val="0"/>
              <w:snapToGrid/>
              <w:spacing w:line="430" w:lineRule="exact"/>
              <w:ind w:left="0" w:leftChars="0"/>
              <w:jc w:val="both"/>
            </w:pPr>
            <w:r>
              <w:rPr>
                <w:rFonts w:hint="eastAsia"/>
              </w:rPr>
              <w:t>4.五金：优质五金。</w:t>
            </w:r>
          </w:p>
          <w:p>
            <w:pPr>
              <w:keepNext w:val="0"/>
              <w:keepLines w:val="0"/>
              <w:pageBreakBefore w:val="0"/>
              <w:kinsoku/>
              <w:wordWrap/>
              <w:overflowPunct/>
              <w:topLinePunct w:val="0"/>
              <w:bidi w:val="0"/>
              <w:snapToGrid/>
              <w:spacing w:line="430" w:lineRule="exact"/>
              <w:ind w:left="0" w:leftChars="0"/>
              <w:jc w:val="both"/>
            </w:pPr>
            <w:r>
              <w:rPr>
                <w:rFonts w:hint="eastAsia"/>
              </w:rPr>
              <w:t>5.椅子4张：胶背、扶手-PP加纤海绵-优质回弹棉网布：</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rPr>
              <w:t>背：竹节条纹网，座：弹力绒布</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LED高清数字平板柔光灯</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16</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盏</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功率100W,电压：220V,</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高显指，95以上,512控制，色温3200K 5600K 可选</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1.寿命长。使用寿命长达50000小时，是现有传统三基色灯具的5倍以上。</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2.温度低。灯珠表面温度低，使被照射物体几乎无温升。</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3.功率小。比现有三基色灯具节电30%以上。</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4.色温准、色彩还原率高。</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5.光线柔。LED数字化平板柔光灯，对主持人员无强烈刺眼的现象，使被光照人员舒适，放松。</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6.灯体采用全铝制型材结构, 灯珠采用显色指数最好的普瑞LED半导体 灯珠  显色指数达到85以上</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7.色温：5600K；</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8.额定功率：100W；</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9.控制信号：DMX512信号；</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10.调光精度：10K级；</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11.调光范围：0%-100%；</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6</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LED高清数字平板聚光灯</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盏</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1.采用高显色指数LED作为发光元件，满足专业摄影、摄像要求。</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2.LED光源为固体发光器件，寿命长达50000小时，</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3.高功率密度的LED模组和高效的非球面聚光系统，灯具光效高、光束角大、光斑均匀</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4.内置DMX512信号控制，亮度调节范围0~100%，旋钮调节，和调光台调节亮度，无需硅箱。</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5.灯体采用优质铝型材与金属板材相结合结构，表面喷黑色环氧树脂高压静电粉末，散热系统采用热管应用技术 </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7</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伸缩脚链</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个</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拉伸长度1.5米，进口弹簧，优质铝型材链接片，</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全黑喷塑</w:t>
            </w:r>
          </w:p>
        </w:tc>
      </w:tr>
      <w:tr>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8</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调光台以及信号放大器</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套</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调光台又称调光控制台，其功能是向调光器发送控制信号，以控制调光器中晶闸管的工作状态（导通、截止或改变导通角大小），从而达到对灯具进行编组和控制灯光亮度变化的目的。近代灯光控制台兼有对灯光进行开关控制、调光控制、轻触式手动控制、声音控制和自动程序控制等多种功能，而且，它能存储各种信息（可编程），使灯光的变化能准确地重复，并有多种程序可供选择</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9</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号码牌</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20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个</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亚克力圆形用于识别灯位，方便使用灯光调试</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10</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灯光阻燃电线集成</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20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个</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2×1.5mm2，国家消防认证达到B类资格，同芯阻燃热塑性弹性体绝缘及护套摄影光源软电缆，柔软性好，耐磨高，容量大，阻燃性能好，特别适用于演播厅，硅箱电源，灯光照明电源等。影视专用电缆</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11</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保险绳</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20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个</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规格：带胶钢丝绳4MM+5MM扣件，承重30KG，长度800MM，防锈。</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12</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灯钩</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20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个</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承重：200kg</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 xml:space="preserve">卡管：20-55mm（口径）.   </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 xml:space="preserve">尺寸：18.5×10.5×3cm    </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我们生产的灯钩有黑色、银色两种，灯钩产品种类齐全（铝挤形钩、折弯铁钩、压铸铝钩、熔铸铁钩样样都有），外观靓丽，强度过硬，价格公道</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13</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墙面吸音板</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100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平方</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采用木骨骨架、面封九mm竹木吸音板，内填充吸音毡。装修环保达到国标E1等级，使用符合国家标准的建筑材料。</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14</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天花装饰</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120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平方</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采用轻钢龙骨骨架、面封2mm铝单板，内填充吸音毡。装修环保达到国标E1等级，使用符合国家标准的建筑材料。</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15</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电路铺设</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120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平方</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 xml:space="preserve">1.电线采用相当于“阳工”同等或以上品牌，插座主两路6平方单股专线到预留口，空调4平方多股线专线，普通插座2.5平方多股线，灯线1.5平方多股线。                                 2.弱电网络使用超六类网线四路到预留口.     </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3.含墙面按键灯具开关，普通插座。</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17</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筒灯</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30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个</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灯具1200*200</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18</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顶部异型边框吊顶</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平方</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1.采用9厘夹板打底，面封石膏板。</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2.采用黑色150*150（45*10）铝格栅，装修环保达到国标E1等级，使用符合国家标准的建筑材料。</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19</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刮腻子</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270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平方</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1.采用紫荆花防霉腻子,原墙面清理                                                                                                                                2.粘粉、水泥、龙马606胶、白乳胶、腻子粉批刮打磨平整，表面平整度达验收标准。</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3.计量方式：按照展开面积计算后，门、窗按照减半计算。</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4.装修环保达到国标E1等级，使用符合国家标准的建筑材料。</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20</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乳胶漆</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270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平方</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1.采用紫荆花霉变氪星系例面漆底漆，桶装规格15L，一底两面滚涂。                                                                                                                                       2.表面平整度，光滑度，质感达验收标准。</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3.计量方式：按照展开面积计算后，门、窗按照减半计算。</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4.装修环保达到国标E1等级，使用符合国家标准的建筑材料。</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21</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轻质隔墙</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32</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color w:val="000000"/>
                <w:szCs w:val="21"/>
              </w:rPr>
              <w:t>平方</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采用轻钢龙骨骨架，采用9厘夹板打底，面封石膏板，设置1.2米*4米钢化玻璃观摩窗口。</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22</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培训椅（带写字板）</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50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张</w:t>
            </w:r>
          </w:p>
        </w:tc>
        <w:tc>
          <w:tcPr>
            <w:tcW w:w="5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1.辅料：采用优质海绵，密度高，回弹率好。要求海绵颜色均匀、无大于6mm对穿孔、无污染、无刺激性气味，海绵回弹率≥35%，干热老化后拉伸强度≥55kPa，湿热老化后拉伸强度≥55kPa，压陷性能符合GB/T 10802-2006《通用软质聚醚型聚氨脂泡沫塑料》的要求。</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坐垫内部定型板：采用优质环保型胶合板基材，板材的各项技术指标须符合GB/T9846-2015《普通胶合板》的要求：板材的含水率、静曲强度、胶合强度在以GB/T9846-2015《普通胶合板》为标准的测试中合格率均≥90%。板材的甲醛释放量优于国家强制性标准GB18580-2001《室内装饰装修材料 人造板及其制品中甲醛释放限量》E1级的要求，要求板材的甲醛释放量≤0.5mg/L。</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3.胶粘剂：采用优质品牌胶粘剂（白乳胶）。胶粘剂（白乳胶）中的有害物质限量符合国家标准GB 18583-2008《室内装饰装修材料 胶粘剂中有害物质限量》（水基型聚乙酸乙烯酯胶粘剂）的要求。其中游离甲醛≤1.0g/kg；苯≤0.20g/kg；甲苯+二甲苯≤10g/kg；总挥发性有机物≤110g/L。</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脚架：采用优质钢质脚架，壁厚为1.0mm。经过焊接成型，所有可能接触人体或收藏物品的部位无毛刺、刃口、棱角。表面处理：采用优质环保热固性粉末塑粉，塑粉中的有害物质含量符合HG/T2006-2006《热固性粉末涂料》的要求其中：可溶性铅（Pb）的含量≤90mg/kg；可溶性镉（Cd）的含量≤75mg/kg；可溶性铬（Cr）的含量≤60mg/kg；可溶性汞（Hg）的含量≤60mg/kg；涂层膜厚度均匀，内外一致，表面喷塑后，色泽均匀，光滑平整，无流痕、接痕、裂痕、划痕、气泡、色差、杂质。</w:t>
            </w:r>
          </w:p>
        </w:tc>
      </w:tr>
      <w:tr>
        <w:tblPrEx>
          <w:tblCellMar>
            <w:top w:w="0" w:type="dxa"/>
            <w:left w:w="108" w:type="dxa"/>
            <w:bottom w:w="0" w:type="dxa"/>
            <w:right w:w="108" w:type="dxa"/>
          </w:tblCellMar>
        </w:tblPrEx>
        <w:trPr>
          <w:trHeight w:val="44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23</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空调</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color w:val="000000"/>
                <w:kern w:val="0"/>
                <w:szCs w:val="21"/>
              </w:rPr>
              <w:t>工业</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台</w:t>
            </w:r>
          </w:p>
        </w:tc>
        <w:tc>
          <w:tcPr>
            <w:tcW w:w="5945" w:type="dxa"/>
            <w:tcBorders>
              <w:top w:val="single" w:color="000000" w:sz="4" w:space="0"/>
              <w:left w:val="single" w:color="000000" w:sz="4" w:space="0"/>
              <w:bottom w:val="single" w:color="000000" w:sz="4" w:space="0"/>
              <w:right w:val="single" w:color="000000" w:sz="4" w:space="0"/>
            </w:tcBorders>
          </w:tcPr>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1.匹数：3匹</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2.挂机/柜机：柜机</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3.能源消耗效率：4.00(全年能源消耗效率）</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4.能效等级：2级</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5.外机质量（kg）：43</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6.内机质量（kg）：39.5</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7.外机尺寸（宽x高x深）mm：958x660x402</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8.内机尺寸（宽x高x深）mm：518x1770x347</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9.适用面积（平方米）：30-40</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10.定频/变频：变频</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11.单冷/冷暖：冷暖</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12.颜色：皓雪白</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13.电压/频率（V/Hz）：220V～/50Hz</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14.制冷剂：R32</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15.制热量（W）：9610(900～11730)</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16.制冷量（W）：7250(900～9000)</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17.循环风量m³/h：1210</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18.电辅加热功率（W）：2100</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19.是否电辅加热：是</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20.制热功率（W）：2900(380～3980)</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21.制冷功率（W）：2120(380～3400)</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22.外机噪音 dB(A)：56</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rPr>
              <w:t>23.内机噪音 dB(A)：高风挡42</w:t>
            </w:r>
          </w:p>
          <w:p>
            <w:pPr>
              <w:pStyle w:val="105"/>
              <w:keepNext w:val="0"/>
              <w:keepLines w:val="0"/>
              <w:pageBreakBefore w:val="0"/>
              <w:kinsoku/>
              <w:wordWrap/>
              <w:overflowPunct/>
              <w:topLinePunct w:val="0"/>
              <w:bidi w:val="0"/>
              <w:snapToGrid/>
              <w:spacing w:line="430" w:lineRule="exact"/>
              <w:ind w:left="0" w:leftChars="0"/>
              <w:jc w:val="both"/>
              <w:rPr>
                <w:rFonts w:ascii="宋体" w:hAnsi="宋体" w:cs="宋体"/>
                <w:sz w:val="21"/>
                <w:szCs w:val="21"/>
              </w:rPr>
            </w:pPr>
            <w:r>
              <w:rPr>
                <w:rFonts w:hint="eastAsia" w:ascii="宋体" w:hAnsi="宋体" w:cs="宋体"/>
                <w:sz w:val="21"/>
                <w:szCs w:val="21"/>
                <w:lang w:bidi="ar"/>
              </w:rPr>
              <w:t>★</w:t>
            </w:r>
            <w:r>
              <w:rPr>
                <w:rFonts w:hint="eastAsia" w:ascii="宋体" w:hAnsi="宋体" w:cs="宋体"/>
                <w:b/>
                <w:sz w:val="21"/>
                <w:szCs w:val="21"/>
                <w:lang w:bidi="ar"/>
              </w:rPr>
              <w:t>响应文件中必须提供该产品由国家确定的认证机构出具的处于有效期之内的节能产品认证并加盖供应商公章，否则视为无效响应文件。</w:t>
            </w:r>
          </w:p>
        </w:tc>
      </w:tr>
      <w:tr>
        <w:tblPrEx>
          <w:tblCellMar>
            <w:top w:w="0" w:type="dxa"/>
            <w:left w:w="108" w:type="dxa"/>
            <w:bottom w:w="0" w:type="dxa"/>
            <w:right w:w="108" w:type="dxa"/>
          </w:tblCellMar>
        </w:tblPrEx>
        <w:trPr>
          <w:trHeight w:val="440" w:hRule="atLeast"/>
          <w:jc w:val="center"/>
        </w:trPr>
        <w:tc>
          <w:tcPr>
            <w:tcW w:w="1017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textAlignment w:val="center"/>
              <w:rPr>
                <w:rFonts w:ascii="宋体" w:hAnsi="宋体" w:cs="宋体"/>
                <w:color w:val="000000"/>
                <w:kern w:val="0"/>
                <w:szCs w:val="21"/>
              </w:rPr>
            </w:pPr>
            <w:r>
              <w:rPr>
                <w:rFonts w:hint="eastAsia" w:ascii="宋体" w:hAnsi="宋体" w:cs="宋体"/>
                <w:color w:val="000000"/>
                <w:kern w:val="0"/>
                <w:szCs w:val="21"/>
              </w:rPr>
              <w:t>商务要求</w:t>
            </w:r>
          </w:p>
        </w:tc>
      </w:tr>
      <w:tr>
        <w:tblPrEx>
          <w:tblCellMar>
            <w:top w:w="0" w:type="dxa"/>
            <w:left w:w="108" w:type="dxa"/>
            <w:bottom w:w="0" w:type="dxa"/>
            <w:right w:w="108" w:type="dxa"/>
          </w:tblCellMar>
        </w:tblPrEx>
        <w:trPr>
          <w:trHeight w:val="440" w:hRule="atLeast"/>
          <w:jc w:val="center"/>
        </w:trPr>
        <w:tc>
          <w:tcPr>
            <w:tcW w:w="20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firstLine="420" w:firstLineChars="200"/>
              <w:jc w:val="both"/>
              <w:rPr>
                <w:rFonts w:ascii="宋体" w:hAnsi="宋体" w:cs="宋体"/>
                <w:color w:val="000000"/>
                <w:kern w:val="0"/>
                <w:szCs w:val="21"/>
              </w:rPr>
            </w:pPr>
            <w:r>
              <w:rPr>
                <w:rFonts w:hint="eastAsia" w:ascii="宋体" w:hAnsi="宋体" w:cs="宋体"/>
                <w:szCs w:val="21"/>
              </w:rPr>
              <w:t>报价要求</w:t>
            </w:r>
          </w:p>
        </w:tc>
        <w:tc>
          <w:tcPr>
            <w:tcW w:w="80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报价为采购人指定地点的现场交货价，包括：</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(1)价格：包括货款和安装调试费、服务费、验收费、税费；</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(2)货物的标准附件、备品备件、专用工具的价格；</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(3)运输、装卸、调试、培训、技术支持、售后服务费；</w:t>
            </w:r>
          </w:p>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kern w:val="0"/>
                <w:szCs w:val="21"/>
              </w:rPr>
            </w:pPr>
            <w:r>
              <w:rPr>
                <w:rFonts w:hint="eastAsia" w:ascii="宋体" w:hAnsi="宋体" w:cs="宋体"/>
                <w:szCs w:val="21"/>
              </w:rPr>
              <w:t>(4)保险费和其他各项成本费用。</w:t>
            </w:r>
          </w:p>
        </w:tc>
      </w:tr>
      <w:tr>
        <w:tblPrEx>
          <w:tblCellMar>
            <w:top w:w="0" w:type="dxa"/>
            <w:left w:w="108" w:type="dxa"/>
            <w:bottom w:w="0" w:type="dxa"/>
            <w:right w:w="108" w:type="dxa"/>
          </w:tblCellMar>
        </w:tblPrEx>
        <w:trPr>
          <w:trHeight w:val="440" w:hRule="atLeast"/>
          <w:jc w:val="center"/>
        </w:trPr>
        <w:tc>
          <w:tcPr>
            <w:tcW w:w="20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firstLine="420" w:firstLineChars="200"/>
              <w:jc w:val="both"/>
              <w:rPr>
                <w:rFonts w:ascii="宋体" w:hAnsi="宋体" w:cs="宋体"/>
                <w:szCs w:val="21"/>
              </w:rPr>
            </w:pPr>
            <w:r>
              <w:rPr>
                <w:rFonts w:hint="eastAsia" w:ascii="宋体" w:hAnsi="宋体" w:cs="宋体"/>
                <w:szCs w:val="21"/>
              </w:rPr>
              <w:t>质保期</w:t>
            </w:r>
          </w:p>
        </w:tc>
        <w:tc>
          <w:tcPr>
            <w:tcW w:w="80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按国家有关产品“三包”规定执行“三包”，交付验收合格之日起至少壹年质保（自交货并验收合格之日起计），采购内容有要求的按其要求。质保期所有由于质量问题导致的硬件产品故障以免费保修、免费人工及免费更换配件标准上门服务。</w:t>
            </w:r>
          </w:p>
        </w:tc>
      </w:tr>
      <w:tr>
        <w:tblPrEx>
          <w:tblCellMar>
            <w:top w:w="0" w:type="dxa"/>
            <w:left w:w="108" w:type="dxa"/>
            <w:bottom w:w="0" w:type="dxa"/>
            <w:right w:w="108" w:type="dxa"/>
          </w:tblCellMar>
        </w:tblPrEx>
        <w:trPr>
          <w:trHeight w:val="440" w:hRule="atLeast"/>
          <w:jc w:val="center"/>
        </w:trPr>
        <w:tc>
          <w:tcPr>
            <w:tcW w:w="20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firstLine="420" w:firstLineChars="200"/>
              <w:jc w:val="both"/>
              <w:rPr>
                <w:rFonts w:ascii="宋体" w:hAnsi="宋体" w:cs="宋体"/>
                <w:color w:val="000000"/>
                <w:szCs w:val="21"/>
              </w:rPr>
            </w:pPr>
            <w:r>
              <w:rPr>
                <w:rFonts w:hint="eastAsia" w:ascii="宋体" w:hAnsi="宋体" w:cs="宋体"/>
                <w:szCs w:val="21"/>
              </w:rPr>
              <w:t>售后服务要求</w:t>
            </w:r>
          </w:p>
        </w:tc>
        <w:tc>
          <w:tcPr>
            <w:tcW w:w="80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1.所有货物必须为符合国家行业有关质量标准的全新合格产品。</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2.免费送货上门、免费安装调试，免费培训技术人员2名以上，所需工具、器材由中标人自理、提供全套说明书并包括中文操作说明和注意事项。</w:t>
            </w:r>
          </w:p>
          <w:p>
            <w:pPr>
              <w:keepNext w:val="0"/>
              <w:keepLines w:val="0"/>
              <w:pageBreakBefore w:val="0"/>
              <w:kinsoku/>
              <w:wordWrap/>
              <w:overflowPunct/>
              <w:topLinePunct w:val="0"/>
              <w:bidi w:val="0"/>
              <w:snapToGrid/>
              <w:spacing w:line="430" w:lineRule="exact"/>
              <w:ind w:left="0" w:leftChars="0"/>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3.产品如出现故障并接到用户通知后在30分钟内响应，4小时内上门服务，6小时内解决故障；未能在规定时间内排除故障的，必须在24小时内提供同档次的备用产品，直至解决故障。</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4.中标人除承担运输、安装、调试、验收与培训等义务外，还将为采购人提供技术支持，包括保修期外的修理及技术指导、配件供应等。</w:t>
            </w:r>
          </w:p>
        </w:tc>
      </w:tr>
      <w:tr>
        <w:tblPrEx>
          <w:tblCellMar>
            <w:top w:w="0" w:type="dxa"/>
            <w:left w:w="108" w:type="dxa"/>
            <w:bottom w:w="0" w:type="dxa"/>
            <w:right w:w="108" w:type="dxa"/>
          </w:tblCellMar>
        </w:tblPrEx>
        <w:trPr>
          <w:trHeight w:val="440" w:hRule="atLeast"/>
          <w:jc w:val="center"/>
        </w:trPr>
        <w:tc>
          <w:tcPr>
            <w:tcW w:w="20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firstLine="420" w:firstLineChars="200"/>
              <w:jc w:val="both"/>
              <w:rPr>
                <w:rFonts w:ascii="宋体" w:hAnsi="宋体" w:cs="宋体"/>
                <w:szCs w:val="21"/>
              </w:rPr>
            </w:pPr>
            <w:r>
              <w:rPr>
                <w:rFonts w:hint="eastAsia" w:ascii="宋体" w:hAnsi="宋体" w:cs="宋体"/>
                <w:szCs w:val="21"/>
              </w:rPr>
              <w:t>合同签订时间</w:t>
            </w:r>
          </w:p>
        </w:tc>
        <w:tc>
          <w:tcPr>
            <w:tcW w:w="80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自中标通知书发出之日起5日内。</w:t>
            </w:r>
          </w:p>
        </w:tc>
      </w:tr>
      <w:tr>
        <w:tblPrEx>
          <w:tblCellMar>
            <w:top w:w="0" w:type="dxa"/>
            <w:left w:w="108" w:type="dxa"/>
            <w:bottom w:w="0" w:type="dxa"/>
            <w:right w:w="108" w:type="dxa"/>
          </w:tblCellMar>
        </w:tblPrEx>
        <w:trPr>
          <w:trHeight w:val="440" w:hRule="atLeast"/>
          <w:jc w:val="center"/>
        </w:trPr>
        <w:tc>
          <w:tcPr>
            <w:tcW w:w="20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firstLine="420" w:firstLineChars="200"/>
              <w:jc w:val="both"/>
              <w:rPr>
                <w:rFonts w:ascii="宋体" w:hAnsi="宋体" w:cs="宋体"/>
                <w:szCs w:val="21"/>
              </w:rPr>
            </w:pPr>
            <w:r>
              <w:rPr>
                <w:rFonts w:hint="eastAsia" w:ascii="宋体" w:hAnsi="宋体" w:cs="宋体"/>
                <w:szCs w:val="21"/>
              </w:rPr>
              <w:t>交付时间及地点</w:t>
            </w:r>
          </w:p>
        </w:tc>
        <w:tc>
          <w:tcPr>
            <w:tcW w:w="80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1.交付时间：自签订合同之日起30个工作日内交付使用。</w:t>
            </w:r>
          </w:p>
          <w:p>
            <w:pPr>
              <w:keepNext w:val="0"/>
              <w:keepLines w:val="0"/>
              <w:pageBreakBefore w:val="0"/>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szCs w:val="21"/>
              </w:rPr>
              <w:t>2.交付地点：广西钦州</w:t>
            </w:r>
            <w:r>
              <w:rPr>
                <w:rFonts w:hint="eastAsia" w:ascii="宋体" w:hAnsi="宋体" w:cs="宋体"/>
                <w:color w:val="000000"/>
                <w:szCs w:val="21"/>
              </w:rPr>
              <w:t>市</w:t>
            </w:r>
            <w:r>
              <w:rPr>
                <w:rFonts w:hint="eastAsia" w:ascii="宋体" w:hAnsi="宋体" w:cs="宋体"/>
                <w:szCs w:val="21"/>
              </w:rPr>
              <w:t>采购人指定地点。</w:t>
            </w:r>
          </w:p>
        </w:tc>
      </w:tr>
      <w:tr>
        <w:tblPrEx>
          <w:tblCellMar>
            <w:top w:w="0" w:type="dxa"/>
            <w:left w:w="108" w:type="dxa"/>
            <w:bottom w:w="0" w:type="dxa"/>
            <w:right w:w="108" w:type="dxa"/>
          </w:tblCellMar>
        </w:tblPrEx>
        <w:trPr>
          <w:trHeight w:val="440" w:hRule="atLeast"/>
          <w:jc w:val="center"/>
        </w:trPr>
        <w:tc>
          <w:tcPr>
            <w:tcW w:w="20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firstLine="420" w:firstLineChars="200"/>
              <w:jc w:val="both"/>
              <w:rPr>
                <w:rFonts w:ascii="宋体" w:hAnsi="宋体" w:cs="宋体"/>
                <w:color w:val="000000"/>
                <w:szCs w:val="21"/>
              </w:rPr>
            </w:pPr>
            <w:r>
              <w:rPr>
                <w:rFonts w:hint="eastAsia" w:ascii="宋体" w:hAnsi="宋体" w:cs="宋体"/>
                <w:szCs w:val="21"/>
              </w:rPr>
              <w:t>付款方式</w:t>
            </w:r>
          </w:p>
        </w:tc>
        <w:tc>
          <w:tcPr>
            <w:tcW w:w="8093" w:type="dxa"/>
            <w:gridSpan w:val="4"/>
            <w:tcBorders>
              <w:top w:val="single" w:color="000000" w:sz="4" w:space="0"/>
              <w:left w:val="single" w:color="000000" w:sz="4" w:space="0"/>
              <w:bottom w:val="single" w:color="000000" w:sz="4" w:space="0"/>
              <w:right w:val="single" w:color="000000" w:sz="4" w:space="0"/>
            </w:tcBorders>
            <w:vAlign w:val="center"/>
          </w:tcPr>
          <w:p>
            <w:pPr>
              <w:pStyle w:val="49"/>
              <w:keepNext w:val="0"/>
              <w:keepLines w:val="0"/>
              <w:pageBreakBefore w:val="0"/>
              <w:kinsoku/>
              <w:wordWrap/>
              <w:overflowPunct/>
              <w:topLinePunct w:val="0"/>
              <w:bidi w:val="0"/>
              <w:snapToGrid/>
              <w:spacing w:line="430" w:lineRule="exact"/>
              <w:ind w:left="0" w:leftChars="0"/>
              <w:jc w:val="both"/>
              <w:rPr>
                <w:rFonts w:hAnsi="宋体"/>
                <w:sz w:val="21"/>
                <w:szCs w:val="21"/>
              </w:rPr>
            </w:pPr>
            <w:r>
              <w:rPr>
                <w:rFonts w:hint="eastAsia" w:hAnsi="宋体"/>
                <w:sz w:val="21"/>
                <w:szCs w:val="21"/>
              </w:rPr>
              <w:t>采购人组织验收</w:t>
            </w:r>
            <w:r>
              <w:rPr>
                <w:rFonts w:hint="eastAsia" w:hAnsi="宋体"/>
                <w:sz w:val="21"/>
                <w:szCs w:val="21"/>
                <w:lang w:eastAsia="zh-CN"/>
              </w:rPr>
              <w:t>，</w:t>
            </w:r>
            <w:r>
              <w:rPr>
                <w:rFonts w:hint="eastAsia" w:hAnsi="宋体"/>
                <w:sz w:val="21"/>
                <w:szCs w:val="21"/>
                <w:lang w:val="en-US" w:eastAsia="zh-CN"/>
              </w:rPr>
              <w:t>供货产品验收</w:t>
            </w:r>
            <w:r>
              <w:rPr>
                <w:rFonts w:hint="eastAsia" w:hAnsi="宋体"/>
                <w:sz w:val="21"/>
                <w:szCs w:val="21"/>
              </w:rPr>
              <w:t>合格后，成交供应商向采购人提供等额且合法有效的增值税普通发票，采购人自验收合格之日起90天内支付合同总金额的40%作为第一期付款；第二期付款在第一期付款支付完成后120天内支付合同总金额的30%；第三期付款在第二期付款支付完成后150天内支付合同总金额的30%。</w:t>
            </w:r>
          </w:p>
        </w:tc>
      </w:tr>
      <w:tr>
        <w:tblPrEx>
          <w:tblCellMar>
            <w:top w:w="0" w:type="dxa"/>
            <w:left w:w="108" w:type="dxa"/>
            <w:bottom w:w="0" w:type="dxa"/>
            <w:right w:w="108" w:type="dxa"/>
          </w:tblCellMar>
        </w:tblPrEx>
        <w:trPr>
          <w:trHeight w:val="440" w:hRule="atLeast"/>
          <w:jc w:val="center"/>
        </w:trPr>
        <w:tc>
          <w:tcPr>
            <w:tcW w:w="20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szCs w:val="21"/>
              </w:rPr>
            </w:pPr>
            <w:r>
              <w:rPr>
                <w:rFonts w:hint="eastAsia" w:ascii="宋体" w:hAnsi="宋体" w:cs="宋体"/>
                <w:kern w:val="0"/>
                <w:szCs w:val="21"/>
              </w:rPr>
              <w:t>验收要求</w:t>
            </w:r>
          </w:p>
        </w:tc>
        <w:tc>
          <w:tcPr>
            <w:tcW w:w="80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30" w:lineRule="exact"/>
              <w:ind w:left="0" w:leftChars="0"/>
              <w:jc w:val="both"/>
              <w:rPr>
                <w:rFonts w:ascii="宋体" w:hAnsi="宋体" w:cs="宋体"/>
                <w:bCs/>
                <w:color w:val="000000"/>
                <w:szCs w:val="21"/>
              </w:rPr>
            </w:pPr>
            <w:r>
              <w:rPr>
                <w:rFonts w:hint="eastAsia" w:ascii="宋体" w:hAnsi="宋体" w:cs="宋体"/>
                <w:bCs/>
                <w:color w:val="000000"/>
                <w:szCs w:val="21"/>
              </w:rPr>
              <w:t>（1）为保证产品供货质量及原厂原装正品，合同签订前提供产品合格证。供应商出具售后服务承诺函，并加供应商公章。</w:t>
            </w:r>
          </w:p>
          <w:p>
            <w:pPr>
              <w:keepNext w:val="0"/>
              <w:keepLines w:val="0"/>
              <w:pageBreakBefore w:val="0"/>
              <w:kinsoku/>
              <w:wordWrap/>
              <w:overflowPunct/>
              <w:topLinePunct w:val="0"/>
              <w:bidi w:val="0"/>
              <w:snapToGrid/>
              <w:spacing w:line="430" w:lineRule="exact"/>
              <w:ind w:left="0" w:leftChars="0"/>
              <w:jc w:val="both"/>
              <w:rPr>
                <w:rFonts w:ascii="宋体" w:hAnsi="宋体" w:cs="宋体"/>
                <w:bCs/>
                <w:color w:val="000000"/>
                <w:szCs w:val="21"/>
              </w:rPr>
            </w:pPr>
            <w:r>
              <w:rPr>
                <w:rFonts w:hint="eastAsia" w:ascii="宋体" w:hAnsi="宋体" w:cs="宋体"/>
                <w:szCs w:val="21"/>
              </w:rPr>
              <w:t>（2）</w:t>
            </w:r>
            <w:r>
              <w:rPr>
                <w:rFonts w:hint="eastAsia" w:ascii="宋体" w:hAnsi="宋体" w:cs="宋体"/>
                <w:bCs/>
                <w:color w:val="000000"/>
                <w:szCs w:val="21"/>
              </w:rPr>
              <w:t xml:space="preserve">采购人对成交供应商提交的货物依据采购文件上的技术规格要求和国家有关质量标准进行现场签收，符合采购文件技术要求的，给予签收，不合格的不予签收。 </w:t>
            </w:r>
          </w:p>
          <w:p>
            <w:pPr>
              <w:keepNext w:val="0"/>
              <w:keepLines w:val="0"/>
              <w:pageBreakBefore w:val="0"/>
              <w:kinsoku/>
              <w:wordWrap/>
              <w:overflowPunct/>
              <w:topLinePunct w:val="0"/>
              <w:bidi w:val="0"/>
              <w:snapToGrid/>
              <w:spacing w:line="430" w:lineRule="exact"/>
              <w:ind w:left="0" w:leftChars="0"/>
              <w:jc w:val="both"/>
              <w:rPr>
                <w:rFonts w:ascii="宋体" w:hAnsi="宋体" w:cs="宋体"/>
                <w:bCs/>
                <w:color w:val="000000"/>
                <w:szCs w:val="21"/>
              </w:rPr>
            </w:pPr>
            <w:r>
              <w:rPr>
                <w:rFonts w:hint="eastAsia" w:ascii="宋体" w:hAnsi="宋体" w:cs="宋体"/>
                <w:bCs/>
                <w:color w:val="000000"/>
                <w:szCs w:val="21"/>
              </w:rPr>
              <w:t xml:space="preserve">（3）成交供应商交货前应对产品作出全面检查和对验收文件进行整理，并列出清单，作为采购人收货验收和使用的技术条件依据，检验的结果应随货物交采购人。成交供应商不能完整交付货物及本款规定的相关证明材料的，必须负责补齐，否则视为未按合同约定交货。 </w:t>
            </w:r>
          </w:p>
          <w:p>
            <w:pPr>
              <w:keepNext w:val="0"/>
              <w:keepLines w:val="0"/>
              <w:pageBreakBefore w:val="0"/>
              <w:kinsoku/>
              <w:wordWrap/>
              <w:overflowPunct/>
              <w:topLinePunct w:val="0"/>
              <w:bidi w:val="0"/>
              <w:snapToGrid/>
              <w:spacing w:line="430" w:lineRule="exact"/>
              <w:ind w:left="0" w:leftChars="0"/>
              <w:jc w:val="both"/>
              <w:rPr>
                <w:rFonts w:ascii="宋体" w:hAnsi="宋体" w:cs="宋体"/>
                <w:bCs/>
                <w:color w:val="000000"/>
                <w:szCs w:val="21"/>
              </w:rPr>
            </w:pPr>
            <w:r>
              <w:rPr>
                <w:rFonts w:hint="eastAsia" w:ascii="宋体" w:hAnsi="宋体" w:cs="宋体"/>
                <w:bCs/>
                <w:color w:val="000000"/>
                <w:szCs w:val="21"/>
              </w:rPr>
              <w:t xml:space="preserve">（4）成交供应商需负责安装、调试，并培训采购人的使用操作人员，直到设备运行符合技术要求及采购人人员熟练操作后，采购人再进行组织验收。 </w:t>
            </w:r>
          </w:p>
          <w:p>
            <w:pPr>
              <w:keepNext w:val="0"/>
              <w:keepLines w:val="0"/>
              <w:pageBreakBefore w:val="0"/>
              <w:kinsoku/>
              <w:wordWrap/>
              <w:overflowPunct/>
              <w:topLinePunct w:val="0"/>
              <w:bidi w:val="0"/>
              <w:snapToGrid/>
              <w:spacing w:line="430" w:lineRule="exact"/>
              <w:ind w:left="0" w:leftChars="0"/>
              <w:jc w:val="both"/>
              <w:rPr>
                <w:rFonts w:ascii="宋体" w:hAnsi="宋体" w:cs="宋体"/>
                <w:bCs/>
                <w:color w:val="000000"/>
                <w:szCs w:val="21"/>
              </w:rPr>
            </w:pPr>
            <w:r>
              <w:rPr>
                <w:rFonts w:hint="eastAsia" w:ascii="宋体" w:hAnsi="宋体" w:cs="宋体"/>
                <w:bCs/>
                <w:color w:val="000000"/>
                <w:szCs w:val="21"/>
              </w:rPr>
              <w:t>（5）采购人组织验收，成交供应商必须到场配合，验收合格后双方签署验收合格凭证。</w:t>
            </w:r>
          </w:p>
          <w:p>
            <w:pPr>
              <w:pStyle w:val="17"/>
              <w:keepNext w:val="0"/>
              <w:keepLines w:val="0"/>
              <w:pageBreakBefore w:val="0"/>
              <w:kinsoku/>
              <w:wordWrap/>
              <w:overflowPunct/>
              <w:topLinePunct w:val="0"/>
              <w:bidi w:val="0"/>
              <w:snapToGrid/>
              <w:spacing w:line="430" w:lineRule="exact"/>
              <w:ind w:left="0" w:leftChars="0"/>
              <w:jc w:val="both"/>
              <w:rPr>
                <w:rFonts w:ascii="宋体" w:hAnsi="宋体" w:cs="宋体"/>
                <w:bCs/>
                <w:color w:val="FF0000"/>
                <w:szCs w:val="21"/>
              </w:rPr>
            </w:pPr>
            <w:r>
              <w:rPr>
                <w:rFonts w:hint="eastAsia" w:ascii="宋体" w:hAnsi="宋体" w:cs="宋体"/>
                <w:bCs/>
                <w:color w:val="000000"/>
                <w:szCs w:val="21"/>
              </w:rPr>
              <w:t>（6）其他未尽事宜应严格参照《关于印发广西壮族自治区政府采购项目履约验收管理办法的通知》[桂财采〔2015〕22 号]以及《财政部关于进一步加强政府采购需求和履约验收管理的指导意见》[财库〔2016〕205 号]规定执行。</w:t>
            </w:r>
          </w:p>
        </w:tc>
      </w:tr>
      <w:tr>
        <w:tblPrEx>
          <w:tblCellMar>
            <w:top w:w="0" w:type="dxa"/>
            <w:left w:w="108" w:type="dxa"/>
            <w:bottom w:w="0" w:type="dxa"/>
            <w:right w:w="108" w:type="dxa"/>
          </w:tblCellMar>
        </w:tblPrEx>
        <w:trPr>
          <w:trHeight w:val="945" w:hRule="atLeast"/>
          <w:jc w:val="center"/>
        </w:trPr>
        <w:tc>
          <w:tcPr>
            <w:tcW w:w="20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kern w:val="0"/>
                <w:szCs w:val="21"/>
              </w:rPr>
            </w:pPr>
            <w:r>
              <w:rPr>
                <w:rFonts w:hint="eastAsia" w:ascii="宋体" w:hAnsi="宋体" w:cs="宋体"/>
                <w:kern w:val="0"/>
                <w:szCs w:val="21"/>
              </w:rPr>
              <w:t>其他要求</w:t>
            </w:r>
          </w:p>
        </w:tc>
        <w:tc>
          <w:tcPr>
            <w:tcW w:w="809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30" w:lineRule="exact"/>
              <w:ind w:left="0" w:leftChars="0"/>
              <w:jc w:val="both"/>
              <w:rPr>
                <w:rFonts w:ascii="宋体" w:hAnsi="宋体" w:cs="宋体"/>
                <w:kern w:val="0"/>
                <w:szCs w:val="21"/>
              </w:rPr>
            </w:pPr>
            <w:r>
              <w:rPr>
                <w:rFonts w:hint="eastAsia" w:ascii="宋体" w:hAnsi="宋体" w:cs="宋体"/>
                <w:kern w:val="0"/>
                <w:szCs w:val="21"/>
              </w:rPr>
              <w:t>竞标人在竞标活动中提供任何虚假材料，以及竞标产品的技术参数不如实说明，报监管部门查处。</w:t>
            </w:r>
          </w:p>
        </w:tc>
      </w:tr>
    </w:tbl>
    <w:p>
      <w:pPr>
        <w:keepNext w:val="0"/>
        <w:keepLines w:val="0"/>
        <w:pageBreakBefore w:val="0"/>
        <w:kinsoku/>
        <w:wordWrap/>
        <w:overflowPunct/>
        <w:topLinePunct w:val="0"/>
        <w:bidi w:val="0"/>
        <w:snapToGrid/>
        <w:spacing w:line="430" w:lineRule="exact"/>
        <w:ind w:left="0" w:leftChars="0"/>
        <w:jc w:val="both"/>
      </w:pPr>
    </w:p>
    <w:p>
      <w:pPr>
        <w:pStyle w:val="13"/>
        <w:keepNext w:val="0"/>
        <w:keepLines w:val="0"/>
        <w:pageBreakBefore w:val="0"/>
        <w:kinsoku/>
        <w:wordWrap/>
        <w:overflowPunct/>
        <w:topLinePunct w:val="0"/>
        <w:bidi w:val="0"/>
        <w:snapToGrid/>
        <w:spacing w:line="430" w:lineRule="exact"/>
        <w:ind w:left="0" w:leftChars="0"/>
        <w:jc w:val="both"/>
      </w:pPr>
    </w:p>
    <w:p>
      <w:pPr>
        <w:keepNext w:val="0"/>
        <w:keepLines w:val="0"/>
        <w:pageBreakBefore w:val="0"/>
        <w:kinsoku/>
        <w:wordWrap/>
        <w:overflowPunct/>
        <w:topLinePunct w:val="0"/>
        <w:bidi w:val="0"/>
        <w:snapToGrid/>
        <w:spacing w:line="430" w:lineRule="exact"/>
        <w:ind w:left="0" w:leftChars="0"/>
        <w:jc w:val="both"/>
      </w:pPr>
    </w:p>
    <w:bookmarkEnd w:id="40"/>
    <w:p>
      <w:pPr>
        <w:keepNext w:val="0"/>
        <w:keepLines w:val="0"/>
        <w:pageBreakBefore w:val="0"/>
        <w:widowControl/>
        <w:kinsoku/>
        <w:wordWrap/>
        <w:overflowPunct/>
        <w:topLinePunct w:val="0"/>
        <w:bidi w:val="0"/>
        <w:snapToGrid/>
        <w:spacing w:line="430" w:lineRule="exact"/>
        <w:ind w:left="0" w:leftChars="0"/>
        <w:jc w:val="both"/>
        <w:rPr>
          <w:rFonts w:ascii="宋体" w:hAnsi="宋体"/>
          <w:color w:val="0D0D0D" w:themeColor="text1" w:themeTint="F2"/>
          <w:szCs w:val="21"/>
          <w14:textFill>
            <w14:solidFill>
              <w14:schemeClr w14:val="tx1">
                <w14:lumMod w14:val="95000"/>
                <w14:lumOff w14:val="5000"/>
              </w14:schemeClr>
            </w14:solidFill>
          </w14:textFill>
        </w:rPr>
      </w:pPr>
    </w:p>
    <w:p>
      <w:pPr>
        <w:keepNext w:val="0"/>
        <w:keepLines w:val="0"/>
        <w:pageBreakBefore w:val="0"/>
        <w:widowControl/>
        <w:kinsoku/>
        <w:wordWrap/>
        <w:overflowPunct/>
        <w:topLinePunct w:val="0"/>
        <w:bidi w:val="0"/>
        <w:snapToGrid/>
        <w:spacing w:line="430" w:lineRule="exact"/>
        <w:ind w:left="0" w:leftChars="0"/>
        <w:jc w:val="both"/>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br w:type="page"/>
      </w:r>
    </w:p>
    <w:p>
      <w:pPr>
        <w:widowControl/>
        <w:jc w:val="left"/>
        <w:rPr>
          <w:rFonts w:ascii="宋体" w:hAnsi="宋体"/>
          <w:color w:val="0D0D0D" w:themeColor="text1" w:themeTint="F2"/>
          <w:szCs w:val="21"/>
          <w14:textFill>
            <w14:solidFill>
              <w14:schemeClr w14:val="tx1">
                <w14:lumMod w14:val="95000"/>
                <w14:lumOff w14:val="5000"/>
              </w14:schemeClr>
            </w14:solidFill>
          </w14:textFill>
        </w:rPr>
      </w:pPr>
    </w:p>
    <w:p>
      <w:pPr>
        <w:pStyle w:val="105"/>
        <w:rPr>
          <w:rFonts w:ascii="宋体" w:hAnsi="宋体"/>
          <w:color w:val="0D0D0D" w:themeColor="text1" w:themeTint="F2"/>
          <w:szCs w:val="21"/>
          <w14:textFill>
            <w14:solidFill>
              <w14:schemeClr w14:val="tx1">
                <w14:lumMod w14:val="95000"/>
                <w14:lumOff w14:val="5000"/>
              </w14:schemeClr>
            </w14:solidFill>
          </w14:textFill>
        </w:rPr>
      </w:pPr>
    </w:p>
    <w:p>
      <w:pPr>
        <w:pStyle w:val="105"/>
        <w:rPr>
          <w:rFonts w:ascii="宋体" w:hAnsi="宋体"/>
          <w:color w:val="0D0D0D" w:themeColor="text1" w:themeTint="F2"/>
          <w:szCs w:val="21"/>
          <w14:textFill>
            <w14:solidFill>
              <w14:schemeClr w14:val="tx1">
                <w14:lumMod w14:val="95000"/>
                <w14:lumOff w14:val="5000"/>
              </w14:schemeClr>
            </w14:solidFill>
          </w14:textFill>
        </w:rPr>
      </w:pPr>
    </w:p>
    <w:p>
      <w:pPr>
        <w:pStyle w:val="105"/>
        <w:rPr>
          <w:rFonts w:ascii="宋体" w:hAnsi="宋体"/>
          <w:color w:val="0D0D0D" w:themeColor="text1" w:themeTint="F2"/>
          <w:szCs w:val="21"/>
          <w14:textFill>
            <w14:solidFill>
              <w14:schemeClr w14:val="tx1">
                <w14:lumMod w14:val="95000"/>
                <w14:lumOff w14:val="5000"/>
              </w14:schemeClr>
            </w14:solidFill>
          </w14:textFill>
        </w:rPr>
      </w:pPr>
    </w:p>
    <w:p>
      <w:pPr>
        <w:pStyle w:val="105"/>
        <w:rPr>
          <w:rFonts w:ascii="宋体" w:hAnsi="宋体"/>
          <w:color w:val="0D0D0D" w:themeColor="text1" w:themeTint="F2"/>
          <w:szCs w:val="21"/>
          <w14:textFill>
            <w14:solidFill>
              <w14:schemeClr w14:val="tx1">
                <w14:lumMod w14:val="95000"/>
                <w14:lumOff w14:val="5000"/>
              </w14:schemeClr>
            </w14:solidFill>
          </w14:textFill>
        </w:rPr>
      </w:pPr>
    </w:p>
    <w:p>
      <w:pPr>
        <w:pStyle w:val="105"/>
        <w:rPr>
          <w:rFonts w:ascii="宋体" w:hAnsi="宋体"/>
          <w:color w:val="0D0D0D" w:themeColor="text1" w:themeTint="F2"/>
          <w:szCs w:val="21"/>
          <w14:textFill>
            <w14:solidFill>
              <w14:schemeClr w14:val="tx1">
                <w14:lumMod w14:val="95000"/>
                <w14:lumOff w14:val="5000"/>
              </w14:schemeClr>
            </w14:solidFill>
          </w14:textFill>
        </w:rPr>
      </w:pPr>
    </w:p>
    <w:p>
      <w:pPr>
        <w:pStyle w:val="105"/>
        <w:rPr>
          <w:rFonts w:ascii="宋体" w:hAnsi="宋体"/>
          <w:color w:val="0D0D0D" w:themeColor="text1" w:themeTint="F2"/>
          <w:szCs w:val="21"/>
          <w14:textFill>
            <w14:solidFill>
              <w14:schemeClr w14:val="tx1">
                <w14:lumMod w14:val="95000"/>
                <w14:lumOff w14:val="5000"/>
              </w14:schemeClr>
            </w14:solidFill>
          </w14:textFill>
        </w:rPr>
      </w:pPr>
    </w:p>
    <w:p>
      <w:pPr>
        <w:pStyle w:val="105"/>
        <w:rPr>
          <w:rFonts w:ascii="宋体" w:hAnsi="宋体"/>
          <w:color w:val="0D0D0D" w:themeColor="text1" w:themeTint="F2"/>
          <w:szCs w:val="21"/>
          <w14:textFill>
            <w14:solidFill>
              <w14:schemeClr w14:val="tx1">
                <w14:lumMod w14:val="95000"/>
                <w14:lumOff w14:val="5000"/>
              </w14:schemeClr>
            </w14:solidFill>
          </w14:textFill>
        </w:rPr>
      </w:pPr>
    </w:p>
    <w:p>
      <w:pPr>
        <w:pStyle w:val="105"/>
        <w:rPr>
          <w:rFonts w:ascii="宋体" w:hAnsi="宋体"/>
          <w:color w:val="0D0D0D" w:themeColor="text1" w:themeTint="F2"/>
          <w:szCs w:val="21"/>
          <w14:textFill>
            <w14:solidFill>
              <w14:schemeClr w14:val="tx1">
                <w14:lumMod w14:val="95000"/>
                <w14:lumOff w14:val="5000"/>
              </w14:schemeClr>
            </w14:solidFill>
          </w14:textFill>
        </w:rPr>
      </w:pPr>
    </w:p>
    <w:p>
      <w:pPr>
        <w:pStyle w:val="105"/>
        <w:rPr>
          <w:rFonts w:ascii="宋体" w:hAnsi="宋体"/>
          <w:color w:val="0D0D0D" w:themeColor="text1" w:themeTint="F2"/>
          <w:szCs w:val="21"/>
          <w14:textFill>
            <w14:solidFill>
              <w14:schemeClr w14:val="tx1">
                <w14:lumMod w14:val="95000"/>
                <w14:lumOff w14:val="5000"/>
              </w14:schemeClr>
            </w14:solidFill>
          </w14:textFill>
        </w:rPr>
      </w:pPr>
    </w:p>
    <w:p>
      <w:pPr>
        <w:widowControl/>
        <w:jc w:val="left"/>
        <w:rPr>
          <w:rFonts w:ascii="宋体" w:hAnsi="宋体"/>
          <w:color w:val="0D0D0D" w:themeColor="text1" w:themeTint="F2"/>
          <w:szCs w:val="21"/>
          <w14:textFill>
            <w14:solidFill>
              <w14:schemeClr w14:val="tx1">
                <w14:lumMod w14:val="95000"/>
                <w14:lumOff w14:val="5000"/>
              </w14:schemeClr>
            </w14:solidFill>
          </w14:textFill>
        </w:rPr>
      </w:pPr>
    </w:p>
    <w:p>
      <w:pPr>
        <w:widowControl/>
        <w:jc w:val="left"/>
        <w:rPr>
          <w:rFonts w:ascii="宋体" w:hAnsi="宋体"/>
          <w:color w:val="0D0D0D" w:themeColor="text1" w:themeTint="F2"/>
          <w:szCs w:val="21"/>
          <w14:textFill>
            <w14:solidFill>
              <w14:schemeClr w14:val="tx1">
                <w14:lumMod w14:val="95000"/>
                <w14:lumOff w14:val="5000"/>
              </w14:schemeClr>
            </w14:solidFill>
          </w14:textFill>
        </w:rPr>
      </w:pPr>
    </w:p>
    <w:p>
      <w:pPr>
        <w:widowControl/>
        <w:jc w:val="left"/>
        <w:rPr>
          <w:rFonts w:ascii="宋体" w:hAnsi="宋体"/>
          <w:color w:val="0D0D0D" w:themeColor="text1" w:themeTint="F2"/>
          <w:szCs w:val="21"/>
          <w14:textFill>
            <w14:solidFill>
              <w14:schemeClr w14:val="tx1">
                <w14:lumMod w14:val="95000"/>
                <w14:lumOff w14:val="5000"/>
              </w14:schemeClr>
            </w14:solidFill>
          </w14:textFill>
        </w:rPr>
      </w:pPr>
    </w:p>
    <w:p>
      <w:pPr>
        <w:widowControl/>
        <w:ind w:firstLine="2610" w:firstLineChars="500"/>
        <w:jc w:val="left"/>
        <w:rPr>
          <w:rFonts w:ascii="黑体" w:hAnsi="黑体" w:eastAsia="黑体"/>
          <w:b/>
          <w:color w:val="0D0D0D" w:themeColor="text1" w:themeTint="F2"/>
          <w:sz w:val="52"/>
          <w:szCs w:val="52"/>
          <w14:textFill>
            <w14:solidFill>
              <w14:schemeClr w14:val="tx1">
                <w14:lumMod w14:val="95000"/>
                <w14:lumOff w14:val="5000"/>
              </w14:schemeClr>
            </w14:solidFill>
          </w14:textFill>
        </w:rPr>
      </w:pPr>
      <w:bookmarkStart w:id="41" w:name="_Toc92355025"/>
      <w:r>
        <w:rPr>
          <w:rFonts w:hint="eastAsia" w:ascii="黑体" w:hAnsi="黑体" w:eastAsia="黑体"/>
          <w:b/>
          <w:color w:val="0D0D0D" w:themeColor="text1" w:themeTint="F2"/>
          <w:sz w:val="52"/>
          <w:szCs w:val="52"/>
          <w14:textFill>
            <w14:solidFill>
              <w14:schemeClr w14:val="tx1">
                <w14:lumMod w14:val="95000"/>
                <w14:lumOff w14:val="5000"/>
              </w14:schemeClr>
            </w14:solidFill>
          </w14:textFill>
        </w:rPr>
        <w:t>第三章  供应商须知</w:t>
      </w:r>
      <w:bookmarkEnd w:id="38"/>
      <w:bookmarkEnd w:id="39"/>
      <w:bookmarkEnd w:id="41"/>
    </w:p>
    <w:p>
      <w:pPr>
        <w:jc w:val="center"/>
      </w:pPr>
      <w:bookmarkStart w:id="42" w:name="_Toc357157408"/>
      <w:bookmarkStart w:id="43" w:name="_Toc358477281"/>
      <w:bookmarkStart w:id="44" w:name="_Toc354479499"/>
      <w:bookmarkStart w:id="45" w:name="_Toc350325671"/>
      <w:r>
        <w:rPr>
          <w:rFonts w:ascii="仿宋_GB2312" w:hAnsi="宋体" w:eastAsia="仿宋_GB2312"/>
          <w:b/>
          <w:color w:val="0D0D0D" w:themeColor="text1" w:themeTint="F2"/>
          <w:sz w:val="32"/>
          <w:szCs w:val="32"/>
          <w14:textFill>
            <w14:solidFill>
              <w14:schemeClr w14:val="tx1">
                <w14:lumMod w14:val="95000"/>
                <w14:lumOff w14:val="5000"/>
              </w14:schemeClr>
            </w14:solidFill>
          </w14:textFill>
        </w:rPr>
        <w:br w:type="page"/>
      </w:r>
    </w:p>
    <w:p/>
    <w:p>
      <w:pPr>
        <w:jc w:val="center"/>
        <w:rPr>
          <w:rFonts w:ascii="黑体" w:hAnsi="黑体" w:eastAsia="黑体"/>
          <w:b/>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b/>
          <w:color w:val="0D0D0D" w:themeColor="text1" w:themeTint="F2"/>
          <w:sz w:val="32"/>
          <w:szCs w:val="32"/>
          <w14:textFill>
            <w14:solidFill>
              <w14:schemeClr w14:val="tx1">
                <w14:lumMod w14:val="95000"/>
                <w14:lumOff w14:val="5000"/>
              </w14:schemeClr>
            </w14:solidFill>
          </w14:textFill>
        </w:rPr>
        <w:t>一、供应商须知前附表</w:t>
      </w:r>
    </w:p>
    <w:tbl>
      <w:tblPr>
        <w:tblStyle w:val="40"/>
        <w:tblW w:w="0" w:type="auto"/>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    容</w:t>
            </w:r>
          </w:p>
        </w:tc>
      </w:tr>
      <w:tr>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8647" w:type="dxa"/>
            <w:tcBorders>
              <w:top w:val="single" w:color="000000" w:sz="4" w:space="0"/>
              <w:left w:val="nil"/>
              <w:bottom w:val="single" w:color="000000" w:sz="4" w:space="0"/>
              <w:right w:val="single" w:color="000000" w:sz="4" w:space="0"/>
            </w:tcBorders>
            <w:vAlign w:val="center"/>
          </w:tcPr>
          <w:p>
            <w:pPr>
              <w:spacing w:line="400" w:lineRule="exact"/>
              <w:rPr>
                <w:color w:val="000000"/>
              </w:rPr>
            </w:pPr>
            <w:r>
              <w:rPr>
                <w:rFonts w:hint="eastAsia"/>
                <w:color w:val="000000"/>
              </w:rPr>
              <w:fldChar w:fldCharType="begin"/>
            </w:r>
            <w:r>
              <w:rPr>
                <w:rFonts w:hint="eastAsia"/>
                <w:color w:val="000000"/>
              </w:rPr>
              <w:instrText xml:space="preserve"> HYPERLINK  \l "_一、总_则" </w:instrText>
            </w:r>
            <w:r>
              <w:rPr>
                <w:rFonts w:hint="eastAsia"/>
                <w:color w:val="000000"/>
              </w:rPr>
              <w:fldChar w:fldCharType="separate"/>
            </w:r>
            <w:r>
              <w:rPr>
                <w:rFonts w:hint="eastAsia"/>
                <w:color w:val="000000"/>
              </w:rPr>
              <w:t>项目名称：钦州幼儿师范高等专科学校中文专业融媒体实训室</w:t>
            </w:r>
          </w:p>
          <w:p>
            <w:pPr>
              <w:widowControl/>
              <w:spacing w:line="400" w:lineRule="exact"/>
              <w:rPr>
                <w:rFonts w:ascii="宋体" w:hAnsi="宋体"/>
                <w:color w:val="000000" w:themeColor="text1"/>
                <w:szCs w:val="21"/>
                <w14:textFill>
                  <w14:solidFill>
                    <w14:schemeClr w14:val="tx1"/>
                  </w14:solidFill>
                </w14:textFill>
              </w:rPr>
            </w:pPr>
            <w:r>
              <w:rPr>
                <w:rFonts w:hint="eastAsia"/>
                <w:color w:val="000000"/>
              </w:rPr>
              <w:t>项目编号：</w:t>
            </w:r>
            <w:r>
              <w:rPr>
                <w:rFonts w:hint="eastAsia"/>
                <w:color w:val="000000"/>
              </w:rPr>
              <w:fldChar w:fldCharType="end"/>
            </w:r>
            <w:r>
              <w:rPr>
                <w:rFonts w:hint="eastAsia"/>
                <w:color w:val="000000"/>
              </w:rPr>
              <w:t>QZZC2024-J1-990499-QZSZ</w:t>
            </w:r>
          </w:p>
        </w:tc>
      </w:tr>
      <w:tr>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7"/>
                <w:color w:val="000000" w:themeColor="text1"/>
                <w:szCs w:val="21"/>
                <w:u w:val="none"/>
                <w14:textFill>
                  <w14:solidFill>
                    <w14:schemeClr w14:val="tx1"/>
                  </w14:solidFill>
                </w14:textFill>
              </w:rPr>
            </w:pPr>
            <w:r>
              <w:rPr>
                <w:rStyle w:val="47"/>
                <w:rFonts w:hint="eastAsia"/>
                <w:color w:val="000000" w:themeColor="text1"/>
                <w:szCs w:val="21"/>
                <w:u w:val="none"/>
                <w14:textFill>
                  <w14:solidFill>
                    <w14:schemeClr w14:val="tx1"/>
                  </w14:solidFill>
                </w14:textFill>
              </w:rPr>
              <w:fldChar w:fldCharType="begin"/>
            </w:r>
            <w:r>
              <w:rPr>
                <w:rStyle w:val="47"/>
                <w:rFonts w:hint="eastAsia"/>
                <w:color w:val="000000" w:themeColor="text1"/>
                <w:szCs w:val="21"/>
                <w:u w:val="none"/>
                <w14:textFill>
                  <w14:solidFill>
                    <w14:schemeClr w14:val="tx1"/>
                  </w14:solidFill>
                </w14:textFill>
              </w:rPr>
              <w:instrText xml:space="preserve"> HYPERLINK  \l "_一、总_则" </w:instrText>
            </w:r>
            <w:r>
              <w:rPr>
                <w:rStyle w:val="47"/>
                <w:rFonts w:hint="eastAsia"/>
                <w:color w:val="000000" w:themeColor="text1"/>
                <w:szCs w:val="21"/>
                <w:u w:val="none"/>
                <w14:textFill>
                  <w14:solidFill>
                    <w14:schemeClr w14:val="tx1"/>
                  </w14:solidFill>
                </w14:textFill>
              </w:rPr>
              <w:fldChar w:fldCharType="separate"/>
            </w:r>
            <w:r>
              <w:rPr>
                <w:rStyle w:val="47"/>
                <w:rFonts w:hint="eastAsia"/>
                <w:color w:val="000000" w:themeColor="text1"/>
                <w:szCs w:val="21"/>
                <w:u w:val="none"/>
                <w14:textFill>
                  <w14:solidFill>
                    <w14:schemeClr w14:val="tx1"/>
                  </w14:solidFill>
                </w14:textFill>
              </w:rPr>
              <w:t>供应商资格：</w:t>
            </w:r>
          </w:p>
          <w:p>
            <w:pPr>
              <w:spacing w:line="400" w:lineRule="exact"/>
              <w:rPr>
                <w:color w:val="000000"/>
              </w:rPr>
            </w:pPr>
            <w:r>
              <w:rPr>
                <w:rStyle w:val="47"/>
                <w:rFonts w:hint="eastAsia"/>
                <w:color w:val="000000" w:themeColor="text1"/>
                <w:szCs w:val="21"/>
                <w:u w:val="none"/>
                <w14:textFill>
                  <w14:solidFill>
                    <w14:schemeClr w14:val="tx1"/>
                  </w14:solidFill>
                </w14:textFill>
              </w:rPr>
              <w:fldChar w:fldCharType="end"/>
            </w:r>
            <w:r>
              <w:rPr>
                <w:rFonts w:hint="eastAsia"/>
                <w:color w:val="000000"/>
              </w:rPr>
              <w:t>1.满足《中华人民共和国政府采购法》第二十二条规定</w:t>
            </w:r>
          </w:p>
          <w:p>
            <w:pPr>
              <w:spacing w:line="400" w:lineRule="exact"/>
              <w:rPr>
                <w:color w:val="000000"/>
              </w:rPr>
            </w:pPr>
            <w:r>
              <w:rPr>
                <w:rFonts w:hint="eastAsia"/>
                <w:color w:val="000000"/>
              </w:rPr>
              <w:t>2.落实政府采购政策需满足的资格要求：无</w:t>
            </w:r>
          </w:p>
          <w:p>
            <w:pPr>
              <w:spacing w:line="400" w:lineRule="exact"/>
              <w:rPr>
                <w:rFonts w:ascii="宋体" w:hAnsi="宋体"/>
                <w:color w:val="000000" w:themeColor="text1"/>
                <w14:textFill>
                  <w14:solidFill>
                    <w14:schemeClr w14:val="tx1"/>
                  </w14:solidFill>
                </w14:textFill>
              </w:rPr>
            </w:pPr>
            <w:r>
              <w:rPr>
                <w:rFonts w:hint="eastAsia"/>
                <w:color w:val="000000"/>
              </w:rPr>
              <w:t>3.本项目的特定资格要求:无</w:t>
            </w:r>
          </w:p>
        </w:tc>
      </w:tr>
      <w:tr>
        <w:tblPrEx>
          <w:tblCellMar>
            <w:top w:w="0" w:type="dxa"/>
            <w:left w:w="108" w:type="dxa"/>
            <w:bottom w:w="0" w:type="dxa"/>
            <w:right w:w="108" w:type="dxa"/>
          </w:tblCellMar>
        </w:tblPrEx>
        <w:trPr>
          <w:trHeight w:val="614" w:hRule="atLeast"/>
          <w:jc w:val="center"/>
        </w:trPr>
        <w:tc>
          <w:tcPr>
            <w:tcW w:w="704" w:type="dxa"/>
            <w:tcBorders>
              <w:top w:val="single" w:color="000000" w:sz="4" w:space="0"/>
              <w:left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8647" w:type="dxa"/>
            <w:tcBorders>
              <w:top w:val="single" w:color="000000" w:sz="4" w:space="0"/>
              <w:left w:val="nil"/>
              <w:right w:val="single" w:color="000000" w:sz="4" w:space="0"/>
            </w:tcBorders>
            <w:vAlign w:val="center"/>
          </w:tcPr>
          <w:p>
            <w:pPr>
              <w:spacing w:line="400" w:lineRule="exact"/>
              <w:rPr>
                <w:color w:val="000000"/>
              </w:rPr>
            </w:pPr>
            <w:r>
              <w:fldChar w:fldCharType="begin"/>
            </w:r>
            <w:r>
              <w:instrText xml:space="preserve"> HYPERLINK \l "_一、总_则" </w:instrText>
            </w:r>
            <w:r>
              <w:fldChar w:fldCharType="separate"/>
            </w:r>
            <w:r>
              <w:rPr>
                <w:rStyle w:val="47"/>
                <w:rFonts w:hint="eastAsia"/>
                <w:color w:val="auto"/>
                <w:u w:val="none"/>
              </w:rPr>
              <w:t>本项目</w:t>
            </w:r>
            <w:r>
              <w:rPr>
                <w:rStyle w:val="47"/>
                <w:rFonts w:hint="eastAsia"/>
                <w:color w:val="auto"/>
                <w:u w:val="none"/>
                <w:lang w:val="en-US" w:eastAsia="zh-CN"/>
              </w:rPr>
              <w:t>不</w:t>
            </w:r>
            <w:r>
              <w:rPr>
                <w:rStyle w:val="47"/>
                <w:rFonts w:hint="eastAsia"/>
                <w:color w:val="auto"/>
                <w:u w:val="none"/>
              </w:rPr>
              <w:t>接受联合体参与。</w:t>
            </w:r>
            <w:r>
              <w:rPr>
                <w:rStyle w:val="47"/>
                <w:rFonts w:hint="eastAsia"/>
                <w:color w:val="auto"/>
                <w:u w:val="none"/>
              </w:rPr>
              <w:fldChar w:fldCharType="end"/>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ascii="宋体" w:hAnsi="宋体"/>
                <w:color w:val="000000" w:themeColor="text1"/>
                <w14:textFill>
                  <w14:solidFill>
                    <w14:schemeClr w14:val="tx1"/>
                  </w14:solidFill>
                </w14:textFill>
              </w:rPr>
            </w:pPr>
            <w:r>
              <w:fldChar w:fldCharType="begin"/>
            </w:r>
            <w:r>
              <w:instrText xml:space="preserve"> HYPERLINK \l "_（五）报价" </w:instrText>
            </w:r>
            <w:r>
              <w:fldChar w:fldCharType="separate"/>
            </w:r>
            <w:r>
              <w:rPr>
                <w:rStyle w:val="47"/>
                <w:rFonts w:hint="eastAsia" w:ascii="宋体" w:hAnsi="宋体" w:cs="宋体"/>
                <w:color w:val="000000" w:themeColor="text1"/>
                <w:kern w:val="0"/>
                <w:szCs w:val="21"/>
                <w:u w:val="none"/>
                <w14:textFill>
                  <w14:solidFill>
                    <w14:schemeClr w14:val="tx1"/>
                  </w14:solidFill>
                </w14:textFill>
              </w:rPr>
              <w:t>报价：供应商的报价必须按采购文件或政府采购云平台规定的格式填写，并在规定时间内提交最后报价。</w:t>
            </w:r>
            <w:r>
              <w:rPr>
                <w:rStyle w:val="47"/>
                <w:rFonts w:hint="eastAsia" w:ascii="宋体" w:hAnsi="宋体" w:cs="宋体"/>
                <w:color w:val="000000" w:themeColor="text1"/>
                <w:kern w:val="0"/>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110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color w:val="000000" w:themeColor="text1"/>
                <w:kern w:val="0"/>
                <w:szCs w:val="21"/>
                <w14:textFill>
                  <w14:solidFill>
                    <w14:schemeClr w14:val="tx1"/>
                  </w14:solidFill>
                </w14:textFill>
              </w:rPr>
            </w:pPr>
            <w:r>
              <w:fldChar w:fldCharType="begin"/>
            </w:r>
            <w:r>
              <w:instrText xml:space="preserve"> HYPERLINK \l "_（六）谈判保证金" </w:instrText>
            </w:r>
            <w:r>
              <w:fldChar w:fldCharType="separate"/>
            </w:r>
            <w:r>
              <w:rPr>
                <w:rStyle w:val="47"/>
                <w:rFonts w:hint="eastAsia" w:ascii="宋体" w:hAnsi="宋体" w:cs="宋体"/>
                <w:color w:val="000000" w:themeColor="text1"/>
                <w:kern w:val="0"/>
                <w:szCs w:val="21"/>
                <w:u w:val="none"/>
                <w14:textFill>
                  <w14:solidFill>
                    <w14:schemeClr w14:val="tx1"/>
                  </w14:solidFill>
                </w14:textFill>
              </w:rPr>
              <w:t>谈判保证金：</w:t>
            </w:r>
            <w:r>
              <w:rPr>
                <w:rFonts w:hint="eastAsia" w:ascii="宋体" w:hAnsi="宋体" w:cs="宋体"/>
                <w:color w:val="000000" w:themeColor="text1"/>
                <w:kern w:val="0"/>
                <w:szCs w:val="21"/>
                <w14:textFill>
                  <w14:solidFill>
                    <w14:schemeClr w14:val="tx1"/>
                  </w14:solidFill>
                </w14:textFill>
              </w:rPr>
              <w:t>无</w:t>
            </w:r>
            <w:r>
              <w:rPr>
                <w:rFonts w:hint="eastAsia" w:ascii="宋体" w:hAnsi="宋体" w:cs="宋体"/>
                <w:color w:val="000000" w:themeColor="text1"/>
                <w:kern w:val="0"/>
                <w:szCs w:val="21"/>
                <w14:textFill>
                  <w14:solidFill>
                    <w14:schemeClr w14:val="tx1"/>
                  </w14:solidFill>
                </w14:textFill>
              </w:rPr>
              <w:fldChar w:fldCharType="end"/>
            </w:r>
          </w:p>
        </w:tc>
      </w:tr>
      <w:tr>
        <w:tblPrEx>
          <w:tblCellMar>
            <w:top w:w="0" w:type="dxa"/>
            <w:left w:w="108" w:type="dxa"/>
            <w:bottom w:w="0" w:type="dxa"/>
            <w:right w:w="108" w:type="dxa"/>
          </w:tblCellMar>
        </w:tblPrEx>
        <w:trPr>
          <w:trHeight w:val="193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7"/>
                <w:rFonts w:ascii="宋体" w:hAnsi="宋体"/>
                <w:color w:val="000000" w:themeColor="text1"/>
                <w:szCs w:val="21"/>
                <w:u w:val="none"/>
                <w14:textFill>
                  <w14:solidFill>
                    <w14:schemeClr w14:val="tx1"/>
                  </w14:solidFill>
                </w14:textFill>
              </w:rPr>
            </w:pPr>
            <w:r>
              <w:rPr>
                <w:rFonts w:ascii="宋体" w:hAnsi="宋体" w:cs="宋体"/>
                <w:color w:val="000000" w:themeColor="text1"/>
                <w:kern w:val="0"/>
                <w:szCs w:val="21"/>
                <w14:textFill>
                  <w14:solidFill>
                    <w14:schemeClr w14:val="tx1"/>
                  </w14:solidFill>
                </w14:textFill>
              </w:rPr>
              <w:fldChar w:fldCharType="begin"/>
            </w:r>
            <w:r>
              <w:rPr>
                <w:rFonts w:ascii="宋体" w:hAnsi="宋体" w:cs="宋体"/>
                <w:color w:val="000000" w:themeColor="text1"/>
                <w:kern w:val="0"/>
                <w:szCs w:val="21"/>
                <w14:textFill>
                  <w14:solidFill>
                    <w14:schemeClr w14:val="tx1"/>
                  </w14:solidFill>
                </w14:textFill>
              </w:rPr>
              <w:instrText xml:space="preserve"> </w:instrText>
            </w:r>
            <w:r>
              <w:rPr>
                <w:rFonts w:hint="eastAsia" w:ascii="宋体" w:hAnsi="宋体" w:cs="宋体"/>
                <w:color w:val="000000" w:themeColor="text1"/>
                <w:kern w:val="0"/>
                <w:szCs w:val="21"/>
                <w14:textFill>
                  <w14:solidFill>
                    <w14:schemeClr w14:val="tx1"/>
                  </w14:solidFill>
                </w14:textFill>
              </w:rPr>
              <w:instrText xml:space="preserve">HYPERLINK </w:instrText>
            </w:r>
            <w:r>
              <w:rPr>
                <w:rFonts w:ascii="宋体" w:hAnsi="宋体" w:cs="宋体"/>
                <w:color w:val="000000" w:themeColor="text1"/>
                <w:kern w:val="0"/>
                <w:szCs w:val="21"/>
                <w14:textFill>
                  <w14:solidFill>
                    <w14:schemeClr w14:val="tx1"/>
                  </w14:solidFill>
                </w14:textFill>
              </w:rPr>
              <w:instrText xml:space="preserve"> \l "_四、响应文件开启" </w:instrText>
            </w:r>
            <w:r>
              <w:rPr>
                <w:rFonts w:ascii="宋体" w:hAnsi="宋体" w:cs="宋体"/>
                <w:color w:val="000000" w:themeColor="text1"/>
                <w:kern w:val="0"/>
                <w:szCs w:val="21"/>
                <w14:textFill>
                  <w14:solidFill>
                    <w14:schemeClr w14:val="tx1"/>
                  </w14:solidFill>
                </w14:textFill>
              </w:rPr>
              <w:fldChar w:fldCharType="separate"/>
            </w:r>
            <w:r>
              <w:rPr>
                <w:rStyle w:val="47"/>
                <w:rFonts w:hint="eastAsia" w:ascii="宋体" w:hAnsi="宋体" w:cs="宋体"/>
                <w:color w:val="000000" w:themeColor="text1"/>
                <w:kern w:val="0"/>
                <w:szCs w:val="21"/>
                <w:u w:val="none"/>
                <w14:textFill>
                  <w14:solidFill>
                    <w14:schemeClr w14:val="tx1"/>
                  </w14:solidFill>
                </w14:textFill>
              </w:rPr>
              <w:t>响应文件提交截止时间及开启时间：</w:t>
            </w:r>
            <w:r>
              <w:rPr>
                <w:rFonts w:hint="eastAsia"/>
                <w:color w:val="000000"/>
              </w:rPr>
              <w:t>2024年1</w:t>
            </w:r>
            <w:r>
              <w:rPr>
                <w:rFonts w:hint="eastAsia"/>
                <w:color w:val="000000"/>
                <w:lang w:val="en-US" w:eastAsia="zh-CN"/>
              </w:rPr>
              <w:t>2</w:t>
            </w:r>
            <w:r>
              <w:rPr>
                <w:rFonts w:hint="eastAsia"/>
                <w:color w:val="000000"/>
              </w:rPr>
              <w:t>月</w:t>
            </w:r>
            <w:r>
              <w:rPr>
                <w:rFonts w:hint="eastAsia"/>
                <w:color w:val="000000"/>
                <w:lang w:val="en-US" w:eastAsia="zh-CN"/>
              </w:rPr>
              <w:t>11</w:t>
            </w:r>
            <w:r>
              <w:rPr>
                <w:rFonts w:hint="eastAsia"/>
                <w:color w:val="000000"/>
              </w:rPr>
              <w:t>日09时30分</w:t>
            </w:r>
            <w:r>
              <w:rPr>
                <w:rStyle w:val="47"/>
                <w:rFonts w:hint="eastAsia" w:ascii="宋体" w:hAnsi="宋体" w:cs="宋体"/>
                <w:color w:val="000000" w:themeColor="text1"/>
                <w:kern w:val="0"/>
                <w:szCs w:val="21"/>
                <w:u w:val="none"/>
                <w14:textFill>
                  <w14:solidFill>
                    <w14:schemeClr w14:val="tx1"/>
                  </w14:solidFill>
                </w14:textFill>
              </w:rPr>
              <w:t>（北京时间）</w:t>
            </w:r>
          </w:p>
          <w:p>
            <w:pPr>
              <w:widowControl/>
              <w:spacing w:line="440" w:lineRule="exact"/>
              <w:rPr>
                <w:color w:val="000000" w:themeColor="text1"/>
                <w14:textFill>
                  <w14:solidFill>
                    <w14:schemeClr w14:val="tx1"/>
                  </w14:solidFill>
                </w14:textFill>
              </w:rPr>
            </w:pPr>
            <w:r>
              <w:rPr>
                <w:rStyle w:val="47"/>
                <w:rFonts w:hint="eastAsia"/>
                <w:b/>
                <w:color w:val="000000" w:themeColor="text1"/>
                <w:szCs w:val="21"/>
                <w:u w:val="none"/>
                <w14:textFill>
                  <w14:solidFill>
                    <w14:schemeClr w14:val="tx1"/>
                  </w14:solidFill>
                </w14:textFill>
              </w:rPr>
              <w:t>注意事项：</w:t>
            </w:r>
            <w:r>
              <w:rPr>
                <w:rStyle w:val="47"/>
                <w:rFonts w:hint="eastAsia"/>
                <w:bCs/>
                <w:color w:val="000000" w:themeColor="text1"/>
                <w:u w:val="none"/>
                <w14:textFill>
                  <w14:solidFill>
                    <w14:schemeClr w14:val="tx1"/>
                  </w14:solidFill>
                </w14:textFill>
              </w:rPr>
              <w:t>供应商法定代表人或委托代理人须按时登陆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color w:val="000000" w:themeColor="text1"/>
                <w:kern w:val="0"/>
                <w:szCs w:val="21"/>
                <w14:textFill>
                  <w14:solidFill>
                    <w14:schemeClr w14:val="tx1"/>
                  </w14:solidFill>
                </w14:textFill>
              </w:rPr>
              <w:fldChar w:fldCharType="end"/>
            </w:r>
          </w:p>
        </w:tc>
      </w:tr>
      <w:tr>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7"/>
                <w:color w:val="000000" w:themeColor="text1"/>
                <w:u w:val="non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HYPERLINK </w:instrText>
            </w:r>
            <w:r>
              <w:rPr>
                <w:color w:val="000000" w:themeColor="text1"/>
                <w14:textFill>
                  <w14:solidFill>
                    <w14:schemeClr w14:val="tx1"/>
                  </w14:solidFill>
                </w14:textFill>
              </w:rPr>
              <w:instrText xml:space="preserve"> \l "</w:instrText>
            </w:r>
            <w:r>
              <w:rPr>
                <w:rFonts w:hint="eastAsia"/>
                <w:color w:val="000000" w:themeColor="text1"/>
                <w14:textFill>
                  <w14:solidFill>
                    <w14:schemeClr w14:val="tx1"/>
                  </w14:solidFill>
                </w14:textFill>
              </w:rPr>
              <w:instrText xml:space="preserve">_五、评审与谈判</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47"/>
                <w:color w:val="000000" w:themeColor="text1"/>
                <w:u w:val="none"/>
                <w14:textFill>
                  <w14:solidFill>
                    <w14:schemeClr w14:val="tx1"/>
                  </w14:solidFill>
                </w14:textFill>
              </w:rPr>
              <w:t>评审及谈判：</w:t>
            </w:r>
          </w:p>
          <w:p>
            <w:pPr>
              <w:spacing w:line="440" w:lineRule="exact"/>
              <w:rPr>
                <w:color w:val="000000" w:themeColor="text1"/>
                <w14:textFill>
                  <w14:solidFill>
                    <w14:schemeClr w14:val="tx1"/>
                  </w14:solidFill>
                </w14:textFill>
              </w:rPr>
            </w:pPr>
            <w:r>
              <w:rPr>
                <w:rStyle w:val="47"/>
                <w:rFonts w:hint="eastAsia"/>
                <w:color w:val="000000" w:themeColor="text1"/>
                <w:u w:val="none"/>
                <w14:textFill>
                  <w14:solidFill>
                    <w14:schemeClr w14:val="tx1"/>
                  </w14:solidFill>
                </w14:textFill>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rPr>
                <w:color w:val="000000" w:themeColor="text1"/>
                <w14:textFill>
                  <w14:solidFill>
                    <w14:schemeClr w14:val="tx1"/>
                  </w14:solidFill>
                </w14:textFill>
              </w:rPr>
              <w:fldChar w:fldCharType="end"/>
            </w:r>
          </w:p>
        </w:tc>
      </w:tr>
      <w:tr>
        <w:tblPrEx>
          <w:tblCellMar>
            <w:top w:w="0" w:type="dxa"/>
            <w:left w:w="108" w:type="dxa"/>
            <w:bottom w:w="0" w:type="dxa"/>
            <w:right w:w="108" w:type="dxa"/>
          </w:tblCellMar>
        </w:tblPrEx>
        <w:trPr>
          <w:trHeight w:val="66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color w:val="000000" w:themeColor="text1"/>
                <w:kern w:val="0"/>
                <w:szCs w:val="21"/>
                <w14:textFill>
                  <w14:solidFill>
                    <w14:schemeClr w14:val="tx1"/>
                  </w14:solidFill>
                </w14:textFill>
              </w:rPr>
            </w:pPr>
            <w:r>
              <w:fldChar w:fldCharType="begin"/>
            </w:r>
            <w:r>
              <w:instrText xml:space="preserve"> HYPERLINK \l "_第四章__评定标准及推荐原则" </w:instrText>
            </w:r>
            <w:r>
              <w:fldChar w:fldCharType="separate"/>
            </w:r>
            <w:r>
              <w:rPr>
                <w:rStyle w:val="47"/>
                <w:rFonts w:hint="eastAsia" w:ascii="宋体" w:hAnsi="宋体" w:cs="宋体"/>
                <w:color w:val="000000" w:themeColor="text1"/>
                <w:kern w:val="0"/>
                <w:szCs w:val="21"/>
                <w:u w:val="none"/>
                <w14:textFill>
                  <w14:solidFill>
                    <w14:schemeClr w14:val="tx1"/>
                  </w14:solidFill>
                </w14:textFill>
              </w:rPr>
              <w:t>评定方法：</w:t>
            </w:r>
            <w:r>
              <w:rPr>
                <w:rStyle w:val="47"/>
                <w:rFonts w:hint="eastAsia"/>
                <w:color w:val="000000" w:themeColor="text1"/>
                <w:u w:val="none"/>
                <w14:textFill>
                  <w14:solidFill>
                    <w14:schemeClr w14:val="tx1"/>
                  </w14:solidFill>
                </w14:textFill>
              </w:rPr>
              <w:t>详见第四章《评定标准及推荐原则》。</w:t>
            </w:r>
            <w:r>
              <w:rPr>
                <w:rStyle w:val="47"/>
                <w:rFonts w:hint="eastAsia"/>
                <w:color w:val="000000" w:themeColor="text1"/>
                <w:u w:val="none"/>
                <w14:textFill>
                  <w14:solidFill>
                    <w14:schemeClr w14:val="tx1"/>
                  </w14:solidFill>
                </w14:textFill>
              </w:rPr>
              <w:fldChar w:fldCharType="end"/>
            </w:r>
          </w:p>
        </w:tc>
      </w:tr>
      <w:tr>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color w:val="000000" w:themeColor="text1"/>
                <w:kern w:val="0"/>
                <w:szCs w:val="21"/>
                <w14:textFill>
                  <w14:solidFill>
                    <w14:schemeClr w14:val="tx1"/>
                  </w14:solidFill>
                </w14:textFill>
              </w:rPr>
            </w:pPr>
            <w:r>
              <w:fldChar w:fldCharType="begin"/>
            </w:r>
            <w:r>
              <w:instrText xml:space="preserve"> HYPERLINK \l "_九、其他事项" </w:instrText>
            </w:r>
            <w:r>
              <w:fldChar w:fldCharType="separate"/>
            </w:r>
            <w:r>
              <w:rPr>
                <w:rStyle w:val="47"/>
                <w:rFonts w:hint="eastAsia" w:hAnsi="宋体"/>
                <w:color w:val="auto"/>
                <w:u w:val="none"/>
              </w:rPr>
              <w:t>代理服务费：本中心按钦州市物价局“钦市价费﹝2013﹞4号”文件规定向中标人收取代理服务费。中标人应向本中心一次性付清代理服务费。</w:t>
            </w:r>
            <w:r>
              <w:rPr>
                <w:rStyle w:val="47"/>
                <w:rFonts w:hint="eastAsia" w:hAnsi="宋体"/>
                <w:color w:val="auto"/>
                <w:u w:val="none"/>
              </w:rPr>
              <w:fldChar w:fldCharType="end"/>
            </w:r>
          </w:p>
        </w:tc>
      </w:tr>
    </w:tbl>
    <w:p>
      <w:pPr>
        <w:pStyle w:val="4"/>
        <w:jc w:val="center"/>
        <w:rPr>
          <w:color w:val="0D0D0D" w:themeColor="text1" w:themeTint="F2"/>
          <w14:textFill>
            <w14:solidFill>
              <w14:schemeClr w14:val="tx1">
                <w14:lumMod w14:val="95000"/>
                <w14:lumOff w14:val="5000"/>
              </w14:schemeClr>
            </w14:solidFill>
          </w14:textFill>
        </w:rPr>
      </w:pPr>
      <w:bookmarkStart w:id="46" w:name="_Toc420505403"/>
      <w:r>
        <w:rPr>
          <w:color w:val="0D0D0D" w:themeColor="text1" w:themeTint="F2"/>
          <w14:textFill>
            <w14:solidFill>
              <w14:schemeClr w14:val="tx1">
                <w14:lumMod w14:val="95000"/>
                <w14:lumOff w14:val="5000"/>
              </w14:schemeClr>
            </w14:solidFill>
          </w14:textFill>
        </w:rPr>
        <w:br w:type="page"/>
      </w:r>
    </w:p>
    <w:p>
      <w:pPr>
        <w:jc w:val="center"/>
        <w:rPr>
          <w:rFonts w:ascii="黑体" w:hAnsi="黑体" w:eastAsia="黑体"/>
          <w:b/>
          <w:bCs/>
          <w:sz w:val="32"/>
          <w:szCs w:val="32"/>
        </w:rPr>
      </w:pPr>
      <w:r>
        <w:rPr>
          <w:rFonts w:hint="eastAsia" w:ascii="黑体" w:hAnsi="黑体" w:eastAsia="黑体"/>
          <w:b/>
          <w:bCs/>
          <w:sz w:val="32"/>
          <w:szCs w:val="32"/>
        </w:rPr>
        <w:t>二、供应商须知</w:t>
      </w:r>
      <w:bookmarkEnd w:id="46"/>
    </w:p>
    <w:p>
      <w:pPr>
        <w:pStyle w:val="4"/>
        <w:spacing w:line="420" w:lineRule="exact"/>
      </w:pPr>
      <w:bookmarkStart w:id="47" w:name="_一、总_则"/>
      <w:bookmarkEnd w:id="47"/>
      <w:r>
        <w:rPr>
          <w:rFonts w:hint="eastAsia"/>
        </w:rPr>
        <w:t>一、总　则</w:t>
      </w:r>
    </w:p>
    <w:p>
      <w:pPr>
        <w:spacing w:line="420" w:lineRule="exact"/>
        <w:ind w:firstLine="210" w:firstLineChars="1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（一）适用范围</w:t>
      </w:r>
    </w:p>
    <w:p>
      <w:pPr>
        <w:spacing w:line="420" w:lineRule="exact"/>
        <w:ind w:right="-334" w:rightChars="-159" w:firstLine="420"/>
        <w:rPr>
          <w:rFonts w:hAnsi="宋体"/>
          <w:color w:val="0D0D0D" w:themeColor="text1" w:themeTint="F2"/>
          <w14:textFill>
            <w14:solidFill>
              <w14:schemeClr w14:val="tx1">
                <w14:lumMod w14:val="95000"/>
                <w14:lumOff w14:val="5000"/>
              </w14:schemeClr>
            </w14:solidFill>
          </w14:textFill>
        </w:rPr>
      </w:pPr>
      <w:r>
        <w:rPr>
          <w:rFonts w:hAnsi="宋体"/>
          <w:color w:val="0D0D0D" w:themeColor="text1" w:themeTint="F2"/>
          <w14:textFill>
            <w14:solidFill>
              <w14:schemeClr w14:val="tx1">
                <w14:lumMod w14:val="95000"/>
                <w14:lumOff w14:val="5000"/>
              </w14:schemeClr>
            </w14:solidFill>
          </w14:textFill>
        </w:rPr>
        <w:t>1.</w:t>
      </w:r>
      <w:r>
        <w:rPr>
          <w:rFonts w:hint="eastAsia" w:hAnsi="宋体"/>
          <w:color w:val="0D0D0D" w:themeColor="text1" w:themeTint="F2"/>
          <w14:textFill>
            <w14:solidFill>
              <w14:schemeClr w14:val="tx1">
                <w14:lumMod w14:val="95000"/>
                <w14:lumOff w14:val="5000"/>
              </w14:schemeClr>
            </w14:solidFill>
          </w14:textFill>
        </w:rPr>
        <w:t>项目名称：钦州幼儿师范高等专科学校中文专业融媒体实训室</w:t>
      </w:r>
    </w:p>
    <w:p>
      <w:pPr>
        <w:spacing w:line="420" w:lineRule="exact"/>
        <w:ind w:right="-334" w:rightChars="-159" w:firstLine="420"/>
        <w:rPr>
          <w:rFonts w:hAnsi="宋体"/>
          <w:color w:val="0D0D0D" w:themeColor="text1" w:themeTint="F2"/>
          <w14:textFill>
            <w14:solidFill>
              <w14:schemeClr w14:val="tx1">
                <w14:lumMod w14:val="95000"/>
                <w14:lumOff w14:val="5000"/>
              </w14:schemeClr>
            </w14:solidFill>
          </w14:textFill>
        </w:rPr>
      </w:pPr>
      <w:r>
        <w:rPr>
          <w:rFonts w:hAnsi="宋体"/>
          <w:color w:val="0D0D0D" w:themeColor="text1" w:themeTint="F2"/>
          <w14:textFill>
            <w14:solidFill>
              <w14:schemeClr w14:val="tx1">
                <w14:lumMod w14:val="95000"/>
                <w14:lumOff w14:val="5000"/>
              </w14:schemeClr>
            </w14:solidFill>
          </w14:textFill>
        </w:rPr>
        <w:t>2</w:t>
      </w:r>
      <w:r>
        <w:rPr>
          <w:rFonts w:hint="eastAsia" w:hAnsi="宋体"/>
          <w:color w:val="0D0D0D" w:themeColor="text1" w:themeTint="F2"/>
          <w14:textFill>
            <w14:solidFill>
              <w14:schemeClr w14:val="tx1">
                <w14:lumMod w14:val="95000"/>
                <w14:lumOff w14:val="5000"/>
              </w14:schemeClr>
            </w14:solidFill>
          </w14:textFill>
        </w:rPr>
        <w:t>.项目编号：QZZC2024-J1-990499-QZSZ</w:t>
      </w:r>
    </w:p>
    <w:p>
      <w:pPr>
        <w:spacing w:line="420" w:lineRule="exact"/>
        <w:ind w:right="-334" w:rightChars="-159" w:firstLine="420"/>
        <w:rPr>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本文件仅适用于本文件中所叙述的货物、服务类政府采购项目。</w:t>
      </w:r>
    </w:p>
    <w:p>
      <w:pPr>
        <w:spacing w:line="420" w:lineRule="exact"/>
        <w:ind w:firstLine="210" w:firstLineChars="1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（二）定义</w:t>
      </w:r>
    </w:p>
    <w:p>
      <w:pPr>
        <w:spacing w:line="42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1.</w:t>
      </w:r>
      <w:r>
        <w:rPr>
          <w:rFonts w:hint="eastAsia" w:ascii="宋体" w:hAnsi="宋体"/>
          <w:color w:val="0D0D0D" w:themeColor="text1" w:themeTint="F2"/>
          <w:szCs w:val="21"/>
          <w14:textFill>
            <w14:solidFill>
              <w14:schemeClr w14:val="tx1">
                <w14:lumMod w14:val="95000"/>
                <w14:lumOff w14:val="5000"/>
              </w14:schemeClr>
            </w14:solidFill>
          </w14:textFill>
        </w:rPr>
        <w:t>“</w:t>
      </w:r>
      <w:r>
        <w:rPr>
          <w:rFonts w:ascii="宋体" w:hAnsi="宋体"/>
          <w:color w:val="0D0D0D" w:themeColor="text1" w:themeTint="F2"/>
          <w:szCs w:val="21"/>
          <w14:textFill>
            <w14:solidFill>
              <w14:schemeClr w14:val="tx1">
                <w14:lumMod w14:val="95000"/>
                <w14:lumOff w14:val="5000"/>
              </w14:schemeClr>
            </w14:solidFill>
          </w14:textFill>
        </w:rPr>
        <w:t>采购人</w:t>
      </w:r>
      <w:r>
        <w:rPr>
          <w:rFonts w:hint="eastAsia" w:ascii="宋体" w:hAnsi="宋体"/>
          <w:color w:val="0D0D0D" w:themeColor="text1" w:themeTint="F2"/>
          <w:szCs w:val="21"/>
          <w14:textFill>
            <w14:solidFill>
              <w14:schemeClr w14:val="tx1">
                <w14:lumMod w14:val="95000"/>
                <w14:lumOff w14:val="5000"/>
              </w14:schemeClr>
            </w14:solidFill>
          </w14:textFill>
        </w:rPr>
        <w:t>”</w:t>
      </w:r>
      <w:r>
        <w:rPr>
          <w:rFonts w:ascii="宋体" w:hAnsi="宋体"/>
          <w:color w:val="0D0D0D" w:themeColor="text1" w:themeTint="F2"/>
          <w:szCs w:val="21"/>
          <w14:textFill>
            <w14:solidFill>
              <w14:schemeClr w14:val="tx1">
                <w14:lumMod w14:val="95000"/>
                <w14:lumOff w14:val="5000"/>
              </w14:schemeClr>
            </w14:solidFill>
          </w14:textFill>
        </w:rPr>
        <w:t>是指依法进行政府采购的国家机关、事业单位、团体组织。</w:t>
      </w:r>
    </w:p>
    <w:p>
      <w:pPr>
        <w:spacing w:line="42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2.“供应商”是指响应本文件要求，参加谈判的法人或其他组织。如果该供应商在本次采购项目中成交,即成为“成交供应商”。</w:t>
      </w:r>
    </w:p>
    <w:p>
      <w:pPr>
        <w:spacing w:line="42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3</w:t>
      </w:r>
      <w:r>
        <w:rPr>
          <w:rFonts w:ascii="宋体" w:hAnsi="宋体"/>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“采购代理机构”是指</w:t>
      </w:r>
      <w:r>
        <w:rPr>
          <w:rFonts w:hint="eastAsia" w:ascii="宋体" w:hAnsi="宋体"/>
          <w:color w:val="0D0D0D" w:themeColor="text1" w:themeTint="F2"/>
          <w14:textFill>
            <w14:solidFill>
              <w14:schemeClr w14:val="tx1">
                <w14:lumMod w14:val="95000"/>
                <w14:lumOff w14:val="5000"/>
              </w14:schemeClr>
            </w14:solidFill>
          </w14:textFill>
        </w:rPr>
        <w:t>钦州市政府采购中心。</w:t>
      </w:r>
    </w:p>
    <w:p>
      <w:pPr>
        <w:spacing w:line="42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4</w:t>
      </w:r>
      <w:r>
        <w:rPr>
          <w:rFonts w:ascii="宋体" w:hAnsi="宋体"/>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“货物和服务”是指本次采购文件中所采购的各种形态和种类的产品以及其提供的服务。</w:t>
      </w:r>
    </w:p>
    <w:p>
      <w:pPr>
        <w:spacing w:line="42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5</w:t>
      </w:r>
      <w:r>
        <w:rPr>
          <w:rFonts w:ascii="宋体" w:hAnsi="宋体"/>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“竞争性谈判采购文件”是指采用竞争性谈判方式进行政府采购的指导文件，简称“谈判文件”或“采购文件”。</w:t>
      </w:r>
    </w:p>
    <w:p>
      <w:pPr>
        <w:spacing w:line="42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6.</w:t>
      </w:r>
      <w:r>
        <w:rPr>
          <w:rFonts w:hint="eastAsia" w:ascii="宋体" w:hAnsi="宋体"/>
          <w:color w:val="0D0D0D" w:themeColor="text1" w:themeTint="F2"/>
          <w:szCs w:val="21"/>
          <w14:textFill>
            <w14:solidFill>
              <w14:schemeClr w14:val="tx1">
                <w14:lumMod w14:val="95000"/>
                <w14:lumOff w14:val="5000"/>
              </w14:schemeClr>
            </w14:solidFill>
          </w14:textFill>
        </w:rPr>
        <w:t>“响应文件”是指供应商根据采购文件要求，编制包含技术、服务和报价等所有内容的响应文件。</w:t>
      </w:r>
    </w:p>
    <w:p>
      <w:pPr>
        <w:spacing w:line="42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7.</w:t>
      </w:r>
      <w:r>
        <w:rPr>
          <w:rFonts w:hint="eastAsia" w:ascii="宋体" w:hAnsi="宋体"/>
          <w:color w:val="0D0D0D" w:themeColor="text1" w:themeTint="F2"/>
          <w:szCs w:val="21"/>
          <w14:textFill>
            <w14:solidFill>
              <w14:schemeClr w14:val="tx1">
                <w14:lumMod w14:val="95000"/>
                <w14:lumOff w14:val="5000"/>
              </w14:schemeClr>
            </w14:solidFill>
          </w14:textFill>
        </w:rPr>
        <w:t>“书面形式”</w:t>
      </w:r>
      <w:r>
        <w:rPr>
          <w:rFonts w:ascii="Helvetica" w:hAnsi="Helvetica"/>
          <w:color w:val="333333"/>
          <w:szCs w:val="21"/>
          <w:shd w:val="clear" w:color="auto" w:fill="FFFFFF"/>
        </w:rPr>
        <w:t>是</w:t>
      </w:r>
      <w:r>
        <w:rPr>
          <w:rFonts w:hint="eastAsia" w:ascii="Helvetica" w:hAnsi="Helvetica"/>
          <w:color w:val="333333"/>
          <w:szCs w:val="21"/>
          <w:shd w:val="clear" w:color="auto" w:fill="FFFFFF"/>
        </w:rPr>
        <w:t>指</w:t>
      </w:r>
      <w:r>
        <w:rPr>
          <w:rFonts w:ascii="Helvetica" w:hAnsi="Helvetica"/>
          <w:color w:val="333333"/>
          <w:szCs w:val="21"/>
          <w:shd w:val="clear" w:color="auto" w:fill="FFFFFF"/>
        </w:rPr>
        <w:t>合同书、信件、电报、电传、传真等可以有形地表现所载内容的形式。</w:t>
      </w:r>
    </w:p>
    <w:p>
      <w:pPr>
        <w:spacing w:line="420" w:lineRule="exact"/>
        <w:ind w:firstLine="211" w:firstLineChars="100"/>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（三）供应商资格</w:t>
      </w:r>
    </w:p>
    <w:p>
      <w:pPr>
        <w:spacing w:line="400" w:lineRule="exact"/>
        <w:ind w:firstLine="420"/>
        <w:rPr>
          <w:color w:val="000000"/>
        </w:rPr>
      </w:pPr>
      <w:r>
        <w:rPr>
          <w:rFonts w:hint="eastAsia"/>
          <w:color w:val="000000"/>
        </w:rPr>
        <w:t>1.满足《中华人民共和国政府采购法》第二十二条规定</w:t>
      </w:r>
    </w:p>
    <w:p>
      <w:pPr>
        <w:spacing w:line="400" w:lineRule="exact"/>
        <w:ind w:firstLine="420"/>
        <w:rPr>
          <w:color w:val="000000"/>
        </w:rPr>
      </w:pPr>
      <w:r>
        <w:rPr>
          <w:rFonts w:hint="eastAsia"/>
          <w:color w:val="000000"/>
        </w:rPr>
        <w:t>2.落实政府采购政策需满足的资格要求：无</w:t>
      </w:r>
    </w:p>
    <w:p>
      <w:pPr>
        <w:spacing w:line="400" w:lineRule="exact"/>
        <w:ind w:firstLine="420"/>
        <w:rPr>
          <w:color w:val="000000"/>
        </w:rPr>
      </w:pPr>
      <w:r>
        <w:rPr>
          <w:rFonts w:hint="eastAsia"/>
          <w:color w:val="000000"/>
        </w:rPr>
        <w:t>3.本项目的特定资格要求：无</w:t>
      </w:r>
    </w:p>
    <w:p>
      <w:pPr>
        <w:spacing w:line="420" w:lineRule="exact"/>
        <w:ind w:firstLine="211" w:firstLineChars="100"/>
        <w:rPr>
          <w:b/>
          <w:bCs/>
          <w:color w:val="000000"/>
        </w:rPr>
      </w:pPr>
      <w:r>
        <w:rPr>
          <w:rFonts w:hint="eastAsia"/>
          <w:b/>
          <w:bCs/>
          <w:color w:val="000000"/>
        </w:rPr>
        <w:t>（四）采购方式</w:t>
      </w:r>
    </w:p>
    <w:p>
      <w:pPr>
        <w:snapToGrid w:val="0"/>
        <w:spacing w:line="420" w:lineRule="exact"/>
        <w:ind w:firstLine="420" w:firstLineChars="200"/>
        <w:rPr>
          <w:rFonts w:ascii="宋体" w:hAnsi="宋体"/>
          <w:color w:val="000000"/>
          <w:szCs w:val="21"/>
        </w:rPr>
      </w:pPr>
      <w:r>
        <w:rPr>
          <w:rFonts w:hint="eastAsia" w:ascii="宋体" w:hAnsi="宋体"/>
          <w:color w:val="000000"/>
          <w:szCs w:val="21"/>
        </w:rPr>
        <w:t>竞争性谈判</w:t>
      </w:r>
    </w:p>
    <w:p>
      <w:pPr>
        <w:spacing w:line="420" w:lineRule="exact"/>
        <w:ind w:firstLine="211" w:firstLineChars="100"/>
        <w:rPr>
          <w:b/>
          <w:bCs/>
          <w:color w:val="000000"/>
        </w:rPr>
      </w:pPr>
      <w:bookmarkStart w:id="48" w:name="_Toc353785281"/>
      <w:bookmarkStart w:id="49" w:name="_Toc254970530"/>
      <w:bookmarkStart w:id="50" w:name="_Toc352700410"/>
      <w:bookmarkStart w:id="51" w:name="_Toc254970671"/>
      <w:r>
        <w:rPr>
          <w:rFonts w:hint="eastAsia"/>
          <w:b/>
          <w:bCs/>
          <w:color w:val="000000"/>
        </w:rPr>
        <w:t>（五）代理委托</w:t>
      </w:r>
      <w:bookmarkEnd w:id="48"/>
      <w:bookmarkEnd w:id="49"/>
      <w:bookmarkEnd w:id="50"/>
      <w:bookmarkEnd w:id="51"/>
    </w:p>
    <w:p>
      <w:pPr>
        <w:snapToGrid w:val="0"/>
        <w:spacing w:line="420" w:lineRule="exact"/>
        <w:ind w:firstLine="420" w:firstLineChars="200"/>
        <w:rPr>
          <w:rFonts w:ascii="宋体" w:hAnsi="宋体" w:cs="Courier New"/>
          <w:bCs/>
          <w:color w:val="000000"/>
          <w:szCs w:val="21"/>
        </w:rPr>
      </w:pPr>
      <w:r>
        <w:rPr>
          <w:rFonts w:hint="eastAsia" w:ascii="宋体" w:hAnsi="宋体" w:cs="Courier New"/>
          <w:bCs/>
          <w:color w:val="000000"/>
          <w:szCs w:val="21"/>
        </w:rPr>
        <w:t>委托谈判的供应商须提供授权委托书（格式见第六章）。</w:t>
      </w:r>
    </w:p>
    <w:p>
      <w:pPr>
        <w:spacing w:line="420" w:lineRule="exact"/>
        <w:ind w:firstLine="211" w:firstLineChars="100"/>
        <w:rPr>
          <w:b/>
          <w:bCs/>
          <w:color w:val="000000"/>
        </w:rPr>
      </w:pPr>
      <w:bookmarkStart w:id="52" w:name="_Toc254970672"/>
      <w:bookmarkStart w:id="53" w:name="_Toc353785282"/>
      <w:bookmarkStart w:id="54" w:name="_Toc352700411"/>
      <w:bookmarkStart w:id="55" w:name="_Toc254970531"/>
      <w:r>
        <w:rPr>
          <w:rFonts w:hint="eastAsia"/>
          <w:b/>
          <w:bCs/>
          <w:color w:val="000000"/>
        </w:rPr>
        <w:t>（六）谈判费用</w:t>
      </w:r>
      <w:bookmarkEnd w:id="52"/>
      <w:bookmarkEnd w:id="53"/>
      <w:bookmarkEnd w:id="54"/>
      <w:bookmarkEnd w:id="55"/>
    </w:p>
    <w:p>
      <w:pPr>
        <w:snapToGrid w:val="0"/>
        <w:spacing w:line="420" w:lineRule="exact"/>
        <w:ind w:firstLine="420" w:firstLineChars="200"/>
        <w:rPr>
          <w:rFonts w:ascii="宋体" w:hAnsi="宋体"/>
          <w:color w:val="000000"/>
          <w:szCs w:val="21"/>
        </w:rPr>
      </w:pPr>
      <w:r>
        <w:rPr>
          <w:rFonts w:hint="eastAsia" w:ascii="宋体" w:hAnsi="宋体"/>
          <w:color w:val="000000"/>
          <w:szCs w:val="21"/>
        </w:rPr>
        <w:t>供应商自行承担所有与谈判有关的全部费用。</w:t>
      </w:r>
    </w:p>
    <w:p>
      <w:pPr>
        <w:spacing w:line="420" w:lineRule="exact"/>
        <w:ind w:firstLine="211" w:firstLineChars="100"/>
        <w:rPr>
          <w:b/>
          <w:bCs/>
          <w:color w:val="000000"/>
        </w:rPr>
      </w:pPr>
      <w:bookmarkStart w:id="56" w:name="_Toc352700413"/>
      <w:bookmarkStart w:id="57" w:name="_Toc353785283"/>
      <w:r>
        <w:rPr>
          <w:rFonts w:hint="eastAsia"/>
          <w:b/>
          <w:bCs/>
          <w:color w:val="000000"/>
        </w:rPr>
        <w:t>（</w:t>
      </w:r>
      <w:r>
        <w:rPr>
          <w:rFonts w:hint="eastAsia"/>
          <w:b/>
          <w:bCs/>
          <w:color w:val="000000"/>
          <w:lang w:val="en-US" w:eastAsia="zh-CN"/>
        </w:rPr>
        <w:t>七</w:t>
      </w:r>
      <w:r>
        <w:rPr>
          <w:rFonts w:hint="eastAsia"/>
          <w:b/>
          <w:bCs/>
          <w:color w:val="000000"/>
        </w:rPr>
        <w:t>）转包与分包</w:t>
      </w:r>
      <w:bookmarkEnd w:id="56"/>
      <w:bookmarkEnd w:id="57"/>
    </w:p>
    <w:p>
      <w:pPr>
        <w:snapToGrid w:val="0"/>
        <w:spacing w:line="420" w:lineRule="exact"/>
        <w:ind w:firstLine="420" w:firstLineChars="200"/>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本项目不允许转包。</w:t>
      </w:r>
    </w:p>
    <w:p>
      <w:pPr>
        <w:snapToGrid w:val="0"/>
        <w:spacing w:line="420" w:lineRule="exact"/>
        <w:ind w:firstLine="420" w:firstLineChars="200"/>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采购人允许采用分包方式履行合同的，应当在采购文件中明确可以分包履行的具体内容、金额或者比例。</w:t>
      </w:r>
    </w:p>
    <w:p>
      <w:pPr>
        <w:snapToGrid w:val="0"/>
        <w:spacing w:line="420" w:lineRule="exact"/>
        <w:ind w:firstLine="420" w:firstLineChars="200"/>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依据《政府采购促进中小企业发展管理办法》规定享受扶持政策获得政府采购合同的，小微企业不得将合同分包给大中型企业，中型企业不得将合同分包给大型企业。</w:t>
      </w:r>
    </w:p>
    <w:p>
      <w:pPr>
        <w:spacing w:line="420" w:lineRule="exact"/>
        <w:ind w:firstLine="211" w:firstLineChars="100"/>
        <w:rPr>
          <w:rFonts w:hAnsi="宋体"/>
          <w:color w:val="000000"/>
        </w:rPr>
      </w:pPr>
      <w:bookmarkStart w:id="58" w:name="_Toc254970673"/>
      <w:bookmarkStart w:id="59" w:name="_Toc353785284"/>
      <w:bookmarkStart w:id="60" w:name="_Toc352700414"/>
      <w:bookmarkStart w:id="61" w:name="_Toc254970532"/>
      <w:r>
        <w:rPr>
          <w:rFonts w:hint="eastAsia"/>
          <w:b/>
          <w:bCs/>
          <w:color w:val="000000"/>
        </w:rPr>
        <w:t>（</w:t>
      </w:r>
      <w:r>
        <w:rPr>
          <w:rFonts w:hint="eastAsia"/>
          <w:b/>
          <w:bCs/>
          <w:color w:val="000000"/>
          <w:lang w:val="en-US" w:eastAsia="zh-CN"/>
        </w:rPr>
        <w:t>八</w:t>
      </w:r>
      <w:r>
        <w:rPr>
          <w:rFonts w:hint="eastAsia"/>
          <w:b/>
          <w:bCs/>
          <w:color w:val="000000"/>
        </w:rPr>
        <w:t>）特别说明</w:t>
      </w:r>
      <w:bookmarkEnd w:id="58"/>
      <w:bookmarkEnd w:id="59"/>
      <w:bookmarkEnd w:id="60"/>
      <w:bookmarkEnd w:id="61"/>
    </w:p>
    <w:p>
      <w:pPr>
        <w:pStyle w:val="23"/>
        <w:snapToGrid w:val="0"/>
        <w:spacing w:line="420" w:lineRule="exact"/>
        <w:ind w:firstLine="420"/>
        <w:rPr>
          <w:rFonts w:hAnsi="宋体"/>
          <w:color w:val="000000" w:themeColor="text1"/>
          <w14:textFill>
            <w14:solidFill>
              <w14:schemeClr w14:val="tx1"/>
            </w14:solidFill>
          </w14:textFill>
        </w:rPr>
      </w:pPr>
      <w:r>
        <w:rPr>
          <w:rFonts w:hint="eastAsia" w:hAnsi="宋体"/>
          <w:color w:val="000000"/>
        </w:rPr>
        <w:t>1.单位负责人为同一人或者</w:t>
      </w:r>
      <w:r>
        <w:rPr>
          <w:rFonts w:hint="eastAsia" w:hAnsi="宋体"/>
          <w:color w:val="000000" w:themeColor="text1"/>
          <w14:textFill>
            <w14:solidFill>
              <w14:schemeClr w14:val="tx1"/>
            </w14:solidFill>
          </w14:textFill>
        </w:rPr>
        <w:t>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3"/>
        <w:snapToGrid w:val="0"/>
        <w:spacing w:line="420" w:lineRule="exact"/>
        <w:ind w:firstLine="420"/>
        <w:rPr>
          <w:rFonts w:hAnsi="宋体"/>
          <w:color w:val="000000"/>
        </w:rPr>
      </w:pPr>
      <w:r>
        <w:rPr>
          <w:rFonts w:hint="eastAsia" w:hAnsi="宋体"/>
          <w:color w:val="000000"/>
        </w:rPr>
        <w:t>2</w:t>
      </w:r>
      <w:r>
        <w:rPr>
          <w:rFonts w:hAnsi="宋体"/>
          <w:color w:val="000000"/>
        </w:rPr>
        <w:t>.</w:t>
      </w:r>
      <w:r>
        <w:rPr>
          <w:rFonts w:hint="eastAsia" w:hAnsi="宋体"/>
          <w:color w:val="000000"/>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pPr>
        <w:spacing w:line="420" w:lineRule="exact"/>
        <w:ind w:firstLine="211" w:firstLineChars="100"/>
        <w:rPr>
          <w:b/>
          <w:bCs/>
        </w:rPr>
      </w:pPr>
      <w:bookmarkStart w:id="62" w:name="_Toc352700415"/>
      <w:bookmarkStart w:id="63" w:name="_Toc353785285"/>
      <w:bookmarkStart w:id="64" w:name="_Toc254970533"/>
      <w:bookmarkStart w:id="65" w:name="_Toc254970674"/>
      <w:r>
        <w:rPr>
          <w:rFonts w:hint="eastAsia"/>
          <w:b/>
          <w:bCs/>
        </w:rPr>
        <w:t>（</w:t>
      </w:r>
      <w:r>
        <w:rPr>
          <w:rFonts w:hint="eastAsia"/>
          <w:b/>
          <w:bCs/>
          <w:lang w:val="en-US" w:eastAsia="zh-CN"/>
        </w:rPr>
        <w:t>九</w:t>
      </w:r>
      <w:r>
        <w:rPr>
          <w:rFonts w:hint="eastAsia"/>
          <w:b/>
          <w:bCs/>
        </w:rPr>
        <w:t>）询问、质疑和投诉</w:t>
      </w:r>
      <w:bookmarkEnd w:id="62"/>
      <w:bookmarkEnd w:id="63"/>
      <w:bookmarkEnd w:id="64"/>
      <w:bookmarkEnd w:id="65"/>
    </w:p>
    <w:p>
      <w:pPr>
        <w:pStyle w:val="23"/>
        <w:snapToGrid w:val="0"/>
        <w:spacing w:line="420" w:lineRule="exact"/>
        <w:ind w:firstLine="420"/>
        <w:rPr>
          <w:rFonts w:hAnsi="宋体"/>
          <w:bCs/>
          <w:color w:val="000000"/>
        </w:rPr>
      </w:pPr>
      <w:r>
        <w:rPr>
          <w:rFonts w:hAnsi="宋体"/>
          <w:bCs/>
          <w:color w:val="000000"/>
        </w:rPr>
        <w:t>1.</w:t>
      </w:r>
      <w:r>
        <w:rPr>
          <w:rFonts w:hint="eastAsia" w:ascii="Arial" w:hAnsi="Arial" w:cs="Arial"/>
          <w:color w:val="000000"/>
          <w:kern w:val="0"/>
        </w:rPr>
        <w:t>供应商</w:t>
      </w:r>
      <w:r>
        <w:rPr>
          <w:rFonts w:ascii="Arial" w:hAnsi="Arial" w:cs="Arial"/>
          <w:color w:val="000000"/>
          <w:kern w:val="0"/>
        </w:rPr>
        <w:t>对政府采购活动事项有疑问的，可以向采购人</w:t>
      </w:r>
      <w:r>
        <w:rPr>
          <w:rFonts w:hint="eastAsia" w:ascii="Arial" w:hAnsi="Arial" w:cs="Arial"/>
          <w:color w:val="000000"/>
          <w:kern w:val="0"/>
        </w:rPr>
        <w:t>或本中心</w:t>
      </w:r>
      <w:r>
        <w:rPr>
          <w:rFonts w:ascii="Arial" w:hAnsi="Arial" w:cs="Arial"/>
          <w:color w:val="000000"/>
          <w:kern w:val="0"/>
        </w:rPr>
        <w:t>提出询问，采购人</w:t>
      </w:r>
      <w:r>
        <w:rPr>
          <w:rFonts w:hint="eastAsia" w:ascii="Arial" w:hAnsi="Arial" w:cs="Arial"/>
          <w:color w:val="000000"/>
          <w:kern w:val="0"/>
        </w:rPr>
        <w:t>或本中心当在3个工作日内对供应商依法提出的询问作出答复</w:t>
      </w:r>
      <w:r>
        <w:rPr>
          <w:rFonts w:ascii="Arial" w:hAnsi="Arial" w:cs="Arial"/>
          <w:color w:val="000000"/>
          <w:kern w:val="0"/>
        </w:rPr>
        <w:t>，但答复的内容不得涉及商业秘密。</w:t>
      </w:r>
    </w:p>
    <w:p>
      <w:pPr>
        <w:pStyle w:val="23"/>
        <w:snapToGrid w:val="0"/>
        <w:spacing w:line="420" w:lineRule="exact"/>
        <w:ind w:firstLine="420"/>
        <w:rPr>
          <w:rFonts w:hAnsi="宋体"/>
          <w:bCs/>
          <w:color w:val="000000"/>
        </w:rPr>
      </w:pPr>
      <w:r>
        <w:rPr>
          <w:rFonts w:hAnsi="宋体"/>
          <w:bCs/>
          <w:color w:val="000000"/>
        </w:rPr>
        <w:t>2.</w:t>
      </w:r>
      <w:r>
        <w:rPr>
          <w:rFonts w:hint="eastAsia" w:hAnsi="宋体"/>
          <w:bCs/>
          <w:color w:val="000000"/>
        </w:rPr>
        <w:t>供应商认为采购文件、采购过程或成交结果使自己的合法权益受到损害的，</w:t>
      </w:r>
      <w:r>
        <w:rPr>
          <w:rFonts w:hAnsi="宋体"/>
          <w:bCs/>
          <w:color w:val="000000"/>
        </w:rPr>
        <w:t>可以在知道或者应知其权益受到损害之日起7个工作日内</w:t>
      </w:r>
      <w:r>
        <w:rPr>
          <w:rFonts w:hint="eastAsia" w:hAnsi="宋体"/>
          <w:bCs/>
          <w:color w:val="000000"/>
        </w:rPr>
        <w:t>，</w:t>
      </w:r>
      <w:r>
        <w:rPr>
          <w:rFonts w:cs="Arial"/>
          <w:color w:val="000000"/>
        </w:rPr>
        <w:t>以书面形式</w:t>
      </w:r>
      <w:r>
        <w:rPr>
          <w:rFonts w:hint="eastAsia" w:cs="Arial"/>
          <w:color w:val="000000"/>
        </w:rPr>
        <w:t>（政采云平台）</w:t>
      </w:r>
      <w:r>
        <w:rPr>
          <w:rFonts w:cs="Arial"/>
          <w:color w:val="000000"/>
        </w:rPr>
        <w:t>向采购人、</w:t>
      </w:r>
      <w:r>
        <w:rPr>
          <w:rFonts w:hint="eastAsia" w:cs="Arial"/>
          <w:color w:val="000000"/>
        </w:rPr>
        <w:t>本中心</w:t>
      </w:r>
      <w:r>
        <w:rPr>
          <w:rFonts w:cs="Arial"/>
          <w:color w:val="000000"/>
        </w:rPr>
        <w:t>提出质疑。</w:t>
      </w:r>
      <w:r>
        <w:rPr>
          <w:rFonts w:hint="eastAsia" w:hAnsi="宋体"/>
          <w:bCs/>
          <w:color w:val="000000"/>
        </w:rPr>
        <w:t>供应商必须在法定质疑期内一次性提出针对同一采购程序环节的质疑。</w:t>
      </w:r>
      <w:r>
        <w:rPr>
          <w:rFonts w:hint="eastAsia" w:hAnsi="宋体" w:cs="宋体"/>
          <w:color w:val="000000"/>
        </w:rPr>
        <w:t>供应商应知其权益受到损害之日，是指：</w:t>
      </w:r>
    </w:p>
    <w:p>
      <w:pPr>
        <w:pStyle w:val="23"/>
        <w:adjustRightInd w:val="0"/>
        <w:snapToGrid w:val="0"/>
        <w:spacing w:line="420" w:lineRule="exact"/>
        <w:ind w:firstLine="308" w:firstLineChars="147"/>
        <w:rPr>
          <w:rFonts w:hAnsi="宋体"/>
          <w:bCs/>
          <w:color w:val="000000"/>
        </w:rPr>
      </w:pPr>
      <w:r>
        <w:rPr>
          <w:rFonts w:hint="eastAsia" w:hAnsi="宋体"/>
          <w:bCs/>
          <w:color w:val="000000"/>
        </w:rPr>
        <w:t>(</w:t>
      </w:r>
      <w:r>
        <w:rPr>
          <w:rFonts w:hAnsi="宋体"/>
          <w:bCs/>
          <w:color w:val="000000"/>
        </w:rPr>
        <w:t>1)</w:t>
      </w:r>
      <w:r>
        <w:rPr>
          <w:rFonts w:hint="eastAsia" w:hAnsi="宋体"/>
          <w:bCs/>
          <w:color w:val="000000"/>
        </w:rPr>
        <w:t>对采购文件提出质疑的，为获取采购文件之日；</w:t>
      </w:r>
    </w:p>
    <w:p>
      <w:pPr>
        <w:pStyle w:val="23"/>
        <w:adjustRightInd w:val="0"/>
        <w:snapToGrid w:val="0"/>
        <w:spacing w:line="420" w:lineRule="exact"/>
        <w:ind w:firstLine="308" w:firstLineChars="147"/>
        <w:rPr>
          <w:rFonts w:hAnsi="宋体"/>
          <w:bCs/>
          <w:color w:val="000000"/>
        </w:rPr>
      </w:pPr>
      <w:r>
        <w:rPr>
          <w:rFonts w:hint="eastAsia" w:hAnsi="宋体"/>
          <w:bCs/>
          <w:color w:val="000000"/>
        </w:rPr>
        <w:t>(</w:t>
      </w:r>
      <w:r>
        <w:rPr>
          <w:rFonts w:hAnsi="宋体"/>
          <w:bCs/>
          <w:color w:val="000000"/>
        </w:rPr>
        <w:t>2)</w:t>
      </w:r>
      <w:r>
        <w:rPr>
          <w:rFonts w:hint="eastAsia" w:hAnsi="宋体"/>
          <w:bCs/>
          <w:color w:val="000000"/>
        </w:rPr>
        <w:t>对采购过程提出质疑的，为各采购程序环节结束之日；</w:t>
      </w:r>
    </w:p>
    <w:p>
      <w:pPr>
        <w:widowControl/>
        <w:adjustRightInd w:val="0"/>
        <w:snapToGrid w:val="0"/>
        <w:spacing w:line="420" w:lineRule="exact"/>
        <w:ind w:firstLine="102" w:firstLineChars="49"/>
        <w:jc w:val="left"/>
        <w:rPr>
          <w:rFonts w:ascii="宋体" w:hAnsi="宋体" w:cs="Courier New"/>
          <w:bCs/>
          <w:color w:val="000000"/>
          <w:szCs w:val="21"/>
        </w:rPr>
      </w:pPr>
      <w:r>
        <w:rPr>
          <w:rFonts w:hint="eastAsia" w:ascii="宋体" w:hAnsi="宋体" w:cs="Courier New"/>
          <w:bCs/>
          <w:color w:val="000000"/>
          <w:szCs w:val="21"/>
        </w:rPr>
        <w:t xml:space="preserve">  (</w:t>
      </w:r>
      <w:r>
        <w:rPr>
          <w:rFonts w:ascii="宋体" w:hAnsi="宋体" w:cs="Courier New"/>
          <w:bCs/>
          <w:color w:val="000000"/>
          <w:szCs w:val="21"/>
        </w:rPr>
        <w:t>3)</w:t>
      </w:r>
      <w:r>
        <w:rPr>
          <w:rFonts w:hint="eastAsia" w:ascii="宋体" w:hAnsi="宋体" w:cs="Courier New"/>
          <w:bCs/>
          <w:color w:val="000000"/>
          <w:szCs w:val="21"/>
        </w:rPr>
        <w:t>对成交结果提出质疑的，为成交结果公告期限届满之日。</w:t>
      </w:r>
    </w:p>
    <w:p>
      <w:pPr>
        <w:widowControl/>
        <w:adjustRightInd w:val="0"/>
        <w:snapToGrid w:val="0"/>
        <w:spacing w:line="420" w:lineRule="exact"/>
        <w:ind w:firstLine="420"/>
        <w:jc w:val="left"/>
        <w:rPr>
          <w:rFonts w:ascii="宋体" w:hAnsi="宋体" w:cs="Courier New"/>
          <w:bCs/>
          <w:color w:val="000000"/>
          <w:szCs w:val="21"/>
        </w:rPr>
      </w:pPr>
      <w:r>
        <w:rPr>
          <w:rFonts w:ascii="宋体" w:hAnsi="宋体" w:cs="Courier New"/>
          <w:bCs/>
          <w:color w:val="000000"/>
          <w:szCs w:val="21"/>
        </w:rPr>
        <w:t>3.</w:t>
      </w:r>
      <w:r>
        <w:rPr>
          <w:rFonts w:hint="eastAsia" w:hAnsi="宋体"/>
          <w:color w:val="000000"/>
        </w:rPr>
        <w:t>供应商对采购人、本中心质疑答复不满意或者采购人、本中心未在规定时间内作出答复的，可以在答复期满后十五个工作日内向同级采购监管部门投诉。</w:t>
      </w:r>
    </w:p>
    <w:p>
      <w:pPr>
        <w:pStyle w:val="23"/>
        <w:snapToGrid w:val="0"/>
        <w:spacing w:line="420" w:lineRule="exact"/>
        <w:ind w:firstLine="420"/>
        <w:rPr>
          <w:rFonts w:hAnsi="宋体"/>
          <w:bCs/>
          <w:color w:val="000000"/>
        </w:rPr>
      </w:pPr>
      <w:r>
        <w:rPr>
          <w:rFonts w:hAnsi="宋体"/>
          <w:bCs/>
          <w:color w:val="000000"/>
        </w:rPr>
        <w:t>4.</w:t>
      </w:r>
      <w:r>
        <w:rPr>
          <w:rFonts w:hint="eastAsia" w:hAnsi="宋体"/>
          <w:bCs/>
          <w:color w:val="000000"/>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20" w:lineRule="exact"/>
        <w:ind w:firstLine="420"/>
        <w:rPr>
          <w:color w:val="000000"/>
        </w:rPr>
      </w:pPr>
      <w:r>
        <w:rPr>
          <w:rFonts w:hint="eastAsia"/>
          <w:color w:val="000000"/>
        </w:rPr>
        <w:t>质疑部门联系方式：钦州市政府采购中心    0777-2886003</w:t>
      </w:r>
    </w:p>
    <w:p>
      <w:pPr>
        <w:spacing w:line="420" w:lineRule="exact"/>
        <w:ind w:firstLine="420"/>
        <w:rPr>
          <w:color w:val="000000"/>
        </w:rPr>
      </w:pPr>
      <w:r>
        <w:rPr>
          <w:rFonts w:hint="eastAsia"/>
          <w:color w:val="000000"/>
        </w:rPr>
        <w:t>采购监管部门联系方式：钦州市财政局      0777-</w:t>
      </w:r>
      <w:r>
        <w:rPr>
          <w:color w:val="000000"/>
        </w:rPr>
        <w:t>2895258</w:t>
      </w:r>
    </w:p>
    <w:p>
      <w:pPr>
        <w:spacing w:line="400" w:lineRule="exact"/>
        <w:ind w:firstLine="211" w:firstLineChars="100"/>
        <w:rPr>
          <w:b/>
          <w:bCs/>
        </w:rPr>
      </w:pPr>
      <w:r>
        <w:rPr>
          <w:rFonts w:hint="eastAsia"/>
          <w:b/>
          <w:bCs/>
        </w:rPr>
        <w:t xml:space="preserve">（十）查询媒体 </w:t>
      </w:r>
      <w:r>
        <w:rPr>
          <w:rFonts w:hint="eastAsia"/>
        </w:rPr>
        <w:t>中国政府采购网、</w:t>
      </w:r>
      <w:r>
        <w:fldChar w:fldCharType="begin"/>
      </w:r>
      <w:r>
        <w:instrText xml:space="preserve"> HYPERLINK "http://zfcg.gxzf.gov.cn/" </w:instrText>
      </w:r>
      <w:r>
        <w:fldChar w:fldCharType="separate"/>
      </w:r>
      <w:r>
        <w:rPr>
          <w:rStyle w:val="47"/>
          <w:rFonts w:hint="eastAsia" w:hAnsi="宋体"/>
          <w:color w:val="000000" w:themeColor="text1"/>
          <w:u w:val="none"/>
          <w14:textFill>
            <w14:solidFill>
              <w14:schemeClr w14:val="tx1"/>
            </w14:solidFill>
          </w14:textFill>
        </w:rPr>
        <w:t>广西政府采购网</w:t>
      </w:r>
      <w:r>
        <w:rPr>
          <w:rStyle w:val="47"/>
          <w:rFonts w:hint="eastAsia" w:hAnsi="宋体"/>
          <w:color w:val="000000" w:themeColor="text1"/>
          <w:u w:val="none"/>
          <w14:textFill>
            <w14:solidFill>
              <w14:schemeClr w14:val="tx1"/>
            </w14:solidFill>
          </w14:textFill>
        </w:rPr>
        <w:fldChar w:fldCharType="end"/>
      </w:r>
      <w:r>
        <w:rPr>
          <w:rFonts w:hint="eastAsia" w:hAnsi="宋体"/>
          <w:color w:val="000000"/>
        </w:rPr>
        <w:t>。</w:t>
      </w:r>
    </w:p>
    <w:p>
      <w:pPr>
        <w:pStyle w:val="4"/>
        <w:spacing w:line="420" w:lineRule="exact"/>
      </w:pPr>
      <w:bookmarkStart w:id="66" w:name="_Toc353785286"/>
      <w:bookmarkStart w:id="67" w:name="_Toc352700416"/>
      <w:r>
        <w:rPr>
          <w:rFonts w:hint="eastAsia"/>
        </w:rPr>
        <w:t>二、竞争性谈判采购文件</w:t>
      </w:r>
      <w:bookmarkEnd w:id="66"/>
      <w:bookmarkEnd w:id="67"/>
    </w:p>
    <w:p>
      <w:pPr>
        <w:spacing w:line="420" w:lineRule="exact"/>
        <w:ind w:firstLine="211" w:firstLineChars="100"/>
        <w:rPr>
          <w:b/>
          <w:bCs/>
          <w:color w:val="000000"/>
        </w:rPr>
      </w:pPr>
      <w:bookmarkStart w:id="68" w:name="_Toc353785287"/>
      <w:bookmarkStart w:id="69" w:name="_Toc352700417"/>
      <w:r>
        <w:rPr>
          <w:rFonts w:hint="eastAsia"/>
          <w:b/>
          <w:bCs/>
          <w:color w:val="000000"/>
        </w:rPr>
        <w:t>（一）竞争性谈判采购文件的组成</w:t>
      </w:r>
      <w:bookmarkEnd w:id="68"/>
      <w:bookmarkEnd w:id="69"/>
    </w:p>
    <w:p>
      <w:pPr>
        <w:pStyle w:val="23"/>
        <w:snapToGrid w:val="0"/>
        <w:spacing w:line="420" w:lineRule="exact"/>
        <w:ind w:firstLine="420" w:firstLineChars="200"/>
        <w:rPr>
          <w:rFonts w:hAnsi="宋体"/>
          <w:color w:val="000000"/>
        </w:rPr>
      </w:pPr>
      <w:r>
        <w:rPr>
          <w:rFonts w:hint="eastAsia" w:hAnsi="宋体"/>
          <w:color w:val="000000"/>
        </w:rPr>
        <w:t>第一章 竞争性谈判公告</w:t>
      </w:r>
    </w:p>
    <w:p>
      <w:pPr>
        <w:pStyle w:val="23"/>
        <w:snapToGrid w:val="0"/>
        <w:spacing w:line="420" w:lineRule="exact"/>
        <w:ind w:firstLine="420" w:firstLineChars="200"/>
        <w:rPr>
          <w:rFonts w:hAnsi="宋体"/>
          <w:color w:val="000000"/>
        </w:rPr>
      </w:pPr>
      <w:r>
        <w:rPr>
          <w:rFonts w:hint="eastAsia" w:hAnsi="宋体"/>
          <w:color w:val="000000"/>
        </w:rPr>
        <w:t>第二章 项目需求</w:t>
      </w:r>
    </w:p>
    <w:p>
      <w:pPr>
        <w:pStyle w:val="23"/>
        <w:snapToGrid w:val="0"/>
        <w:spacing w:line="420" w:lineRule="exact"/>
        <w:ind w:firstLine="420" w:firstLineChars="200"/>
        <w:rPr>
          <w:rFonts w:hAnsi="宋体"/>
          <w:color w:val="000000"/>
        </w:rPr>
      </w:pPr>
      <w:r>
        <w:rPr>
          <w:rFonts w:hint="eastAsia" w:hAnsi="宋体"/>
          <w:color w:val="000000"/>
        </w:rPr>
        <w:t>第三章 供应商须知</w:t>
      </w:r>
    </w:p>
    <w:p>
      <w:pPr>
        <w:pStyle w:val="23"/>
        <w:snapToGrid w:val="0"/>
        <w:spacing w:line="420" w:lineRule="exact"/>
        <w:ind w:firstLine="420" w:firstLineChars="200"/>
        <w:rPr>
          <w:rFonts w:hAnsi="宋体"/>
          <w:color w:val="000000"/>
        </w:rPr>
      </w:pPr>
      <w:r>
        <w:rPr>
          <w:rFonts w:hint="eastAsia" w:hAnsi="宋体"/>
          <w:color w:val="000000"/>
        </w:rPr>
        <w:t>第四章 评定标准及推荐原则</w:t>
      </w:r>
    </w:p>
    <w:p>
      <w:pPr>
        <w:pStyle w:val="23"/>
        <w:snapToGrid w:val="0"/>
        <w:spacing w:line="420" w:lineRule="exact"/>
        <w:ind w:firstLine="420" w:firstLineChars="200"/>
        <w:rPr>
          <w:rFonts w:hAnsi="宋体"/>
          <w:color w:val="000000"/>
        </w:rPr>
      </w:pPr>
      <w:r>
        <w:rPr>
          <w:rFonts w:hint="eastAsia" w:hAnsi="宋体"/>
          <w:color w:val="000000"/>
        </w:rPr>
        <w:t>第五章 合同文本</w:t>
      </w:r>
    </w:p>
    <w:p>
      <w:pPr>
        <w:pStyle w:val="23"/>
        <w:snapToGrid w:val="0"/>
        <w:spacing w:line="420" w:lineRule="exact"/>
        <w:ind w:firstLine="420" w:firstLineChars="200"/>
        <w:rPr>
          <w:rFonts w:hAnsi="宋体"/>
          <w:color w:val="000000"/>
        </w:rPr>
      </w:pPr>
      <w:r>
        <w:rPr>
          <w:rFonts w:hint="eastAsia" w:hAnsi="宋体"/>
          <w:color w:val="000000"/>
        </w:rPr>
        <w:t>第六章 响应文件格式</w:t>
      </w:r>
    </w:p>
    <w:p>
      <w:pPr>
        <w:spacing w:line="420" w:lineRule="exact"/>
        <w:ind w:firstLine="211" w:firstLineChars="100"/>
        <w:rPr>
          <w:b/>
          <w:bCs/>
          <w:color w:val="000000"/>
        </w:rPr>
      </w:pPr>
      <w:bookmarkStart w:id="70" w:name="_Toc352700419"/>
      <w:bookmarkStart w:id="71" w:name="_Toc353785289"/>
      <w:r>
        <w:rPr>
          <w:rFonts w:hint="eastAsia"/>
          <w:b/>
          <w:bCs/>
          <w:color w:val="000000"/>
        </w:rPr>
        <w:t>（二）竞争性谈判采购文件的澄清与修改</w:t>
      </w:r>
      <w:bookmarkEnd w:id="70"/>
      <w:bookmarkEnd w:id="71"/>
    </w:p>
    <w:p>
      <w:pPr>
        <w:pStyle w:val="23"/>
        <w:snapToGrid w:val="0"/>
        <w:spacing w:line="420" w:lineRule="exact"/>
        <w:ind w:firstLine="420"/>
        <w:jc w:val="left"/>
        <w:rPr>
          <w:rFonts w:hAnsi="宋体"/>
          <w:color w:val="000000"/>
        </w:rPr>
      </w:pPr>
      <w:r>
        <w:rPr>
          <w:rFonts w:hint="eastAsia" w:hAnsi="宋体"/>
          <w:color w:val="000000"/>
        </w:rPr>
        <w:t>1</w:t>
      </w:r>
      <w:r>
        <w:rPr>
          <w:rFonts w:hAnsi="宋体"/>
          <w:color w:val="000000"/>
        </w:rPr>
        <w:t>.</w:t>
      </w:r>
      <w:r>
        <w:rPr>
          <w:rFonts w:hint="eastAsia" w:hAnsi="宋体"/>
          <w:color w:val="000000"/>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w:t>
      </w:r>
      <w:r>
        <w:rPr>
          <w:rFonts w:hint="eastAsia" w:hAnsi="宋体"/>
          <w:color w:val="000000" w:themeColor="text1"/>
          <w14:textFill>
            <w14:solidFill>
              <w14:schemeClr w14:val="tx1"/>
            </w14:solidFill>
          </w14:textFill>
        </w:rPr>
        <w:t>书面形式</w:t>
      </w:r>
      <w:r>
        <w:rPr>
          <w:rFonts w:hint="eastAsia" w:hAnsi="宋体"/>
          <w:color w:val="000000"/>
        </w:rPr>
        <w:t>通知所有依法接收谈判文件的供应商，不足3个工作日的，应当顺延提交首次响应文件截止之日。</w:t>
      </w:r>
    </w:p>
    <w:p>
      <w:pPr>
        <w:pStyle w:val="23"/>
        <w:snapToGrid w:val="0"/>
        <w:spacing w:line="420" w:lineRule="exact"/>
        <w:ind w:firstLine="420"/>
        <w:jc w:val="left"/>
        <w:rPr>
          <w:rFonts w:hAnsi="宋体"/>
          <w:color w:val="000000"/>
        </w:rPr>
      </w:pPr>
      <w:r>
        <w:rPr>
          <w:rFonts w:hint="eastAsia" w:hAnsi="宋体"/>
          <w:color w:val="000000"/>
        </w:rPr>
        <w:t>2</w:t>
      </w:r>
      <w:r>
        <w:rPr>
          <w:rFonts w:hAnsi="宋体"/>
          <w:color w:val="000000"/>
        </w:rPr>
        <w:t>.</w:t>
      </w:r>
      <w:r>
        <w:rPr>
          <w:rFonts w:hint="eastAsia" w:hAnsi="宋体"/>
          <w:color w:val="000000"/>
        </w:rPr>
        <w:t>提供期限届满后，获取谈判文件的供应商不足3家的，本中心可以顺延提供期限，并予公告。</w:t>
      </w:r>
    </w:p>
    <w:p>
      <w:pPr>
        <w:pStyle w:val="4"/>
        <w:spacing w:line="420" w:lineRule="exact"/>
      </w:pPr>
      <w:r>
        <w:rPr>
          <w:rFonts w:hint="eastAsia"/>
        </w:rPr>
        <w:t>三、响应文件</w:t>
      </w:r>
    </w:p>
    <w:p>
      <w:pPr>
        <w:spacing w:line="420" w:lineRule="exact"/>
        <w:ind w:firstLine="211" w:firstLineChars="100"/>
        <w:rPr>
          <w:rFonts w:hAnsi="宋体"/>
          <w:b/>
          <w:bCs/>
          <w:color w:val="000000"/>
        </w:rPr>
      </w:pPr>
      <w:r>
        <w:rPr>
          <w:rFonts w:hint="eastAsia" w:hAnsi="宋体"/>
          <w:b/>
          <w:bCs/>
          <w:color w:val="000000"/>
        </w:rPr>
        <w:t>（一）供应商的风险</w:t>
      </w:r>
    </w:p>
    <w:p>
      <w:pPr>
        <w:spacing w:line="420" w:lineRule="exact"/>
        <w:ind w:firstLine="420"/>
        <w:rPr>
          <w:rFonts w:hAnsi="宋体"/>
          <w:color w:val="000000"/>
        </w:rPr>
      </w:pPr>
      <w:r>
        <w:rPr>
          <w:rFonts w:hAnsi="宋体"/>
          <w:color w:val="000000"/>
        </w:rPr>
        <w:t>1.</w:t>
      </w:r>
      <w:r>
        <w:rPr>
          <w:rFonts w:hint="eastAsia" w:hAnsi="宋体"/>
          <w:color w:val="000000"/>
        </w:rPr>
        <w:t>供应商应当按照谈判文件的要求编制响应文件，并对其提交的响应文件的真实性、合法性承担法律责任。</w:t>
      </w:r>
    </w:p>
    <w:p>
      <w:pPr>
        <w:spacing w:line="420" w:lineRule="exact"/>
        <w:ind w:firstLine="420"/>
        <w:rPr>
          <w:rFonts w:hAnsi="宋体"/>
          <w:color w:val="000000"/>
        </w:rPr>
      </w:pPr>
      <w:r>
        <w:rPr>
          <w:rFonts w:hAnsi="宋体"/>
          <w:color w:val="000000"/>
        </w:rPr>
        <w:t>2.</w:t>
      </w:r>
      <w:r>
        <w:rPr>
          <w:rFonts w:hint="eastAsia" w:hAnsi="宋体"/>
          <w:color w:val="000000"/>
        </w:rPr>
        <w:t>供应商在采购活动中提供任何虚假材料的，谈判小组将报财政部门查处。</w:t>
      </w:r>
    </w:p>
    <w:p>
      <w:pPr>
        <w:snapToGrid w:val="0"/>
        <w:spacing w:line="420" w:lineRule="exact"/>
        <w:ind w:firstLine="211" w:firstLineChars="100"/>
        <w:rPr>
          <w:rFonts w:ascii="宋体" w:hAnsi="宋体"/>
          <w:b/>
          <w:color w:val="000000"/>
          <w:szCs w:val="21"/>
        </w:rPr>
      </w:pPr>
      <w:r>
        <w:rPr>
          <w:rFonts w:hint="eastAsia" w:hAnsi="宋体"/>
          <w:b/>
          <w:bCs/>
          <w:color w:val="000000"/>
        </w:rPr>
        <w:t>（二）</w:t>
      </w:r>
      <w:r>
        <w:rPr>
          <w:rFonts w:hint="eastAsia" w:ascii="宋体" w:hAnsi="宋体"/>
          <w:b/>
          <w:color w:val="000000"/>
          <w:szCs w:val="21"/>
        </w:rPr>
        <w:t>响应文件的组成</w:t>
      </w:r>
    </w:p>
    <w:p>
      <w:pPr>
        <w:snapToGrid w:val="0"/>
        <w:spacing w:line="420" w:lineRule="exact"/>
        <w:ind w:firstLine="422"/>
        <w:rPr>
          <w:rFonts w:ascii="宋体" w:hAnsi="宋体"/>
          <w:b/>
          <w:color w:val="000000"/>
          <w:szCs w:val="21"/>
        </w:rPr>
      </w:pPr>
      <w:bookmarkStart w:id="72" w:name="_Hlk92285760"/>
      <w:r>
        <w:rPr>
          <w:rFonts w:hint="eastAsia" w:ascii="宋体" w:hAnsi="宋体"/>
          <w:b/>
          <w:color w:val="000000"/>
          <w:szCs w:val="21"/>
        </w:rPr>
        <w:t>1.资格文件：</w:t>
      </w:r>
    </w:p>
    <w:p>
      <w:pPr>
        <w:snapToGrid w:val="0"/>
        <w:spacing w:line="420" w:lineRule="exact"/>
        <w:ind w:firstLine="420" w:firstLineChars="200"/>
        <w:rPr>
          <w:rFonts w:ascii="宋体" w:hAnsi="宋体"/>
          <w:color w:val="000000"/>
          <w:szCs w:val="21"/>
        </w:rPr>
      </w:pPr>
      <w:r>
        <w:rPr>
          <w:rFonts w:hint="eastAsia" w:ascii="宋体" w:hAnsi="宋体"/>
          <w:color w:val="000000"/>
          <w:szCs w:val="21"/>
        </w:rPr>
        <w:t>★</w:t>
      </w:r>
      <w:bookmarkStart w:id="73" w:name="_Hlk90369149"/>
      <w:r>
        <w:rPr>
          <w:rFonts w:hint="eastAsia" w:ascii="宋体" w:hAnsi="宋体"/>
          <w:color w:val="000000"/>
          <w:szCs w:val="21"/>
        </w:rPr>
        <w:t>(1)法人或者其他组织的营业执照等证明文件；</w:t>
      </w:r>
    </w:p>
    <w:bookmarkEnd w:id="73"/>
    <w:p>
      <w:pPr>
        <w:snapToGrid w:val="0"/>
        <w:spacing w:line="420" w:lineRule="exact"/>
        <w:ind w:firstLine="420" w:firstLineChars="200"/>
        <w:rPr>
          <w:rFonts w:ascii="宋体" w:hAnsi="宋体"/>
          <w:color w:val="000000"/>
          <w:szCs w:val="21"/>
        </w:rPr>
      </w:pPr>
      <w:r>
        <w:rPr>
          <w:rFonts w:hint="eastAsia" w:ascii="宋体" w:hAnsi="宋体"/>
          <w:color w:val="000000"/>
          <w:szCs w:val="21"/>
        </w:rPr>
        <w:t>★(2)供应商具备参加政府采购活动条件的承诺书(格式见第六章）</w:t>
      </w:r>
    </w:p>
    <w:p>
      <w:pPr>
        <w:snapToGrid w:val="0"/>
        <w:spacing w:line="420" w:lineRule="exact"/>
        <w:ind w:firstLine="420" w:firstLineChars="200"/>
        <w:rPr>
          <w:rFonts w:ascii="宋体" w:hAnsi="宋体"/>
          <w:color w:val="000000"/>
          <w:szCs w:val="21"/>
        </w:rPr>
      </w:pPr>
      <w:r>
        <w:rPr>
          <w:rFonts w:hint="eastAsia" w:ascii="宋体" w:hAnsi="宋体"/>
          <w:color w:val="000000"/>
          <w:szCs w:val="21"/>
        </w:rPr>
        <w:t>★(3)参加政府采购活动前3年内在经营活动中没有重大违法记录的书面声明(格式见第六章)</w:t>
      </w:r>
    </w:p>
    <w:p>
      <w:pPr>
        <w:pStyle w:val="37"/>
        <w:ind w:firstLine="630" w:firstLineChars="300"/>
      </w:pPr>
    </w:p>
    <w:p>
      <w:pPr>
        <w:snapToGrid w:val="0"/>
        <w:spacing w:line="420" w:lineRule="exact"/>
        <w:ind w:firstLine="422"/>
        <w:rPr>
          <w:rFonts w:ascii="宋体" w:hAnsi="宋体"/>
          <w:color w:val="000000"/>
          <w:szCs w:val="21"/>
        </w:rPr>
      </w:pPr>
      <w:r>
        <w:rPr>
          <w:rFonts w:ascii="宋体" w:hAnsi="宋体"/>
          <w:b/>
          <w:color w:val="000000"/>
          <w:szCs w:val="21"/>
        </w:rPr>
        <w:t>2.</w:t>
      </w:r>
      <w:r>
        <w:rPr>
          <w:rFonts w:hint="eastAsia" w:ascii="宋体" w:hAnsi="宋体"/>
          <w:b/>
          <w:color w:val="000000"/>
          <w:szCs w:val="21"/>
        </w:rPr>
        <w:t>商务技术文件：</w:t>
      </w:r>
    </w:p>
    <w:p>
      <w:pPr>
        <w:tabs>
          <w:tab w:val="left" w:pos="3870"/>
          <w:tab w:val="left" w:pos="4085"/>
        </w:tabs>
        <w:snapToGrid w:val="0"/>
        <w:spacing w:line="420" w:lineRule="exact"/>
        <w:ind w:firstLine="420" w:firstLineChars="200"/>
        <w:rPr>
          <w:rFonts w:ascii="宋体" w:hAnsi="宋体"/>
          <w:color w:val="000000"/>
          <w:szCs w:val="21"/>
        </w:rPr>
      </w:pPr>
      <w:r>
        <w:rPr>
          <w:rFonts w:hint="eastAsia" w:ascii="宋体" w:hAnsi="宋体" w:cs="宋体"/>
          <w:bCs/>
          <w:color w:val="000000"/>
          <w:kern w:val="0"/>
          <w:szCs w:val="21"/>
        </w:rPr>
        <w:t>★</w:t>
      </w: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谈判函（格式见第六章）</w:t>
      </w:r>
    </w:p>
    <w:p>
      <w:pPr>
        <w:tabs>
          <w:tab w:val="left" w:pos="3870"/>
          <w:tab w:val="left" w:pos="4085"/>
        </w:tabs>
        <w:snapToGrid w:val="0"/>
        <w:spacing w:line="420" w:lineRule="exact"/>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法定代表人身份证</w:t>
      </w:r>
    </w:p>
    <w:p>
      <w:pPr>
        <w:snapToGrid w:val="0"/>
        <w:spacing w:line="420" w:lineRule="exact"/>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法定代表人授权委托书和代理人身份证（委托代理时必须提供，格式见第六章）</w:t>
      </w:r>
    </w:p>
    <w:p>
      <w:pPr>
        <w:snapToGrid w:val="0"/>
        <w:spacing w:line="420" w:lineRule="exact"/>
        <w:ind w:firstLine="422" w:firstLineChars="200"/>
        <w:rPr>
          <w:rFonts w:ascii="宋体" w:hAnsi="宋体"/>
          <w:color w:val="000000"/>
          <w:szCs w:val="21"/>
        </w:rPr>
      </w:pPr>
      <w:r>
        <w:rPr>
          <w:rFonts w:hint="eastAsia" w:ascii="宋体" w:hAnsi="宋体"/>
          <w:b/>
          <w:color w:val="000000"/>
          <w:szCs w:val="21"/>
        </w:rPr>
        <w:t>★</w:t>
      </w:r>
      <w:r>
        <w:rPr>
          <w:rFonts w:hint="eastAsia" w:ascii="宋体" w:hAnsi="宋体"/>
          <w:color w:val="000000"/>
          <w:szCs w:val="21"/>
        </w:rPr>
        <w:t>(4</w:t>
      </w:r>
      <w:r>
        <w:rPr>
          <w:rFonts w:ascii="宋体" w:hAnsi="宋体"/>
          <w:color w:val="000000"/>
          <w:szCs w:val="21"/>
        </w:rPr>
        <w:t>)</w:t>
      </w:r>
      <w:r>
        <w:rPr>
          <w:rFonts w:ascii="宋体" w:hAnsi="宋体"/>
          <w:color w:val="000000"/>
        </w:rPr>
        <w:t>商务响应表(格式见第六章)</w:t>
      </w:r>
    </w:p>
    <w:p>
      <w:pPr>
        <w:snapToGrid w:val="0"/>
        <w:spacing w:line="420" w:lineRule="exact"/>
        <w:ind w:firstLine="422" w:firstLineChars="200"/>
        <w:rPr>
          <w:rFonts w:ascii="宋体" w:hAnsi="宋体"/>
          <w:color w:val="000000"/>
        </w:rPr>
      </w:pPr>
      <w:bookmarkStart w:id="74" w:name="_Hlk111707698"/>
      <w:r>
        <w:rPr>
          <w:rFonts w:hint="eastAsia" w:ascii="宋体" w:hAnsi="宋体"/>
          <w:b/>
          <w:color w:val="000000"/>
          <w:szCs w:val="21"/>
        </w:rPr>
        <w:t>★</w:t>
      </w:r>
      <w:r>
        <w:rPr>
          <w:rFonts w:hint="eastAsia" w:ascii="宋体" w:hAnsi="宋体"/>
          <w:color w:val="000000"/>
        </w:rPr>
        <w:t>(5</w:t>
      </w:r>
      <w:r>
        <w:rPr>
          <w:rFonts w:ascii="宋体" w:hAnsi="宋体"/>
          <w:color w:val="000000"/>
        </w:rPr>
        <w:t>)</w:t>
      </w:r>
      <w:r>
        <w:rPr>
          <w:rFonts w:hint="eastAsia" w:ascii="宋体" w:hAnsi="宋体"/>
          <w:color w:val="000000"/>
          <w:szCs w:val="21"/>
        </w:rPr>
        <w:t>技术响应表</w:t>
      </w:r>
      <w:bookmarkStart w:id="75" w:name="_Hlk92285954"/>
      <w:r>
        <w:rPr>
          <w:rFonts w:ascii="宋体" w:hAnsi="宋体"/>
          <w:color w:val="000000"/>
        </w:rPr>
        <w:t>(格式见第六章)</w:t>
      </w:r>
      <w:bookmarkEnd w:id="75"/>
    </w:p>
    <w:p>
      <w:pPr>
        <w:snapToGrid w:val="0"/>
        <w:spacing w:line="420" w:lineRule="exact"/>
        <w:ind w:firstLine="422" w:firstLineChars="200"/>
        <w:rPr>
          <w:rFonts w:ascii="宋体" w:cs="宋体"/>
          <w:bCs/>
          <w:color w:val="000000"/>
          <w:kern w:val="0"/>
          <w:szCs w:val="21"/>
        </w:rPr>
      </w:pPr>
      <w:r>
        <w:rPr>
          <w:rFonts w:hint="eastAsia" w:ascii="宋体" w:hAnsi="宋体"/>
          <w:b/>
          <w:color w:val="000000"/>
          <w:szCs w:val="21"/>
        </w:rPr>
        <w:t>★</w:t>
      </w:r>
      <w:r>
        <w:rPr>
          <w:rFonts w:hint="eastAsia" w:ascii="宋体" w:cs="宋体"/>
          <w:bCs/>
          <w:color w:val="000000"/>
          <w:kern w:val="0"/>
          <w:szCs w:val="21"/>
        </w:rPr>
        <w:t>(6</w:t>
      </w:r>
      <w:r>
        <w:rPr>
          <w:rFonts w:ascii="宋体" w:cs="宋体"/>
          <w:bCs/>
          <w:color w:val="000000"/>
          <w:kern w:val="0"/>
          <w:szCs w:val="21"/>
        </w:rPr>
        <w:t>)</w:t>
      </w:r>
      <w:r>
        <w:rPr>
          <w:rFonts w:hint="eastAsia" w:ascii="宋体" w:hAnsi="宋体"/>
          <w:color w:val="000000"/>
        </w:rPr>
        <w:t>《项目需求》中要求</w:t>
      </w:r>
      <w:r>
        <w:rPr>
          <w:rFonts w:hint="eastAsia" w:ascii="宋体" w:hAnsi="宋体"/>
          <w:b/>
          <w:color w:val="000000"/>
        </w:rPr>
        <w:t>必须提供</w:t>
      </w:r>
      <w:r>
        <w:rPr>
          <w:rFonts w:hint="eastAsia" w:ascii="宋体" w:hAnsi="宋体"/>
          <w:color w:val="000000"/>
        </w:rPr>
        <w:t>的材料</w:t>
      </w:r>
    </w:p>
    <w:p>
      <w:pPr>
        <w:snapToGrid w:val="0"/>
        <w:spacing w:line="420" w:lineRule="exact"/>
        <w:ind w:firstLine="630" w:firstLineChars="300"/>
        <w:rPr>
          <w:rFonts w:ascii="宋体" w:cs="宋体"/>
          <w:bCs/>
          <w:color w:val="000000"/>
          <w:kern w:val="0"/>
          <w:szCs w:val="21"/>
        </w:rPr>
      </w:pPr>
      <w:r>
        <w:rPr>
          <w:rFonts w:hint="eastAsia" w:ascii="宋体" w:hAnsi="宋体"/>
          <w:color w:val="000000"/>
          <w:szCs w:val="21"/>
        </w:rPr>
        <w:t>(7</w:t>
      </w:r>
      <w:r>
        <w:rPr>
          <w:rFonts w:ascii="宋体" w:hAnsi="宋体"/>
          <w:color w:val="000000"/>
          <w:szCs w:val="21"/>
        </w:rPr>
        <w:t>)</w:t>
      </w:r>
      <w:r>
        <w:rPr>
          <w:rFonts w:hint="eastAsia" w:ascii="宋体" w:cs="宋体"/>
          <w:color w:val="000000"/>
          <w:kern w:val="0"/>
          <w:szCs w:val="21"/>
        </w:rPr>
        <w:t>售后服务承诺书</w:t>
      </w:r>
      <w:r>
        <w:rPr>
          <w:rFonts w:hint="eastAsia" w:ascii="宋体" w:cs="宋体"/>
          <w:bCs/>
          <w:color w:val="000000"/>
          <w:kern w:val="0"/>
          <w:szCs w:val="21"/>
        </w:rPr>
        <w:t>（根据项目需求要求提供，格式自拟）</w:t>
      </w:r>
      <w:bookmarkEnd w:id="74"/>
    </w:p>
    <w:p>
      <w:pPr>
        <w:snapToGrid w:val="0"/>
        <w:spacing w:line="420" w:lineRule="exact"/>
        <w:ind w:firstLine="630" w:firstLineChars="300"/>
      </w:pPr>
      <w:r>
        <w:rPr>
          <w:rFonts w:hint="eastAsia" w:ascii="宋体" w:hAnsi="宋体"/>
          <w:color w:val="000000"/>
          <w:szCs w:val="21"/>
        </w:rPr>
        <w:t>(8</w:t>
      </w:r>
      <w:r>
        <w:rPr>
          <w:rFonts w:ascii="宋体" w:hAnsi="宋体"/>
          <w:color w:val="000000"/>
          <w:szCs w:val="21"/>
        </w:rPr>
        <w:t>)</w:t>
      </w:r>
      <w:r>
        <w:rPr>
          <w:rFonts w:hint="eastAsia" w:ascii="宋体" w:hAnsi="宋体"/>
          <w:color w:val="000000"/>
          <w:szCs w:val="21"/>
        </w:rPr>
        <w:t>供应商认为有必</w:t>
      </w:r>
      <w:r>
        <w:rPr>
          <w:rFonts w:hint="eastAsia" w:ascii="宋体" w:hAnsi="宋体"/>
          <w:color w:val="000000"/>
        </w:rPr>
        <w:t>要提供的声明或材料(中小企业、残疾人福利性单位声明函等，格式见第六章)</w:t>
      </w:r>
    </w:p>
    <w:p>
      <w:pPr>
        <w:snapToGrid w:val="0"/>
        <w:spacing w:line="420" w:lineRule="exact"/>
        <w:ind w:firstLine="422"/>
        <w:rPr>
          <w:rFonts w:ascii="宋体" w:hAnsi="宋体"/>
          <w:b/>
          <w:color w:val="000000"/>
          <w:szCs w:val="21"/>
        </w:rPr>
      </w:pPr>
      <w:r>
        <w:rPr>
          <w:rFonts w:ascii="宋体" w:hAnsi="宋体"/>
          <w:b/>
          <w:color w:val="000000"/>
          <w:szCs w:val="21"/>
        </w:rPr>
        <w:t>3.</w:t>
      </w:r>
      <w:r>
        <w:rPr>
          <w:rFonts w:hint="eastAsia" w:ascii="宋体" w:hAnsi="宋体"/>
          <w:b/>
          <w:color w:val="000000"/>
          <w:szCs w:val="21"/>
        </w:rPr>
        <w:t>报价文件</w:t>
      </w:r>
    </w:p>
    <w:p>
      <w:pPr>
        <w:snapToGrid w:val="0"/>
        <w:spacing w:line="420" w:lineRule="exact"/>
        <w:rPr>
          <w:rFonts w:ascii="宋体" w:hAnsi="宋体"/>
          <w:bCs/>
          <w:color w:val="000000"/>
          <w:szCs w:val="21"/>
        </w:rPr>
      </w:pPr>
      <w:bookmarkStart w:id="76" w:name="_Hlk92265738"/>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w:t>
      </w:r>
      <w:r>
        <w:rPr>
          <w:rFonts w:hint="eastAsia" w:ascii="宋体" w:hAnsi="宋体"/>
          <w:bCs/>
          <w:color w:val="000000"/>
          <w:szCs w:val="21"/>
        </w:rPr>
        <w:t>报价明细表</w:t>
      </w:r>
      <w:bookmarkEnd w:id="76"/>
      <w:r>
        <w:rPr>
          <w:rFonts w:hint="eastAsia" w:ascii="宋体" w:hAnsi="宋体"/>
          <w:bCs/>
          <w:color w:val="000000"/>
          <w:szCs w:val="21"/>
        </w:rPr>
        <w:t>(格式见第六章)。</w:t>
      </w:r>
    </w:p>
    <w:bookmarkEnd w:id="72"/>
    <w:p>
      <w:pPr>
        <w:tabs>
          <w:tab w:val="left" w:pos="0"/>
        </w:tabs>
        <w:snapToGrid w:val="0"/>
        <w:spacing w:line="360" w:lineRule="exact"/>
        <w:ind w:firstLine="422"/>
        <w:jc w:val="left"/>
        <w:rPr>
          <w:rFonts w:ascii="宋体" w:hAnsi="宋体" w:cs="宋体"/>
          <w:b/>
          <w:bCs/>
          <w:kern w:val="0"/>
          <w:szCs w:val="21"/>
          <w:lang w:bidi="ar"/>
        </w:rPr>
      </w:pPr>
      <w:bookmarkStart w:id="77" w:name="_Hlk90906323"/>
      <w:r>
        <w:rPr>
          <w:rFonts w:hint="eastAsia" w:ascii="宋体" w:hAnsi="宋体"/>
          <w:color w:val="000000"/>
          <w:szCs w:val="21"/>
        </w:rPr>
        <w:t>注：</w:t>
      </w:r>
      <w:r>
        <w:rPr>
          <w:rFonts w:hint="eastAsia" w:ascii="宋体" w:hAnsi="宋体"/>
          <w:color w:val="FF0000"/>
          <w:szCs w:val="21"/>
        </w:rPr>
        <w:t>标注★号的材料均为必须提供的材料须由供应商加盖公章，授权委托书必须由法定代表人签名，否则视为无效响应文件。</w:t>
      </w:r>
    </w:p>
    <w:p>
      <w:pPr>
        <w:spacing w:line="420" w:lineRule="exact"/>
        <w:ind w:firstLine="211" w:firstLineChars="100"/>
        <w:rPr>
          <w:rFonts w:ascii="宋体" w:hAnsi="宋体"/>
          <w:b/>
          <w:bCs/>
          <w:color w:val="000000"/>
          <w:szCs w:val="21"/>
        </w:rPr>
      </w:pPr>
      <w:r>
        <w:rPr>
          <w:rFonts w:hint="eastAsia" w:ascii="宋体" w:hAnsi="宋体"/>
          <w:b/>
          <w:color w:val="000000"/>
          <w:szCs w:val="21"/>
        </w:rPr>
        <w:t>（三）</w:t>
      </w:r>
      <w:bookmarkStart w:id="78" w:name="_Toc254970678"/>
      <w:bookmarkStart w:id="79" w:name="_Toc352700422"/>
      <w:bookmarkStart w:id="80" w:name="_Toc254970537"/>
      <w:bookmarkStart w:id="81" w:name="_Toc353785292"/>
      <w:r>
        <w:rPr>
          <w:rFonts w:hint="eastAsia" w:ascii="宋体" w:hAnsi="宋体"/>
          <w:b/>
          <w:bCs/>
          <w:color w:val="000000"/>
          <w:szCs w:val="21"/>
        </w:rPr>
        <w:t>响应文件的编制、签署及加密</w:t>
      </w:r>
    </w:p>
    <w:p>
      <w:pPr>
        <w:spacing w:line="420" w:lineRule="exact"/>
        <w:ind w:firstLine="420"/>
        <w:rPr>
          <w:rFonts w:ascii="宋体" w:hAnsi="宋体"/>
          <w:color w:val="000000"/>
          <w:szCs w:val="21"/>
        </w:rPr>
      </w:pPr>
      <w:r>
        <w:rPr>
          <w:rFonts w:ascii="宋体" w:hAnsi="宋体"/>
          <w:color w:val="000000"/>
          <w:szCs w:val="21"/>
        </w:rPr>
        <w:t>1.</w:t>
      </w:r>
      <w:r>
        <w:rPr>
          <w:rFonts w:hint="eastAsia" w:ascii="宋体" w:hAnsi="宋体"/>
          <w:color w:val="000000"/>
          <w:szCs w:val="21"/>
        </w:rPr>
        <w:t>供应商应认真阅读、并充分理解采购文件的全部内容（包括所有的补充、修改内容），承诺履行其各项条款的规定并按要求编制。</w:t>
      </w:r>
    </w:p>
    <w:p>
      <w:pPr>
        <w:spacing w:line="420" w:lineRule="exact"/>
        <w:ind w:firstLine="420"/>
        <w:rPr>
          <w:rFonts w:ascii="宋体" w:hAnsi="宋体"/>
          <w:color w:val="000000"/>
          <w:szCs w:val="21"/>
        </w:rPr>
      </w:pPr>
      <w:r>
        <w:rPr>
          <w:rFonts w:ascii="宋体" w:hAnsi="宋体"/>
          <w:color w:val="000000"/>
          <w:szCs w:val="21"/>
        </w:rPr>
        <w:t>2.</w:t>
      </w:r>
      <w:r>
        <w:rPr>
          <w:rFonts w:hint="eastAsia" w:ascii="宋体" w:hAnsi="宋体"/>
          <w:color w:val="000000"/>
          <w:szCs w:val="21"/>
        </w:rPr>
        <w:t>供应商应通过广西壮族自治区全流程电子招投标项目管理系统-供应商客户端编制加密响应文件。</w:t>
      </w:r>
    </w:p>
    <w:p>
      <w:pPr>
        <w:spacing w:line="420" w:lineRule="exact"/>
        <w:ind w:firstLine="420"/>
        <w:rPr>
          <w:rFonts w:ascii="宋体" w:hAnsi="宋体"/>
          <w:color w:val="000000"/>
          <w:szCs w:val="21"/>
        </w:rPr>
      </w:pPr>
      <w:r>
        <w:rPr>
          <w:rFonts w:ascii="宋体" w:hAnsi="宋体"/>
          <w:color w:val="000000"/>
          <w:szCs w:val="21"/>
        </w:rPr>
        <w:t>3.</w:t>
      </w:r>
      <w:r>
        <w:rPr>
          <w:rFonts w:hint="eastAsia" w:ascii="宋体" w:hAnsi="宋体"/>
          <w:color w:val="000000"/>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20" w:lineRule="exact"/>
        <w:rPr>
          <w:rFonts w:ascii="宋体" w:hAnsi="宋体"/>
          <w:b/>
          <w:bCs/>
          <w:color w:val="000000"/>
          <w:szCs w:val="21"/>
        </w:rPr>
      </w:pPr>
      <w:r>
        <w:rPr>
          <w:rFonts w:ascii="宋体" w:hAnsi="宋体"/>
          <w:color w:val="000000"/>
          <w:szCs w:val="21"/>
        </w:rPr>
        <w:tab/>
      </w:r>
      <w:r>
        <w:rPr>
          <w:rFonts w:ascii="宋体" w:hAnsi="宋体"/>
          <w:b/>
          <w:bCs/>
          <w:color w:val="000000"/>
          <w:szCs w:val="21"/>
        </w:rPr>
        <w:t>4.</w:t>
      </w:r>
      <w:bookmarkStart w:id="82" w:name="_Hlk112311085"/>
      <w:r>
        <w:rPr>
          <w:rFonts w:hint="eastAsia" w:ascii="宋体" w:hAnsi="宋体"/>
          <w:b/>
          <w:bCs/>
          <w:color w:val="000000"/>
          <w:szCs w:val="21"/>
        </w:rPr>
        <w:t>响应文件由供应商在规定位置由法定代表人或授权委托人签名（可为电子签名）、填写供应商名称并加盖公章(简称“盖章”，可为电子公章)，供应商名称应写全称。</w:t>
      </w:r>
      <w:bookmarkEnd w:id="82"/>
    </w:p>
    <w:p>
      <w:pPr>
        <w:snapToGrid w:val="0"/>
        <w:spacing w:line="420" w:lineRule="exact"/>
        <w:ind w:firstLine="210" w:firstLineChars="100"/>
        <w:rPr>
          <w:rFonts w:ascii="宋体" w:hAnsi="宋体"/>
          <w:b/>
          <w:bCs/>
          <w:color w:val="000000"/>
          <w:szCs w:val="21"/>
        </w:rPr>
      </w:pPr>
      <w:r>
        <w:rPr>
          <w:rFonts w:ascii="宋体" w:hAnsi="宋体"/>
          <w:color w:val="000000"/>
          <w:szCs w:val="21"/>
        </w:rPr>
        <w:tab/>
      </w:r>
      <w:r>
        <w:rPr>
          <w:rFonts w:ascii="宋体" w:hAnsi="宋体"/>
          <w:color w:val="000000"/>
          <w:szCs w:val="21"/>
        </w:rPr>
        <w:t>5.</w:t>
      </w:r>
      <w:r>
        <w:rPr>
          <w:rFonts w:hint="eastAsia" w:ascii="宋体" w:hAnsi="宋体"/>
          <w:color w:val="000000"/>
          <w:szCs w:val="21"/>
        </w:rPr>
        <w:t>响应文件内容不完整、编排混乱、不清晰等原因导致被误读或漏读的责任和后果由供应商承担。</w:t>
      </w:r>
    </w:p>
    <w:bookmarkEnd w:id="77"/>
    <w:p>
      <w:pPr>
        <w:spacing w:line="420" w:lineRule="exact"/>
        <w:ind w:firstLine="211" w:firstLineChars="100"/>
        <w:rPr>
          <w:color w:val="000000"/>
        </w:rPr>
      </w:pPr>
      <w:r>
        <w:rPr>
          <w:rFonts w:hint="eastAsia"/>
          <w:b/>
          <w:bCs/>
          <w:color w:val="000000"/>
        </w:rPr>
        <w:t>（四）响应文件的语言及计量</w:t>
      </w:r>
      <w:bookmarkEnd w:id="78"/>
      <w:bookmarkEnd w:id="79"/>
      <w:bookmarkEnd w:id="80"/>
      <w:bookmarkEnd w:id="81"/>
    </w:p>
    <w:p>
      <w:pPr>
        <w:snapToGrid w:val="0"/>
        <w:spacing w:line="420" w:lineRule="exact"/>
        <w:ind w:firstLine="420"/>
        <w:rPr>
          <w:rFonts w:ascii="宋体" w:hAnsi="宋体"/>
          <w:color w:val="000000"/>
          <w:szCs w:val="21"/>
        </w:rPr>
      </w:pPr>
      <w:r>
        <w:rPr>
          <w:rFonts w:ascii="宋体" w:hAnsi="宋体"/>
          <w:color w:val="000000"/>
          <w:szCs w:val="21"/>
        </w:rPr>
        <w:t>1.</w:t>
      </w:r>
      <w:r>
        <w:rPr>
          <w:rFonts w:hint="eastAsia" w:ascii="宋体" w:hAnsi="宋体"/>
          <w:color w:val="000000"/>
          <w:szCs w:val="21"/>
        </w:rPr>
        <w:t>响应文件以及供应商与采购人、本中心就有关事宜的所有来往函电，均应以中文汉语书写。除签名、盖章、专用名称等特殊情形外，以中文汉语以外的文字表述的视为无效文件。</w:t>
      </w:r>
    </w:p>
    <w:p>
      <w:pPr>
        <w:snapToGrid w:val="0"/>
        <w:spacing w:line="420" w:lineRule="exact"/>
        <w:ind w:firstLine="420"/>
        <w:rPr>
          <w:rFonts w:ascii="宋体" w:hAnsi="宋体"/>
          <w:color w:val="000000"/>
          <w:szCs w:val="21"/>
        </w:rPr>
      </w:pPr>
      <w:r>
        <w:rPr>
          <w:rFonts w:ascii="宋体" w:hAnsi="宋体"/>
          <w:color w:val="000000"/>
          <w:szCs w:val="21"/>
        </w:rPr>
        <w:t>2.响应</w:t>
      </w:r>
      <w:r>
        <w:rPr>
          <w:rFonts w:hint="eastAsia" w:ascii="宋体" w:hAnsi="宋体"/>
          <w:color w:val="000000"/>
          <w:szCs w:val="21"/>
        </w:rPr>
        <w:t>文件的计量单位，采购文件已有明确规定的，使用采购文件规定的计量单位；采购文件没有规定的，应采用中华人民共和国法定计量单位（货币单位：人民币元），否则视为无效响应文件。</w:t>
      </w:r>
    </w:p>
    <w:p>
      <w:pPr>
        <w:pStyle w:val="4"/>
        <w:spacing w:before="0" w:after="0" w:line="440" w:lineRule="exact"/>
        <w:ind w:firstLine="211" w:firstLineChars="100"/>
        <w:rPr>
          <w:rFonts w:ascii="宋体" w:hAnsi="宋体" w:eastAsia="宋体"/>
          <w:sz w:val="21"/>
          <w:szCs w:val="21"/>
        </w:rPr>
      </w:pPr>
      <w:bookmarkStart w:id="83" w:name="_（五）报价"/>
      <w:bookmarkEnd w:id="83"/>
      <w:bookmarkStart w:id="84" w:name="_Toc254970679"/>
      <w:bookmarkStart w:id="85" w:name="_Toc353785293"/>
      <w:bookmarkStart w:id="86" w:name="_Toc352700423"/>
      <w:bookmarkStart w:id="87" w:name="_Toc254970538"/>
      <w:r>
        <w:rPr>
          <w:rFonts w:hint="eastAsia" w:ascii="宋体" w:hAnsi="宋体" w:eastAsia="宋体"/>
          <w:sz w:val="21"/>
          <w:szCs w:val="21"/>
        </w:rPr>
        <w:t>（五）报价</w:t>
      </w:r>
      <w:bookmarkEnd w:id="84"/>
      <w:bookmarkEnd w:id="85"/>
      <w:bookmarkEnd w:id="86"/>
      <w:bookmarkEnd w:id="87"/>
    </w:p>
    <w:p>
      <w:pPr>
        <w:pStyle w:val="23"/>
        <w:snapToGrid w:val="0"/>
        <w:spacing w:line="420" w:lineRule="exact"/>
        <w:ind w:firstLine="420"/>
        <w:rPr>
          <w:rFonts w:hAnsi="宋体"/>
          <w:color w:val="000000"/>
        </w:rPr>
      </w:pPr>
      <w:r>
        <w:rPr>
          <w:rFonts w:hAnsi="宋体"/>
          <w:color w:val="000000"/>
        </w:rPr>
        <w:t>1.</w:t>
      </w:r>
      <w:r>
        <w:rPr>
          <w:rFonts w:hint="eastAsia" w:hAnsi="宋体"/>
          <w:color w:val="0D0D0D" w:themeColor="text1" w:themeTint="F2"/>
          <w14:textFill>
            <w14:solidFill>
              <w14:schemeClr w14:val="tx1">
                <w14:lumMod w14:val="95000"/>
                <w14:lumOff w14:val="5000"/>
              </w14:schemeClr>
            </w14:solidFill>
          </w14:textFill>
        </w:rPr>
        <w:t>采购文件中未列明，而供应商认为必需的费用也须列入总报价。在合同实施时，采购人将不予支付成交供应商没有列入总报价的项目费用，并认为此项费用已包含在总报价中。</w:t>
      </w:r>
    </w:p>
    <w:p>
      <w:pPr>
        <w:pStyle w:val="23"/>
        <w:snapToGrid w:val="0"/>
        <w:spacing w:line="420" w:lineRule="exact"/>
        <w:ind w:firstLine="420"/>
        <w:rPr>
          <w:color w:val="000000"/>
        </w:rPr>
      </w:pPr>
      <w:r>
        <w:rPr>
          <w:rFonts w:hAnsi="宋体"/>
          <w:color w:val="000000"/>
        </w:rPr>
        <w:t>2</w:t>
      </w:r>
      <w:r>
        <w:rPr>
          <w:rFonts w:hint="eastAsia" w:hAnsi="宋体"/>
          <w:color w:val="000000"/>
        </w:rPr>
        <w:t>供应商</w:t>
      </w:r>
      <w:r>
        <w:rPr>
          <w:rFonts w:hint="eastAsia"/>
          <w:color w:val="000000"/>
        </w:rPr>
        <w:t>必须就《项目需求》货物和服务的内容作完整唯一报价</w:t>
      </w:r>
      <w:r>
        <w:rPr>
          <w:rFonts w:hint="eastAsia" w:hAnsi="宋体"/>
          <w:color w:val="000000"/>
        </w:rPr>
        <w:t>，有选择的或有条件的报价视为无效响应文件。</w:t>
      </w:r>
    </w:p>
    <w:p>
      <w:pPr>
        <w:tabs>
          <w:tab w:val="left" w:pos="525"/>
        </w:tabs>
        <w:snapToGrid w:val="0"/>
        <w:spacing w:line="420" w:lineRule="exact"/>
        <w:ind w:firstLine="420"/>
        <w:rPr>
          <w:rFonts w:ascii="宋体" w:hAnsi="宋体"/>
          <w:color w:val="000000"/>
          <w:szCs w:val="21"/>
        </w:rPr>
      </w:pPr>
      <w:r>
        <w:rPr>
          <w:rFonts w:ascii="宋体" w:hAnsi="宋体"/>
          <w:color w:val="000000"/>
          <w:szCs w:val="21"/>
        </w:rPr>
        <w:t>3.</w:t>
      </w:r>
      <w:r>
        <w:rPr>
          <w:rFonts w:hint="eastAsia" w:ascii="宋体" w:hAnsi="宋体"/>
          <w:color w:val="000000"/>
          <w:szCs w:val="21"/>
        </w:rPr>
        <w:t>供应商的报价必须按采购文件或政府采购云平台规定的格式填写，并在规定时间内提交最后报价。</w:t>
      </w:r>
    </w:p>
    <w:p>
      <w:pPr>
        <w:tabs>
          <w:tab w:val="left" w:pos="525"/>
        </w:tabs>
        <w:snapToGrid w:val="0"/>
        <w:spacing w:line="420" w:lineRule="exact"/>
        <w:ind w:firstLine="420"/>
        <w:rPr>
          <w:rFonts w:ascii="宋体" w:hAnsi="宋体"/>
          <w:color w:val="000000"/>
          <w:szCs w:val="21"/>
        </w:rPr>
      </w:pPr>
      <w:r>
        <w:rPr>
          <w:rFonts w:ascii="宋体" w:hAnsi="宋体"/>
          <w:color w:val="000000"/>
          <w:szCs w:val="21"/>
        </w:rPr>
        <w:t>4.</w:t>
      </w:r>
      <w:r>
        <w:rPr>
          <w:rFonts w:hint="eastAsia" w:ascii="宋体" w:hAnsi="宋体"/>
          <w:color w:val="000000"/>
          <w:szCs w:val="21"/>
        </w:rPr>
        <w:t>最后报价是供应商响应文件的有效组成部分。</w:t>
      </w:r>
    </w:p>
    <w:p>
      <w:pPr>
        <w:pStyle w:val="4"/>
        <w:spacing w:before="0" w:after="0" w:line="440" w:lineRule="exact"/>
        <w:ind w:firstLine="211" w:firstLineChars="100"/>
        <w:rPr>
          <w:rFonts w:ascii="宋体" w:hAnsi="宋体" w:eastAsia="宋体"/>
          <w:sz w:val="21"/>
          <w:szCs w:val="21"/>
        </w:rPr>
      </w:pPr>
      <w:bookmarkStart w:id="88" w:name="_（六）谈判保证金"/>
      <w:bookmarkEnd w:id="88"/>
      <w:bookmarkStart w:id="89" w:name="_Toc352700425"/>
      <w:bookmarkStart w:id="90" w:name="_Toc254970541"/>
      <w:bookmarkStart w:id="91" w:name="_Toc254970682"/>
      <w:bookmarkStart w:id="92" w:name="_Toc353785295"/>
      <w:r>
        <w:rPr>
          <w:rFonts w:hint="eastAsia" w:ascii="宋体" w:hAnsi="宋体" w:eastAsia="宋体"/>
          <w:sz w:val="21"/>
          <w:szCs w:val="21"/>
        </w:rPr>
        <w:t>（六）谈判保证金</w:t>
      </w:r>
      <w:bookmarkEnd w:id="89"/>
      <w:bookmarkEnd w:id="90"/>
      <w:bookmarkEnd w:id="91"/>
      <w:bookmarkEnd w:id="92"/>
    </w:p>
    <w:p>
      <w:pPr>
        <w:widowControl/>
        <w:spacing w:line="420" w:lineRule="exact"/>
        <w:ind w:firstLine="420" w:firstLineChars="200"/>
        <w:jc w:val="left"/>
        <w:rPr>
          <w:color w:val="0000FF"/>
        </w:rPr>
      </w:pPr>
      <w:bookmarkStart w:id="93" w:name="_Toc353785296"/>
      <w:bookmarkStart w:id="94" w:name="_Toc254970542"/>
      <w:bookmarkStart w:id="95" w:name="_Toc254970683"/>
      <w:bookmarkStart w:id="96" w:name="_Toc352700426"/>
      <w:r>
        <w:rPr>
          <w:rFonts w:hint="eastAsia" w:ascii="宋体" w:hAnsi="宋体"/>
          <w:color w:val="0000FF"/>
          <w:szCs w:val="21"/>
        </w:rPr>
        <w:t>本项目免收谈判保证金</w:t>
      </w:r>
    </w:p>
    <w:bookmarkEnd w:id="93"/>
    <w:bookmarkEnd w:id="94"/>
    <w:bookmarkEnd w:id="95"/>
    <w:bookmarkEnd w:id="96"/>
    <w:p>
      <w:pPr>
        <w:spacing w:line="420" w:lineRule="exact"/>
        <w:ind w:firstLine="211" w:firstLineChars="100"/>
        <w:rPr>
          <w:b/>
          <w:bCs/>
          <w:color w:val="000000"/>
        </w:rPr>
      </w:pPr>
      <w:r>
        <w:rPr>
          <w:rFonts w:hint="eastAsia"/>
          <w:b/>
          <w:bCs/>
          <w:color w:val="000000"/>
        </w:rPr>
        <w:t>（七）响应文件的上传、提交、修改、撤回</w:t>
      </w:r>
    </w:p>
    <w:p>
      <w:pPr>
        <w:snapToGrid w:val="0"/>
        <w:spacing w:line="42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响应文件的上传和提交:供应商须将编制好的加密响应文件上传至政府采购云平台，并在响应文件提交截止时间前提交，否则</w:t>
      </w:r>
      <w:bookmarkStart w:id="97" w:name="_Hlk91772691"/>
      <w:r>
        <w:rPr>
          <w:rFonts w:hint="eastAsia" w:ascii="宋体" w:hAnsi="宋体"/>
          <w:color w:val="000000"/>
          <w:szCs w:val="21"/>
        </w:rPr>
        <w:t>政府采购云平台</w:t>
      </w:r>
      <w:bookmarkEnd w:id="97"/>
      <w:r>
        <w:rPr>
          <w:rFonts w:hint="eastAsia" w:ascii="宋体" w:hAnsi="宋体"/>
          <w:color w:val="000000"/>
          <w:szCs w:val="21"/>
        </w:rPr>
        <w:t>将予以拒收。</w:t>
      </w:r>
    </w:p>
    <w:p>
      <w:pPr>
        <w:snapToGrid w:val="0"/>
        <w:spacing w:line="42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响应文件的修改和撤回：</w:t>
      </w:r>
      <w:r>
        <w:rPr>
          <w:rFonts w:hint="eastAsia"/>
          <w:szCs w:val="21"/>
        </w:rPr>
        <w:t>供应商在提交响应文件截止时间前，可以对所提交的响应文件进行补充、修改或者撤回</w:t>
      </w:r>
      <w:r>
        <w:rPr>
          <w:rFonts w:hint="eastAsia" w:ascii="宋体" w:hAnsi="宋体"/>
          <w:color w:val="000000"/>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pPr>
        <w:pStyle w:val="4"/>
        <w:spacing w:line="420" w:lineRule="exact"/>
      </w:pPr>
      <w:bookmarkStart w:id="98" w:name="_四、响应文件开启"/>
      <w:bookmarkEnd w:id="98"/>
      <w:r>
        <w:rPr>
          <w:rFonts w:hint="eastAsia"/>
        </w:rPr>
        <w:t>四、</w:t>
      </w:r>
      <w:bookmarkStart w:id="99" w:name="_Toc353785300"/>
      <w:bookmarkStart w:id="100" w:name="_Toc352700430"/>
      <w:r>
        <w:rPr>
          <w:rFonts w:hint="eastAsia"/>
        </w:rPr>
        <w:t>响应文件开启</w:t>
      </w:r>
    </w:p>
    <w:bookmarkEnd w:id="99"/>
    <w:bookmarkEnd w:id="100"/>
    <w:p>
      <w:pPr>
        <w:spacing w:line="420" w:lineRule="exact"/>
        <w:ind w:firstLine="210" w:firstLineChars="100"/>
        <w:rPr>
          <w:rFonts w:ascii="方正小标宋_GBK" w:hAnsi="Arial" w:eastAsia="方正小标宋_GBK"/>
          <w:bCs/>
          <w:color w:val="000000"/>
          <w:sz w:val="24"/>
        </w:rPr>
      </w:pPr>
      <w:r>
        <w:rPr>
          <w:rFonts w:hint="eastAsia"/>
          <w:color w:val="000000"/>
        </w:rPr>
        <w:t>（一）本中心将在响应文件提交截止时间后在</w:t>
      </w:r>
      <w:bookmarkStart w:id="101" w:name="_Hlk90300735"/>
      <w:r>
        <w:rPr>
          <w:rFonts w:hint="eastAsia"/>
          <w:color w:val="000000"/>
        </w:rPr>
        <w:t>政采云远程开标大厅</w:t>
      </w:r>
      <w:bookmarkEnd w:id="101"/>
      <w:r>
        <w:rPr>
          <w:rFonts w:hint="eastAsia"/>
          <w:color w:val="000000"/>
        </w:rPr>
        <w:t>进行响应文件开启，供应商法定代表人(负责人)或委托代理人须按时登陆</w:t>
      </w:r>
      <w:bookmarkStart w:id="102" w:name="_Hlk90300780"/>
      <w:r>
        <w:rPr>
          <w:rFonts w:hint="eastAsia"/>
          <w:color w:val="000000"/>
        </w:rPr>
        <w:t>政采云远程开标大厅</w:t>
      </w:r>
      <w:bookmarkEnd w:id="102"/>
      <w:r>
        <w:rPr>
          <w:rFonts w:hint="eastAsia"/>
          <w:color w:val="000000"/>
        </w:rPr>
        <w:t>（政府采购云平台-应用中心-项目采购-开标评标），保持全程在线并关注评审、谈判进度，评审期间谈判小组提出澄清等要求时，供应商须在规定时间内进行应答，否则按采购文件或政采云平台的相关规定执行。</w:t>
      </w:r>
      <w:bookmarkStart w:id="103" w:name="_Toc352700431"/>
      <w:bookmarkStart w:id="104" w:name="_Toc353785301"/>
    </w:p>
    <w:p>
      <w:pPr>
        <w:spacing w:line="420" w:lineRule="exact"/>
        <w:ind w:firstLine="210" w:firstLineChars="100"/>
        <w:rPr>
          <w:rFonts w:ascii="方正小标宋_GBK" w:hAnsi="Arial" w:eastAsia="方正小标宋_GBK"/>
          <w:bCs/>
          <w:color w:val="000000"/>
          <w:sz w:val="24"/>
        </w:rPr>
      </w:pPr>
      <w:r>
        <w:rPr>
          <w:rFonts w:hint="eastAsia"/>
          <w:color w:val="000000"/>
        </w:rPr>
        <w:t>（二）</w:t>
      </w:r>
      <w:bookmarkEnd w:id="103"/>
      <w:bookmarkEnd w:id="104"/>
      <w:r>
        <w:rPr>
          <w:rFonts w:hint="eastAsia"/>
          <w:color w:val="000000"/>
        </w:rPr>
        <w:t>解密</w:t>
      </w:r>
    </w:p>
    <w:p>
      <w:pPr>
        <w:spacing w:line="420" w:lineRule="exact"/>
        <w:ind w:firstLine="420" w:firstLineChars="200"/>
        <w:rPr>
          <w:color w:val="000000"/>
        </w:rPr>
      </w:pPr>
      <w:r>
        <w:rPr>
          <w:rFonts w:hint="eastAsia"/>
          <w:color w:val="000000"/>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谈判。</w:t>
      </w:r>
    </w:p>
    <w:p>
      <w:pPr>
        <w:spacing w:line="420" w:lineRule="exact"/>
        <w:ind w:firstLine="211" w:firstLineChars="100"/>
        <w:rPr>
          <w:b/>
          <w:bCs/>
          <w:color w:val="000000"/>
        </w:rPr>
      </w:pPr>
      <w:r>
        <w:rPr>
          <w:rFonts w:hint="eastAsia"/>
          <w:b/>
          <w:bCs/>
          <w:color w:val="000000"/>
        </w:rPr>
        <w:t>（三）资格审查</w:t>
      </w:r>
    </w:p>
    <w:p>
      <w:pPr>
        <w:spacing w:line="420" w:lineRule="exact"/>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采购人依法对供应商的资格进行审查，资格性审查时，如发现下列情形之一的，响应文件将被视为无效：</w:t>
      </w:r>
    </w:p>
    <w:p>
      <w:pPr>
        <w:spacing w:line="420" w:lineRule="exact"/>
        <w:ind w:firstLine="420" w:firstLineChars="200"/>
        <w:rPr>
          <w:rFonts w:ascii="宋体" w:hAnsi="宋体"/>
          <w:color w:val="000000"/>
          <w:szCs w:val="21"/>
        </w:rPr>
      </w:pPr>
      <w:r>
        <w:rPr>
          <w:rFonts w:hint="eastAsia" w:ascii="宋体" w:hAnsi="宋体"/>
          <w:color w:val="000000"/>
          <w:szCs w:val="21"/>
        </w:rPr>
        <w:t>(1)超越了按照法律法规规定必须获得行政许可或者行政审批的经营范围的；</w:t>
      </w:r>
    </w:p>
    <w:p>
      <w:pPr>
        <w:spacing w:line="420" w:lineRule="exact"/>
        <w:ind w:firstLine="420" w:firstLineChars="200"/>
        <w:rPr>
          <w:rFonts w:ascii="宋体" w:hAnsi="宋体"/>
          <w:color w:val="000000"/>
          <w:szCs w:val="21"/>
        </w:rPr>
      </w:pPr>
      <w:r>
        <w:rPr>
          <w:rFonts w:hint="eastAsia" w:ascii="宋体" w:hAnsi="宋体"/>
          <w:color w:val="000000"/>
          <w:szCs w:val="21"/>
        </w:rPr>
        <w:t>(2)资格证明文件不全的，或者不符合采购文件标明的资格要求的；</w:t>
      </w:r>
    </w:p>
    <w:p>
      <w:pPr>
        <w:snapToGrid w:val="0"/>
        <w:spacing w:line="42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pPr>
        <w:pStyle w:val="4"/>
        <w:spacing w:line="420" w:lineRule="exact"/>
        <w:rPr>
          <w:rFonts w:ascii="宋体" w:hAnsi="宋体"/>
          <w:color w:val="0D0D0D" w:themeColor="text1" w:themeTint="F2"/>
          <w:szCs w:val="21"/>
          <w14:textFill>
            <w14:solidFill>
              <w14:schemeClr w14:val="tx1">
                <w14:lumMod w14:val="95000"/>
                <w14:lumOff w14:val="5000"/>
              </w14:schemeClr>
            </w14:solidFill>
          </w14:textFill>
        </w:rPr>
      </w:pPr>
      <w:bookmarkStart w:id="105" w:name="_五、评审与谈判"/>
      <w:bookmarkEnd w:id="105"/>
      <w:bookmarkStart w:id="106" w:name="_Toc254970686"/>
      <w:bookmarkStart w:id="107" w:name="_Toc353785302"/>
      <w:bookmarkStart w:id="108" w:name="_Toc352700432"/>
      <w:bookmarkStart w:id="109" w:name="_Toc254970545"/>
      <w:r>
        <w:rPr>
          <w:rFonts w:hint="eastAsia"/>
        </w:rPr>
        <w:t>五、</w:t>
      </w:r>
      <w:bookmarkEnd w:id="106"/>
      <w:bookmarkEnd w:id="107"/>
      <w:bookmarkEnd w:id="108"/>
      <w:bookmarkEnd w:id="109"/>
      <w:r>
        <w:rPr>
          <w:rFonts w:hint="eastAsia" w:ascii="宋体" w:hAnsi="宋体"/>
          <w:color w:val="0D0D0D" w:themeColor="text1" w:themeTint="F2"/>
          <w:szCs w:val="21"/>
          <w14:textFill>
            <w14:solidFill>
              <w14:schemeClr w14:val="tx1">
                <w14:lumMod w14:val="95000"/>
                <w14:lumOff w14:val="5000"/>
              </w14:schemeClr>
            </w14:solidFill>
          </w14:textFill>
        </w:rPr>
        <w:t>评审与谈判</w:t>
      </w:r>
    </w:p>
    <w:p>
      <w:pPr>
        <w:snapToGrid w:val="0"/>
        <w:spacing w:line="420" w:lineRule="exact"/>
        <w:ind w:firstLine="211" w:firstLineChars="100"/>
        <w:rPr>
          <w:rFonts w:ascii="宋体" w:hAnsi="宋体"/>
          <w:b/>
          <w:bCs/>
          <w:color w:val="000000"/>
          <w:szCs w:val="21"/>
        </w:rPr>
      </w:pPr>
      <w:bookmarkStart w:id="110" w:name="_Toc352700433"/>
      <w:bookmarkStart w:id="111" w:name="_Toc353785303"/>
      <w:r>
        <w:rPr>
          <w:rFonts w:hint="eastAsia" w:ascii="宋体" w:hAnsi="宋体"/>
          <w:b/>
          <w:bCs/>
          <w:color w:val="000000"/>
          <w:szCs w:val="21"/>
        </w:rPr>
        <w:t>（一）评审原则：</w:t>
      </w:r>
    </w:p>
    <w:p>
      <w:pPr>
        <w:snapToGrid w:val="0"/>
        <w:spacing w:line="42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谈判小组必须公平、公正、客观，不带任何倾向性和启发性；不得向外界透露任何与评审有关的内容；任何单位和个人不得干扰、影响评审的正常进行；谈判小组及有关工作人员不得私下接触供应商。</w:t>
      </w:r>
    </w:p>
    <w:p>
      <w:pPr>
        <w:snapToGrid w:val="0"/>
        <w:spacing w:line="42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s="Courier New"/>
          <w:color w:val="000000"/>
          <w:szCs w:val="21"/>
        </w:rPr>
        <w:t>本项目采用不公开方式评审，评审的依据为采购文件和响应文件。</w:t>
      </w:r>
    </w:p>
    <w:p>
      <w:pPr>
        <w:snapToGrid w:val="0"/>
        <w:spacing w:line="420" w:lineRule="exact"/>
        <w:ind w:firstLine="211" w:firstLineChars="100"/>
        <w:rPr>
          <w:rFonts w:ascii="宋体" w:hAnsi="宋体"/>
          <w:b/>
          <w:bCs/>
          <w:color w:val="000000"/>
          <w:szCs w:val="21"/>
        </w:rPr>
      </w:pPr>
      <w:r>
        <w:rPr>
          <w:rFonts w:hint="eastAsia"/>
          <w:b/>
          <w:bCs/>
          <w:color w:val="000000"/>
        </w:rPr>
        <w:t>（二）成立谈判小组</w:t>
      </w:r>
    </w:p>
    <w:p>
      <w:pPr>
        <w:snapToGrid w:val="0"/>
        <w:spacing w:line="420" w:lineRule="exact"/>
        <w:ind w:firstLine="420" w:firstLineChars="200"/>
        <w:rPr>
          <w:rFonts w:ascii="宋体" w:hAnsi="宋体"/>
          <w:color w:val="000000"/>
          <w:szCs w:val="21"/>
        </w:rPr>
      </w:pPr>
      <w:r>
        <w:rPr>
          <w:rFonts w:hint="eastAsia" w:ascii="宋体" w:hAnsi="宋体" w:cs="Courier New"/>
          <w:bCs/>
          <w:color w:val="000000"/>
          <w:szCs w:val="21"/>
        </w:rPr>
        <w:t>谈判小组</w:t>
      </w:r>
      <w:bookmarkEnd w:id="110"/>
      <w:bookmarkEnd w:id="111"/>
      <w:r>
        <w:rPr>
          <w:rFonts w:hint="eastAsia" w:ascii="宋体" w:hAnsi="宋体" w:cs="Courier New"/>
          <w:bCs/>
          <w:color w:val="000000"/>
          <w:szCs w:val="21"/>
        </w:rPr>
        <w:t>由采购人代表和评审专家共3人以上单数组成，其中评审专家人数不得少于谈判小组成员总数的2/3。</w:t>
      </w:r>
    </w:p>
    <w:p>
      <w:pPr>
        <w:spacing w:line="420" w:lineRule="exact"/>
        <w:ind w:firstLine="211" w:firstLineChars="100"/>
        <w:rPr>
          <w:rFonts w:ascii="宋体" w:hAnsi="宋体"/>
          <w:b/>
          <w:bCs/>
          <w:color w:val="000000"/>
          <w:szCs w:val="21"/>
        </w:rPr>
      </w:pPr>
      <w:r>
        <w:rPr>
          <w:rFonts w:hint="eastAsia" w:ascii="宋体" w:hAnsi="宋体"/>
          <w:b/>
          <w:bCs/>
          <w:color w:val="000000"/>
          <w:szCs w:val="21"/>
        </w:rPr>
        <w:t>（三）确认谈判文件</w:t>
      </w:r>
    </w:p>
    <w:p>
      <w:pPr>
        <w:spacing w:line="420" w:lineRule="exact"/>
        <w:ind w:firstLine="420" w:firstLineChars="200"/>
        <w:rPr>
          <w:rFonts w:ascii="宋体" w:hAnsi="宋体"/>
          <w:b/>
          <w:bCs/>
          <w:color w:val="000000"/>
          <w:szCs w:val="21"/>
        </w:rPr>
      </w:pPr>
      <w:r>
        <w:rPr>
          <w:rFonts w:hint="eastAsia" w:hAnsi="宋体"/>
          <w:color w:val="0D0D0D" w:themeColor="text1" w:themeTint="F2"/>
          <w14:textFill>
            <w14:solidFill>
              <w14:schemeClr w14:val="tx1">
                <w14:lumMod w14:val="95000"/>
                <w14:lumOff w14:val="5000"/>
              </w14:schemeClr>
            </w14:solidFill>
          </w14:textFill>
        </w:rPr>
        <w:t>谈判小组对谈判文件进行确认，认可谈判文件的内容，符合法律法规的规定、不存在歧视性或排他性内容。</w:t>
      </w:r>
    </w:p>
    <w:p>
      <w:pPr>
        <w:spacing w:line="420" w:lineRule="exact"/>
        <w:ind w:firstLine="211" w:firstLineChars="100"/>
        <w:rPr>
          <w:rFonts w:ascii="宋体" w:hAnsi="宋体" w:cs="Courier New"/>
          <w:color w:val="000000" w:themeColor="text1"/>
          <w:szCs w:val="21"/>
          <w14:textFill>
            <w14:solidFill>
              <w14:schemeClr w14:val="tx1"/>
            </w14:solidFill>
          </w14:textFill>
        </w:rPr>
      </w:pPr>
      <w:r>
        <w:rPr>
          <w:rFonts w:hint="eastAsia" w:ascii="宋体" w:hAnsi="宋体"/>
          <w:b/>
          <w:bCs/>
          <w:color w:val="000000"/>
          <w:szCs w:val="21"/>
        </w:rPr>
        <w:t>（四）</w:t>
      </w:r>
      <w:r>
        <w:rPr>
          <w:rFonts w:hint="eastAsia" w:ascii="宋体" w:hAnsi="宋体"/>
          <w:b/>
          <w:bCs/>
          <w:color w:val="000000" w:themeColor="text1"/>
          <w:szCs w:val="21"/>
          <w14:textFill>
            <w14:solidFill>
              <w14:schemeClr w14:val="tx1"/>
            </w14:solidFill>
          </w14:textFill>
        </w:rPr>
        <w:t>实质性审查</w:t>
      </w:r>
    </w:p>
    <w:p>
      <w:pPr>
        <w:snapToGrid w:val="0"/>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pPr>
        <w:snapToGrid w:val="0"/>
        <w:spacing w:line="42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实质性审查时，如发现下列情形之一的，响应文件将被视为无效：</w:t>
      </w:r>
    </w:p>
    <w:p>
      <w:pPr>
        <w:snapToGrid w:val="0"/>
        <w:spacing w:line="420" w:lineRule="exact"/>
        <w:ind w:firstLine="525" w:firstLineChars="250"/>
        <w:rPr>
          <w:rFonts w:ascii="宋体" w:hAnsi="宋体"/>
          <w:color w:val="000000"/>
          <w:szCs w:val="21"/>
        </w:rPr>
      </w:pPr>
      <w:bookmarkStart w:id="112" w:name="_Hlk112311783"/>
      <w:r>
        <w:rPr>
          <w:rFonts w:hint="eastAsia" w:ascii="宋体" w:hAnsi="宋体"/>
          <w:color w:val="000000" w:themeColor="text1"/>
          <w:szCs w:val="21"/>
          <w14:textFill>
            <w14:solidFill>
              <w14:schemeClr w14:val="tx1"/>
            </w14:solidFill>
          </w14:textFill>
        </w:rPr>
        <w:t>①</w:t>
      </w:r>
      <w:r>
        <w:rPr>
          <w:rFonts w:hint="eastAsia" w:ascii="宋体" w:hAnsi="宋体"/>
          <w:color w:val="000000"/>
          <w:szCs w:val="21"/>
        </w:rPr>
        <w:t>响应文件未按响应文件编制要求提供或内容虚假的；</w:t>
      </w:r>
    </w:p>
    <w:p>
      <w:pPr>
        <w:snapToGrid w:val="0"/>
        <w:spacing w:line="420" w:lineRule="exact"/>
        <w:ind w:firstLine="525" w:firstLineChars="250"/>
        <w:rPr>
          <w:rFonts w:ascii="宋体" w:hAnsi="宋体"/>
          <w:color w:val="000000"/>
          <w:szCs w:val="21"/>
        </w:rPr>
      </w:pPr>
      <w:r>
        <w:rPr>
          <w:rFonts w:hint="eastAsia" w:ascii="宋体" w:hAnsi="宋体"/>
          <w:color w:val="000000"/>
          <w:szCs w:val="21"/>
        </w:rPr>
        <w:t>②响应文件无法定代表人或其委托代理人签署、未提供授权委托书，或未按规定盖章的；</w:t>
      </w:r>
    </w:p>
    <w:p>
      <w:pPr>
        <w:snapToGrid w:val="0"/>
        <w:spacing w:line="420" w:lineRule="exact"/>
        <w:ind w:firstLine="525" w:firstLineChars="250"/>
        <w:rPr>
          <w:rFonts w:ascii="宋体" w:hAnsi="宋体"/>
          <w:color w:val="000000"/>
          <w:szCs w:val="21"/>
        </w:rPr>
      </w:pPr>
      <w:r>
        <w:rPr>
          <w:rFonts w:hint="eastAsia" w:ascii="宋体" w:hAnsi="宋体"/>
          <w:color w:val="000000"/>
          <w:szCs w:val="21"/>
        </w:rPr>
        <w:t>③供应商代表未能出具身份证明或与法定代表人委托代理人身份不符的；</w:t>
      </w:r>
    </w:p>
    <w:p>
      <w:pPr>
        <w:snapToGrid w:val="0"/>
        <w:spacing w:line="420" w:lineRule="exact"/>
        <w:ind w:firstLine="525" w:firstLineChars="250"/>
        <w:rPr>
          <w:rFonts w:ascii="宋体" w:hAnsi="宋体"/>
          <w:color w:val="000000"/>
          <w:szCs w:val="21"/>
        </w:rPr>
      </w:pPr>
      <w:r>
        <w:rPr>
          <w:rFonts w:hint="eastAsia" w:ascii="宋体" w:hAnsi="宋体"/>
          <w:color w:val="000000"/>
          <w:szCs w:val="21"/>
        </w:rPr>
        <w:t>④未实质性响应采购文件采购需求的技术、服务要求的；</w:t>
      </w:r>
    </w:p>
    <w:p>
      <w:pPr>
        <w:snapToGrid w:val="0"/>
        <w:spacing w:line="420" w:lineRule="exact"/>
        <w:ind w:firstLine="525" w:firstLineChars="250"/>
        <w:rPr>
          <w:rFonts w:ascii="宋体" w:hAnsi="宋体"/>
          <w:color w:val="000000"/>
          <w:szCs w:val="21"/>
        </w:rPr>
      </w:pPr>
      <w:r>
        <w:rPr>
          <w:rFonts w:hint="eastAsia" w:ascii="宋体" w:hAnsi="宋体"/>
          <w:color w:val="000000"/>
          <w:szCs w:val="21"/>
        </w:rPr>
        <w:t>⑤</w:t>
      </w:r>
      <w:r>
        <w:rPr>
          <w:rFonts w:hint="eastAsia" w:ascii="宋体" w:hAnsi="宋体"/>
          <w:color w:val="000000"/>
          <w:spacing w:val="-4"/>
          <w:szCs w:val="21"/>
        </w:rPr>
        <w:t>不符合采购文件要求的质量标准，或者与采购文件中的技术指标、功能、服务事项发生较大偏离，已不符合采购人需求的；</w:t>
      </w:r>
    </w:p>
    <w:p>
      <w:pPr>
        <w:snapToGrid w:val="0"/>
        <w:spacing w:line="420" w:lineRule="exact"/>
        <w:ind w:firstLine="525" w:firstLineChars="250"/>
        <w:rPr>
          <w:rFonts w:ascii="宋体" w:hAnsi="宋体"/>
          <w:color w:val="000000"/>
          <w:szCs w:val="21"/>
        </w:rPr>
      </w:pPr>
      <w:r>
        <w:rPr>
          <w:rFonts w:hint="eastAsia" w:ascii="宋体" w:hAnsi="宋体"/>
          <w:color w:val="000000"/>
          <w:szCs w:val="21"/>
        </w:rPr>
        <w:t>⑥响应文件有采购人不能接受的附加条件的</w:t>
      </w:r>
      <w:r>
        <w:rPr>
          <w:rFonts w:hint="eastAsia" w:ascii="宋体" w:hAnsi="宋体"/>
          <w:color w:val="000000"/>
          <w:spacing w:val="-4"/>
          <w:szCs w:val="21"/>
        </w:rPr>
        <w:t>；</w:t>
      </w:r>
    </w:p>
    <w:p>
      <w:pPr>
        <w:snapToGrid w:val="0"/>
        <w:spacing w:line="420" w:lineRule="exact"/>
        <w:ind w:firstLine="505" w:firstLineChars="250"/>
        <w:rPr>
          <w:rFonts w:ascii="宋体" w:hAnsi="宋体"/>
          <w:color w:val="000000"/>
          <w:spacing w:val="-4"/>
          <w:szCs w:val="21"/>
        </w:rPr>
      </w:pPr>
      <w:r>
        <w:rPr>
          <w:rFonts w:hint="eastAsia" w:ascii="宋体" w:hAnsi="宋体"/>
          <w:color w:val="000000"/>
          <w:spacing w:val="-4"/>
          <w:szCs w:val="21"/>
        </w:rPr>
        <w:t>⑦响应文件技术方案不明确，存在一个或一个以上备选(替代)响应方案的；</w:t>
      </w:r>
    </w:p>
    <w:p>
      <w:pPr>
        <w:snapToGrid w:val="0"/>
        <w:spacing w:line="420" w:lineRule="exact"/>
        <w:ind w:firstLine="525" w:firstLineChars="250"/>
        <w:rPr>
          <w:rFonts w:ascii="宋体" w:hAnsi="宋体"/>
          <w:color w:val="000000"/>
          <w:szCs w:val="21"/>
        </w:rPr>
      </w:pPr>
      <w:r>
        <w:rPr>
          <w:rFonts w:hint="eastAsia" w:ascii="宋体" w:hAnsi="宋体"/>
          <w:color w:val="000000"/>
          <w:szCs w:val="21"/>
        </w:rPr>
        <w:t>⑧响应文件的实质性内容未使用中文表述、意思表述不明确、前后矛盾或者使用计量单位不符合采购文件要求的。</w:t>
      </w:r>
    </w:p>
    <w:bookmarkEnd w:id="112"/>
    <w:p>
      <w:pPr>
        <w:spacing w:line="420" w:lineRule="exact"/>
        <w:ind w:firstLine="211" w:firstLineChars="100"/>
        <w:rPr>
          <w:b/>
          <w:bCs/>
        </w:rPr>
      </w:pPr>
      <w:r>
        <w:rPr>
          <w:rFonts w:hint="eastAsia"/>
          <w:b/>
          <w:bCs/>
        </w:rPr>
        <w:t>（五）谈判</w:t>
      </w:r>
    </w:p>
    <w:p>
      <w:pPr>
        <w:pStyle w:val="23"/>
        <w:spacing w:line="420" w:lineRule="exact"/>
        <w:ind w:firstLine="420" w:firstLineChars="200"/>
      </w:pPr>
      <w:r>
        <w:rPr>
          <w:rFonts w:hint="eastAsia" w:hAnsi="宋体"/>
          <w:bCs/>
          <w:color w:val="0D0D0D" w:themeColor="text1" w:themeTint="F2"/>
          <w14:textFill>
            <w14:solidFill>
              <w14:schemeClr w14:val="tx1">
                <w14:lumMod w14:val="95000"/>
                <w14:lumOff w14:val="5000"/>
              </w14:schemeClr>
            </w14:solidFill>
          </w14:textFill>
        </w:rPr>
        <w:t>1</w:t>
      </w:r>
      <w:r>
        <w:rPr>
          <w:rFonts w:hAnsi="宋体"/>
          <w:bCs/>
          <w:color w:val="0D0D0D" w:themeColor="text1" w:themeTint="F2"/>
          <w14:textFill>
            <w14:solidFill>
              <w14:schemeClr w14:val="tx1">
                <w14:lumMod w14:val="95000"/>
                <w14:lumOff w14:val="5000"/>
              </w14:schemeClr>
            </w14:solidFill>
          </w14:textFill>
        </w:rPr>
        <w:t>.</w:t>
      </w:r>
      <w:r>
        <w:rPr>
          <w:rFonts w:hint="eastAsia"/>
          <w:color w:val="000000" w:themeColor="text1"/>
          <w14:textFill>
            <w14:solidFill>
              <w14:schemeClr w14:val="tx1"/>
            </w14:solidFill>
          </w14:textFill>
        </w:rPr>
        <w:t>谈判小组</w:t>
      </w:r>
      <w:r>
        <w:rPr>
          <w:rFonts w:hint="eastAsia"/>
        </w:rPr>
        <w:t>所有成员应当集中与单一供应商分别进行谈判，并给予所有参加谈判的供应商平等的谈判机会。</w:t>
      </w:r>
    </w:p>
    <w:p>
      <w:pPr>
        <w:pStyle w:val="23"/>
        <w:spacing w:line="420" w:lineRule="exact"/>
        <w:ind w:firstLine="420" w:firstLineChars="200"/>
        <w:rPr>
          <w:rFonts w:hAnsi="宋体"/>
          <w:bCs/>
          <w:color w:val="0D0D0D" w:themeColor="text1" w:themeTint="F2"/>
          <w14:textFill>
            <w14:solidFill>
              <w14:schemeClr w14:val="tx1">
                <w14:lumMod w14:val="95000"/>
                <w14:lumOff w14:val="5000"/>
              </w14:schemeClr>
            </w14:solidFill>
          </w14:textFill>
        </w:rPr>
      </w:pPr>
      <w:r>
        <w:rPr>
          <w:rFonts w:hint="eastAsia" w:hAnsi="宋体"/>
          <w:bCs/>
          <w:color w:val="0D0D0D" w:themeColor="text1" w:themeTint="F2"/>
          <w14:textFill>
            <w14:solidFill>
              <w14:schemeClr w14:val="tx1">
                <w14:lumMod w14:val="95000"/>
                <w14:lumOff w14:val="5000"/>
              </w14:schemeClr>
            </w14:solidFill>
          </w14:textFill>
        </w:rPr>
        <w:t>2</w:t>
      </w:r>
      <w:r>
        <w:rPr>
          <w:rFonts w:hAnsi="宋体"/>
          <w:bCs/>
          <w:color w:val="0D0D0D" w:themeColor="text1" w:themeTint="F2"/>
          <w14:textFill>
            <w14:solidFill>
              <w14:schemeClr w14:val="tx1">
                <w14:lumMod w14:val="95000"/>
                <w14:lumOff w14:val="5000"/>
              </w14:schemeClr>
            </w14:solidFill>
          </w14:textFill>
        </w:rPr>
        <w:t>.</w:t>
      </w:r>
      <w:r>
        <w:rPr>
          <w:rFonts w:hint="eastAsia" w:hAnsi="宋体"/>
          <w:bCs/>
          <w:color w:val="0D0D0D" w:themeColor="text1" w:themeTint="F2"/>
          <w14:textFill>
            <w14:solidFill>
              <w14:schemeClr w14:val="tx1">
                <w14:lumMod w14:val="95000"/>
                <w14:lumOff w14:val="5000"/>
              </w14:schemeClr>
            </w14:solidFill>
          </w14:textFill>
        </w:rPr>
        <w:t>谈判小组可以根据谈判文件和谈判情况实质性变动采购需求中的技术、服务要求以及合同草案条款，但不得变动谈判文件中的其他内容。实质性变动的内容，须经采购人代表确认。</w:t>
      </w:r>
    </w:p>
    <w:p>
      <w:pPr>
        <w:pStyle w:val="23"/>
        <w:spacing w:line="420" w:lineRule="exact"/>
        <w:ind w:firstLine="420" w:firstLineChars="200"/>
        <w:rPr>
          <w:rFonts w:hAnsi="宋体"/>
          <w:bCs/>
          <w:color w:val="0D0D0D" w:themeColor="text1" w:themeTint="F2"/>
          <w14:textFill>
            <w14:solidFill>
              <w14:schemeClr w14:val="tx1">
                <w14:lumMod w14:val="95000"/>
                <w14:lumOff w14:val="5000"/>
              </w14:schemeClr>
            </w14:solidFill>
          </w14:textFill>
        </w:rPr>
      </w:pPr>
      <w:r>
        <w:rPr>
          <w:rFonts w:hAnsi="宋体"/>
          <w:bCs/>
          <w:color w:val="0D0D0D" w:themeColor="text1" w:themeTint="F2"/>
          <w14:textFill>
            <w14:solidFill>
              <w14:schemeClr w14:val="tx1">
                <w14:lumMod w14:val="95000"/>
                <w14:lumOff w14:val="5000"/>
              </w14:schemeClr>
            </w14:solidFill>
          </w14:textFill>
        </w:rPr>
        <w:t>3.</w:t>
      </w:r>
      <w:r>
        <w:rPr>
          <w:rFonts w:hint="eastAsia" w:hAnsi="宋体"/>
          <w:bCs/>
          <w:color w:val="0D0D0D" w:themeColor="text1" w:themeTint="F2"/>
          <w14:textFill>
            <w14:solidFill>
              <w14:schemeClr w14:val="tx1">
                <w14:lumMod w14:val="95000"/>
                <w14:lumOff w14:val="5000"/>
              </w14:schemeClr>
            </w14:solidFill>
          </w14:textFill>
        </w:rPr>
        <w:t>对谈判文件作出的实质性变动是谈判文件的有效组成部分，谈判小组应当及时以书面形式同时通知所有参加谈判的供应商。</w:t>
      </w:r>
    </w:p>
    <w:p>
      <w:pPr>
        <w:pStyle w:val="23"/>
        <w:spacing w:line="420" w:lineRule="exact"/>
        <w:ind w:firstLine="420" w:firstLineChars="200"/>
        <w:rPr>
          <w:rFonts w:hAnsi="宋体"/>
          <w:bCs/>
          <w:color w:val="0D0D0D" w:themeColor="text1" w:themeTint="F2"/>
          <w14:textFill>
            <w14:solidFill>
              <w14:schemeClr w14:val="tx1">
                <w14:lumMod w14:val="95000"/>
                <w14:lumOff w14:val="5000"/>
              </w14:schemeClr>
            </w14:solidFill>
          </w14:textFill>
        </w:rPr>
      </w:pPr>
      <w:r>
        <w:rPr>
          <w:rFonts w:hint="eastAsia" w:hAnsi="宋体"/>
          <w:bCs/>
          <w:color w:val="0D0D0D" w:themeColor="text1" w:themeTint="F2"/>
          <w14:textFill>
            <w14:solidFill>
              <w14:schemeClr w14:val="tx1">
                <w14:lumMod w14:val="95000"/>
                <w14:lumOff w14:val="5000"/>
              </w14:schemeClr>
            </w14:solidFill>
          </w14:textFill>
        </w:rPr>
        <w:t>4</w:t>
      </w:r>
      <w:r>
        <w:rPr>
          <w:rFonts w:hAnsi="宋体"/>
          <w:bCs/>
          <w:color w:val="0D0D0D" w:themeColor="text1" w:themeTint="F2"/>
          <w14:textFill>
            <w14:solidFill>
              <w14:schemeClr w14:val="tx1">
                <w14:lumMod w14:val="95000"/>
                <w14:lumOff w14:val="5000"/>
              </w14:schemeClr>
            </w14:solidFill>
          </w14:textFill>
        </w:rPr>
        <w:t>.</w:t>
      </w:r>
      <w:r>
        <w:rPr>
          <w:rFonts w:hint="eastAsia" w:hAnsi="宋体"/>
          <w:bCs/>
          <w:color w:val="0D0D0D" w:themeColor="text1" w:themeTint="F2"/>
          <w14:textFill>
            <w14:solidFill>
              <w14:schemeClr w14:val="tx1">
                <w14:lumMod w14:val="95000"/>
                <w14:lumOff w14:val="5000"/>
              </w14:schemeClr>
            </w14:solidFill>
          </w14:textFill>
        </w:rPr>
        <w:t>供应商应当按照谈判文件的变动情况和谈判小组的要求重新提交响应文件，并由其法定代表人或授权代表签名或者加盖公章。由授权代表签名的，应当附法定代表人授权书。</w:t>
      </w:r>
      <w:bookmarkStart w:id="113" w:name="_Hlk92985140"/>
      <w:r>
        <w:rPr>
          <w:rFonts w:hint="eastAsia" w:hAnsi="宋体"/>
          <w:bCs/>
          <w:color w:val="0D0D0D" w:themeColor="text1" w:themeTint="F2"/>
          <w14:textFill>
            <w14:solidFill>
              <w14:schemeClr w14:val="tx1">
                <w14:lumMod w14:val="95000"/>
                <w14:lumOff w14:val="5000"/>
              </w14:schemeClr>
            </w14:solidFill>
          </w14:textFill>
        </w:rPr>
        <w:t>供应商为自然人的，应当由本人签名并附身份证明。</w:t>
      </w:r>
      <w:bookmarkEnd w:id="113"/>
      <w:r>
        <w:rPr>
          <w:rFonts w:hint="eastAsia" w:hAnsi="宋体"/>
          <w:bCs/>
          <w:color w:val="0D0D0D" w:themeColor="text1" w:themeTint="F2"/>
          <w14:textFill>
            <w14:solidFill>
              <w14:schemeClr w14:val="tx1">
                <w14:lumMod w14:val="95000"/>
                <w14:lumOff w14:val="5000"/>
              </w14:schemeClr>
            </w14:solidFill>
          </w14:textFill>
        </w:rPr>
        <w:t>逾时不提交的，视同放弃谈判。</w:t>
      </w:r>
    </w:p>
    <w:p>
      <w:pPr>
        <w:pStyle w:val="23"/>
        <w:spacing w:line="420" w:lineRule="exact"/>
        <w:ind w:firstLine="420" w:firstLineChars="200"/>
        <w:rPr>
          <w:rFonts w:hAnsi="宋体"/>
          <w:bCs/>
          <w:color w:val="0D0D0D" w:themeColor="text1" w:themeTint="F2"/>
          <w14:textFill>
            <w14:solidFill>
              <w14:schemeClr w14:val="tx1">
                <w14:lumMod w14:val="95000"/>
                <w14:lumOff w14:val="5000"/>
              </w14:schemeClr>
            </w14:solidFill>
          </w14:textFill>
        </w:rPr>
      </w:pPr>
      <w:r>
        <w:rPr>
          <w:rFonts w:hint="eastAsia" w:hAnsi="宋体"/>
          <w:bCs/>
          <w:color w:val="0D0D0D" w:themeColor="text1" w:themeTint="F2"/>
          <w14:textFill>
            <w14:solidFill>
              <w14:schemeClr w14:val="tx1">
                <w14:lumMod w14:val="95000"/>
                <w14:lumOff w14:val="5000"/>
              </w14:schemeClr>
            </w14:solidFill>
          </w14:textFill>
        </w:rPr>
        <w:t>5</w:t>
      </w:r>
      <w:r>
        <w:rPr>
          <w:rFonts w:hAnsi="宋体"/>
          <w:bCs/>
          <w:color w:val="0D0D0D" w:themeColor="text1" w:themeTint="F2"/>
          <w14:textFill>
            <w14:solidFill>
              <w14:schemeClr w14:val="tx1">
                <w14:lumMod w14:val="95000"/>
                <w14:lumOff w14:val="5000"/>
              </w14:schemeClr>
            </w14:solidFill>
          </w14:textFill>
        </w:rPr>
        <w:t>.</w:t>
      </w:r>
      <w:r>
        <w:rPr>
          <w:rFonts w:hint="eastAsia"/>
        </w:rPr>
        <w:t>已提交响应文件的供应商，在提交最后报价之前，可以根据谈判情况退出谈判。</w:t>
      </w:r>
    </w:p>
    <w:p>
      <w:pPr>
        <w:spacing w:line="420" w:lineRule="exact"/>
        <w:ind w:firstLine="211" w:firstLineChars="100"/>
        <w:rPr>
          <w:b/>
          <w:bCs/>
        </w:rPr>
      </w:pPr>
      <w:r>
        <w:rPr>
          <w:rFonts w:hint="eastAsia"/>
          <w:b/>
          <w:bCs/>
        </w:rPr>
        <w:t>（六）最后报价</w:t>
      </w:r>
    </w:p>
    <w:p>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20" w:lineRule="exact"/>
        <w:ind w:firstLine="420" w:firstLineChars="200"/>
      </w:pPr>
      <w:r>
        <w:t>2.</w:t>
      </w:r>
      <w:r>
        <w:rPr>
          <w:rFonts w:hint="eastAsia"/>
        </w:rPr>
        <w:t>最后报价应由其法定代表人或授权代表签名或者加盖公章，最后报价是供应商响应文件的有效组成部分。</w:t>
      </w:r>
    </w:p>
    <w:p>
      <w:pPr>
        <w:spacing w:line="420" w:lineRule="exact"/>
        <w:ind w:firstLine="422" w:firstLineChars="200"/>
        <w:rPr>
          <w:color w:val="000000" w:themeColor="text1"/>
          <w14:textFill>
            <w14:solidFill>
              <w14:schemeClr w14:val="tx1"/>
            </w14:solidFill>
          </w14:textFill>
        </w:rPr>
      </w:pPr>
      <w:r>
        <w:rPr>
          <w:rFonts w:hint="eastAsia"/>
          <w:b/>
          <w:bCs/>
        </w:rPr>
        <w:t>3</w:t>
      </w:r>
      <w:r>
        <w:rPr>
          <w:rFonts w:hint="eastAsia" w:ascii="宋体" w:hAnsi="宋体" w:cs="Courier New"/>
          <w:b/>
          <w:color w:val="0D0D0D" w:themeColor="text1" w:themeTint="F2"/>
          <w:szCs w:val="21"/>
          <w14:textFill>
            <w14:solidFill>
              <w14:schemeClr w14:val="tx1">
                <w14:lumMod w14:val="95000"/>
                <w14:lumOff w14:val="5000"/>
              </w14:schemeClr>
            </w14:solidFill>
          </w14:textFill>
        </w:rPr>
        <w:t>.</w:t>
      </w:r>
      <w:r>
        <w:rPr>
          <w:rFonts w:hint="eastAsia" w:ascii="宋体" w:hAnsi="宋体" w:cs="Courier New"/>
          <w:b/>
          <w:color w:val="000000" w:themeColor="text1"/>
          <w:szCs w:val="21"/>
          <w14:textFill>
            <w14:solidFill>
              <w14:schemeClr w14:val="tx1"/>
            </w14:solidFill>
          </w14:textFill>
        </w:rPr>
        <w:t>在报价评审时，如发现下列情形之一的，响应文件将被视为无效：</w:t>
      </w:r>
    </w:p>
    <w:p>
      <w:pPr>
        <w:snapToGrid w:val="0"/>
        <w:spacing w:line="420" w:lineRule="exact"/>
        <w:ind w:firstLine="420" w:firstLineChars="200"/>
        <w:rPr>
          <w:rFonts w:ascii="宋体" w:hAnsi="宋体"/>
          <w:color w:val="000000" w:themeColor="text1"/>
          <w:szCs w:val="21"/>
          <w14:textFill>
            <w14:solidFill>
              <w14:schemeClr w14:val="tx1"/>
            </w14:solidFill>
          </w14:textFill>
        </w:rPr>
      </w:pPr>
      <w:bookmarkStart w:id="114" w:name="_Hlk112312387"/>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报价未采用人民币或者未按照采购文件标明的币种报价的；</w:t>
      </w:r>
    </w:p>
    <w:p>
      <w:pPr>
        <w:snapToGrid w:val="0"/>
        <w:spacing w:line="42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报价明细表中货物品牌、规格、型号、服务事项未明确或与响应文件中相应内容不一致的；</w:t>
      </w:r>
    </w:p>
    <w:p>
      <w:pPr>
        <w:snapToGrid w:val="0"/>
        <w:spacing w:line="42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报价具有选择性的；</w:t>
      </w:r>
    </w:p>
    <w:p>
      <w:pPr>
        <w:snapToGrid w:val="0"/>
        <w:spacing w:line="42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ascii="宋体" w:hAnsi="宋体"/>
          <w:color w:val="0D0D0D" w:themeColor="text1" w:themeTint="F2"/>
          <w:szCs w:val="21"/>
          <w14:textFill>
            <w14:solidFill>
              <w14:schemeClr w14:val="tx1">
                <w14:lumMod w14:val="95000"/>
                <w14:lumOff w14:val="5000"/>
              </w14:schemeClr>
            </w14:solidFill>
          </w14:textFill>
        </w:rPr>
        <w:t>(4)</w:t>
      </w:r>
      <w:r>
        <w:rPr>
          <w:rFonts w:hint="eastAsia" w:ascii="宋体" w:hAnsi="宋体"/>
          <w:color w:val="000000"/>
          <w:szCs w:val="21"/>
        </w:rPr>
        <w:t>报价未按采购文件或政府采购云平台规定的格式填写，或未在规定时间内提交最后报价的。</w:t>
      </w:r>
    </w:p>
    <w:bookmarkEnd w:id="114"/>
    <w:p>
      <w:pPr>
        <w:spacing w:line="420" w:lineRule="exact"/>
        <w:ind w:firstLine="211" w:firstLineChars="100"/>
        <w:rPr>
          <w:b/>
          <w:bCs/>
        </w:rPr>
      </w:pPr>
      <w:r>
        <w:rPr>
          <w:rFonts w:hint="eastAsia"/>
          <w:b/>
          <w:bCs/>
        </w:rPr>
        <w:t>（八）澄清、说明或者更正的形式</w:t>
      </w:r>
    </w:p>
    <w:p>
      <w:pPr>
        <w:pStyle w:val="23"/>
        <w:spacing w:line="420" w:lineRule="exact"/>
        <w:ind w:firstLine="420"/>
        <w:rPr>
          <w:rFonts w:hAnsi="宋体"/>
          <w:bCs/>
          <w:color w:val="0D0D0D" w:themeColor="text1" w:themeTint="F2"/>
          <w14:textFill>
            <w14:solidFill>
              <w14:schemeClr w14:val="tx1">
                <w14:lumMod w14:val="95000"/>
                <w14:lumOff w14:val="5000"/>
              </w14:schemeClr>
            </w14:solidFill>
          </w14:textFill>
        </w:rPr>
      </w:pPr>
      <w:r>
        <w:rPr>
          <w:rFonts w:hint="eastAsia" w:hAnsi="宋体"/>
          <w:bCs/>
          <w:color w:val="0D0D0D" w:themeColor="text1" w:themeTint="F2"/>
          <w14:textFill>
            <w14:solidFill>
              <w14:schemeClr w14:val="tx1">
                <w14:lumMod w14:val="95000"/>
                <w14:lumOff w14:val="5000"/>
              </w14:schemeClr>
            </w14:solidFill>
          </w14:textFill>
        </w:rPr>
        <w:t>1</w:t>
      </w:r>
      <w:r>
        <w:rPr>
          <w:rFonts w:hAnsi="宋体"/>
          <w:bCs/>
          <w:color w:val="0D0D0D" w:themeColor="text1" w:themeTint="F2"/>
          <w14:textFill>
            <w14:solidFill>
              <w14:schemeClr w14:val="tx1">
                <w14:lumMod w14:val="95000"/>
                <w14:lumOff w14:val="5000"/>
              </w14:schemeClr>
            </w14:solidFill>
          </w14:textFill>
        </w:rPr>
        <w:t>.</w:t>
      </w:r>
      <w:r>
        <w:rPr>
          <w:rFonts w:hint="eastAsia" w:hAnsi="宋体"/>
          <w:bCs/>
          <w:color w:val="0D0D0D" w:themeColor="text1" w:themeTint="F2"/>
          <w14:textFill>
            <w14:solidFill>
              <w14:schemeClr w14:val="tx1">
                <w14:lumMod w14:val="95000"/>
                <w14:lumOff w14:val="5000"/>
              </w14:schemeClr>
            </w14:solidFill>
          </w14:textFill>
        </w:rPr>
        <w:t>谈判小组在对响应文件的有效性、完整性和响应程度进行审查时，可以要求供应商对响应文件中含义不明确、同类问题表述不一致或者有明显文字和计算错误的内容等作出必要的</w:t>
      </w:r>
      <w:bookmarkStart w:id="115" w:name="_Hlk92462362"/>
      <w:r>
        <w:rPr>
          <w:rFonts w:hint="eastAsia" w:hAnsi="宋体"/>
          <w:bCs/>
          <w:color w:val="0D0D0D" w:themeColor="text1" w:themeTint="F2"/>
          <w14:textFill>
            <w14:solidFill>
              <w14:schemeClr w14:val="tx1">
                <w14:lumMod w14:val="95000"/>
                <w14:lumOff w14:val="5000"/>
              </w14:schemeClr>
            </w14:solidFill>
          </w14:textFill>
        </w:rPr>
        <w:t>澄清、说明或者更正</w:t>
      </w:r>
      <w:bookmarkEnd w:id="115"/>
      <w:r>
        <w:rPr>
          <w:rFonts w:hint="eastAsia" w:hAnsi="宋体"/>
          <w:bCs/>
          <w:color w:val="0D0D0D" w:themeColor="text1" w:themeTint="F2"/>
          <w14:textFill>
            <w14:solidFill>
              <w14:schemeClr w14:val="tx1">
                <w14:lumMod w14:val="95000"/>
                <w14:lumOff w14:val="5000"/>
              </w14:schemeClr>
            </w14:solidFill>
          </w14:textFill>
        </w:rPr>
        <w:t>。供应商的澄清、说明或者更正不得超出响应文件的范围或者改变响应文件的实质性内容。</w:t>
      </w:r>
    </w:p>
    <w:p>
      <w:pPr>
        <w:pStyle w:val="23"/>
        <w:spacing w:line="420" w:lineRule="exact"/>
        <w:ind w:firstLine="420"/>
        <w:rPr>
          <w:rFonts w:hAnsi="宋体"/>
          <w:bCs/>
          <w:color w:val="0D0D0D" w:themeColor="text1" w:themeTint="F2"/>
          <w14:textFill>
            <w14:solidFill>
              <w14:schemeClr w14:val="tx1">
                <w14:lumMod w14:val="95000"/>
                <w14:lumOff w14:val="5000"/>
              </w14:schemeClr>
            </w14:solidFill>
          </w14:textFill>
        </w:rPr>
      </w:pPr>
      <w:r>
        <w:rPr>
          <w:rFonts w:hint="eastAsia" w:hAnsi="宋体"/>
          <w:bCs/>
          <w:color w:val="0D0D0D" w:themeColor="text1" w:themeTint="F2"/>
          <w14:textFill>
            <w14:solidFill>
              <w14:schemeClr w14:val="tx1">
                <w14:lumMod w14:val="95000"/>
                <w14:lumOff w14:val="5000"/>
              </w14:schemeClr>
            </w14:solidFill>
          </w14:textFill>
        </w:rPr>
        <w:t>2</w:t>
      </w:r>
      <w:r>
        <w:rPr>
          <w:rFonts w:hAnsi="宋体"/>
          <w:bCs/>
          <w:color w:val="0D0D0D" w:themeColor="text1" w:themeTint="F2"/>
          <w14:textFill>
            <w14:solidFill>
              <w14:schemeClr w14:val="tx1">
                <w14:lumMod w14:val="95000"/>
                <w14:lumOff w14:val="5000"/>
              </w14:schemeClr>
            </w14:solidFill>
          </w14:textFill>
        </w:rPr>
        <w:t>.</w:t>
      </w:r>
      <w:r>
        <w:rPr>
          <w:rFonts w:hint="eastAsia" w:hAnsi="宋体"/>
          <w:bCs/>
          <w:color w:val="0D0D0D" w:themeColor="text1" w:themeTint="F2"/>
          <w14:textFill>
            <w14:solidFill>
              <w14:schemeClr w14:val="tx1">
                <w14:lumMod w14:val="95000"/>
                <w14:lumOff w14:val="5000"/>
              </w14:schemeClr>
            </w14:solidFill>
          </w14:textFill>
        </w:rPr>
        <w:t>谈判小组要求供应商澄清、说明或者更正响应文件应</w:t>
      </w:r>
      <w:r>
        <w:rPr>
          <w:rFonts w:hint="eastAsia" w:hAnsi="宋体"/>
          <w:bCs/>
          <w:color w:val="000000" w:themeColor="text1"/>
          <w14:textFill>
            <w14:solidFill>
              <w14:schemeClr w14:val="tx1"/>
            </w14:solidFill>
          </w14:textFill>
        </w:rPr>
        <w:t>当以书面形式作出。</w:t>
      </w:r>
      <w:r>
        <w:rPr>
          <w:rFonts w:hint="eastAsia" w:hAnsi="宋体"/>
          <w:bCs/>
          <w:color w:val="0D0D0D" w:themeColor="text1" w:themeTint="F2"/>
          <w14:textFill>
            <w14:solidFill>
              <w14:schemeClr w14:val="tx1">
                <w14:lumMod w14:val="95000"/>
                <w14:lumOff w14:val="5000"/>
              </w14:schemeClr>
            </w14:solidFill>
          </w14:textFill>
        </w:rPr>
        <w:t>供应商的澄清、说明或者更正应当由法定代表人或其授权代表签名或者加盖公章。由授权代表签名的，应当附法定代表人授权书。供应商为自然人的，应当由本人签名并附身份证明。</w:t>
      </w:r>
    </w:p>
    <w:p>
      <w:pPr>
        <w:spacing w:line="420" w:lineRule="exact"/>
        <w:ind w:firstLine="211" w:firstLineChars="100"/>
        <w:rPr>
          <w:b/>
          <w:bCs/>
        </w:rPr>
      </w:pPr>
      <w:r>
        <w:rPr>
          <w:rFonts w:hint="eastAsia"/>
          <w:b/>
          <w:bCs/>
        </w:rPr>
        <w:t>（九）评定标准及推荐原则</w:t>
      </w:r>
    </w:p>
    <w:p>
      <w:pPr>
        <w:spacing w:line="420" w:lineRule="exact"/>
        <w:ind w:firstLine="420" w:firstLineChars="200"/>
      </w:pPr>
      <w:r>
        <w:rPr>
          <w:rFonts w:hint="eastAsia" w:ascii="宋体" w:hAnsi="Courier New" w:cs="Courier New"/>
          <w:color w:val="000000"/>
          <w:szCs w:val="21"/>
        </w:rPr>
        <w:t>详见第四章《评定标准及推荐原则》。</w:t>
      </w:r>
    </w:p>
    <w:p>
      <w:pPr>
        <w:pStyle w:val="23"/>
        <w:spacing w:line="420" w:lineRule="exact"/>
        <w:ind w:firstLine="211" w:firstLineChars="100"/>
        <w:rPr>
          <w:rFonts w:hAnsi="宋体"/>
          <w:b/>
          <w:color w:val="0D0D0D" w:themeColor="text1" w:themeTint="F2"/>
          <w14:textFill>
            <w14:solidFill>
              <w14:schemeClr w14:val="tx1">
                <w14:lumMod w14:val="95000"/>
                <w14:lumOff w14:val="5000"/>
              </w14:schemeClr>
            </w14:solidFill>
          </w14:textFill>
        </w:rPr>
      </w:pPr>
      <w:r>
        <w:rPr>
          <w:rFonts w:hint="eastAsia" w:hAnsi="宋体"/>
          <w:b/>
          <w:color w:val="0D0D0D" w:themeColor="text1" w:themeTint="F2"/>
          <w14:textFill>
            <w14:solidFill>
              <w14:schemeClr w14:val="tx1">
                <w14:lumMod w14:val="95000"/>
                <w14:lumOff w14:val="5000"/>
              </w14:schemeClr>
            </w14:solidFill>
          </w14:textFill>
        </w:rPr>
        <w:t>（十）供应商有下列情形之一的，属于恶意串通：</w:t>
      </w:r>
    </w:p>
    <w:p>
      <w:pPr>
        <w:pStyle w:val="23"/>
        <w:spacing w:line="420" w:lineRule="exact"/>
        <w:ind w:firstLine="420" w:firstLineChars="200"/>
        <w:rPr>
          <w:rFonts w:hAnsi="宋体" w:cs="Times New Roman"/>
          <w:color w:val="0D0D0D" w:themeColor="text1" w:themeTint="F2"/>
          <w14:textFill>
            <w14:solidFill>
              <w14:schemeClr w14:val="tx1">
                <w14:lumMod w14:val="95000"/>
                <w14:lumOff w14:val="5000"/>
              </w14:schemeClr>
            </w14:solidFill>
          </w14:textFill>
        </w:rPr>
      </w:pPr>
      <w:r>
        <w:rPr>
          <w:rFonts w:hint="eastAsia" w:hAnsi="宋体" w:cs="Times New Roman"/>
          <w:color w:val="0D0D0D" w:themeColor="text1" w:themeTint="F2"/>
          <w14:textFill>
            <w14:solidFill>
              <w14:schemeClr w14:val="tx1">
                <w14:lumMod w14:val="95000"/>
                <w14:lumOff w14:val="5000"/>
              </w14:schemeClr>
            </w14:solidFill>
          </w14:textFill>
        </w:rPr>
        <w:t>1</w:t>
      </w:r>
      <w:r>
        <w:rPr>
          <w:rFonts w:hAnsi="宋体" w:cs="Times New Roman"/>
          <w:color w:val="0D0D0D" w:themeColor="text1" w:themeTint="F2"/>
          <w14:textFill>
            <w14:solidFill>
              <w14:schemeClr w14:val="tx1">
                <w14:lumMod w14:val="95000"/>
                <w14:lumOff w14:val="5000"/>
              </w14:schemeClr>
            </w14:solidFill>
          </w14:textFill>
        </w:rPr>
        <w:t>.</w:t>
      </w:r>
      <w:r>
        <w:rPr>
          <w:rFonts w:hint="eastAsia" w:hAnsi="宋体" w:cs="Times New Roman"/>
          <w:color w:val="0D0D0D" w:themeColor="text1" w:themeTint="F2"/>
          <w14:textFill>
            <w14:solidFill>
              <w14:schemeClr w14:val="tx1">
                <w14:lumMod w14:val="95000"/>
                <w14:lumOff w14:val="5000"/>
              </w14:schemeClr>
            </w14:solidFill>
          </w14:textFill>
        </w:rPr>
        <w:t>供应商直接或者间接从采购人或者采购代理机构处获得其他供应商的相关情况并修改其响应文件；</w:t>
      </w:r>
    </w:p>
    <w:p>
      <w:pPr>
        <w:pStyle w:val="23"/>
        <w:spacing w:line="420" w:lineRule="exact"/>
        <w:ind w:firstLine="420" w:firstLineChars="200"/>
        <w:rPr>
          <w:rFonts w:hAnsi="宋体" w:cs="Times New Roman"/>
          <w:color w:val="0D0D0D" w:themeColor="text1" w:themeTint="F2"/>
          <w14:textFill>
            <w14:solidFill>
              <w14:schemeClr w14:val="tx1">
                <w14:lumMod w14:val="95000"/>
                <w14:lumOff w14:val="5000"/>
              </w14:schemeClr>
            </w14:solidFill>
          </w14:textFill>
        </w:rPr>
      </w:pPr>
      <w:r>
        <w:rPr>
          <w:rFonts w:hint="eastAsia" w:hAnsi="宋体" w:cs="Times New Roman"/>
          <w:color w:val="0D0D0D" w:themeColor="text1" w:themeTint="F2"/>
          <w14:textFill>
            <w14:solidFill>
              <w14:schemeClr w14:val="tx1">
                <w14:lumMod w14:val="95000"/>
                <w14:lumOff w14:val="5000"/>
              </w14:schemeClr>
            </w14:solidFill>
          </w14:textFill>
        </w:rPr>
        <w:t>2</w:t>
      </w:r>
      <w:r>
        <w:rPr>
          <w:rFonts w:hAnsi="宋体" w:cs="Times New Roman"/>
          <w:color w:val="0D0D0D" w:themeColor="text1" w:themeTint="F2"/>
          <w14:textFill>
            <w14:solidFill>
              <w14:schemeClr w14:val="tx1">
                <w14:lumMod w14:val="95000"/>
                <w14:lumOff w14:val="5000"/>
              </w14:schemeClr>
            </w14:solidFill>
          </w14:textFill>
        </w:rPr>
        <w:t>.</w:t>
      </w:r>
      <w:r>
        <w:rPr>
          <w:rFonts w:hint="eastAsia" w:hAnsi="宋体" w:cs="Times New Roman"/>
          <w:color w:val="0D0D0D" w:themeColor="text1" w:themeTint="F2"/>
          <w14:textFill>
            <w14:solidFill>
              <w14:schemeClr w14:val="tx1">
                <w14:lumMod w14:val="95000"/>
                <w14:lumOff w14:val="5000"/>
              </w14:schemeClr>
            </w14:solidFill>
          </w14:textFill>
        </w:rPr>
        <w:t>供应商按照采购人或者采购代理机构的授意撤换、修改响应文件；</w:t>
      </w:r>
    </w:p>
    <w:p>
      <w:pPr>
        <w:pStyle w:val="23"/>
        <w:spacing w:line="420" w:lineRule="exact"/>
        <w:ind w:firstLine="420" w:firstLineChars="200"/>
        <w:rPr>
          <w:rFonts w:hAnsi="宋体" w:cs="Times New Roman"/>
          <w:color w:val="0D0D0D" w:themeColor="text1" w:themeTint="F2"/>
          <w14:textFill>
            <w14:solidFill>
              <w14:schemeClr w14:val="tx1">
                <w14:lumMod w14:val="95000"/>
                <w14:lumOff w14:val="5000"/>
              </w14:schemeClr>
            </w14:solidFill>
          </w14:textFill>
        </w:rPr>
      </w:pPr>
      <w:r>
        <w:rPr>
          <w:rFonts w:hint="eastAsia" w:hAnsi="宋体" w:cs="Times New Roman"/>
          <w:color w:val="0D0D0D" w:themeColor="text1" w:themeTint="F2"/>
          <w14:textFill>
            <w14:solidFill>
              <w14:schemeClr w14:val="tx1">
                <w14:lumMod w14:val="95000"/>
                <w14:lumOff w14:val="5000"/>
              </w14:schemeClr>
            </w14:solidFill>
          </w14:textFill>
        </w:rPr>
        <w:t>3</w:t>
      </w:r>
      <w:r>
        <w:rPr>
          <w:rFonts w:hAnsi="宋体" w:cs="Times New Roman"/>
          <w:color w:val="0D0D0D" w:themeColor="text1" w:themeTint="F2"/>
          <w14:textFill>
            <w14:solidFill>
              <w14:schemeClr w14:val="tx1">
                <w14:lumMod w14:val="95000"/>
                <w14:lumOff w14:val="5000"/>
              </w14:schemeClr>
            </w14:solidFill>
          </w14:textFill>
        </w:rPr>
        <w:t>.</w:t>
      </w:r>
      <w:r>
        <w:rPr>
          <w:rFonts w:hint="eastAsia" w:hAnsi="宋体" w:cs="Times New Roman"/>
          <w:color w:val="0D0D0D" w:themeColor="text1" w:themeTint="F2"/>
          <w14:textFill>
            <w14:solidFill>
              <w14:schemeClr w14:val="tx1">
                <w14:lumMod w14:val="95000"/>
                <w14:lumOff w14:val="5000"/>
              </w14:schemeClr>
            </w14:solidFill>
          </w14:textFill>
        </w:rPr>
        <w:t>供应商之间协商报价、技术方案等响应文件的实质性内容；</w:t>
      </w:r>
    </w:p>
    <w:p>
      <w:pPr>
        <w:pStyle w:val="23"/>
        <w:spacing w:line="420" w:lineRule="exact"/>
        <w:ind w:firstLine="420" w:firstLineChars="200"/>
        <w:rPr>
          <w:rFonts w:hAnsi="宋体" w:cs="Times New Roman"/>
          <w:color w:val="0D0D0D" w:themeColor="text1" w:themeTint="F2"/>
          <w14:textFill>
            <w14:solidFill>
              <w14:schemeClr w14:val="tx1">
                <w14:lumMod w14:val="95000"/>
                <w14:lumOff w14:val="5000"/>
              </w14:schemeClr>
            </w14:solidFill>
          </w14:textFill>
        </w:rPr>
      </w:pPr>
      <w:r>
        <w:rPr>
          <w:rFonts w:hint="eastAsia" w:hAnsi="宋体" w:cs="Times New Roman"/>
          <w:color w:val="0D0D0D" w:themeColor="text1" w:themeTint="F2"/>
          <w14:textFill>
            <w14:solidFill>
              <w14:schemeClr w14:val="tx1">
                <w14:lumMod w14:val="95000"/>
                <w14:lumOff w14:val="5000"/>
              </w14:schemeClr>
            </w14:solidFill>
          </w14:textFill>
        </w:rPr>
        <w:t>4</w:t>
      </w:r>
      <w:r>
        <w:rPr>
          <w:rFonts w:hAnsi="宋体" w:cs="Times New Roman"/>
          <w:color w:val="0D0D0D" w:themeColor="text1" w:themeTint="F2"/>
          <w14:textFill>
            <w14:solidFill>
              <w14:schemeClr w14:val="tx1">
                <w14:lumMod w14:val="95000"/>
                <w14:lumOff w14:val="5000"/>
              </w14:schemeClr>
            </w14:solidFill>
          </w14:textFill>
        </w:rPr>
        <w:t>.</w:t>
      </w:r>
      <w:r>
        <w:rPr>
          <w:rFonts w:hint="eastAsia" w:hAnsi="宋体" w:cs="Times New Roman"/>
          <w:color w:val="0D0D0D" w:themeColor="text1" w:themeTint="F2"/>
          <w14:textFill>
            <w14:solidFill>
              <w14:schemeClr w14:val="tx1">
                <w14:lumMod w14:val="95000"/>
                <w14:lumOff w14:val="5000"/>
              </w14:schemeClr>
            </w14:solidFill>
          </w14:textFill>
        </w:rPr>
        <w:t>属于同一集团、协会、商会等组织成员的供应商按照该组织要求协同参加政府采购活动；</w:t>
      </w:r>
    </w:p>
    <w:p>
      <w:pPr>
        <w:pStyle w:val="23"/>
        <w:spacing w:line="420" w:lineRule="exact"/>
        <w:ind w:firstLine="420" w:firstLineChars="200"/>
        <w:rPr>
          <w:rFonts w:hAnsi="宋体" w:cs="Times New Roman"/>
          <w:color w:val="0D0D0D" w:themeColor="text1" w:themeTint="F2"/>
          <w14:textFill>
            <w14:solidFill>
              <w14:schemeClr w14:val="tx1">
                <w14:lumMod w14:val="95000"/>
                <w14:lumOff w14:val="5000"/>
              </w14:schemeClr>
            </w14:solidFill>
          </w14:textFill>
        </w:rPr>
      </w:pPr>
      <w:r>
        <w:rPr>
          <w:rFonts w:hint="eastAsia" w:hAnsi="宋体" w:cs="Times New Roman"/>
          <w:color w:val="0D0D0D" w:themeColor="text1" w:themeTint="F2"/>
          <w14:textFill>
            <w14:solidFill>
              <w14:schemeClr w14:val="tx1">
                <w14:lumMod w14:val="95000"/>
                <w14:lumOff w14:val="5000"/>
              </w14:schemeClr>
            </w14:solidFill>
          </w14:textFill>
        </w:rPr>
        <w:t>5</w:t>
      </w:r>
      <w:r>
        <w:rPr>
          <w:rFonts w:hAnsi="宋体" w:cs="Times New Roman"/>
          <w:color w:val="0D0D0D" w:themeColor="text1" w:themeTint="F2"/>
          <w14:textFill>
            <w14:solidFill>
              <w14:schemeClr w14:val="tx1">
                <w14:lumMod w14:val="95000"/>
                <w14:lumOff w14:val="5000"/>
              </w14:schemeClr>
            </w14:solidFill>
          </w14:textFill>
        </w:rPr>
        <w:t>.</w:t>
      </w:r>
      <w:r>
        <w:rPr>
          <w:rFonts w:hint="eastAsia" w:hAnsi="宋体" w:cs="Times New Roman"/>
          <w:color w:val="0D0D0D" w:themeColor="text1" w:themeTint="F2"/>
          <w14:textFill>
            <w14:solidFill>
              <w14:schemeClr w14:val="tx1">
                <w14:lumMod w14:val="95000"/>
                <w14:lumOff w14:val="5000"/>
              </w14:schemeClr>
            </w14:solidFill>
          </w14:textFill>
        </w:rPr>
        <w:t>供应商之间事先约定由某一特定供应商成交；</w:t>
      </w:r>
    </w:p>
    <w:p>
      <w:pPr>
        <w:pStyle w:val="23"/>
        <w:spacing w:line="420" w:lineRule="exact"/>
        <w:ind w:firstLine="420" w:firstLineChars="200"/>
        <w:rPr>
          <w:rFonts w:hAnsi="宋体" w:cs="Times New Roman"/>
          <w:color w:val="0D0D0D" w:themeColor="text1" w:themeTint="F2"/>
          <w14:textFill>
            <w14:solidFill>
              <w14:schemeClr w14:val="tx1">
                <w14:lumMod w14:val="95000"/>
                <w14:lumOff w14:val="5000"/>
              </w14:schemeClr>
            </w14:solidFill>
          </w14:textFill>
        </w:rPr>
      </w:pPr>
      <w:r>
        <w:rPr>
          <w:rFonts w:hint="eastAsia" w:hAnsi="宋体" w:cs="Times New Roman"/>
          <w:color w:val="0D0D0D" w:themeColor="text1" w:themeTint="F2"/>
          <w14:textFill>
            <w14:solidFill>
              <w14:schemeClr w14:val="tx1">
                <w14:lumMod w14:val="95000"/>
                <w14:lumOff w14:val="5000"/>
              </w14:schemeClr>
            </w14:solidFill>
          </w14:textFill>
        </w:rPr>
        <w:t>6</w:t>
      </w:r>
      <w:r>
        <w:rPr>
          <w:rFonts w:hAnsi="宋体" w:cs="Times New Roman"/>
          <w:color w:val="0D0D0D" w:themeColor="text1" w:themeTint="F2"/>
          <w14:textFill>
            <w14:solidFill>
              <w14:schemeClr w14:val="tx1">
                <w14:lumMod w14:val="95000"/>
                <w14:lumOff w14:val="5000"/>
              </w14:schemeClr>
            </w14:solidFill>
          </w14:textFill>
        </w:rPr>
        <w:t>.</w:t>
      </w:r>
      <w:r>
        <w:rPr>
          <w:rFonts w:hint="eastAsia" w:hAnsi="宋体" w:cs="Times New Roman"/>
          <w:color w:val="0D0D0D" w:themeColor="text1" w:themeTint="F2"/>
          <w14:textFill>
            <w14:solidFill>
              <w14:schemeClr w14:val="tx1">
                <w14:lumMod w14:val="95000"/>
                <w14:lumOff w14:val="5000"/>
              </w14:schemeClr>
            </w14:solidFill>
          </w14:textFill>
        </w:rPr>
        <w:t>供应商之间商定部分供应商放弃参加政府采购活动或者放弃成交；</w:t>
      </w:r>
    </w:p>
    <w:p>
      <w:pPr>
        <w:pStyle w:val="23"/>
        <w:spacing w:line="420" w:lineRule="exact"/>
        <w:ind w:firstLine="420" w:firstLineChars="200"/>
        <w:rPr>
          <w:rFonts w:hAnsi="宋体" w:cs="Times New Roman"/>
          <w:color w:val="0D0D0D" w:themeColor="text1" w:themeTint="F2"/>
          <w14:textFill>
            <w14:solidFill>
              <w14:schemeClr w14:val="tx1">
                <w14:lumMod w14:val="95000"/>
                <w14:lumOff w14:val="5000"/>
              </w14:schemeClr>
            </w14:solidFill>
          </w14:textFill>
        </w:rPr>
      </w:pPr>
      <w:r>
        <w:rPr>
          <w:rFonts w:hint="eastAsia" w:hAnsi="宋体" w:cs="Times New Roman"/>
          <w:color w:val="0D0D0D" w:themeColor="text1" w:themeTint="F2"/>
          <w14:textFill>
            <w14:solidFill>
              <w14:schemeClr w14:val="tx1">
                <w14:lumMod w14:val="95000"/>
                <w14:lumOff w14:val="5000"/>
              </w14:schemeClr>
            </w14:solidFill>
          </w14:textFill>
        </w:rPr>
        <w:t>7</w:t>
      </w:r>
      <w:r>
        <w:rPr>
          <w:rFonts w:hAnsi="宋体" w:cs="Times New Roman"/>
          <w:color w:val="0D0D0D" w:themeColor="text1" w:themeTint="F2"/>
          <w14:textFill>
            <w14:solidFill>
              <w14:schemeClr w14:val="tx1">
                <w14:lumMod w14:val="95000"/>
                <w14:lumOff w14:val="5000"/>
              </w14:schemeClr>
            </w14:solidFill>
          </w14:textFill>
        </w:rPr>
        <w:t>.</w:t>
      </w:r>
      <w:r>
        <w:rPr>
          <w:rFonts w:hint="eastAsia" w:hAnsi="宋体" w:cs="Times New Roman"/>
          <w:color w:val="0D0D0D" w:themeColor="text1" w:themeTint="F2"/>
          <w14:textFill>
            <w14:solidFill>
              <w14:schemeClr w14:val="tx1">
                <w14:lumMod w14:val="95000"/>
                <w14:lumOff w14:val="5000"/>
              </w14:schemeClr>
            </w14:solidFill>
          </w14:textFill>
        </w:rPr>
        <w:t>供应商与采购人或者采购代理机构之间、供应商相互之间，为谋求特定供应商成交或者排斥其他供应商的其他串通行为。</w:t>
      </w:r>
    </w:p>
    <w:p>
      <w:pPr>
        <w:pStyle w:val="23"/>
        <w:spacing w:line="420" w:lineRule="exact"/>
        <w:ind w:firstLine="211" w:firstLineChars="100"/>
        <w:rPr>
          <w:rFonts w:hAnsi="宋体"/>
          <w:b/>
          <w:color w:val="000000" w:themeColor="text1"/>
          <w14:textFill>
            <w14:solidFill>
              <w14:schemeClr w14:val="tx1"/>
            </w14:solidFill>
          </w14:textFill>
        </w:rPr>
      </w:pPr>
      <w:r>
        <w:rPr>
          <w:rFonts w:hint="eastAsia" w:hAnsi="宋体"/>
          <w:b/>
          <w:color w:val="0D0D0D" w:themeColor="text1" w:themeTint="F2"/>
          <w14:textFill>
            <w14:solidFill>
              <w14:schemeClr w14:val="tx1">
                <w14:lumMod w14:val="95000"/>
                <w14:lumOff w14:val="5000"/>
              </w14:schemeClr>
            </w14:solidFill>
          </w14:textFill>
        </w:rPr>
        <w:t>（十一）</w:t>
      </w:r>
      <w:r>
        <w:rPr>
          <w:rFonts w:hint="eastAsia" w:hAnsi="宋体"/>
          <w:b/>
          <w:color w:val="000000" w:themeColor="text1"/>
          <w14:textFill>
            <w14:solidFill>
              <w14:schemeClr w14:val="tx1"/>
            </w14:solidFill>
          </w14:textFill>
        </w:rPr>
        <w:t>评审报告</w:t>
      </w:r>
    </w:p>
    <w:p>
      <w:pPr>
        <w:widowControl/>
        <w:tabs>
          <w:tab w:val="left" w:pos="540"/>
        </w:tabs>
        <w:spacing w:line="42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谈判小组应当根据评审记录和评审结果编写评审报告，主要内容包括：</w:t>
      </w:r>
    </w:p>
    <w:p>
      <w:pPr>
        <w:widowControl/>
        <w:tabs>
          <w:tab w:val="left" w:pos="540"/>
        </w:tabs>
        <w:spacing w:line="42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邀请供应商参加采购活动的具体方式和相关情况，以及参加采购活动的供应商名单；</w:t>
      </w:r>
    </w:p>
    <w:p>
      <w:pPr>
        <w:widowControl/>
        <w:tabs>
          <w:tab w:val="left" w:pos="540"/>
        </w:tabs>
        <w:spacing w:line="42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评审日期和地点，谈判小组成员名单；</w:t>
      </w:r>
    </w:p>
    <w:p>
      <w:pPr>
        <w:widowControl/>
        <w:tabs>
          <w:tab w:val="left" w:pos="540"/>
        </w:tabs>
        <w:spacing w:line="42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评审情况记录和说明，包括对供应商的资格审查情况、供应商响应文件评审情况、谈判情况、报价情况等；</w:t>
      </w:r>
    </w:p>
    <w:p>
      <w:pPr>
        <w:widowControl/>
        <w:tabs>
          <w:tab w:val="left" w:pos="540"/>
        </w:tabs>
        <w:spacing w:line="420" w:lineRule="exact"/>
        <w:ind w:firstLine="420" w:firstLineChars="20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提出的成交候选人的名单及理由。</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pPr>
        <w:pStyle w:val="23"/>
        <w:spacing w:line="420" w:lineRule="exact"/>
        <w:ind w:firstLine="211" w:firstLineChars="100"/>
        <w:rPr>
          <w:rFonts w:hAnsi="宋体"/>
          <w:color w:val="0D0D0D" w:themeColor="text1" w:themeTint="F2"/>
          <w14:textFill>
            <w14:solidFill>
              <w14:schemeClr w14:val="tx1">
                <w14:lumMod w14:val="95000"/>
                <w14:lumOff w14:val="5000"/>
              </w14:schemeClr>
            </w14:solidFill>
          </w14:textFill>
        </w:rPr>
      </w:pPr>
      <w:r>
        <w:rPr>
          <w:rFonts w:hint="eastAsia" w:hAnsi="宋体"/>
          <w:b/>
          <w:bCs/>
          <w:color w:val="000000" w:themeColor="text1"/>
          <w14:textFill>
            <w14:solidFill>
              <w14:schemeClr w14:val="tx1"/>
            </w14:solidFill>
          </w14:textFill>
        </w:rPr>
        <w:t>（十二）</w:t>
      </w:r>
      <w:r>
        <w:rPr>
          <w:rFonts w:hint="eastAsia" w:hAnsi="宋体"/>
          <w:b/>
          <w:color w:val="0D0D0D" w:themeColor="text1" w:themeTint="F2"/>
          <w14:textFill>
            <w14:solidFill>
              <w14:schemeClr w14:val="tx1">
                <w14:lumMod w14:val="95000"/>
                <w14:lumOff w14:val="5000"/>
              </w14:schemeClr>
            </w14:solidFill>
          </w14:textFill>
        </w:rPr>
        <w:t>出现下列情形之一的，本中心将终止竞争性谈判采购活动：</w:t>
      </w:r>
    </w:p>
    <w:p>
      <w:pPr>
        <w:pStyle w:val="23"/>
        <w:spacing w:line="420" w:lineRule="exact"/>
        <w:ind w:firstLine="420" w:firstLineChars="200"/>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1</w:t>
      </w:r>
      <w:r>
        <w:rPr>
          <w:rFonts w:hAnsi="宋体"/>
          <w:color w:val="0D0D0D" w:themeColor="text1" w:themeTint="F2"/>
          <w14:textFill>
            <w14:solidFill>
              <w14:schemeClr w14:val="tx1">
                <w14:lumMod w14:val="95000"/>
                <w14:lumOff w14:val="5000"/>
              </w14:schemeClr>
            </w14:solidFill>
          </w14:textFill>
        </w:rPr>
        <w:t>.</w:t>
      </w:r>
      <w:r>
        <w:rPr>
          <w:rFonts w:hint="eastAsia" w:hAnsi="宋体"/>
          <w:color w:val="0D0D0D" w:themeColor="text1" w:themeTint="F2"/>
          <w14:textFill>
            <w14:solidFill>
              <w14:schemeClr w14:val="tx1">
                <w14:lumMod w14:val="95000"/>
                <w14:lumOff w14:val="5000"/>
              </w14:schemeClr>
            </w14:solidFill>
          </w14:textFill>
        </w:rPr>
        <w:t>因情况变化，不再符合规定的竞争性谈判采购方式适用情形的；</w:t>
      </w:r>
    </w:p>
    <w:p>
      <w:pPr>
        <w:pStyle w:val="23"/>
        <w:spacing w:line="420" w:lineRule="exact"/>
        <w:ind w:firstLine="420" w:firstLineChars="200"/>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2</w:t>
      </w:r>
      <w:r>
        <w:rPr>
          <w:rFonts w:hAnsi="宋体"/>
          <w:color w:val="0D0D0D" w:themeColor="text1" w:themeTint="F2"/>
          <w14:textFill>
            <w14:solidFill>
              <w14:schemeClr w14:val="tx1">
                <w14:lumMod w14:val="95000"/>
                <w14:lumOff w14:val="5000"/>
              </w14:schemeClr>
            </w14:solidFill>
          </w14:textFill>
        </w:rPr>
        <w:t>.</w:t>
      </w:r>
      <w:r>
        <w:rPr>
          <w:rFonts w:hint="eastAsia" w:hAnsi="宋体"/>
          <w:color w:val="0D0D0D" w:themeColor="text1" w:themeTint="F2"/>
          <w14:textFill>
            <w14:solidFill>
              <w14:schemeClr w14:val="tx1">
                <w14:lumMod w14:val="95000"/>
                <w14:lumOff w14:val="5000"/>
              </w14:schemeClr>
            </w14:solidFill>
          </w14:textFill>
        </w:rPr>
        <w:t>出现影响采购公正的违法、违规行为的；</w:t>
      </w:r>
    </w:p>
    <w:p>
      <w:pPr>
        <w:pStyle w:val="23"/>
        <w:spacing w:line="420" w:lineRule="exact"/>
        <w:ind w:firstLine="420" w:firstLineChars="200"/>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3</w:t>
      </w:r>
      <w:r>
        <w:rPr>
          <w:rFonts w:hAnsi="宋体"/>
          <w:color w:val="0D0D0D" w:themeColor="text1" w:themeTint="F2"/>
          <w14:textFill>
            <w14:solidFill>
              <w14:schemeClr w14:val="tx1">
                <w14:lumMod w14:val="95000"/>
                <w14:lumOff w14:val="5000"/>
              </w14:schemeClr>
            </w14:solidFill>
          </w14:textFill>
        </w:rPr>
        <w:t>.</w:t>
      </w:r>
      <w:r>
        <w:rPr>
          <w:rFonts w:hint="eastAsia" w:hAnsi="宋体"/>
          <w:color w:val="0D0D0D" w:themeColor="text1" w:themeTint="F2"/>
          <w14:textFill>
            <w14:solidFill>
              <w14:schemeClr w14:val="tx1">
                <w14:lumMod w14:val="95000"/>
                <w14:lumOff w14:val="5000"/>
              </w14:schemeClr>
            </w14:solidFill>
          </w14:textFill>
        </w:rPr>
        <w:t>在采购过程中符合竞争要求的供应商或者报价未超过采购预算的供应商不足3家的。</w:t>
      </w:r>
    </w:p>
    <w:p>
      <w:pPr>
        <w:pStyle w:val="4"/>
        <w:spacing w:line="420" w:lineRule="exact"/>
      </w:pPr>
      <w:r>
        <w:rPr>
          <w:rFonts w:hint="eastAsia"/>
        </w:rPr>
        <w:t>六、确定成交供应商</w:t>
      </w:r>
    </w:p>
    <w:p>
      <w:pPr>
        <w:pStyle w:val="23"/>
        <w:spacing w:line="420" w:lineRule="exact"/>
        <w:ind w:firstLine="420"/>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1</w:t>
      </w:r>
      <w:r>
        <w:rPr>
          <w:rFonts w:hAnsi="宋体"/>
          <w:color w:val="0D0D0D" w:themeColor="text1" w:themeTint="F2"/>
          <w14:textFill>
            <w14:solidFill>
              <w14:schemeClr w14:val="tx1">
                <w14:lumMod w14:val="95000"/>
                <w14:lumOff w14:val="5000"/>
              </w14:schemeClr>
            </w14:solidFill>
          </w14:textFill>
        </w:rPr>
        <w:t>.</w:t>
      </w:r>
      <w:r>
        <w:rPr>
          <w:rFonts w:hint="eastAsia" w:hAnsi="宋体"/>
          <w:color w:val="0D0D0D" w:themeColor="text1" w:themeTint="F2"/>
          <w14:textFill>
            <w14:solidFill>
              <w14:schemeClr w14:val="tx1">
                <w14:lumMod w14:val="95000"/>
                <w14:lumOff w14:val="5000"/>
              </w14:schemeClr>
            </w14:solidFill>
          </w14:textFill>
        </w:rPr>
        <w:t>本中心应当在评审结束后2个工作日内将评审报告送采购人确认。</w:t>
      </w:r>
    </w:p>
    <w:p>
      <w:pPr>
        <w:pStyle w:val="23"/>
        <w:spacing w:line="420" w:lineRule="exact"/>
        <w:ind w:firstLine="420"/>
        <w:rPr>
          <w:rFonts w:hAnsi="宋体"/>
          <w:color w:val="0D0D0D" w:themeColor="text1" w:themeTint="F2"/>
          <w14:textFill>
            <w14:solidFill>
              <w14:schemeClr w14:val="tx1">
                <w14:lumMod w14:val="95000"/>
                <w14:lumOff w14:val="5000"/>
              </w14:schemeClr>
            </w14:solidFill>
          </w14:textFill>
        </w:rPr>
      </w:pPr>
      <w:r>
        <w:rPr>
          <w:rFonts w:hAnsi="宋体"/>
          <w:color w:val="0D0D0D" w:themeColor="text1" w:themeTint="F2"/>
          <w14:textFill>
            <w14:solidFill>
              <w14:schemeClr w14:val="tx1">
                <w14:lumMod w14:val="95000"/>
                <w14:lumOff w14:val="5000"/>
              </w14:schemeClr>
            </w14:solidFill>
          </w14:textFill>
        </w:rPr>
        <w:t>2.</w:t>
      </w:r>
      <w:r>
        <w:rPr>
          <w:rFonts w:hint="eastAsia" w:hAnsi="宋体"/>
          <w:color w:val="0D0D0D" w:themeColor="text1" w:themeTint="F2"/>
          <w14:textFill>
            <w14:solidFill>
              <w14:schemeClr w14:val="tx1">
                <w14:lumMod w14:val="95000"/>
                <w14:lumOff w14:val="5000"/>
              </w14:schemeClr>
            </w14:solidFill>
          </w14:textFill>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4"/>
        <w:spacing w:line="420" w:lineRule="exact"/>
      </w:pPr>
      <w:r>
        <w:rPr>
          <w:rFonts w:hint="eastAsia"/>
        </w:rPr>
        <w:t>七、结果公告</w:t>
      </w:r>
    </w:p>
    <w:p>
      <w:pPr>
        <w:pStyle w:val="23"/>
        <w:spacing w:line="420" w:lineRule="exact"/>
        <w:ind w:firstLine="420" w:firstLineChars="200"/>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本中心在成交供应商确定后2个工作日内，</w:t>
      </w:r>
      <w:r>
        <w:rPr>
          <w:rFonts w:hint="eastAsia"/>
        </w:rPr>
        <w:t>在省级以上财政部门指定的媒体上公告</w:t>
      </w:r>
      <w:r>
        <w:rPr>
          <w:rFonts w:hint="eastAsia" w:hAnsi="宋体"/>
          <w:color w:val="0D0D0D" w:themeColor="text1" w:themeTint="F2"/>
          <w14:textFill>
            <w14:solidFill>
              <w14:schemeClr w14:val="tx1">
                <w14:lumMod w14:val="95000"/>
                <w14:lumOff w14:val="5000"/>
              </w14:schemeClr>
            </w14:solidFill>
          </w14:textFill>
        </w:rPr>
        <w:t>成交结果，同时向成交供应商发出成交通知书。</w:t>
      </w:r>
    </w:p>
    <w:p>
      <w:pPr>
        <w:pStyle w:val="4"/>
        <w:spacing w:line="420" w:lineRule="exact"/>
      </w:pPr>
      <w:r>
        <w:rPr>
          <w:rFonts w:hint="eastAsia"/>
        </w:rPr>
        <w:t>八、签订合同</w:t>
      </w:r>
    </w:p>
    <w:p>
      <w:pPr>
        <w:spacing w:line="420" w:lineRule="exact"/>
        <w:ind w:firstLine="210" w:firstLineChars="100"/>
        <w:rPr>
          <w:rFonts w:ascii="宋体" w:hAnsi="宋体" w:cs="Courier New"/>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（一）</w:t>
      </w:r>
      <w:r>
        <w:rPr>
          <w:rFonts w:hint="eastAsia" w:ascii="宋体" w:hAnsi="宋体" w:cs="Courier New"/>
          <w:color w:val="0D0D0D" w:themeColor="text1" w:themeTint="F2"/>
          <w:szCs w:val="21"/>
          <w14:textFill>
            <w14:solidFill>
              <w14:schemeClr w14:val="tx1">
                <w14:lumMod w14:val="95000"/>
                <w14:lumOff w14:val="5000"/>
              </w14:schemeClr>
            </w14:solidFill>
          </w14:textFill>
        </w:rPr>
        <w:t>采购人与成交供应商应当在成交通知书发出之日起</w:t>
      </w:r>
      <w:r>
        <w:rPr>
          <w:rFonts w:ascii="宋体" w:hAnsi="宋体" w:cs="Courier New"/>
          <w:color w:val="0D0D0D" w:themeColor="text1" w:themeTint="F2"/>
          <w:szCs w:val="21"/>
          <w14:textFill>
            <w14:solidFill>
              <w14:schemeClr w14:val="tx1">
                <w14:lumMod w14:val="95000"/>
                <w14:lumOff w14:val="5000"/>
              </w14:schemeClr>
            </w14:solidFill>
          </w14:textFill>
        </w:rPr>
        <w:t>15</w:t>
      </w:r>
      <w:r>
        <w:rPr>
          <w:rFonts w:hint="eastAsia" w:ascii="宋体" w:hAnsi="宋体" w:cs="Courier New"/>
          <w:color w:val="0D0D0D" w:themeColor="text1" w:themeTint="F2"/>
          <w:szCs w:val="21"/>
          <w14:textFill>
            <w14:solidFill>
              <w14:schemeClr w14:val="tx1">
                <w14:lumMod w14:val="95000"/>
                <w14:lumOff w14:val="5000"/>
              </w14:schemeClr>
            </w14:solidFill>
          </w14:textFill>
        </w:rPr>
        <w:t>日内，按照谈判文件确定的合同文本以及采购标的、规格型号、采购金额、采购数量、技术和服务要求等确定的事项签订政府采购合同。如中标人为联合体的，由采购人与联合体成员各方签订合同。所签订的合同不得对招标文件确定的事项和中标人投标文件作实质性修改。</w:t>
      </w:r>
    </w:p>
    <w:p>
      <w:pPr>
        <w:widowControl/>
        <w:spacing w:line="420" w:lineRule="exact"/>
        <w:ind w:firstLine="210" w:firstLineChars="10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Courier New"/>
          <w:color w:val="0D0D0D" w:themeColor="text1" w:themeTint="F2"/>
          <w:szCs w:val="21"/>
          <w14:textFill>
            <w14:solidFill>
              <w14:schemeClr w14:val="tx1">
                <w14:lumMod w14:val="95000"/>
                <w14:lumOff w14:val="5000"/>
              </w14:schemeClr>
            </w14:solidFill>
          </w14:textFill>
        </w:rPr>
        <w:t>（二）</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20" w:lineRule="exact"/>
        <w:ind w:firstLine="210" w:firstLineChars="10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（三）供应商可凭成交通知书或政府采购合同等在内的相关材料、信息，通过中征应收账款融资服务平台向银行业金融机构在线申请“政采贷”融资。</w:t>
      </w:r>
    </w:p>
    <w:p>
      <w:pPr>
        <w:widowControl/>
        <w:spacing w:line="420" w:lineRule="exact"/>
        <w:ind w:firstLine="210" w:firstLineChars="10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（四）除不可抗力等因素外，成交通知书发出后，采购人改变成交结果，或者成交供应商拒绝签订政府采购合同的，应当承担相应的法律责任。</w:t>
      </w:r>
    </w:p>
    <w:p>
      <w:pPr>
        <w:widowControl/>
        <w:spacing w:line="420" w:lineRule="exact"/>
        <w:ind w:firstLine="210" w:firstLineChars="10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（五）</w:t>
      </w:r>
      <w:r>
        <w:rPr>
          <w:rFonts w:ascii="Arial" w:hAnsi="Arial" w:cs="Arial"/>
          <w:color w:val="333333"/>
          <w:kern w:val="0"/>
          <w:szCs w:val="21"/>
        </w:rPr>
        <w:t>政府采购合同</w:t>
      </w:r>
      <w:r>
        <w:rPr>
          <w:rFonts w:hint="eastAsia" w:ascii="Arial" w:hAnsi="Arial" w:cs="Arial"/>
          <w:color w:val="333333"/>
          <w:kern w:val="0"/>
          <w:szCs w:val="21"/>
        </w:rPr>
        <w:t>适用《中华人民共和国民法典》</w:t>
      </w:r>
      <w:r>
        <w:rPr>
          <w:rFonts w:ascii="Arial" w:hAnsi="Arial" w:cs="Arial"/>
          <w:color w:val="333333"/>
          <w:kern w:val="0"/>
          <w:szCs w:val="21"/>
        </w:rPr>
        <w:t>。</w:t>
      </w:r>
    </w:p>
    <w:p>
      <w:pPr>
        <w:widowControl/>
        <w:spacing w:line="420" w:lineRule="exact"/>
        <w:ind w:firstLine="210" w:firstLineChars="10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spacing w:line="420" w:lineRule="exact"/>
      </w:pPr>
      <w:r>
        <w:rPr>
          <w:rFonts w:hint="eastAsia"/>
        </w:rPr>
        <w:t>九、适用法律</w:t>
      </w:r>
    </w:p>
    <w:p>
      <w:pPr>
        <w:spacing w:line="42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bookmarkStart w:id="116" w:name="_Hlk92794186"/>
      <w:r>
        <w:rPr>
          <w:rFonts w:hint="eastAsia" w:ascii="宋体" w:hAnsi="宋体"/>
          <w:color w:val="0D0D0D" w:themeColor="text1" w:themeTint="F2"/>
          <w:szCs w:val="21"/>
          <w14:textFill>
            <w14:solidFill>
              <w14:schemeClr w14:val="tx1">
                <w14:lumMod w14:val="95000"/>
                <w14:lumOff w14:val="5000"/>
              </w14:schemeClr>
            </w14:solidFill>
          </w14:textFill>
        </w:rPr>
        <w:t>本项目采购活动适用于《中华人民共和国政府采购法》及其实施条例、《政府采购非招标采购方式管理办法》等规定。</w:t>
      </w:r>
    </w:p>
    <w:bookmarkEnd w:id="116"/>
    <w:p>
      <w:pPr>
        <w:pStyle w:val="4"/>
        <w:spacing w:line="420" w:lineRule="exact"/>
      </w:pPr>
      <w:bookmarkStart w:id="117" w:name="_十、其他事项"/>
      <w:bookmarkEnd w:id="117"/>
      <w:r>
        <w:rPr>
          <w:rFonts w:hint="eastAsia"/>
        </w:rPr>
        <w:t>十、其他事项</w:t>
      </w:r>
    </w:p>
    <w:p>
      <w:pPr>
        <w:spacing w:line="420" w:lineRule="exact"/>
        <w:ind w:firstLine="210" w:firstLineChars="100"/>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（一）代理服务费</w:t>
      </w:r>
    </w:p>
    <w:p>
      <w:pPr>
        <w:pStyle w:val="23"/>
        <w:spacing w:line="410" w:lineRule="exact"/>
        <w:ind w:firstLine="420"/>
        <w:rPr>
          <w:rFonts w:hAnsi="宋体"/>
        </w:rPr>
      </w:pPr>
      <w:r>
        <w:rPr>
          <w:rFonts w:hAnsi="宋体"/>
        </w:rPr>
        <w:t>1.</w:t>
      </w:r>
      <w:bookmarkStart w:id="118" w:name="_Hlk92466646"/>
      <w:r>
        <w:rPr>
          <w:rFonts w:hint="eastAsia" w:hAnsi="宋体"/>
        </w:rPr>
        <w:t>本中心按钦州市物价局“钦市价费﹝2013﹞4号”文件规定向中标人收取代理服务费，中标人须向本中心一次付清代理服务费。</w:t>
      </w:r>
      <w:bookmarkEnd w:id="118"/>
      <w:r>
        <w:rPr>
          <w:rFonts w:hint="eastAsia" w:hAnsi="宋体"/>
        </w:rPr>
        <w:t>中标人为联合体的，可以由联合体中的一方或者多方共同交纳代理服务费。</w:t>
      </w:r>
    </w:p>
    <w:p>
      <w:pPr>
        <w:spacing w:line="420" w:lineRule="exact"/>
        <w:ind w:firstLine="420" w:firstLineChars="200"/>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2</w:t>
      </w:r>
      <w:r>
        <w:rPr>
          <w:rFonts w:hAnsi="宋体"/>
          <w:color w:val="0D0D0D" w:themeColor="text1" w:themeTint="F2"/>
          <w14:textFill>
            <w14:solidFill>
              <w14:schemeClr w14:val="tx1">
                <w14:lumMod w14:val="95000"/>
                <w14:lumOff w14:val="5000"/>
              </w14:schemeClr>
            </w14:solidFill>
          </w14:textFill>
        </w:rPr>
        <w:t>.</w:t>
      </w:r>
      <w:r>
        <w:rPr>
          <w:rFonts w:hint="eastAsia" w:hAnsi="宋体"/>
          <w:bCs/>
          <w:color w:val="000000"/>
        </w:rPr>
        <w:t>代理服务收费标准：</w:t>
      </w:r>
    </w:p>
    <w:tbl>
      <w:tblPr>
        <w:tblStyle w:val="4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Ansi="宋体"/>
                <w:color w:val="0D0D0D" w:themeColor="text1" w:themeTint="F2"/>
                <w14:textFill>
                  <w14:solidFill>
                    <w14:schemeClr w14:val="tx1">
                      <w14:lumMod w14:val="95000"/>
                      <w14:lumOff w14:val="5000"/>
                    </w14:schemeClr>
                  </w14:solidFill>
                </w14:textFill>
              </w:rPr>
            </w:pPr>
            <w:r>
              <w:rPr>
                <w:rFonts w:hAnsi="宋体"/>
                <w:color w:val="0D0D0D" w:themeColor="text1" w:themeTint="F2"/>
                <w14:textFill>
                  <w14:solidFill>
                    <w14:schemeClr w14:val="tx1">
                      <w14:lumMod w14:val="95000"/>
                      <w14:lumOff w14:val="5000"/>
                    </w14:schemeClr>
                  </w14:solidFill>
                </w14:textFill>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0D0D0D" w:themeColor="text1" w:themeTint="F2"/>
                <w14:textFill>
                  <w14:solidFill>
                    <w14:schemeClr w14:val="tx1">
                      <w14:lumMod w14:val="95000"/>
                      <w14:lumOff w14:val="5000"/>
                    </w14:schemeClr>
                  </w14:solidFill>
                </w14:textFill>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0D0D0D" w:themeColor="text1" w:themeTint="F2"/>
                <w14:textFill>
                  <w14:solidFill>
                    <w14:schemeClr w14:val="tx1">
                      <w14:lumMod w14:val="95000"/>
                      <w14:lumOff w14:val="5000"/>
                    </w14:schemeClr>
                  </w14:solidFill>
                </w14:textFill>
              </w:rPr>
              <w:t>采购类型</w:t>
            </w:r>
          </w:p>
          <w:p>
            <w:pPr>
              <w:spacing w:line="330" w:lineRule="exact"/>
              <w:rPr>
                <w:rFonts w:hAnsi="宋体"/>
                <w:color w:val="0D0D0D" w:themeColor="text1" w:themeTint="F2"/>
                <w14:textFill>
                  <w14:solidFill>
                    <w14:schemeClr w14:val="tx1">
                      <w14:lumMod w14:val="95000"/>
                      <w14:lumOff w14:val="5000"/>
                    </w14:schemeClr>
                  </w14:solidFill>
                </w14:textFill>
              </w:rPr>
            </w:pPr>
          </w:p>
          <w:p>
            <w:pPr>
              <w:spacing w:line="330" w:lineRule="exact"/>
              <w:ind w:firstLine="1575" w:firstLineChars="750"/>
              <w:jc w:val="left"/>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费率</w:t>
            </w:r>
          </w:p>
          <w:p>
            <w:pPr>
              <w:spacing w:line="330" w:lineRule="exact"/>
              <w:ind w:leftChars="-1" w:hanging="2" w:hangingChars="1"/>
              <w:jc w:val="left"/>
              <w:rPr>
                <w:rFonts w:hAnsi="宋体"/>
                <w:color w:val="0D0D0D" w:themeColor="text1" w:themeTint="F2"/>
                <w14:textFill>
                  <w14:solidFill>
                    <w14:schemeClr w14:val="tx1">
                      <w14:lumMod w14:val="95000"/>
                      <w14:lumOff w14:val="5000"/>
                    </w14:schemeClr>
                  </w14:solidFill>
                </w14:textFill>
              </w:rPr>
            </w:pPr>
          </w:p>
          <w:p>
            <w:pPr>
              <w:spacing w:line="330" w:lineRule="exact"/>
              <w:ind w:leftChars="-1" w:hanging="2" w:hangingChars="1"/>
              <w:jc w:val="left"/>
              <w:rPr>
                <w:rFonts w:hAnsi="宋体"/>
                <w:color w:val="0D0D0D" w:themeColor="text1" w:themeTint="F2"/>
                <w14:textFill>
                  <w14:solidFill>
                    <w14:schemeClr w14:val="tx1">
                      <w14:lumMod w14:val="95000"/>
                      <w14:lumOff w14:val="5000"/>
                    </w14:schemeClr>
                  </w14:solidFill>
                </w14:textFill>
              </w:rPr>
            </w:pPr>
          </w:p>
          <w:p>
            <w:pPr>
              <w:spacing w:line="330" w:lineRule="exact"/>
              <w:jc w:val="left"/>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成交金额（万元）</w:t>
            </w:r>
          </w:p>
        </w:tc>
        <w:tc>
          <w:tcPr>
            <w:tcW w:w="5708" w:type="dxa"/>
            <w:gridSpan w:val="3"/>
            <w:vAlign w:val="center"/>
          </w:tcPr>
          <w:p>
            <w:pPr>
              <w:spacing w:line="330" w:lineRule="exact"/>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Ansi="宋体"/>
                <w:color w:val="0D0D0D" w:themeColor="text1" w:themeTint="F2"/>
                <w14:textFill>
                  <w14:solidFill>
                    <w14:schemeClr w14:val="tx1">
                      <w14:lumMod w14:val="95000"/>
                      <w14:lumOff w14:val="5000"/>
                    </w14:schemeClr>
                  </w14:solidFill>
                </w14:textFill>
              </w:rPr>
            </w:pPr>
          </w:p>
        </w:tc>
        <w:tc>
          <w:tcPr>
            <w:tcW w:w="1932"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货物类</w:t>
            </w:r>
          </w:p>
        </w:tc>
        <w:tc>
          <w:tcPr>
            <w:tcW w:w="1800"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服务类</w:t>
            </w:r>
          </w:p>
        </w:tc>
        <w:tc>
          <w:tcPr>
            <w:tcW w:w="1976" w:type="dxa"/>
            <w:vAlign w:val="center"/>
          </w:tcPr>
          <w:p>
            <w:pPr>
              <w:widowControl/>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100以下</w:t>
            </w:r>
          </w:p>
        </w:tc>
        <w:tc>
          <w:tcPr>
            <w:tcW w:w="1932"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1.2%</w:t>
            </w:r>
          </w:p>
        </w:tc>
        <w:tc>
          <w:tcPr>
            <w:tcW w:w="1800"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1.2%</w:t>
            </w:r>
          </w:p>
        </w:tc>
        <w:tc>
          <w:tcPr>
            <w:tcW w:w="1976"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100-500</w:t>
            </w:r>
          </w:p>
        </w:tc>
        <w:tc>
          <w:tcPr>
            <w:tcW w:w="1932"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0.88%</w:t>
            </w:r>
          </w:p>
        </w:tc>
        <w:tc>
          <w:tcPr>
            <w:tcW w:w="1800"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0.64%</w:t>
            </w:r>
          </w:p>
        </w:tc>
        <w:tc>
          <w:tcPr>
            <w:tcW w:w="1976"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500-1000</w:t>
            </w:r>
          </w:p>
        </w:tc>
        <w:tc>
          <w:tcPr>
            <w:tcW w:w="1932"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0.64%</w:t>
            </w:r>
          </w:p>
        </w:tc>
        <w:tc>
          <w:tcPr>
            <w:tcW w:w="1800"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0.36%</w:t>
            </w:r>
          </w:p>
        </w:tc>
        <w:tc>
          <w:tcPr>
            <w:tcW w:w="1976"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1000-5000</w:t>
            </w:r>
          </w:p>
        </w:tc>
        <w:tc>
          <w:tcPr>
            <w:tcW w:w="1932"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0.4%</w:t>
            </w:r>
          </w:p>
        </w:tc>
        <w:tc>
          <w:tcPr>
            <w:tcW w:w="1800"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0.2%</w:t>
            </w:r>
          </w:p>
        </w:tc>
        <w:tc>
          <w:tcPr>
            <w:tcW w:w="1976"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5000-10000</w:t>
            </w:r>
          </w:p>
        </w:tc>
        <w:tc>
          <w:tcPr>
            <w:tcW w:w="1932"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0.2%</w:t>
            </w:r>
          </w:p>
        </w:tc>
        <w:tc>
          <w:tcPr>
            <w:tcW w:w="1800"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0.08%</w:t>
            </w:r>
          </w:p>
        </w:tc>
        <w:tc>
          <w:tcPr>
            <w:tcW w:w="1976"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10000-100000</w:t>
            </w:r>
          </w:p>
        </w:tc>
        <w:tc>
          <w:tcPr>
            <w:tcW w:w="1932"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0.04%</w:t>
            </w:r>
          </w:p>
        </w:tc>
        <w:tc>
          <w:tcPr>
            <w:tcW w:w="1800"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0.04%</w:t>
            </w:r>
          </w:p>
        </w:tc>
        <w:tc>
          <w:tcPr>
            <w:tcW w:w="1976"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100000以上</w:t>
            </w:r>
          </w:p>
        </w:tc>
        <w:tc>
          <w:tcPr>
            <w:tcW w:w="1932"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0.008%</w:t>
            </w:r>
          </w:p>
        </w:tc>
        <w:tc>
          <w:tcPr>
            <w:tcW w:w="1800"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0.008%</w:t>
            </w:r>
          </w:p>
        </w:tc>
        <w:tc>
          <w:tcPr>
            <w:tcW w:w="1976" w:type="dxa"/>
            <w:vAlign w:val="center"/>
          </w:tcPr>
          <w:p>
            <w:pPr>
              <w:spacing w:line="330" w:lineRule="exact"/>
              <w:jc w:val="center"/>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0.008%</w:t>
            </w:r>
          </w:p>
        </w:tc>
      </w:tr>
    </w:tbl>
    <w:p>
      <w:pPr>
        <w:pStyle w:val="23"/>
        <w:spacing w:line="400" w:lineRule="exact"/>
        <w:ind w:firstLine="420" w:firstLineChars="200"/>
        <w:rPr>
          <w:rFonts w:hint="eastAsia" w:hAnsi="宋体"/>
          <w:color w:val="000000"/>
        </w:rPr>
      </w:pPr>
      <w:r>
        <w:rPr>
          <w:rFonts w:hint="eastAsia" w:hAnsi="宋体"/>
          <w:color w:val="000000"/>
        </w:rPr>
        <w:t>注：代理服务收费按差额定率累进法计算</w:t>
      </w:r>
    </w:p>
    <w:p>
      <w:pPr>
        <w:spacing w:line="410" w:lineRule="exact"/>
        <w:ind w:firstLine="420"/>
        <w:rPr>
          <w:rFonts w:hint="eastAsia" w:ascii="宋体" w:hAnsi="宋体" w:cs="Courier New"/>
          <w:color w:val="auto"/>
          <w:szCs w:val="21"/>
        </w:rPr>
      </w:pPr>
      <w:r>
        <w:rPr>
          <w:rFonts w:hint="eastAsia" w:ascii="宋体" w:hAnsi="宋体" w:cs="Courier New"/>
          <w:color w:val="auto"/>
          <w:szCs w:val="21"/>
        </w:rPr>
        <w:t>3.缴纳代理服务费银行账户：</w:t>
      </w:r>
    </w:p>
    <w:p>
      <w:pPr>
        <w:spacing w:line="410" w:lineRule="exact"/>
        <w:ind w:left="420" w:firstLine="210" w:firstLineChars="100"/>
        <w:rPr>
          <w:rFonts w:hint="eastAsia" w:ascii="宋体" w:hAnsi="宋体" w:cs="Courier New"/>
          <w:color w:val="auto"/>
          <w:szCs w:val="21"/>
        </w:rPr>
      </w:pPr>
      <w:r>
        <w:rPr>
          <w:rFonts w:hint="eastAsia" w:ascii="宋体" w:hAnsi="宋体" w:cs="Courier New"/>
          <w:color w:val="auto"/>
          <w:szCs w:val="21"/>
        </w:rPr>
        <w:t>开户名称:钦州市政府采购中心</w:t>
      </w:r>
    </w:p>
    <w:p>
      <w:pPr>
        <w:spacing w:line="410" w:lineRule="exact"/>
        <w:ind w:firstLine="630" w:firstLineChars="300"/>
        <w:rPr>
          <w:rFonts w:hint="eastAsia" w:ascii="宋体" w:hAnsi="宋体" w:cs="Courier New"/>
          <w:color w:val="auto"/>
          <w:szCs w:val="21"/>
        </w:rPr>
      </w:pPr>
      <w:r>
        <w:rPr>
          <w:rFonts w:hint="eastAsia" w:ascii="宋体" w:hAnsi="宋体" w:cs="Courier New"/>
          <w:color w:val="auto"/>
          <w:szCs w:val="21"/>
        </w:rPr>
        <w:t>开户银行:兴业银行钦州支行</w:t>
      </w:r>
    </w:p>
    <w:p>
      <w:pPr>
        <w:spacing w:line="410" w:lineRule="exact"/>
        <w:ind w:firstLine="630" w:firstLineChars="300"/>
      </w:pPr>
      <w:r>
        <w:rPr>
          <w:rFonts w:hint="eastAsia" w:ascii="宋体" w:hAnsi="宋体" w:cs="Courier New"/>
          <w:color w:val="auto"/>
          <w:szCs w:val="21"/>
        </w:rPr>
        <w:t>银行账号:554010100100129709</w:t>
      </w:r>
    </w:p>
    <w:p>
      <w:pPr>
        <w:pStyle w:val="23"/>
        <w:spacing w:line="400" w:lineRule="exact"/>
        <w:ind w:firstLine="210" w:firstLineChars="100"/>
        <w:rPr>
          <w:rFonts w:hAnsi="宋体"/>
          <w:color w:val="0D0D0D" w:themeColor="text1" w:themeTint="F2"/>
          <w:spacing w:val="-4"/>
          <w14:textFill>
            <w14:solidFill>
              <w14:schemeClr w14:val="tx1">
                <w14:lumMod w14:val="95000"/>
                <w14:lumOff w14:val="5000"/>
              </w14:schemeClr>
            </w14:solidFill>
          </w14:textFill>
        </w:rPr>
      </w:pPr>
      <w:r>
        <w:rPr>
          <w:rFonts w:hint="eastAsia" w:hAnsi="宋体"/>
          <w:bCs/>
          <w:color w:val="0D0D0D" w:themeColor="text1" w:themeTint="F2"/>
          <w14:textFill>
            <w14:solidFill>
              <w14:schemeClr w14:val="tx1">
                <w14:lumMod w14:val="95000"/>
                <w14:lumOff w14:val="5000"/>
              </w14:schemeClr>
            </w14:solidFill>
          </w14:textFill>
        </w:rPr>
        <w:t>（二）解释权：</w:t>
      </w:r>
      <w:r>
        <w:rPr>
          <w:rFonts w:hint="eastAsia" w:hAnsi="宋体"/>
          <w:color w:val="000000"/>
          <w:spacing w:val="-4"/>
        </w:rPr>
        <w:t>本采购文件解释权属本中心</w:t>
      </w:r>
      <w:r>
        <w:rPr>
          <w:rFonts w:hint="eastAsia" w:hAnsi="宋体"/>
          <w:color w:val="0D0D0D" w:themeColor="text1" w:themeTint="F2"/>
          <w:spacing w:val="-4"/>
          <w14:textFill>
            <w14:solidFill>
              <w14:schemeClr w14:val="tx1">
                <w14:lumMod w14:val="95000"/>
                <w14:lumOff w14:val="5000"/>
              </w14:schemeClr>
            </w14:solidFill>
          </w14:textFill>
        </w:rPr>
        <w:t>。</w:t>
      </w:r>
    </w:p>
    <w:p>
      <w:pPr>
        <w:pStyle w:val="23"/>
        <w:spacing w:line="400" w:lineRule="exact"/>
        <w:ind w:firstLine="210" w:firstLineChars="100"/>
        <w:rPr>
          <w:rFonts w:hAnsi="宋体"/>
          <w:color w:val="0D0D0D" w:themeColor="text1" w:themeTint="F2"/>
          <w:spacing w:val="-4"/>
          <w14:textFill>
            <w14:solidFill>
              <w14:schemeClr w14:val="tx1">
                <w14:lumMod w14:val="95000"/>
                <w14:lumOff w14:val="5000"/>
              </w14:schemeClr>
            </w14:solidFill>
          </w14:textFill>
        </w:rPr>
      </w:pPr>
      <w:r>
        <w:rPr>
          <w:rFonts w:hint="eastAsia" w:hAnsi="宋体"/>
          <w:bCs/>
          <w:color w:val="0D0D0D" w:themeColor="text1" w:themeTint="F2"/>
          <w14:textFill>
            <w14:solidFill>
              <w14:schemeClr w14:val="tx1">
                <w14:lumMod w14:val="95000"/>
                <w14:lumOff w14:val="5000"/>
              </w14:schemeClr>
            </w14:solidFill>
          </w14:textFill>
        </w:rPr>
        <w:t>（三）有关事宜</w:t>
      </w:r>
    </w:p>
    <w:p>
      <w:pPr>
        <w:spacing w:line="400" w:lineRule="exact"/>
        <w:ind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所有与采购文件有关的函件请按下列通讯地址联系：</w:t>
      </w:r>
    </w:p>
    <w:p>
      <w:pPr>
        <w:widowControl/>
        <w:spacing w:line="400" w:lineRule="exact"/>
        <w:ind w:firstLine="420" w:firstLineChars="20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钦州市政府采购中心</w:t>
      </w:r>
    </w:p>
    <w:p>
      <w:pPr>
        <w:widowControl/>
        <w:spacing w:line="400" w:lineRule="exact"/>
        <w:ind w:firstLine="420" w:firstLineChars="20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通讯地址：钦州市金海湾东大街8号</w:t>
      </w:r>
    </w:p>
    <w:p>
      <w:pPr>
        <w:widowControl/>
        <w:spacing w:line="400" w:lineRule="exact"/>
        <w:ind w:firstLine="420" w:firstLineChars="20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邮政编码：535000</w:t>
      </w:r>
    </w:p>
    <w:p>
      <w:pPr>
        <w:widowControl/>
        <w:spacing w:line="400" w:lineRule="exact"/>
        <w:ind w:firstLine="420" w:firstLineChars="200"/>
        <w:jc w:val="left"/>
      </w:pPr>
      <w:r>
        <w:rPr>
          <w:rFonts w:hint="eastAsia"/>
        </w:rPr>
        <w:t>钦州市政府采购中心联系方式：</w:t>
      </w:r>
    </w:p>
    <w:p>
      <w:pPr>
        <w:widowControl/>
        <w:spacing w:line="400" w:lineRule="exact"/>
        <w:ind w:firstLine="420" w:firstLineChars="200"/>
        <w:jc w:val="left"/>
      </w:pPr>
      <w:r>
        <w:rPr>
          <w:rFonts w:hint="eastAsia"/>
        </w:rPr>
        <w:t>(1)采购部(采购文件)</w:t>
      </w:r>
    </w:p>
    <w:p>
      <w:pPr>
        <w:widowControl/>
        <w:spacing w:line="400" w:lineRule="exact"/>
        <w:ind w:firstLine="420" w:firstLineChars="200"/>
        <w:jc w:val="left"/>
      </w:pPr>
      <w:r>
        <w:rPr>
          <w:rFonts w:hint="eastAsia"/>
        </w:rPr>
        <w:t>联系人：黄聪妍  联系方式：0777-2886022</w:t>
      </w:r>
    </w:p>
    <w:p>
      <w:pPr>
        <w:widowControl/>
        <w:spacing w:line="400" w:lineRule="exact"/>
        <w:ind w:firstLine="420" w:firstLineChars="200"/>
        <w:jc w:val="left"/>
      </w:pPr>
      <w:r>
        <w:rPr>
          <w:rFonts w:hint="eastAsia"/>
        </w:rPr>
        <w:t>(2)综合二部(评审、谈判、成交及合同管理)</w:t>
      </w:r>
    </w:p>
    <w:p>
      <w:pPr>
        <w:widowControl/>
        <w:spacing w:line="400" w:lineRule="exact"/>
        <w:ind w:firstLine="420" w:firstLineChars="200"/>
        <w:jc w:val="left"/>
      </w:pPr>
      <w:r>
        <w:rPr>
          <w:rFonts w:hint="eastAsia"/>
        </w:rPr>
        <w:t xml:space="preserve">联系人：陈启梅、陈侃 </w:t>
      </w:r>
      <w:r>
        <w:t xml:space="preserve">  </w:t>
      </w:r>
      <w:r>
        <w:rPr>
          <w:rFonts w:hint="eastAsia"/>
        </w:rPr>
        <w:t>联系方式：0777-2886006</w:t>
      </w:r>
    </w:p>
    <w:p>
      <w:pPr>
        <w:widowControl/>
        <w:spacing w:line="400" w:lineRule="exact"/>
        <w:ind w:firstLine="420" w:firstLineChars="200"/>
        <w:jc w:val="left"/>
      </w:pPr>
      <w:r>
        <w:rPr>
          <w:rFonts w:hint="eastAsia"/>
        </w:rPr>
        <w:t>(</w:t>
      </w:r>
      <w:r>
        <w:t>3)</w:t>
      </w:r>
      <w:r>
        <w:rPr>
          <w:rFonts w:hint="eastAsia"/>
        </w:rPr>
        <w:t>邮箱：qzzfcgzx@126.com</w:t>
      </w:r>
    </w:p>
    <w:p>
      <w:pPr>
        <w:widowControl/>
        <w:spacing w:line="400" w:lineRule="exact"/>
        <w:ind w:firstLine="420" w:firstLineChars="200"/>
        <w:jc w:val="left"/>
      </w:pPr>
      <w:r>
        <w:t>(4)</w:t>
      </w:r>
      <w:r>
        <w:rPr>
          <w:rFonts w:hint="eastAsia"/>
        </w:rPr>
        <w:t>政采云技术支持热线：95763</w:t>
      </w:r>
    </w:p>
    <w:p>
      <w:pPr>
        <w:widowControl/>
        <w:jc w:val="left"/>
      </w:pPr>
      <w:r>
        <w:br w:type="page"/>
      </w:r>
    </w:p>
    <w:p>
      <w:pPr>
        <w:widowControl/>
        <w:spacing w:line="400" w:lineRule="exact"/>
        <w:jc w:val="left"/>
      </w:pPr>
    </w:p>
    <w:p/>
    <w:p/>
    <w:p/>
    <w:p/>
    <w:p/>
    <w:p/>
    <w:p/>
    <w:p/>
    <w:p/>
    <w:p/>
    <w:p/>
    <w:p/>
    <w:p/>
    <w:p/>
    <w:p>
      <w:pPr>
        <w:pStyle w:val="3"/>
        <w:spacing w:line="400" w:lineRule="exact"/>
        <w:rPr>
          <w:rFonts w:ascii="方正小标宋_GBK" w:hAnsi="宋体" w:eastAsia="方正小标宋_GBK"/>
          <w:color w:val="0D0D0D" w:themeColor="text1" w:themeTint="F2"/>
          <w14:textFill>
            <w14:solidFill>
              <w14:schemeClr w14:val="tx1">
                <w14:lumMod w14:val="95000"/>
                <w14:lumOff w14:val="5000"/>
              </w14:schemeClr>
            </w14:solidFill>
          </w14:textFill>
        </w:rPr>
      </w:pPr>
      <w:bookmarkStart w:id="119" w:name="_第四章__评定标准及推荐原则"/>
      <w:bookmarkEnd w:id="119"/>
      <w:bookmarkStart w:id="120" w:name="_Toc92355026"/>
      <w:r>
        <w:rPr>
          <w:rFonts w:hint="eastAsia" w:ascii="方正小标宋_GBK" w:hAnsi="宋体" w:eastAsia="方正小标宋_GBK"/>
          <w:color w:val="0D0D0D" w:themeColor="text1" w:themeTint="F2"/>
          <w14:textFill>
            <w14:solidFill>
              <w14:schemeClr w14:val="tx1">
                <w14:lumMod w14:val="95000"/>
                <w14:lumOff w14:val="5000"/>
              </w14:schemeClr>
            </w14:solidFill>
          </w14:textFill>
        </w:rPr>
        <w:t>第四章  评定标准及推荐原则</w:t>
      </w:r>
      <w:bookmarkEnd w:id="120"/>
    </w:p>
    <w:p>
      <w:pPr>
        <w:pStyle w:val="23"/>
        <w:spacing w:line="280" w:lineRule="exact"/>
        <w:jc w:val="center"/>
        <w:rPr>
          <w:rFonts w:hAnsi="宋体"/>
          <w:b/>
          <w:bCs/>
          <w:color w:val="0D0D0D" w:themeColor="text1" w:themeTint="F2"/>
          <w:sz w:val="30"/>
          <w:szCs w:val="30"/>
          <w14:textFill>
            <w14:solidFill>
              <w14:schemeClr w14:val="tx1">
                <w14:lumMod w14:val="95000"/>
                <w14:lumOff w14:val="5000"/>
              </w14:schemeClr>
            </w14:solidFill>
          </w14:textFill>
        </w:rPr>
      </w:pPr>
      <w:r>
        <w:rPr>
          <w:rFonts w:hAnsi="宋体"/>
          <w:b/>
          <w:bCs/>
          <w:color w:val="0D0D0D" w:themeColor="text1" w:themeTint="F2"/>
          <w14:textFill>
            <w14:solidFill>
              <w14:schemeClr w14:val="tx1">
                <w14:lumMod w14:val="95000"/>
                <w14:lumOff w14:val="5000"/>
              </w14:schemeClr>
            </w14:solidFill>
          </w14:textFill>
        </w:rPr>
        <w:br w:type="page"/>
      </w:r>
    </w:p>
    <w:p/>
    <w:p>
      <w:pPr>
        <w:pStyle w:val="23"/>
        <w:spacing w:line="500" w:lineRule="exact"/>
        <w:jc w:val="center"/>
        <w:rPr>
          <w:rFonts w:hAnsi="宋体"/>
          <w:b/>
          <w:bCs/>
          <w:color w:val="0D0D0D" w:themeColor="text1" w:themeTint="F2"/>
          <w:sz w:val="44"/>
          <w:szCs w:val="44"/>
          <w14:textFill>
            <w14:solidFill>
              <w14:schemeClr w14:val="tx1">
                <w14:lumMod w14:val="95000"/>
                <w14:lumOff w14:val="5000"/>
              </w14:schemeClr>
            </w14:solidFill>
          </w14:textFill>
        </w:rPr>
      </w:pPr>
      <w:bookmarkStart w:id="121" w:name="_Hlk92463826"/>
      <w:r>
        <w:rPr>
          <w:rFonts w:hint="eastAsia" w:hAnsi="宋体"/>
          <w:b/>
          <w:bCs/>
          <w:color w:val="0D0D0D" w:themeColor="text1" w:themeTint="F2"/>
          <w:sz w:val="44"/>
          <w:szCs w:val="44"/>
          <w14:textFill>
            <w14:solidFill>
              <w14:schemeClr w14:val="tx1">
                <w14:lumMod w14:val="95000"/>
                <w14:lumOff w14:val="5000"/>
              </w14:schemeClr>
            </w14:solidFill>
          </w14:textFill>
        </w:rPr>
        <w:t>评定标准及推荐原则</w:t>
      </w:r>
    </w:p>
    <w:bookmarkEnd w:id="121"/>
    <w:p/>
    <w:p>
      <w:pPr>
        <w:pStyle w:val="23"/>
        <w:spacing w:line="540" w:lineRule="exact"/>
        <w:rPr>
          <w:rFonts w:hAnsi="宋体"/>
          <w:b/>
          <w:bCs/>
          <w:color w:val="0D0D0D" w:themeColor="text1" w:themeTint="F2"/>
          <w14:textFill>
            <w14:solidFill>
              <w14:schemeClr w14:val="tx1">
                <w14:lumMod w14:val="95000"/>
                <w14:lumOff w14:val="5000"/>
              </w14:schemeClr>
            </w14:solidFill>
          </w14:textFill>
        </w:rPr>
      </w:pPr>
      <w:r>
        <w:rPr>
          <w:rFonts w:hint="eastAsia" w:hAnsi="宋体"/>
          <w:b/>
          <w:bCs/>
          <w:color w:val="0D0D0D" w:themeColor="text1" w:themeTint="F2"/>
          <w14:textFill>
            <w14:solidFill>
              <w14:schemeClr w14:val="tx1">
                <w14:lumMod w14:val="95000"/>
                <w14:lumOff w14:val="5000"/>
              </w14:schemeClr>
            </w14:solidFill>
          </w14:textFill>
        </w:rPr>
        <w:t>一、评审原则</w:t>
      </w:r>
    </w:p>
    <w:p>
      <w:pPr>
        <w:pStyle w:val="23"/>
        <w:spacing w:line="540" w:lineRule="exact"/>
        <w:ind w:firstLine="420" w:firstLineChars="200"/>
        <w:rPr>
          <w:rFonts w:hAnsi="宋体"/>
          <w:bCs/>
          <w:color w:val="0D0D0D" w:themeColor="text1" w:themeTint="F2"/>
          <w14:textFill>
            <w14:solidFill>
              <w14:schemeClr w14:val="tx1">
                <w14:lumMod w14:val="95000"/>
                <w14:lumOff w14:val="5000"/>
              </w14:schemeClr>
            </w14:solidFill>
          </w14:textFill>
        </w:rPr>
      </w:pPr>
      <w:r>
        <w:rPr>
          <w:rFonts w:hint="eastAsia" w:hAnsi="宋体"/>
          <w:bCs/>
          <w:color w:val="0D0D0D" w:themeColor="text1" w:themeTint="F2"/>
          <w14:textFill>
            <w14:solidFill>
              <w14:schemeClr w14:val="tx1">
                <w14:lumMod w14:val="95000"/>
                <w14:lumOff w14:val="5000"/>
              </w14:schemeClr>
            </w14:solidFill>
          </w14:textFill>
        </w:rPr>
        <w:t>(一)谈判小组组成：</w:t>
      </w:r>
      <w:bookmarkStart w:id="122" w:name="_Hlk89353643"/>
      <w:r>
        <w:rPr>
          <w:rFonts w:hint="eastAsia" w:hAnsi="宋体"/>
          <w:bCs/>
          <w:color w:val="0D0D0D" w:themeColor="text1" w:themeTint="F2"/>
          <w14:textFill>
            <w14:solidFill>
              <w14:schemeClr w14:val="tx1">
                <w14:lumMod w14:val="95000"/>
                <w14:lumOff w14:val="5000"/>
              </w14:schemeClr>
            </w14:solidFill>
          </w14:textFill>
        </w:rPr>
        <w:t>谈判小组由采购人代表和评审专家共3人以上单数组成，其中评审专家人数不得少于谈判小组成员总数的2/3。</w:t>
      </w:r>
      <w:bookmarkEnd w:id="122"/>
    </w:p>
    <w:p>
      <w:pPr>
        <w:pStyle w:val="23"/>
        <w:spacing w:line="540" w:lineRule="exact"/>
        <w:ind w:firstLine="420" w:firstLineChars="200"/>
        <w:rPr>
          <w:rFonts w:hAnsi="宋体"/>
          <w:b/>
          <w:bCs/>
          <w:color w:val="0D0D0D" w:themeColor="text1" w:themeTint="F2"/>
          <w14:textFill>
            <w14:solidFill>
              <w14:schemeClr w14:val="tx1">
                <w14:lumMod w14:val="95000"/>
                <w14:lumOff w14:val="5000"/>
              </w14:schemeClr>
            </w14:solidFill>
          </w14:textFill>
        </w:rPr>
      </w:pPr>
      <w:r>
        <w:rPr>
          <w:rFonts w:hint="eastAsia" w:hAnsi="宋体"/>
          <w:bCs/>
          <w:color w:val="0D0D0D" w:themeColor="text1" w:themeTint="F2"/>
          <w14:textFill>
            <w14:solidFill>
              <w14:schemeClr w14:val="tx1">
                <w14:lumMod w14:val="95000"/>
                <w14:lumOff w14:val="5000"/>
              </w14:schemeClr>
            </w14:solidFill>
          </w14:textFill>
        </w:rPr>
        <w:t>(二)评审依据：以竞争性谈判采购文件和响应文件为评定依据。</w:t>
      </w:r>
    </w:p>
    <w:p>
      <w:pPr>
        <w:pStyle w:val="23"/>
        <w:spacing w:line="540" w:lineRule="exact"/>
        <w:rPr>
          <w:rFonts w:hAnsi="宋体"/>
          <w:b/>
          <w:bCs/>
          <w:color w:val="0D0D0D" w:themeColor="text1" w:themeTint="F2"/>
          <w14:textFill>
            <w14:solidFill>
              <w14:schemeClr w14:val="tx1">
                <w14:lumMod w14:val="95000"/>
                <w14:lumOff w14:val="5000"/>
              </w14:schemeClr>
            </w14:solidFill>
          </w14:textFill>
        </w:rPr>
      </w:pPr>
      <w:r>
        <w:rPr>
          <w:rFonts w:hint="eastAsia" w:hAnsi="宋体"/>
          <w:b/>
          <w:bCs/>
          <w:color w:val="0D0D0D" w:themeColor="text1" w:themeTint="F2"/>
          <w14:textFill>
            <w14:solidFill>
              <w14:schemeClr w14:val="tx1">
                <w14:lumMod w14:val="95000"/>
                <w14:lumOff w14:val="5000"/>
              </w14:schemeClr>
            </w14:solidFill>
          </w14:textFill>
        </w:rPr>
        <w:t>二、评定标准</w:t>
      </w:r>
    </w:p>
    <w:p>
      <w:pPr>
        <w:pStyle w:val="23"/>
        <w:spacing w:line="540" w:lineRule="exact"/>
        <w:ind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（一）成交候选人的推荐原则：</w:t>
      </w:r>
    </w:p>
    <w:p>
      <w:pPr>
        <w:pStyle w:val="23"/>
        <w:spacing w:line="540" w:lineRule="exact"/>
        <w:ind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谈判小组从质量和服务均能满足采购文件实质性响应要求的供应商中，按照最后报价由低到高的顺序提出3名以上成交候选人（最后报价相同的，由谈判小组集体讨论确定排序）。</w:t>
      </w:r>
    </w:p>
    <w:p>
      <w:pPr>
        <w:pStyle w:val="23"/>
        <w:spacing w:line="540" w:lineRule="exact"/>
        <w:ind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（二）落实政府采购政策：</w:t>
      </w:r>
    </w:p>
    <w:p>
      <w:pPr>
        <w:pStyle w:val="23"/>
        <w:spacing w:line="540" w:lineRule="exact"/>
        <w:ind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采购人采购的产品属于清单中品目的，在性能、技术、服务等指标同等条件下，应当依据国家确定的认证机构出具的、处于有效期之内的节能产品、环境标志产品认证证书，对获得证书的产品实施政府优先采购。</w:t>
      </w: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widowControl/>
        <w:jc w:val="left"/>
        <w:rPr>
          <w:rFonts w:ascii="宋体" w:hAnsi="Courier New" w:cs="Courier New"/>
          <w:color w:val="0D0D0D" w:themeColor="text1" w:themeTint="F2"/>
          <w:szCs w:val="21"/>
          <w14:textFill>
            <w14:solidFill>
              <w14:schemeClr w14:val="tx1">
                <w14:lumMod w14:val="95000"/>
                <w14:lumOff w14:val="5000"/>
              </w14:schemeClr>
            </w14:solidFill>
          </w14:textFill>
        </w:rPr>
      </w:pPr>
    </w:p>
    <w:p/>
    <w:p/>
    <w:p/>
    <w:p/>
    <w:p/>
    <w:p/>
    <w:p/>
    <w:p/>
    <w:p/>
    <w:p/>
    <w:p/>
    <w:p/>
    <w:p>
      <w:pPr>
        <w:pStyle w:val="3"/>
        <w:spacing w:line="400" w:lineRule="exact"/>
        <w:rPr>
          <w:rFonts w:ascii="方正小标宋_GBK" w:eastAsia="方正小标宋_GBK"/>
          <w:color w:val="0D0D0D" w:themeColor="text1" w:themeTint="F2"/>
          <w14:textFill>
            <w14:solidFill>
              <w14:schemeClr w14:val="tx1">
                <w14:lumMod w14:val="95000"/>
                <w14:lumOff w14:val="5000"/>
              </w14:schemeClr>
            </w14:solidFill>
          </w14:textFill>
        </w:rPr>
      </w:pPr>
      <w:bookmarkStart w:id="123" w:name="_Toc92355027"/>
      <w:r>
        <w:rPr>
          <w:rFonts w:hint="eastAsia" w:ascii="方正小标宋_GBK" w:eastAsia="方正小标宋_GBK"/>
          <w:color w:val="0D0D0D" w:themeColor="text1" w:themeTint="F2"/>
          <w14:textFill>
            <w14:solidFill>
              <w14:schemeClr w14:val="tx1">
                <w14:lumMod w14:val="95000"/>
                <w14:lumOff w14:val="5000"/>
              </w14:schemeClr>
            </w14:solidFill>
          </w14:textFill>
        </w:rPr>
        <w:t>第五章  合同文本</w:t>
      </w:r>
      <w:bookmarkEnd w:id="123"/>
    </w:p>
    <w:p>
      <w:pPr>
        <w:pStyle w:val="23"/>
        <w:jc w:val="center"/>
        <w:rPr>
          <w:rFonts w:ascii="Times New Roman" w:hAnsi="宋体"/>
          <w:b/>
          <w:bCs/>
          <w:color w:val="0D0D0D" w:themeColor="text1" w:themeTint="F2"/>
          <w:sz w:val="28"/>
          <w:szCs w:val="28"/>
          <w14:textFill>
            <w14:solidFill>
              <w14:schemeClr w14:val="tx1">
                <w14:lumMod w14:val="95000"/>
                <w14:lumOff w14:val="5000"/>
              </w14:schemeClr>
            </w14:solidFill>
          </w14:textFill>
        </w:rPr>
      </w:pPr>
      <w:r>
        <w:rPr>
          <w:rFonts w:hint="eastAsia" w:ascii="Times New Roman" w:hAnsi="宋体"/>
          <w:b/>
          <w:bCs/>
          <w:color w:val="0D0D0D" w:themeColor="text1" w:themeTint="F2"/>
          <w:sz w:val="28"/>
          <w:szCs w:val="28"/>
          <w14:textFill>
            <w14:solidFill>
              <w14:schemeClr w14:val="tx1">
                <w14:lumMod w14:val="95000"/>
                <w14:lumOff w14:val="5000"/>
              </w14:schemeClr>
            </w14:solidFill>
          </w14:textFill>
        </w:rPr>
        <w:t>（参考格式）</w:t>
      </w:r>
    </w:p>
    <w:p>
      <w:pPr>
        <w:pStyle w:val="23"/>
        <w:spacing w:line="500" w:lineRule="exact"/>
        <w:jc w:val="center"/>
        <w:rPr>
          <w:rFonts w:hAnsi="宋体"/>
          <w:b/>
          <w:bCs/>
          <w:color w:val="0D0D0D" w:themeColor="text1" w:themeTint="F2"/>
          <w:sz w:val="28"/>
          <w14:textFill>
            <w14:solidFill>
              <w14:schemeClr w14:val="tx1">
                <w14:lumMod w14:val="95000"/>
                <w14:lumOff w14:val="5000"/>
              </w14:schemeClr>
            </w14:solidFill>
          </w14:textFill>
        </w:rPr>
      </w:pPr>
      <w:r>
        <w:rPr>
          <w:rFonts w:hAnsi="宋体"/>
          <w:b/>
          <w:bCs/>
          <w:color w:val="0D0D0D" w:themeColor="text1" w:themeTint="F2"/>
          <w:sz w:val="28"/>
          <w14:textFill>
            <w14:solidFill>
              <w14:schemeClr w14:val="tx1">
                <w14:lumMod w14:val="95000"/>
                <w14:lumOff w14:val="5000"/>
              </w14:schemeClr>
            </w14:solidFill>
          </w14:textFill>
        </w:rPr>
        <w:br w:type="page"/>
      </w:r>
    </w:p>
    <w:p/>
    <w:p>
      <w:pPr>
        <w:pStyle w:val="23"/>
        <w:jc w:val="left"/>
        <w:rPr>
          <w:rFonts w:hAnsi="宋体" w:cs="宋体"/>
        </w:rPr>
      </w:pPr>
      <w:r>
        <w:rPr>
          <w:rFonts w:hint="eastAsia" w:hAnsi="宋体" w:cs="宋体"/>
          <w:kern w:val="0"/>
        </w:rPr>
        <w:t>（如本合同格式不适用，采购人与成交人可协商拟定合同，但不得实质性改变成交人响应文件中的响应内容）</w:t>
      </w:r>
    </w:p>
    <w:p>
      <w:pPr>
        <w:pStyle w:val="23"/>
        <w:spacing w:line="500" w:lineRule="exact"/>
        <w:jc w:val="center"/>
        <w:rPr>
          <w:rFonts w:hAnsi="宋体" w:cs="宋体"/>
        </w:rPr>
      </w:pPr>
    </w:p>
    <w:p>
      <w:pPr>
        <w:pStyle w:val="23"/>
        <w:spacing w:line="500" w:lineRule="exact"/>
        <w:jc w:val="center"/>
        <w:rPr>
          <w:rFonts w:hAnsi="宋体" w:cs="宋体"/>
        </w:rPr>
      </w:pPr>
    </w:p>
    <w:p>
      <w:pPr>
        <w:pStyle w:val="2"/>
        <w:jc w:val="center"/>
        <w:rPr>
          <w:rFonts w:ascii="宋体" w:hAnsi="宋体" w:cs="宋体"/>
          <w:b/>
          <w:bCs/>
          <w:spacing w:val="-20"/>
          <w:kern w:val="44"/>
          <w:sz w:val="21"/>
          <w:szCs w:val="21"/>
        </w:rPr>
      </w:pPr>
    </w:p>
    <w:p>
      <w:pPr>
        <w:pStyle w:val="2"/>
        <w:jc w:val="center"/>
        <w:rPr>
          <w:rFonts w:ascii="宋体" w:hAnsi="宋体" w:cs="宋体"/>
          <w:b/>
          <w:bCs/>
          <w:spacing w:val="-20"/>
          <w:kern w:val="44"/>
          <w:sz w:val="21"/>
          <w:szCs w:val="21"/>
        </w:rPr>
      </w:pPr>
    </w:p>
    <w:p>
      <w:pPr>
        <w:pStyle w:val="2"/>
        <w:spacing w:line="240" w:lineRule="auto"/>
        <w:jc w:val="center"/>
        <w:rPr>
          <w:rFonts w:ascii="宋体" w:hAnsi="宋体" w:cs="宋体"/>
          <w:b/>
          <w:bCs/>
          <w:spacing w:val="-20"/>
          <w:kern w:val="44"/>
          <w:sz w:val="32"/>
          <w:szCs w:val="32"/>
        </w:rPr>
      </w:pPr>
    </w:p>
    <w:p>
      <w:pPr>
        <w:pStyle w:val="2"/>
        <w:spacing w:line="240" w:lineRule="auto"/>
        <w:jc w:val="center"/>
        <w:rPr>
          <w:rFonts w:ascii="宋体" w:hAnsi="宋体" w:cs="宋体"/>
          <w:b/>
          <w:bCs/>
          <w:spacing w:val="-20"/>
          <w:kern w:val="44"/>
          <w:sz w:val="32"/>
          <w:szCs w:val="32"/>
        </w:rPr>
      </w:pPr>
    </w:p>
    <w:p>
      <w:pPr>
        <w:pStyle w:val="2"/>
        <w:spacing w:line="240" w:lineRule="auto"/>
        <w:jc w:val="center"/>
        <w:rPr>
          <w:rFonts w:ascii="宋体" w:hAnsi="宋体" w:cs="宋体"/>
          <w:b/>
          <w:bCs/>
          <w:spacing w:val="-20"/>
          <w:kern w:val="44"/>
          <w:sz w:val="32"/>
          <w:szCs w:val="32"/>
        </w:rPr>
      </w:pPr>
      <w:r>
        <w:rPr>
          <w:rFonts w:hint="eastAsia" w:ascii="宋体" w:hAnsi="宋体" w:cs="宋体"/>
          <w:b/>
          <w:bCs/>
          <w:spacing w:val="-20"/>
          <w:kern w:val="44"/>
          <w:sz w:val="32"/>
          <w:szCs w:val="32"/>
        </w:rPr>
        <w:t>政府采购货物买卖合同</w:t>
      </w:r>
    </w:p>
    <w:p>
      <w:pPr>
        <w:pStyle w:val="2"/>
        <w:spacing w:line="240" w:lineRule="auto"/>
        <w:jc w:val="center"/>
        <w:rPr>
          <w:rFonts w:ascii="宋体" w:hAnsi="宋体" w:cs="宋体"/>
          <w:b/>
          <w:bCs/>
          <w:spacing w:val="-20"/>
          <w:kern w:val="44"/>
          <w:sz w:val="32"/>
          <w:szCs w:val="32"/>
        </w:rPr>
      </w:pPr>
      <w:r>
        <w:rPr>
          <w:rFonts w:hint="eastAsia" w:ascii="宋体" w:hAnsi="宋体" w:cs="宋体"/>
          <w:b/>
          <w:bCs/>
          <w:spacing w:val="-20"/>
          <w:kern w:val="44"/>
          <w:sz w:val="32"/>
          <w:szCs w:val="32"/>
        </w:rPr>
        <w:t>（试行）</w:t>
      </w:r>
    </w:p>
    <w:p>
      <w:pPr>
        <w:rPr>
          <w:rFonts w:ascii="宋体" w:hAnsi="宋体" w:cs="宋体"/>
          <w:b/>
          <w:bCs/>
          <w:spacing w:val="-20"/>
          <w:kern w:val="44"/>
          <w:szCs w:val="21"/>
        </w:rPr>
      </w:pPr>
    </w:p>
    <w:p>
      <w:pPr>
        <w:rPr>
          <w:rFonts w:ascii="宋体" w:hAnsi="宋体" w:cs="宋体"/>
          <w:b/>
          <w:bCs/>
          <w:spacing w:val="-20"/>
          <w:kern w:val="44"/>
          <w:szCs w:val="21"/>
        </w:rPr>
      </w:pPr>
    </w:p>
    <w:p>
      <w:pPr>
        <w:rPr>
          <w:rFonts w:ascii="宋体" w:hAnsi="宋体" w:cs="宋体"/>
          <w:b/>
          <w:bCs/>
          <w:spacing w:val="-20"/>
          <w:kern w:val="44"/>
          <w:szCs w:val="21"/>
        </w:rPr>
      </w:pPr>
    </w:p>
    <w:p>
      <w:pPr>
        <w:spacing w:line="360" w:lineRule="auto"/>
        <w:ind w:left="420" w:leftChars="200"/>
        <w:rPr>
          <w:rFonts w:ascii="宋体" w:hAnsi="宋体" w:cs="宋体"/>
          <w:szCs w:val="21"/>
        </w:rPr>
      </w:pPr>
      <w:r>
        <w:rPr>
          <w:rFonts w:hint="eastAsia" w:ascii="宋体" w:hAnsi="宋体" w:cs="宋体"/>
          <w:kern w:val="0"/>
          <w:szCs w:val="21"/>
        </w:rPr>
        <w:t>项目名称：</w:t>
      </w:r>
      <w:r>
        <w:rPr>
          <w:rFonts w:hint="eastAsia" w:ascii="宋体" w:hAnsi="宋体" w:cs="宋体"/>
          <w:szCs w:val="21"/>
          <w:u w:val="single"/>
        </w:rPr>
        <w:t xml:space="preserve">                             </w:t>
      </w:r>
    </w:p>
    <w:p>
      <w:pPr>
        <w:spacing w:line="360" w:lineRule="auto"/>
        <w:ind w:left="420" w:leftChars="200"/>
        <w:rPr>
          <w:rFonts w:ascii="宋体" w:hAnsi="宋体" w:cs="宋体"/>
          <w:szCs w:val="21"/>
          <w:u w:val="single"/>
        </w:rPr>
      </w:pPr>
      <w:r>
        <w:rPr>
          <w:rFonts w:hint="eastAsia" w:ascii="宋体" w:hAnsi="宋体" w:cs="宋体"/>
          <w:szCs w:val="21"/>
        </w:rPr>
        <w:t>合同编号：</w:t>
      </w:r>
      <w:r>
        <w:rPr>
          <w:rFonts w:hint="eastAsia" w:ascii="宋体" w:hAnsi="宋体" w:cs="宋体"/>
          <w:szCs w:val="21"/>
          <w:u w:val="single"/>
        </w:rPr>
        <w:t xml:space="preserve">                             </w:t>
      </w:r>
    </w:p>
    <w:p>
      <w:pPr>
        <w:spacing w:line="360" w:lineRule="auto"/>
        <w:ind w:left="420" w:leftChars="200"/>
        <w:rPr>
          <w:rFonts w:ascii="宋体" w:hAnsi="宋体" w:cs="宋体"/>
          <w:szCs w:val="21"/>
        </w:rPr>
      </w:pPr>
      <w:r>
        <w:rPr>
          <w:rFonts w:hint="eastAsia" w:ascii="宋体" w:hAnsi="宋体" w:cs="宋体"/>
          <w:szCs w:val="21"/>
        </w:rPr>
        <w:t>甲    方：</w:t>
      </w:r>
      <w:r>
        <w:rPr>
          <w:rFonts w:hint="eastAsia" w:ascii="宋体" w:hAnsi="宋体" w:cs="宋体"/>
          <w:szCs w:val="21"/>
          <w:u w:val="single"/>
        </w:rPr>
        <w:t xml:space="preserve">                             </w:t>
      </w:r>
    </w:p>
    <w:p>
      <w:pPr>
        <w:spacing w:line="360" w:lineRule="auto"/>
        <w:ind w:left="420" w:leftChars="200"/>
        <w:rPr>
          <w:rFonts w:ascii="宋体" w:hAnsi="宋体" w:cs="宋体"/>
          <w:szCs w:val="21"/>
          <w:u w:val="single"/>
        </w:rPr>
      </w:pPr>
      <w:r>
        <w:rPr>
          <w:rFonts w:hint="eastAsia" w:ascii="宋体" w:hAnsi="宋体" w:cs="宋体"/>
          <w:szCs w:val="21"/>
        </w:rPr>
        <w:t>乙    方：</w:t>
      </w:r>
      <w:r>
        <w:rPr>
          <w:rFonts w:hint="eastAsia" w:ascii="宋体" w:hAnsi="宋体" w:cs="宋体"/>
          <w:szCs w:val="21"/>
          <w:u w:val="single"/>
        </w:rPr>
        <w:t xml:space="preserve">                             </w:t>
      </w:r>
    </w:p>
    <w:p>
      <w:pPr>
        <w:spacing w:line="360" w:lineRule="auto"/>
        <w:ind w:left="420" w:leftChars="200"/>
        <w:rPr>
          <w:rFonts w:ascii="宋体" w:hAnsi="宋体" w:cs="宋体"/>
          <w:szCs w:val="21"/>
        </w:rPr>
      </w:pPr>
      <w:r>
        <w:rPr>
          <w:rFonts w:hint="eastAsia" w:ascii="宋体" w:hAnsi="宋体" w:cs="宋体"/>
          <w:szCs w:val="21"/>
        </w:rPr>
        <w:t>签订时间：</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br w:type="page"/>
      </w:r>
    </w:p>
    <w:p>
      <w:pPr>
        <w:rPr>
          <w:rFonts w:ascii="宋体" w:hAnsi="宋体" w:cs="宋体"/>
          <w:szCs w:val="21"/>
        </w:rPr>
      </w:pPr>
    </w:p>
    <w:p>
      <w:pPr>
        <w:rPr>
          <w:rFonts w:ascii="宋体" w:hAnsi="宋体" w:cs="宋体"/>
          <w:szCs w:val="21"/>
        </w:rPr>
      </w:pPr>
    </w:p>
    <w:p>
      <w:pPr>
        <w:jc w:val="center"/>
        <w:rPr>
          <w:rFonts w:ascii="宋体" w:hAnsi="宋体" w:cs="宋体"/>
          <w:szCs w:val="21"/>
        </w:rPr>
      </w:pPr>
      <w:r>
        <w:rPr>
          <w:rFonts w:hint="eastAsia" w:ascii="宋体" w:hAnsi="宋体" w:cs="宋体"/>
          <w:szCs w:val="21"/>
        </w:rPr>
        <w:t>使 用 说 明</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1.本合同标准文本适用于购买现成货物的采购项目，不包括需要供应商定制开发、创新研发的货物采购项目。</w:t>
      </w:r>
    </w:p>
    <w:p>
      <w:pPr>
        <w:rPr>
          <w:rFonts w:ascii="宋体" w:hAnsi="宋体" w:cs="宋体"/>
          <w:szCs w:val="21"/>
        </w:rPr>
      </w:pPr>
      <w:r>
        <w:rPr>
          <w:rFonts w:hint="eastAsia" w:ascii="宋体" w:hAnsi="宋体" w:cs="宋体"/>
          <w:szCs w:val="21"/>
        </w:rPr>
        <w:t xml:space="preserve">   2.本合同标准文本为政府采购货物买卖合同编制提供参考，可以结合采购项目具体情况，对文本作必要的调整修订后使用。</w:t>
      </w:r>
    </w:p>
    <w:p>
      <w:pPr>
        <w:ind w:firstLine="420" w:firstLineChars="200"/>
        <w:rPr>
          <w:rFonts w:ascii="宋体" w:hAnsi="宋体" w:cs="宋体"/>
          <w:szCs w:val="21"/>
        </w:rPr>
      </w:pPr>
      <w:r>
        <w:rPr>
          <w:rFonts w:hint="eastAsia" w:ascii="宋体" w:hAnsi="宋体" w:cs="宋体"/>
          <w:szCs w:val="21"/>
        </w:rPr>
        <w:t>3.本合同标准文本各条款中，如涉及填写多家供应商、制造商，多种采购标的、分包主要内容等信息的，可根据采购项目具体情况添加信息项。</w:t>
      </w:r>
    </w:p>
    <w:p>
      <w:pPr>
        <w:ind w:firstLine="420" w:firstLineChars="200"/>
        <w:rPr>
          <w:rFonts w:ascii="宋体" w:hAnsi="宋体" w:cs="宋体"/>
          <w:szCs w:val="21"/>
        </w:rPr>
        <w:sectPr>
          <w:headerReference r:id="rId5" w:type="default"/>
          <w:footerReference r:id="rId6" w:type="default"/>
          <w:pgSz w:w="11906" w:h="16838"/>
          <w:pgMar w:top="1440" w:right="1080" w:bottom="1440" w:left="1080" w:header="851" w:footer="992" w:gutter="0"/>
          <w:cols w:space="720" w:num="1"/>
          <w:docGrid w:type="lines" w:linePitch="312" w:charSpace="0"/>
        </w:sectPr>
      </w:pPr>
    </w:p>
    <w:p>
      <w:pPr>
        <w:pStyle w:val="4"/>
        <w:adjustRightInd w:val="0"/>
        <w:snapToGrid w:val="0"/>
        <w:jc w:val="center"/>
        <w:rPr>
          <w:rFonts w:ascii="宋体" w:hAnsi="宋体" w:eastAsia="宋体" w:cs="宋体"/>
          <w:sz w:val="21"/>
          <w:szCs w:val="21"/>
        </w:rPr>
      </w:pPr>
      <w:bookmarkStart w:id="124" w:name="_Toc22209"/>
    </w:p>
    <w:p>
      <w:pPr>
        <w:pStyle w:val="4"/>
        <w:adjustRightInd w:val="0"/>
        <w:snapToGrid w:val="0"/>
        <w:jc w:val="center"/>
        <w:rPr>
          <w:rFonts w:ascii="宋体" w:hAnsi="宋体" w:eastAsia="宋体" w:cs="宋体"/>
          <w:b w:val="0"/>
          <w:bCs w:val="0"/>
          <w:sz w:val="21"/>
          <w:szCs w:val="21"/>
        </w:rPr>
      </w:pPr>
      <w:r>
        <w:rPr>
          <w:rFonts w:hint="eastAsia" w:ascii="宋体" w:hAnsi="宋体" w:eastAsia="宋体" w:cs="宋体"/>
          <w:b w:val="0"/>
          <w:bCs w:val="0"/>
          <w:sz w:val="21"/>
          <w:szCs w:val="21"/>
        </w:rPr>
        <w:t>第一节 政府采购合同协议书</w:t>
      </w:r>
      <w:bookmarkEnd w:id="124"/>
    </w:p>
    <w:p>
      <w:pPr>
        <w:pStyle w:val="4"/>
        <w:adjustRightInd w:val="0"/>
        <w:snapToGrid w:val="0"/>
        <w:jc w:val="center"/>
        <w:rPr>
          <w:rFonts w:ascii="宋体" w:hAnsi="宋体" w:eastAsia="宋体" w:cs="宋体"/>
          <w:b w:val="0"/>
          <w:bCs w:val="0"/>
          <w:sz w:val="21"/>
          <w:szCs w:val="21"/>
        </w:rPr>
      </w:pPr>
    </w:p>
    <w:p>
      <w:pPr>
        <w:adjustRightInd w:val="0"/>
        <w:snapToGrid w:val="0"/>
        <w:spacing w:line="400" w:lineRule="exact"/>
        <w:rPr>
          <w:rFonts w:ascii="宋体" w:hAnsi="宋体" w:cs="宋体"/>
          <w:szCs w:val="21"/>
        </w:rPr>
      </w:pPr>
      <w:r>
        <w:rPr>
          <w:rFonts w:hint="eastAsia" w:ascii="宋体" w:hAnsi="宋体" w:cs="宋体"/>
          <w:szCs w:val="21"/>
        </w:rPr>
        <w:t>甲方（全称）：</w:t>
      </w:r>
      <w:r>
        <w:rPr>
          <w:rFonts w:hint="eastAsia" w:ascii="宋体" w:hAnsi="宋体" w:cs="宋体"/>
          <w:szCs w:val="21"/>
          <w:u w:val="single"/>
        </w:rPr>
        <w:t xml:space="preserve">                        </w:t>
      </w:r>
      <w:r>
        <w:rPr>
          <w:rFonts w:hint="eastAsia" w:ascii="宋体" w:hAnsi="宋体" w:cs="宋体"/>
          <w:szCs w:val="21"/>
        </w:rPr>
        <w:t>（采购人、受采购人委托签订合同的单位或采购</w:t>
      </w:r>
      <w:r>
        <w:rPr>
          <w:rFonts w:hint="eastAsia" w:ascii="宋体" w:hAnsi="宋体" w:cs="宋体"/>
          <w:szCs w:val="21"/>
        </w:rPr>
        <w:tab/>
      </w:r>
      <w:r>
        <w:rPr>
          <w:rFonts w:hint="eastAsia" w:ascii="宋体" w:hAnsi="宋体" w:cs="宋体"/>
          <w:szCs w:val="21"/>
        </w:rPr>
        <w:t xml:space="preserve">                                   文件约定的合同甲方）</w:t>
      </w:r>
    </w:p>
    <w:p>
      <w:pPr>
        <w:adjustRightInd w:val="0"/>
        <w:snapToGrid w:val="0"/>
        <w:spacing w:line="400" w:lineRule="exact"/>
        <w:rPr>
          <w:rFonts w:ascii="宋体" w:hAnsi="宋体" w:cs="宋体"/>
          <w:szCs w:val="21"/>
        </w:rPr>
      </w:pPr>
      <w:r>
        <w:rPr>
          <w:rFonts w:hint="eastAsia" w:ascii="宋体" w:hAnsi="宋体" w:cs="宋体"/>
          <w:szCs w:val="21"/>
        </w:rPr>
        <w:t>乙方1（全称）：</w:t>
      </w:r>
      <w:r>
        <w:rPr>
          <w:rFonts w:hint="eastAsia" w:ascii="宋体" w:hAnsi="宋体" w:cs="宋体"/>
          <w:szCs w:val="21"/>
          <w:u w:val="single"/>
        </w:rPr>
        <w:t xml:space="preserve">                       </w:t>
      </w:r>
      <w:r>
        <w:rPr>
          <w:rFonts w:hint="eastAsia" w:ascii="宋体" w:hAnsi="宋体" w:cs="宋体"/>
          <w:szCs w:val="21"/>
        </w:rPr>
        <w:t>（供应商）</w:t>
      </w:r>
    </w:p>
    <w:p>
      <w:pPr>
        <w:adjustRightInd w:val="0"/>
        <w:snapToGrid w:val="0"/>
        <w:spacing w:line="400" w:lineRule="exact"/>
        <w:rPr>
          <w:rFonts w:ascii="宋体" w:hAnsi="宋体" w:cs="宋体"/>
          <w:szCs w:val="21"/>
        </w:rPr>
      </w:pPr>
      <w:r>
        <w:rPr>
          <w:rFonts w:hint="eastAsia" w:ascii="宋体" w:hAnsi="宋体" w:cs="宋体"/>
          <w:szCs w:val="21"/>
        </w:rPr>
        <w:t>乙方2（全称）：</w:t>
      </w:r>
      <w:r>
        <w:rPr>
          <w:rFonts w:hint="eastAsia" w:ascii="宋体" w:hAnsi="宋体" w:cs="宋体"/>
          <w:szCs w:val="21"/>
          <w:u w:val="single"/>
        </w:rPr>
        <w:t xml:space="preserve">                        </w:t>
      </w:r>
      <w:r>
        <w:rPr>
          <w:rFonts w:hint="eastAsia" w:ascii="宋体" w:hAnsi="宋体" w:cs="宋体"/>
          <w:szCs w:val="21"/>
        </w:rPr>
        <w:t>（联合体成员供应商或其他合同主体）（如有）</w:t>
      </w:r>
    </w:p>
    <w:p>
      <w:pPr>
        <w:adjustRightInd w:val="0"/>
        <w:snapToGrid w:val="0"/>
        <w:spacing w:line="400" w:lineRule="exact"/>
        <w:rPr>
          <w:rFonts w:ascii="宋体" w:hAnsi="宋体" w:cs="宋体"/>
          <w:szCs w:val="21"/>
        </w:rPr>
      </w:pPr>
      <w:r>
        <w:rPr>
          <w:rFonts w:hint="eastAsia" w:ascii="宋体" w:hAnsi="宋体" w:cs="宋体"/>
          <w:szCs w:val="21"/>
        </w:rPr>
        <w:t>乙方3（全称）</w:t>
      </w:r>
      <w:r>
        <w:rPr>
          <w:rFonts w:hint="eastAsia" w:ascii="宋体" w:hAnsi="宋体" w:cs="宋体"/>
          <w:szCs w:val="21"/>
          <w:u w:val="single"/>
        </w:rPr>
        <w:t xml:space="preserve">                          </w:t>
      </w:r>
      <w:r>
        <w:rPr>
          <w:rFonts w:hint="eastAsia" w:ascii="宋体" w:hAnsi="宋体" w:cs="宋体"/>
          <w:szCs w:val="21"/>
        </w:rPr>
        <w:t>（联合体成员供应商或其他合同主体）（如有）</w:t>
      </w:r>
    </w:p>
    <w:p>
      <w:pPr>
        <w:spacing w:line="400" w:lineRule="exact"/>
        <w:rPr>
          <w:rFonts w:ascii="宋体" w:hAnsi="宋体" w:cs="宋体"/>
          <w:szCs w:val="21"/>
        </w:rPr>
      </w:pPr>
    </w:p>
    <w:p>
      <w:pPr>
        <w:pStyle w:val="19"/>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2"/>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项目信息</w:t>
      </w:r>
    </w:p>
    <w:p>
      <w:pPr>
        <w:pStyle w:val="19"/>
        <w:numPr>
          <w:ilvl w:val="0"/>
          <w:numId w:val="3"/>
        </w:num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pPr>
        <w:pStyle w:val="19"/>
        <w:tabs>
          <w:tab w:val="left" w:pos="999"/>
        </w:tabs>
        <w:adjustRightInd w:val="0"/>
        <w:snapToGrid w:val="0"/>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采购项目编号：</w:t>
      </w:r>
      <w:r>
        <w:rPr>
          <w:rFonts w:hint="eastAsia" w:ascii="宋体" w:hAnsi="宋体" w:eastAsia="宋体" w:cs="宋体"/>
          <w:sz w:val="21"/>
          <w:szCs w:val="21"/>
          <w:u w:val="single"/>
        </w:rPr>
        <w:t xml:space="preserve">                                          </w:t>
      </w:r>
    </w:p>
    <w:p>
      <w:pPr>
        <w:pStyle w:val="19"/>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（3）项目内容：</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采购标的及数量（台/套</w:t>
      </w:r>
      <w:r>
        <w:rPr>
          <w:rFonts w:hint="eastAsia" w:ascii="宋体" w:hAnsi="宋体" w:cs="宋体"/>
          <w:szCs w:val="21"/>
          <w:lang w:val="en"/>
        </w:rPr>
        <w:t>/个/架/组等</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400" w:lineRule="exact"/>
        <w:ind w:firstLine="420" w:firstLineChars="200"/>
        <w:rPr>
          <w:rFonts w:ascii="宋体" w:hAnsi="宋体" w:cs="宋体"/>
          <w:szCs w:val="21"/>
          <w:lang w:val="en"/>
        </w:rPr>
      </w:pP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u w:val="single"/>
          <w:lang w:val="en"/>
        </w:rPr>
        <w:t xml:space="preserve">   </w:t>
      </w:r>
    </w:p>
    <w:p>
      <w:pPr>
        <w:adjustRightInd w:val="0"/>
        <w:snapToGrid w:val="0"/>
        <w:spacing w:line="400" w:lineRule="exact"/>
        <w:ind w:firstLine="945" w:firstLineChars="450"/>
        <w:rPr>
          <w:rFonts w:ascii="宋体" w:hAnsi="宋体" w:cs="宋体"/>
          <w:szCs w:val="21"/>
          <w:u w:val="single"/>
        </w:rPr>
      </w:pPr>
      <w:r>
        <w:rPr>
          <w:rFonts w:hint="eastAsia" w:ascii="宋体" w:hAnsi="宋体" w:cs="宋体"/>
          <w:szCs w:val="21"/>
        </w:rPr>
        <w:t>采购标的的技术要求、商务要求具体见附件。</w:t>
      </w:r>
    </w:p>
    <w:p>
      <w:pPr>
        <w:adjustRightInd w:val="0"/>
        <w:snapToGrid w:val="0"/>
        <w:spacing w:line="400" w:lineRule="exact"/>
        <w:ind w:firstLine="945" w:firstLineChars="450"/>
        <w:rPr>
          <w:rFonts w:ascii="宋体" w:hAnsi="宋体" w:cs="宋体"/>
          <w:szCs w:val="21"/>
        </w:rPr>
      </w:pPr>
      <w:r>
        <w:rPr>
          <w:rFonts w:hint="eastAsia" w:ascii="宋体" w:hAnsi="宋体" w:cs="宋体"/>
          <w:szCs w:val="21"/>
        </w:rPr>
        <w:t>①涉及信息类产品，请填写该产品关键部件的品牌、型号：</w:t>
      </w:r>
    </w:p>
    <w:p>
      <w:p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hint="eastAsia" w:ascii="宋体" w:hAnsi="宋体" w:cs="宋体"/>
          <w:kern w:val="0"/>
          <w:szCs w:val="21"/>
          <w:u w:val="single"/>
          <w:lang w:val="en"/>
        </w:rPr>
        <w:t xml:space="preserve">               </w:t>
      </w:r>
      <w:r>
        <w:rPr>
          <w:rFonts w:hint="eastAsia" w:ascii="宋体" w:hAnsi="宋体" w:cs="宋体"/>
          <w:kern w:val="0"/>
          <w:szCs w:val="21"/>
          <w:u w:val="single"/>
        </w:rPr>
        <w:t xml:space="preserve">    </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pPr>
        <w:pStyle w:val="146"/>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pPr>
        <w:pStyle w:val="146"/>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pPr>
        <w:pStyle w:val="146"/>
        <w:snapToGrid w:val="0"/>
        <w:ind w:firstLine="0" w:firstLineChars="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pPr>
        <w:pStyle w:val="146"/>
        <w:snapToGrid w:val="0"/>
        <w:ind w:firstLine="0" w:firstLineChars="0"/>
        <w:rPr>
          <w:rFonts w:ascii="宋体" w:hAnsi="宋体" w:eastAsia="宋体" w:cs="宋体"/>
          <w:sz w:val="21"/>
        </w:rPr>
      </w:pPr>
      <w:r>
        <w:rPr>
          <w:rFonts w:hint="eastAsia" w:ascii="宋体" w:hAnsi="宋体" w:eastAsia="宋体" w:cs="宋体"/>
          <w:sz w:val="21"/>
        </w:rPr>
        <w:t xml:space="preserve">         ②涉及车辆采购，请填写是否属于新能源汽车：</w:t>
      </w:r>
    </w:p>
    <w:p>
      <w:pPr>
        <w:pStyle w:val="146"/>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pPr>
        <w:pStyle w:val="146"/>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pPr>
        <w:pStyle w:val="146"/>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pPr>
        <w:pStyle w:val="146"/>
        <w:snapToGrid w:val="0"/>
        <w:ind w:firstLine="420" w:firstLineChars="0"/>
        <w:rPr>
          <w:rFonts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val="en"/>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pPr>
        <w:pStyle w:val="146"/>
        <w:snapToGrid w:val="0"/>
        <w:ind w:firstLine="420" w:firstLineChars="0"/>
        <w:rPr>
          <w:rFonts w:ascii="宋体" w:hAnsi="宋体" w:eastAsia="宋体" w:cs="宋体"/>
          <w:sz w:val="21"/>
          <w:u w:val="single"/>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pPr>
        <w:pStyle w:val="146"/>
        <w:snapToGrid w:val="0"/>
        <w:ind w:firstLine="420" w:firstLineChars="0"/>
        <w:rPr>
          <w:rFonts w:ascii="宋体" w:hAnsi="宋体" w:eastAsia="宋体" w:cs="宋体"/>
          <w:sz w:val="21"/>
        </w:rPr>
      </w:pPr>
      <w:r>
        <w:rPr>
          <w:rFonts w:hint="eastAsia" w:ascii="宋体" w:hAnsi="宋体" w:eastAsia="宋体" w:cs="宋体"/>
          <w:sz w:val="21"/>
        </w:rPr>
        <w:t>（注：在框架协议采购的第二阶段，可选择使用该合同文本）</w:t>
      </w:r>
    </w:p>
    <w:p>
      <w:pPr>
        <w:pStyle w:val="146"/>
        <w:snapToGrid w:val="0"/>
        <w:ind w:firstLine="210" w:firstLineChars="100"/>
        <w:rPr>
          <w:rFonts w:ascii="宋体" w:hAnsi="宋体" w:eastAsia="宋体" w:cs="宋体"/>
          <w:kern w:val="2"/>
          <w:sz w:val="21"/>
        </w:rPr>
      </w:pPr>
      <w:r>
        <w:rPr>
          <w:rFonts w:hint="eastAsia" w:ascii="宋体" w:hAnsi="宋体" w:eastAsia="宋体" w:cs="宋体"/>
          <w:sz w:val="21"/>
        </w:rPr>
        <w:t xml:space="preserve"> （</w:t>
      </w:r>
      <w:r>
        <w:rPr>
          <w:rFonts w:hint="eastAsia" w:ascii="宋体" w:hAnsi="宋体" w:eastAsia="宋体" w:cs="宋体"/>
          <w:sz w:val="21"/>
          <w:lang w:val="en"/>
        </w:rPr>
        <w:t>6</w:t>
      </w:r>
      <w:r>
        <w:rPr>
          <w:rFonts w:hint="eastAsia" w:ascii="宋体" w:hAnsi="宋体" w:eastAsia="宋体" w:cs="宋体"/>
          <w:sz w:val="21"/>
        </w:rPr>
        <w:t>）</w:t>
      </w:r>
      <w:r>
        <w:rPr>
          <w:rFonts w:hint="eastAsia" w:ascii="宋体" w:hAnsi="宋体" w:eastAsia="宋体" w:cs="宋体"/>
          <w:kern w:val="2"/>
          <w:sz w:val="21"/>
        </w:rPr>
        <w:t>中标（成交）采购标的制造商是否为中小企业：</w:t>
      </w:r>
      <w:r>
        <w:rPr>
          <w:rFonts w:hint="eastAsia" w:ascii="宋体" w:hAnsi="宋体" w:eastAsia="宋体" w:cs="宋体"/>
          <w:kern w:val="2"/>
          <w:sz w:val="21"/>
        </w:rPr>
        <w:sym w:font="Wingdings" w:char="00A8"/>
      </w:r>
      <w:r>
        <w:rPr>
          <w:rFonts w:hint="eastAsia" w:ascii="宋体" w:hAnsi="宋体" w:eastAsia="宋体" w:cs="宋体"/>
          <w:kern w:val="2"/>
          <w:sz w:val="21"/>
        </w:rPr>
        <w:t xml:space="preserve">是      </w:t>
      </w:r>
      <w:r>
        <w:rPr>
          <w:rFonts w:hint="eastAsia" w:ascii="宋体" w:hAnsi="宋体" w:eastAsia="宋体" w:cs="宋体"/>
          <w:kern w:val="2"/>
          <w:sz w:val="21"/>
        </w:rPr>
        <w:sym w:font="Wingdings" w:char="00A8"/>
      </w:r>
      <w:r>
        <w:rPr>
          <w:rFonts w:hint="eastAsia" w:ascii="宋体" w:hAnsi="宋体" w:eastAsia="宋体" w:cs="宋体"/>
          <w:kern w:val="2"/>
          <w:sz w:val="21"/>
        </w:rPr>
        <w:t>否</w:t>
      </w:r>
    </w:p>
    <w:p>
      <w:pPr>
        <w:adjustRightInd w:val="0"/>
        <w:snapToGrid w:val="0"/>
        <w:spacing w:line="400" w:lineRule="exact"/>
        <w:rPr>
          <w:rFonts w:ascii="宋体" w:hAnsi="宋体" w:cs="宋体"/>
          <w:iCs/>
          <w:szCs w:val="21"/>
        </w:rPr>
      </w:pPr>
      <w:r>
        <w:rPr>
          <w:rFonts w:hint="eastAsia" w:ascii="宋体" w:hAnsi="宋体" w:cs="宋体"/>
          <w:szCs w:val="21"/>
        </w:rPr>
        <w:t xml:space="preserve">         本合同是否为专门面向中小企业的采购合同（中小企业预留合同）：</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adjustRightInd w:val="0"/>
        <w:snapToGrid w:val="0"/>
        <w:spacing w:line="400" w:lineRule="exact"/>
        <w:rPr>
          <w:rFonts w:ascii="宋体" w:hAnsi="宋体" w:cs="宋体"/>
          <w:iCs/>
          <w:szCs w:val="21"/>
        </w:rPr>
      </w:pPr>
      <w:r>
        <w:rPr>
          <w:rFonts w:hint="eastAsia" w:ascii="宋体" w:hAnsi="宋体" w:cs="宋体"/>
          <w:szCs w:val="21"/>
        </w:rPr>
        <w:t xml:space="preserve">         若本项目不专门面向中小企业采购，是否给予小微企业评审优惠：</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adjustRightInd w:val="0"/>
        <w:snapToGrid w:val="0"/>
        <w:spacing w:line="400" w:lineRule="exact"/>
        <w:rPr>
          <w:rFonts w:ascii="宋体" w:hAnsi="宋体" w:cs="宋体"/>
          <w:iCs/>
          <w:szCs w:val="21"/>
        </w:rPr>
      </w:pPr>
      <w:r>
        <w:rPr>
          <w:rFonts w:hint="eastAsia" w:ascii="宋体" w:hAnsi="宋体" w:cs="宋体"/>
          <w:szCs w:val="21"/>
        </w:rPr>
        <w:t xml:space="preserve">         中标（成交）采购标的制造商是否为残疾人福利性单位：</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snapToGrid w:val="0"/>
        <w:spacing w:line="400" w:lineRule="exact"/>
        <w:rPr>
          <w:rFonts w:ascii="宋体" w:hAnsi="宋体" w:cs="宋体"/>
          <w:szCs w:val="21"/>
        </w:rPr>
      </w:pPr>
      <w:r>
        <w:rPr>
          <w:rFonts w:hint="eastAsia" w:ascii="宋体" w:hAnsi="宋体" w:cs="宋体"/>
          <w:szCs w:val="21"/>
        </w:rPr>
        <w:t xml:space="preserve">         中标（成交）采购标的制造商是否为监狱企业：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
        </w:rPr>
        <w:t>7</w:t>
      </w:r>
      <w:r>
        <w:rPr>
          <w:rFonts w:hint="eastAsia" w:ascii="宋体" w:hAnsi="宋体" w:cs="宋体"/>
          <w:szCs w:val="21"/>
        </w:rPr>
        <w:t>）合同是否分包：</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分包主要内容：</w:t>
      </w:r>
      <w:r>
        <w:rPr>
          <w:rFonts w:hint="eastAsia" w:ascii="宋体" w:hAnsi="宋体" w:cs="宋体"/>
          <w:szCs w:val="21"/>
          <w:u w:val="single"/>
        </w:rPr>
        <w:t xml:space="preserve">                                            </w:t>
      </w:r>
    </w:p>
    <w:p>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分包供应商/制造商名称（如供应商和制造商不同，请分别填写）：</w:t>
      </w:r>
    </w:p>
    <w:p>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 xml:space="preserve">                                                          </w:t>
      </w:r>
    </w:p>
    <w:p>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分包供应商/制造商类型（如果供应商和制造商不同，只填写制造商类型）：</w:t>
      </w:r>
    </w:p>
    <w:p>
      <w:pPr>
        <w:adjustRightInd w:val="0"/>
        <w:snapToGrid w:val="0"/>
        <w:spacing w:line="400" w:lineRule="exact"/>
        <w:ind w:firstLine="840" w:firstLineChars="400"/>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大型企业  </w:t>
      </w:r>
      <w:r>
        <w:rPr>
          <w:rFonts w:hint="eastAsia" w:ascii="宋体" w:hAnsi="宋体" w:cs="宋体"/>
          <w:iCs/>
          <w:szCs w:val="21"/>
        </w:rPr>
        <w:sym w:font="Wingdings" w:char="00A8"/>
      </w:r>
      <w:r>
        <w:rPr>
          <w:rFonts w:hint="eastAsia" w:ascii="宋体" w:hAnsi="宋体" w:cs="宋体"/>
          <w:iCs/>
          <w:szCs w:val="21"/>
        </w:rPr>
        <w:t xml:space="preserve">中型企业  </w:t>
      </w:r>
      <w:r>
        <w:rPr>
          <w:rFonts w:hint="eastAsia" w:ascii="宋体" w:hAnsi="宋体" w:cs="宋体"/>
          <w:iCs/>
          <w:szCs w:val="21"/>
        </w:rPr>
        <w:sym w:font="Wingdings" w:char="00A8"/>
      </w:r>
      <w:r>
        <w:rPr>
          <w:rFonts w:hint="eastAsia" w:ascii="宋体" w:hAnsi="宋体" w:cs="宋体"/>
          <w:iCs/>
          <w:szCs w:val="21"/>
        </w:rPr>
        <w:t xml:space="preserve">小微型企业  </w:t>
      </w:r>
    </w:p>
    <w:p>
      <w:pPr>
        <w:adjustRightInd w:val="0"/>
        <w:snapToGrid w:val="0"/>
        <w:spacing w:line="400" w:lineRule="exact"/>
        <w:ind w:firstLine="840" w:firstLineChars="400"/>
        <w:rPr>
          <w:rFonts w:ascii="宋体" w:hAnsi="宋体" w:cs="宋体"/>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残疾人福利性单位 </w:t>
      </w:r>
      <w:r>
        <w:rPr>
          <w:rFonts w:hint="eastAsia" w:ascii="宋体" w:hAnsi="宋体" w:cs="宋体"/>
          <w:iCs/>
          <w:szCs w:val="21"/>
        </w:rPr>
        <w:sym w:font="Wingdings" w:char="00A8"/>
      </w:r>
      <w:r>
        <w:rPr>
          <w:rFonts w:hint="eastAsia" w:ascii="宋体" w:hAnsi="宋体" w:cs="宋体"/>
          <w:iCs/>
          <w:szCs w:val="21"/>
        </w:rPr>
        <w:t xml:space="preserve">监狱企业 </w:t>
      </w:r>
      <w:r>
        <w:rPr>
          <w:rFonts w:hint="eastAsia" w:ascii="宋体" w:hAnsi="宋体" w:cs="宋体"/>
          <w:iCs/>
          <w:szCs w:val="21"/>
        </w:rPr>
        <w:sym w:font="Wingdings" w:char="00A8"/>
      </w:r>
      <w:r>
        <w:rPr>
          <w:rFonts w:hint="eastAsia" w:ascii="宋体" w:hAnsi="宋体" w:cs="宋体"/>
          <w:iCs/>
          <w:szCs w:val="21"/>
        </w:rPr>
        <w:t>其他</w:t>
      </w:r>
    </w:p>
    <w:p>
      <w:pPr>
        <w:adjustRightInd w:val="0"/>
        <w:snapToGrid w:val="0"/>
        <w:spacing w:line="400" w:lineRule="exact"/>
        <w:rPr>
          <w:rFonts w:ascii="宋体" w:hAnsi="宋体" w:cs="宋体"/>
          <w:iCs/>
          <w:szCs w:val="21"/>
        </w:rPr>
      </w:pPr>
      <w:r>
        <w:rPr>
          <w:rFonts w:hint="eastAsia" w:ascii="宋体" w:hAnsi="宋体" w:cs="宋体"/>
          <w:szCs w:val="21"/>
        </w:rPr>
        <w:t xml:space="preserve">    （</w:t>
      </w:r>
      <w:r>
        <w:rPr>
          <w:rFonts w:hint="eastAsia"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pStyle w:val="146"/>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
        </w:rPr>
        <w:t>9</w:t>
      </w:r>
      <w:r>
        <w:rPr>
          <w:rFonts w:hint="eastAsia" w:ascii="宋体" w:hAnsi="宋体" w:cs="宋体"/>
          <w:szCs w:val="21"/>
        </w:rPr>
        <w:t>）是否涉及进口产品：</w:t>
      </w:r>
    </w:p>
    <w:p>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否</w:t>
      </w:r>
    </w:p>
    <w:p>
      <w:p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（1</w:t>
      </w:r>
      <w:r>
        <w:rPr>
          <w:rFonts w:hint="eastAsia" w:ascii="宋体" w:hAnsi="宋体" w:cs="宋体"/>
          <w:szCs w:val="21"/>
          <w:lang w:val="en"/>
        </w:rPr>
        <w:t>0</w:t>
      </w:r>
      <w:r>
        <w:rPr>
          <w:rFonts w:hint="eastAsia" w:ascii="宋体" w:hAnsi="宋体" w:cs="宋体"/>
          <w:szCs w:val="21"/>
        </w:rPr>
        <w:t>）是否涉及节能产品：</w:t>
      </w:r>
    </w:p>
    <w:p>
      <w:pPr>
        <w:tabs>
          <w:tab w:val="left" w:pos="740"/>
        </w:tabs>
        <w:adjustRightInd w:val="0"/>
        <w:snapToGrid w:val="0"/>
        <w:spacing w:line="400" w:lineRule="exact"/>
        <w:rPr>
          <w:rFonts w:ascii="宋体" w:hAnsi="宋体" w:cs="宋体"/>
          <w:iCs/>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是，《节能产品政府采购品目清单》的底级品目名称：</w:t>
      </w:r>
      <w:r>
        <w:rPr>
          <w:rFonts w:hint="eastAsia" w:ascii="宋体" w:hAnsi="宋体" w:cs="宋体"/>
          <w:szCs w:val="21"/>
          <w:u w:val="single"/>
        </w:rPr>
        <w:t xml:space="preserve">         </w:t>
      </w:r>
      <w:r>
        <w:rPr>
          <w:rFonts w:hint="eastAsia" w:ascii="宋体" w:hAnsi="宋体" w:cs="宋体"/>
          <w:iCs/>
          <w:szCs w:val="21"/>
        </w:rPr>
        <w:t xml:space="preserve">     </w:t>
      </w:r>
    </w:p>
    <w:p>
      <w:pPr>
        <w:tabs>
          <w:tab w:val="left" w:pos="740"/>
        </w:tabs>
        <w:adjustRightInd w:val="0"/>
        <w:snapToGrid w:val="0"/>
        <w:spacing w:line="400" w:lineRule="exact"/>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pPr>
        <w:tabs>
          <w:tab w:val="left" w:pos="740"/>
        </w:tabs>
        <w:adjustRightInd w:val="0"/>
        <w:snapToGrid w:val="0"/>
        <w:spacing w:line="400" w:lineRule="exact"/>
        <w:rPr>
          <w:rFonts w:ascii="宋体" w:hAnsi="宋体" w:cs="宋体"/>
          <w:szCs w:val="21"/>
        </w:rPr>
      </w:pPr>
      <w:r>
        <w:rPr>
          <w:rFonts w:hint="eastAsia" w:ascii="宋体" w:hAnsi="宋体" w:cs="宋体"/>
          <w:iCs/>
          <w:szCs w:val="21"/>
        </w:rPr>
        <w:t xml:space="preserve">         </w:t>
      </w:r>
      <w:r>
        <w:rPr>
          <w:rFonts w:hint="eastAsia" w:ascii="宋体" w:hAnsi="宋体" w:cs="宋体"/>
          <w:szCs w:val="21"/>
        </w:rPr>
        <w:sym w:font="Wingdings" w:char="00A8"/>
      </w:r>
      <w:r>
        <w:rPr>
          <w:rFonts w:hint="eastAsia" w:ascii="宋体" w:hAnsi="宋体" w:cs="宋体"/>
          <w:szCs w:val="21"/>
        </w:rPr>
        <w:t>否</w:t>
      </w:r>
    </w:p>
    <w:p>
      <w:p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是否涉及环境标志产品：</w:t>
      </w:r>
    </w:p>
    <w:p>
      <w:p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是，《环境标志产品政府采购品目清单》的底级品目名称：</w:t>
      </w:r>
      <w:r>
        <w:rPr>
          <w:rFonts w:hint="eastAsia" w:ascii="宋体" w:hAnsi="宋体" w:cs="宋体"/>
          <w:szCs w:val="21"/>
          <w:u w:val="single"/>
        </w:rPr>
        <w:t xml:space="preserve">         </w:t>
      </w:r>
      <w:r>
        <w:rPr>
          <w:rFonts w:hint="eastAsia" w:ascii="宋体" w:hAnsi="宋体" w:cs="宋体"/>
          <w:iCs/>
          <w:szCs w:val="21"/>
        </w:rPr>
        <w:t xml:space="preserve"> </w:t>
      </w:r>
    </w:p>
    <w:p>
      <w:pPr>
        <w:tabs>
          <w:tab w:val="left" w:pos="740"/>
        </w:tabs>
        <w:adjustRightInd w:val="0"/>
        <w:snapToGrid w:val="0"/>
        <w:spacing w:line="400" w:lineRule="exact"/>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pPr>
        <w:tabs>
          <w:tab w:val="left" w:pos="740"/>
        </w:tabs>
        <w:adjustRightInd w:val="0"/>
        <w:snapToGrid w:val="0"/>
        <w:spacing w:line="400" w:lineRule="exact"/>
        <w:rPr>
          <w:rFonts w:ascii="宋体" w:hAnsi="宋体" w:cs="宋体"/>
          <w:szCs w:val="21"/>
        </w:rPr>
      </w:pPr>
      <w:r>
        <w:rPr>
          <w:rFonts w:hint="eastAsia" w:ascii="宋体" w:hAnsi="宋体" w:cs="宋体"/>
          <w:iCs/>
          <w:szCs w:val="21"/>
        </w:rPr>
        <w:t xml:space="preserve">         </w:t>
      </w:r>
      <w:r>
        <w:rPr>
          <w:rFonts w:hint="eastAsia" w:ascii="宋体" w:hAnsi="宋体" w:cs="宋体"/>
          <w:szCs w:val="21"/>
        </w:rPr>
        <w:sym w:font="Wingdings" w:char="00A8"/>
      </w:r>
      <w:r>
        <w:rPr>
          <w:rFonts w:hint="eastAsia" w:ascii="宋体" w:hAnsi="宋体" w:cs="宋体"/>
          <w:szCs w:val="21"/>
        </w:rPr>
        <w:t>否</w:t>
      </w:r>
    </w:p>
    <w:p>
      <w:pPr>
        <w:pStyle w:val="146"/>
        <w:snapToGrid w:val="0"/>
        <w:ind w:firstLine="0" w:firstLineChars="0"/>
        <w:rPr>
          <w:rFonts w:ascii="宋体" w:hAnsi="宋体" w:eastAsia="宋体" w:cs="宋体"/>
          <w:kern w:val="2"/>
          <w:sz w:val="21"/>
        </w:rPr>
      </w:pPr>
      <w:r>
        <w:rPr>
          <w:rFonts w:hint="eastAsia" w:ascii="宋体" w:hAnsi="宋体" w:eastAsia="宋体" w:cs="宋体"/>
          <w:sz w:val="21"/>
        </w:rPr>
        <w:t xml:space="preserve">          </w:t>
      </w:r>
      <w:r>
        <w:rPr>
          <w:rFonts w:hint="eastAsia" w:ascii="宋体" w:hAnsi="宋体" w:eastAsia="宋体" w:cs="宋体"/>
          <w:kern w:val="2"/>
          <w:sz w:val="21"/>
        </w:rPr>
        <w:t xml:space="preserve">是否涉及绿色产品： </w:t>
      </w:r>
    </w:p>
    <w:p>
      <w:pPr>
        <w:pStyle w:val="146"/>
        <w:ind w:firstLine="420" w:firstLineChars="0"/>
        <w:rPr>
          <w:rFonts w:ascii="宋体" w:hAnsi="宋体" w:eastAsia="宋体" w:cs="宋体"/>
          <w:sz w:val="21"/>
          <w:u w:val="single"/>
        </w:rPr>
      </w:pPr>
      <w:r>
        <w:rPr>
          <w:rFonts w:hint="eastAsia" w:ascii="宋体" w:hAnsi="宋体" w:eastAsia="宋体" w:cs="宋体"/>
          <w:kern w:val="2"/>
          <w:sz w:val="21"/>
        </w:rPr>
        <w:t xml:space="preserve">     </w:t>
      </w:r>
      <w:r>
        <w:rPr>
          <w:rFonts w:hint="eastAsia" w:ascii="宋体" w:hAnsi="宋体" w:eastAsia="宋体" w:cs="宋体"/>
          <w:kern w:val="2"/>
          <w:sz w:val="21"/>
        </w:rPr>
        <w:sym w:font="Wingdings" w:char="00A8"/>
      </w:r>
      <w:r>
        <w:rPr>
          <w:rFonts w:hint="eastAsia" w:ascii="宋体" w:hAnsi="宋体" w:eastAsia="宋体" w:cs="宋体"/>
          <w:kern w:val="2"/>
          <w:sz w:val="21"/>
        </w:rPr>
        <w:t>是，绿色产品政府采购相关政策确定的底级品目名称：</w:t>
      </w:r>
      <w:r>
        <w:rPr>
          <w:rFonts w:hint="eastAsia" w:ascii="宋体" w:hAnsi="宋体" w:eastAsia="宋体" w:cs="宋体"/>
          <w:sz w:val="21"/>
          <w:u w:val="single"/>
        </w:rPr>
        <w:t xml:space="preserve">         </w:t>
      </w:r>
    </w:p>
    <w:p>
      <w:pPr>
        <w:tabs>
          <w:tab w:val="left" w:pos="740"/>
        </w:tabs>
        <w:adjustRightInd w:val="0"/>
        <w:snapToGrid w:val="0"/>
        <w:spacing w:line="400" w:lineRule="exact"/>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pPr>
        <w:pStyle w:val="146"/>
        <w:ind w:firstLine="420" w:firstLineChars="0"/>
        <w:rPr>
          <w:rFonts w:ascii="宋体" w:hAnsi="宋体" w:eastAsia="宋体" w:cs="宋体"/>
          <w:sz w:val="21"/>
        </w:rPr>
      </w:pPr>
      <w:r>
        <w:rPr>
          <w:rFonts w:hint="eastAsia" w:ascii="宋体" w:hAnsi="宋体" w:eastAsia="宋体" w:cs="宋体"/>
          <w:kern w:val="2"/>
          <w:sz w:val="21"/>
        </w:rPr>
        <w:t xml:space="preserve">     </w:t>
      </w:r>
      <w:r>
        <w:rPr>
          <w:rFonts w:hint="eastAsia" w:ascii="宋体" w:hAnsi="宋体" w:eastAsia="宋体" w:cs="宋体"/>
          <w:kern w:val="2"/>
          <w:sz w:val="21"/>
        </w:rPr>
        <w:sym w:font="Wingdings" w:char="00A8"/>
      </w:r>
      <w:r>
        <w:rPr>
          <w:rFonts w:hint="eastAsia" w:ascii="宋体" w:hAnsi="宋体" w:eastAsia="宋体" w:cs="宋体"/>
          <w:kern w:val="2"/>
          <w:sz w:val="21"/>
        </w:rPr>
        <w:t>否</w:t>
      </w:r>
    </w:p>
    <w:p>
      <w:pPr>
        <w:adjustRightInd w:val="0"/>
        <w:snapToGrid w:val="0"/>
        <w:spacing w:line="400" w:lineRule="exact"/>
        <w:rPr>
          <w:rFonts w:ascii="宋体" w:hAnsi="宋体" w:cs="宋体"/>
          <w:szCs w:val="21"/>
        </w:rPr>
      </w:pPr>
      <w:r>
        <w:rPr>
          <w:rFonts w:hint="eastAsia" w:ascii="宋体" w:hAnsi="宋体" w:cs="宋体"/>
          <w:szCs w:val="21"/>
        </w:rPr>
        <w:t xml:space="preserve">    （1</w:t>
      </w:r>
      <w:r>
        <w:rPr>
          <w:rFonts w:hint="eastAsia" w:ascii="宋体" w:hAnsi="宋体" w:cs="宋体"/>
          <w:szCs w:val="21"/>
          <w:lang w:val="en"/>
        </w:rPr>
        <w:t>1</w:t>
      </w:r>
      <w:r>
        <w:rPr>
          <w:rFonts w:hint="eastAsia" w:ascii="宋体" w:hAnsi="宋体" w:cs="宋体"/>
          <w:szCs w:val="21"/>
        </w:rPr>
        <w:t>）涉及商品包装和快递包装的，是否参考《商品包装政府采购需求标准（试行）》、《快递包装政府采购需求标准（试行）》明确产品及相关快递服务的具体包装要求：</w:t>
      </w:r>
    </w:p>
    <w:p>
      <w:pPr>
        <w:adjustRightInd w:val="0"/>
        <w:snapToGrid w:val="0"/>
        <w:spacing w:line="400" w:lineRule="exact"/>
        <w:ind w:firstLine="840" w:firstLineChars="400"/>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 xml:space="preserve">否      </w:t>
      </w:r>
      <w:r>
        <w:rPr>
          <w:rFonts w:hint="eastAsia" w:ascii="宋体" w:hAnsi="宋体" w:cs="宋体"/>
          <w:szCs w:val="21"/>
        </w:rPr>
        <w:sym w:font="Wingdings" w:char="00A8"/>
      </w:r>
      <w:r>
        <w:rPr>
          <w:rFonts w:hint="eastAsia" w:ascii="宋体" w:hAnsi="宋体" w:cs="宋体"/>
          <w:szCs w:val="21"/>
        </w:rPr>
        <w:t>不涉及</w:t>
      </w:r>
    </w:p>
    <w:p>
      <w:pPr>
        <w:numPr>
          <w:ilvl w:val="0"/>
          <w:numId w:val="2"/>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合同金额</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（1）合同金额小写：</w:t>
      </w:r>
      <w:r>
        <w:rPr>
          <w:rFonts w:hint="eastAsia" w:ascii="宋体" w:hAnsi="宋体" w:cs="宋体"/>
          <w:szCs w:val="21"/>
          <w:u w:val="single"/>
        </w:rPr>
        <w:t xml:space="preserve">                           </w:t>
      </w:r>
    </w:p>
    <w:p>
      <w:pPr>
        <w:adjustRightInd w:val="0"/>
        <w:snapToGrid w:val="0"/>
        <w:spacing w:line="400" w:lineRule="exact"/>
        <w:rPr>
          <w:rFonts w:ascii="宋体" w:hAnsi="宋体" w:cs="宋体"/>
          <w:szCs w:val="21"/>
          <w:u w:val="single"/>
        </w:rPr>
      </w:pPr>
      <w:r>
        <w:rPr>
          <w:rFonts w:hint="eastAsia" w:ascii="宋体" w:hAnsi="宋体" w:cs="宋体"/>
          <w:szCs w:val="21"/>
        </w:rPr>
        <w:t xml:space="preserve">                 大写：</w:t>
      </w:r>
      <w:r>
        <w:rPr>
          <w:rFonts w:hint="eastAsia" w:ascii="宋体" w:hAnsi="宋体" w:cs="宋体"/>
          <w:szCs w:val="21"/>
          <w:u w:val="single"/>
        </w:rPr>
        <w:t xml:space="preserve">                           </w:t>
      </w:r>
    </w:p>
    <w:p>
      <w:pPr>
        <w:adjustRightInd w:val="0"/>
        <w:snapToGrid w:val="0"/>
        <w:spacing w:line="400" w:lineRule="exact"/>
        <w:rPr>
          <w:rFonts w:ascii="宋体" w:hAnsi="宋体" w:cs="宋体"/>
          <w:szCs w:val="21"/>
        </w:rPr>
      </w:pPr>
      <w:r>
        <w:rPr>
          <w:rFonts w:hint="eastAsia" w:ascii="宋体" w:hAnsi="宋体" w:cs="宋体"/>
          <w:szCs w:val="21"/>
        </w:rPr>
        <w:t xml:space="preserve">         分包金额（如有）小写：</w:t>
      </w:r>
      <w:r>
        <w:rPr>
          <w:rFonts w:hint="eastAsia" w:ascii="宋体" w:hAnsi="宋体" w:cs="宋体"/>
          <w:szCs w:val="21"/>
          <w:u w:val="single"/>
        </w:rPr>
        <w:t xml:space="preserve">                   </w:t>
      </w:r>
    </w:p>
    <w:p>
      <w:pPr>
        <w:adjustRightInd w:val="0"/>
        <w:snapToGrid w:val="0"/>
        <w:spacing w:line="400" w:lineRule="exact"/>
        <w:rPr>
          <w:rFonts w:ascii="宋体" w:hAnsi="宋体" w:cs="宋体"/>
          <w:szCs w:val="21"/>
          <w:u w:val="single"/>
        </w:rPr>
      </w:pPr>
      <w:r>
        <w:rPr>
          <w:rFonts w:hint="eastAsia" w:ascii="宋体" w:hAnsi="宋体" w:cs="宋体"/>
          <w:szCs w:val="21"/>
        </w:rPr>
        <w:t xml:space="preserve">                     大写：</w:t>
      </w:r>
      <w:r>
        <w:rPr>
          <w:rFonts w:hint="eastAsia" w:ascii="宋体" w:hAnsi="宋体" w:cs="宋体"/>
          <w:szCs w:val="21"/>
          <w:u w:val="single"/>
        </w:rPr>
        <w:t xml:space="preserve">                       </w:t>
      </w:r>
    </w:p>
    <w:p>
      <w:pPr>
        <w:adjustRightInd w:val="0"/>
        <w:snapToGrid w:val="0"/>
        <w:spacing w:line="400" w:lineRule="exact"/>
        <w:rPr>
          <w:rFonts w:ascii="宋体" w:hAnsi="宋体" w:cs="宋体"/>
          <w:szCs w:val="21"/>
        </w:rPr>
      </w:pPr>
      <w:r>
        <w:rPr>
          <w:rFonts w:hint="eastAsia" w:ascii="宋体" w:hAnsi="宋体" w:cs="宋体"/>
          <w:szCs w:val="21"/>
        </w:rPr>
        <w:t xml:space="preserve">    （注：固定单价合同应填写单价和最高限价）</w:t>
      </w:r>
    </w:p>
    <w:p>
      <w:pPr>
        <w:adjustRightInd w:val="0"/>
        <w:snapToGrid w:val="0"/>
        <w:spacing w:line="400" w:lineRule="exact"/>
        <w:rPr>
          <w:rFonts w:ascii="宋体" w:hAnsi="宋体" w:cs="宋体"/>
          <w:szCs w:val="21"/>
        </w:rPr>
      </w:pPr>
      <w:r>
        <w:rPr>
          <w:rFonts w:hint="eastAsia" w:ascii="宋体" w:hAnsi="宋体" w:cs="宋体"/>
          <w:szCs w:val="21"/>
        </w:rPr>
        <w:t xml:space="preserve">    （2）合同定价方式（采用组合定价方式的，可以勾选多项）：</w:t>
      </w:r>
    </w:p>
    <w:p>
      <w:pPr>
        <w:adjustRightInd w:val="0"/>
        <w:snapToGrid w:val="0"/>
        <w:spacing w:line="400" w:lineRule="exact"/>
        <w:ind w:firstLine="420" w:firstLineChars="200"/>
        <w:rPr>
          <w:rFonts w:ascii="宋体" w:hAnsi="宋体" w:cs="宋体"/>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固定总价 </w:t>
      </w:r>
      <w:r>
        <w:rPr>
          <w:rFonts w:hint="eastAsia" w:ascii="宋体" w:hAnsi="宋体" w:cs="宋体"/>
          <w:iCs/>
          <w:szCs w:val="21"/>
        </w:rPr>
        <w:sym w:font="Wingdings" w:char="00A8"/>
      </w:r>
      <w:r>
        <w:rPr>
          <w:rFonts w:hint="eastAsia" w:ascii="宋体" w:hAnsi="宋体" w:cs="宋体"/>
          <w:iCs/>
          <w:szCs w:val="21"/>
        </w:rPr>
        <w:t xml:space="preserve">固定单价 </w:t>
      </w:r>
      <w:r>
        <w:rPr>
          <w:rFonts w:hint="eastAsia" w:ascii="宋体" w:hAnsi="宋体" w:cs="宋体"/>
          <w:iCs/>
          <w:szCs w:val="21"/>
        </w:rPr>
        <w:sym w:font="Wingdings" w:char="00A8"/>
      </w:r>
      <w:r>
        <w:rPr>
          <w:rFonts w:hint="eastAsia" w:ascii="宋体" w:hAnsi="宋体" w:cs="宋体"/>
          <w:iCs/>
          <w:szCs w:val="21"/>
        </w:rPr>
        <w:t xml:space="preserve">固定费率 </w:t>
      </w:r>
      <w:r>
        <w:rPr>
          <w:rFonts w:hint="eastAsia" w:ascii="宋体" w:hAnsi="宋体" w:cs="宋体"/>
          <w:iCs/>
          <w:szCs w:val="21"/>
        </w:rPr>
        <w:sym w:font="Wingdings" w:char="00A8"/>
      </w:r>
      <w:r>
        <w:rPr>
          <w:rFonts w:hint="eastAsia" w:ascii="宋体" w:hAnsi="宋体" w:cs="宋体"/>
          <w:iCs/>
          <w:szCs w:val="21"/>
        </w:rPr>
        <w:t xml:space="preserve">成本补偿 </w:t>
      </w:r>
      <w:r>
        <w:rPr>
          <w:rFonts w:hint="eastAsia" w:ascii="宋体" w:hAnsi="宋体" w:cs="宋体"/>
          <w:iCs/>
          <w:szCs w:val="21"/>
        </w:rPr>
        <w:sym w:font="Wingdings" w:char="00A8"/>
      </w:r>
      <w:r>
        <w:rPr>
          <w:rFonts w:hint="eastAsia" w:ascii="宋体" w:hAnsi="宋体" w:cs="宋体"/>
          <w:iCs/>
          <w:szCs w:val="21"/>
        </w:rPr>
        <w:t xml:space="preserve">绩效激励 </w:t>
      </w:r>
      <w:r>
        <w:rPr>
          <w:rFonts w:hint="eastAsia" w:ascii="宋体" w:hAnsi="宋体" w:cs="宋体"/>
          <w:iCs/>
          <w:szCs w:val="21"/>
        </w:rPr>
        <w:sym w:font="Wingdings" w:char="00A8"/>
      </w:r>
      <w:r>
        <w:rPr>
          <w:rFonts w:hint="eastAsia" w:ascii="宋体" w:hAnsi="宋体" w:cs="宋体"/>
          <w:iCs/>
          <w:szCs w:val="21"/>
        </w:rPr>
        <w:t>其他</w:t>
      </w:r>
      <w:r>
        <w:rPr>
          <w:rFonts w:hint="eastAsia" w:ascii="宋体" w:hAnsi="宋体" w:cs="宋体"/>
          <w:szCs w:val="21"/>
          <w:u w:val="single"/>
        </w:rPr>
        <w:t xml:space="preserve">       </w:t>
      </w:r>
    </w:p>
    <w:p>
      <w:pPr>
        <w:pStyle w:val="95"/>
        <w:spacing w:line="400" w:lineRule="exact"/>
        <w:rPr>
          <w:rFonts w:ascii="宋体" w:hAnsi="宋体" w:cs="宋体"/>
          <w:szCs w:val="21"/>
        </w:rPr>
      </w:pPr>
      <w:r>
        <w:rPr>
          <w:rFonts w:hint="eastAsia" w:ascii="宋体" w:hAnsi="宋体" w:cs="宋体"/>
          <w:szCs w:val="21"/>
        </w:rPr>
        <w:t>（3）付款方式（按项目实际勾选填写）：</w:t>
      </w:r>
    </w:p>
    <w:p>
      <w:pPr>
        <w:adjustRightInd w:val="0"/>
        <w:snapToGrid w:val="0"/>
        <w:spacing w:line="400" w:lineRule="exact"/>
        <w:ind w:firstLine="630" w:firstLineChars="300"/>
        <w:rPr>
          <w:rFonts w:ascii="宋体" w:hAnsi="宋体" w:cs="宋体"/>
          <w:szCs w:val="21"/>
          <w:u w:val="single"/>
        </w:rPr>
      </w:pPr>
      <w:r>
        <w:rPr>
          <w:rFonts w:hint="eastAsia" w:ascii="宋体" w:hAnsi="宋体" w:cs="宋体"/>
          <w:szCs w:val="21"/>
        </w:rPr>
        <w:sym w:font="Wingdings" w:char="00A8"/>
      </w:r>
      <w:r>
        <w:rPr>
          <w:rFonts w:hint="eastAsia" w:ascii="宋体" w:hAnsi="宋体" w:cs="宋体"/>
          <w:szCs w:val="21"/>
        </w:rPr>
        <w:t>全额付款：</w:t>
      </w:r>
      <w:r>
        <w:rPr>
          <w:rFonts w:hint="eastAsia" w:ascii="宋体" w:hAnsi="宋体" w:cs="宋体"/>
          <w:szCs w:val="21"/>
          <w:u w:val="single"/>
        </w:rPr>
        <w:t xml:space="preserve">     （应明确一次性支付合同款项的条件）                    </w:t>
      </w:r>
    </w:p>
    <w:p>
      <w:pPr>
        <w:snapToGrid w:val="0"/>
        <w:spacing w:line="400" w:lineRule="exact"/>
        <w:ind w:firstLine="630" w:firstLineChars="300"/>
        <w:rPr>
          <w:rFonts w:ascii="宋体" w:hAnsi="宋体" w:cs="宋体"/>
          <w:szCs w:val="21"/>
        </w:rPr>
      </w:pPr>
      <w:r>
        <w:rPr>
          <w:rFonts w:hint="eastAsia" w:ascii="宋体" w:hAnsi="宋体" w:cs="宋体"/>
          <w:szCs w:val="21"/>
        </w:rPr>
        <w:sym w:font="Wingdings" w:char="00A8"/>
      </w:r>
      <w:r>
        <w:rPr>
          <w:rFonts w:hint="eastAsia" w:ascii="宋体" w:hAnsi="宋体" w:cs="宋体"/>
          <w:szCs w:val="21"/>
        </w:rPr>
        <w:t>分期付款：</w:t>
      </w:r>
      <w:r>
        <w:rPr>
          <w:rFonts w:hint="eastAsia" w:ascii="宋体" w:hAnsi="宋体" w:cs="宋体"/>
          <w:szCs w:val="21"/>
          <w:u w:val="single"/>
        </w:rPr>
        <w:t xml:space="preserve">  （应明确分期支付合同款项的各期比例和支付条件，各期支付条件应与分期履约验收情况挂钩） </w:t>
      </w:r>
      <w:r>
        <w:rPr>
          <w:rFonts w:hint="eastAsia" w:ascii="宋体" w:hAnsi="宋体" w:cs="宋体"/>
          <w:szCs w:val="21"/>
        </w:rPr>
        <w:t>，其中涉及预付款的：</w:t>
      </w:r>
      <w:r>
        <w:rPr>
          <w:rFonts w:hint="eastAsia" w:ascii="宋体" w:hAnsi="宋体" w:cs="宋体"/>
          <w:szCs w:val="21"/>
          <w:u w:val="single"/>
        </w:rPr>
        <w:t xml:space="preserve"> （应明确预付款的支付比例和支付条件） </w:t>
      </w:r>
    </w:p>
    <w:p>
      <w:pPr>
        <w:adjustRightInd w:val="0"/>
        <w:snapToGrid w:val="0"/>
        <w:spacing w:line="400" w:lineRule="exact"/>
        <w:ind w:firstLine="630" w:firstLineChars="300"/>
        <w:rPr>
          <w:rFonts w:ascii="宋体" w:hAnsi="宋体" w:cs="宋体"/>
          <w:szCs w:val="21"/>
          <w:u w:val="single"/>
        </w:rPr>
      </w:pPr>
      <w:r>
        <w:rPr>
          <w:rFonts w:hint="eastAsia" w:ascii="宋体" w:hAnsi="宋体" w:cs="宋体"/>
          <w:szCs w:val="21"/>
        </w:rPr>
        <w:sym w:font="Wingdings" w:char="00A8"/>
      </w:r>
      <w:r>
        <w:rPr>
          <w:rFonts w:hint="eastAsia" w:ascii="宋体" w:hAnsi="宋体" w:cs="宋体"/>
          <w:szCs w:val="21"/>
        </w:rPr>
        <w:t>成本补偿：</w:t>
      </w:r>
      <w:r>
        <w:rPr>
          <w:rFonts w:hint="eastAsia" w:ascii="宋体" w:hAnsi="宋体" w:cs="宋体"/>
          <w:szCs w:val="21"/>
          <w:u w:val="single"/>
        </w:rPr>
        <w:t xml:space="preserve">      （应明确按照成本补偿方式的支付方式和支付条件）   </w:t>
      </w:r>
    </w:p>
    <w:p>
      <w:pPr>
        <w:adjustRightInd w:val="0"/>
        <w:snapToGrid w:val="0"/>
        <w:spacing w:line="400" w:lineRule="exact"/>
        <w:ind w:firstLine="630" w:firstLineChars="300"/>
        <w:rPr>
          <w:rFonts w:ascii="宋体" w:hAnsi="宋体" w:cs="宋体"/>
          <w:szCs w:val="21"/>
        </w:rPr>
      </w:pPr>
      <w:r>
        <w:rPr>
          <w:rFonts w:hint="eastAsia" w:ascii="宋体" w:hAnsi="宋体" w:cs="宋体"/>
          <w:szCs w:val="21"/>
        </w:rPr>
        <w:sym w:font="Wingdings" w:char="00A8"/>
      </w:r>
      <w:r>
        <w:rPr>
          <w:rFonts w:hint="eastAsia" w:ascii="宋体" w:hAnsi="宋体" w:cs="宋体"/>
          <w:szCs w:val="21"/>
        </w:rPr>
        <w:t>绩效激励：</w:t>
      </w:r>
      <w:r>
        <w:rPr>
          <w:rFonts w:hint="eastAsia" w:ascii="宋体" w:hAnsi="宋体" w:cs="宋体"/>
          <w:szCs w:val="21"/>
          <w:u w:val="single"/>
        </w:rPr>
        <w:t xml:space="preserve">      （应明确按照绩效激励方式的支付方式和支付条件）   </w:t>
      </w:r>
    </w:p>
    <w:p>
      <w:pPr>
        <w:numPr>
          <w:ilvl w:val="0"/>
          <w:numId w:val="2"/>
        </w:numPr>
        <w:adjustRightInd w:val="0"/>
        <w:snapToGrid w:val="0"/>
        <w:spacing w:line="400" w:lineRule="exact"/>
        <w:ind w:firstLine="422" w:firstLineChars="200"/>
        <w:rPr>
          <w:rFonts w:ascii="宋体" w:hAnsi="宋体" w:cs="宋体"/>
          <w:b/>
          <w:szCs w:val="21"/>
          <w:u w:val="single"/>
        </w:rPr>
      </w:pPr>
      <w:r>
        <w:rPr>
          <w:rFonts w:hint="eastAsia" w:ascii="宋体" w:hAnsi="宋体" w:cs="宋体"/>
          <w:b/>
          <w:szCs w:val="21"/>
        </w:rPr>
        <w:t>合同履行</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szCs w:val="21"/>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pStyle w:val="146"/>
        <w:ind w:firstLine="420"/>
        <w:rPr>
          <w:rFonts w:ascii="宋体" w:hAnsi="宋体" w:eastAsia="宋体" w:cs="宋体"/>
          <w:sz w:val="21"/>
        </w:rPr>
      </w:pPr>
      <w:r>
        <w:rPr>
          <w:rFonts w:hint="eastAsia" w:ascii="宋体" w:hAnsi="宋体" w:eastAsia="宋体" w:cs="宋体"/>
          <w:bCs/>
          <w:sz w:val="21"/>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pPr>
        <w:pStyle w:val="146"/>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pPr>
        <w:snapToGrid w:val="0"/>
        <w:spacing w:line="400" w:lineRule="exact"/>
        <w:ind w:firstLine="420" w:firstLineChars="200"/>
        <w:rPr>
          <w:rFonts w:ascii="宋体" w:hAnsi="宋体" w:cs="宋体"/>
          <w:szCs w:val="21"/>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pPr>
        <w:numPr>
          <w:ilvl w:val="0"/>
          <w:numId w:val="2"/>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合同验收</w:t>
      </w:r>
    </w:p>
    <w:p>
      <w:pPr>
        <w:numPr>
          <w:ilvl w:val="0"/>
          <w:numId w:val="4"/>
        </w:num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验收组织方式：</w:t>
      </w:r>
      <w:r>
        <w:rPr>
          <w:rFonts w:hint="eastAsia" w:ascii="宋体" w:hAnsi="宋体" w:cs="宋体"/>
          <w:szCs w:val="21"/>
        </w:rPr>
        <w:sym w:font="Wingdings" w:char="00A8"/>
      </w:r>
      <w:r>
        <w:rPr>
          <w:rFonts w:hint="eastAsia" w:ascii="宋体" w:hAnsi="宋体" w:cs="宋体"/>
          <w:bCs/>
          <w:szCs w:val="21"/>
        </w:rPr>
        <w:t xml:space="preserve">自行组织 </w:t>
      </w:r>
      <w:r>
        <w:rPr>
          <w:rFonts w:hint="eastAsia" w:ascii="宋体" w:hAnsi="宋体" w:cs="宋体"/>
          <w:szCs w:val="21"/>
        </w:rPr>
        <w:sym w:font="Wingdings" w:char="00A8"/>
      </w:r>
      <w:r>
        <w:rPr>
          <w:rFonts w:hint="eastAsia" w:ascii="宋体" w:hAnsi="宋体" w:cs="宋体"/>
          <w:bCs/>
          <w:szCs w:val="21"/>
        </w:rPr>
        <w:t>委托第三方组织</w:t>
      </w:r>
    </w:p>
    <w:p>
      <w:pPr>
        <w:adjustRightInd w:val="0"/>
        <w:snapToGrid w:val="0"/>
        <w:spacing w:line="400" w:lineRule="exact"/>
        <w:rPr>
          <w:rFonts w:ascii="宋体" w:hAnsi="宋体" w:cs="宋体"/>
          <w:bCs/>
          <w:szCs w:val="21"/>
        </w:rPr>
      </w:pPr>
      <w:r>
        <w:rPr>
          <w:rFonts w:hint="eastAsia" w:ascii="宋体" w:hAnsi="宋体" w:cs="宋体"/>
          <w:bCs/>
          <w:szCs w:val="21"/>
        </w:rPr>
        <w:t xml:space="preserve">         验收主体：</w:t>
      </w:r>
      <w:r>
        <w:rPr>
          <w:rFonts w:hint="eastAsia" w:ascii="宋体" w:hAnsi="宋体" w:cs="宋体"/>
          <w:bCs/>
          <w:szCs w:val="21"/>
          <w:u w:val="single"/>
        </w:rPr>
        <w:t xml:space="preserve">                  </w:t>
      </w:r>
    </w:p>
    <w:p>
      <w:pPr>
        <w:adjustRightInd w:val="0"/>
        <w:snapToGrid w:val="0"/>
        <w:spacing w:line="400" w:lineRule="exact"/>
        <w:rPr>
          <w:rFonts w:ascii="宋体" w:hAnsi="宋体" w:cs="宋体"/>
          <w:bCs/>
          <w:szCs w:val="21"/>
        </w:rPr>
      </w:pPr>
      <w:r>
        <w:rPr>
          <w:rFonts w:hint="eastAsia" w:ascii="宋体" w:hAnsi="宋体" w:cs="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是否邀请专家参加验收：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是否邀请服务对象参加验收：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是否邀请第三方检测机构参加验收：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是否进行抽查检测：</w:t>
      </w:r>
      <w:r>
        <w:rPr>
          <w:rFonts w:hint="eastAsia" w:ascii="宋体" w:hAnsi="宋体" w:cs="宋体"/>
          <w:szCs w:val="21"/>
        </w:rPr>
        <w:sym w:font="Wingdings" w:char="00A8"/>
      </w:r>
      <w:r>
        <w:rPr>
          <w:rFonts w:hint="eastAsia" w:ascii="宋体" w:hAnsi="宋体" w:cs="宋体"/>
          <w:bCs/>
          <w:szCs w:val="21"/>
        </w:rPr>
        <w:t>是，抽查比例：</w:t>
      </w:r>
      <w:r>
        <w:rPr>
          <w:rFonts w:hint="eastAsia" w:ascii="宋体" w:hAnsi="宋体" w:cs="宋体"/>
          <w:bCs/>
          <w:szCs w:val="21"/>
          <w:u w:val="single"/>
        </w:rPr>
        <w:t xml:space="preserve">        </w:t>
      </w: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否</w:t>
      </w:r>
    </w:p>
    <w:p>
      <w:pPr>
        <w:adjustRightInd w:val="0"/>
        <w:snapToGrid w:val="0"/>
        <w:spacing w:line="400" w:lineRule="exact"/>
        <w:ind w:firstLine="840" w:firstLineChars="400"/>
        <w:rPr>
          <w:rFonts w:ascii="宋体" w:hAnsi="宋体" w:cs="宋体"/>
          <w:bCs/>
          <w:szCs w:val="21"/>
          <w:u w:val="single"/>
        </w:rPr>
      </w:pPr>
      <w:r>
        <w:rPr>
          <w:rFonts w:hint="eastAsia" w:ascii="宋体" w:hAnsi="宋体" w:cs="宋体"/>
          <w:bCs/>
          <w:szCs w:val="21"/>
        </w:rPr>
        <w:t>是否存在破坏性检测：</w:t>
      </w:r>
      <w:r>
        <w:rPr>
          <w:rFonts w:hint="eastAsia" w:ascii="宋体" w:hAnsi="宋体" w:cs="宋体"/>
          <w:szCs w:val="21"/>
        </w:rPr>
        <w:sym w:font="Wingdings" w:char="00A8"/>
      </w:r>
      <w:r>
        <w:rPr>
          <w:rFonts w:hint="eastAsia" w:ascii="宋体" w:hAnsi="宋体" w:cs="宋体"/>
          <w:bCs/>
          <w:szCs w:val="21"/>
        </w:rPr>
        <w:t>是，</w:t>
      </w:r>
      <w:r>
        <w:rPr>
          <w:rFonts w:hint="eastAsia" w:ascii="宋体" w:hAnsi="宋体" w:cs="宋体"/>
          <w:bCs/>
          <w:szCs w:val="21"/>
          <w:u w:val="single"/>
        </w:rPr>
        <w:t>（应明确对被破坏的检测产品的处理方式）</w:t>
      </w:r>
    </w:p>
    <w:p>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否</w:t>
      </w:r>
    </w:p>
    <w:p>
      <w:pPr>
        <w:adjustRightInd w:val="0"/>
        <w:snapToGrid w:val="0"/>
        <w:spacing w:line="400" w:lineRule="exact"/>
        <w:ind w:firstLine="840" w:firstLineChars="400"/>
        <w:rPr>
          <w:rFonts w:ascii="宋体" w:hAnsi="宋体" w:cs="宋体"/>
          <w:bCs/>
          <w:szCs w:val="21"/>
          <w:u w:val="single"/>
        </w:rPr>
      </w:pPr>
      <w:r>
        <w:rPr>
          <w:rFonts w:hint="eastAsia" w:ascii="宋体" w:hAnsi="宋体" w:cs="宋体"/>
          <w:bCs/>
          <w:szCs w:val="21"/>
        </w:rPr>
        <w:t>验收组织的其他事项：</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（2）履约验收时间：</w:t>
      </w:r>
      <w:r>
        <w:rPr>
          <w:rFonts w:hint="eastAsia" w:ascii="宋体" w:hAnsi="宋体" w:cs="宋体"/>
          <w:bCs/>
          <w:szCs w:val="21"/>
          <w:u w:val="single"/>
        </w:rPr>
        <w:t xml:space="preserve">（计划于何时验收/供应商提出验收申请之日起   日内组织验收） </w:t>
      </w:r>
    </w:p>
    <w:p>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（3）履约验收方式：</w:t>
      </w:r>
      <w:r>
        <w:rPr>
          <w:rFonts w:hint="eastAsia" w:ascii="宋体" w:hAnsi="宋体" w:cs="宋体"/>
          <w:szCs w:val="21"/>
        </w:rPr>
        <w:sym w:font="Wingdings" w:char="00A8"/>
      </w:r>
      <w:r>
        <w:rPr>
          <w:rFonts w:hint="eastAsia" w:ascii="宋体" w:hAnsi="宋体" w:cs="宋体"/>
          <w:bCs/>
          <w:szCs w:val="21"/>
        </w:rPr>
        <w:t xml:space="preserve">一次性验收         </w:t>
      </w:r>
    </w:p>
    <w:p>
      <w:pPr>
        <w:adjustRightInd w:val="0"/>
        <w:snapToGrid w:val="0"/>
        <w:spacing w:line="400" w:lineRule="exact"/>
        <w:rPr>
          <w:rFonts w:ascii="宋体" w:hAnsi="宋体" w:cs="宋体"/>
          <w:bCs/>
          <w:szCs w:val="21"/>
        </w:rPr>
      </w:pP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分期/分项验收：</w:t>
      </w:r>
      <w:r>
        <w:rPr>
          <w:rFonts w:hint="eastAsia" w:ascii="宋体" w:hAnsi="宋体" w:cs="宋体"/>
          <w:bCs/>
          <w:szCs w:val="21"/>
          <w:u w:val="single"/>
        </w:rPr>
        <w:t xml:space="preserve"> （应明确分期</w:t>
      </w:r>
      <w:r>
        <w:rPr>
          <w:rFonts w:hint="eastAsia" w:ascii="宋体" w:hAnsi="宋体" w:cs="宋体"/>
          <w:bCs/>
          <w:szCs w:val="21"/>
          <w:u w:val="single"/>
          <w:lang w:val="en"/>
        </w:rPr>
        <w:t>/分项验收的工作安排</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（4）履约验收程序：</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（5）履约验收的内容：</w:t>
      </w:r>
      <w:r>
        <w:rPr>
          <w:rFonts w:hint="eastAsia" w:ascii="宋体" w:hAnsi="宋体" w:cs="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（6）履约验收标准：</w:t>
      </w:r>
      <w:r>
        <w:rPr>
          <w:rFonts w:hint="eastAsia" w:ascii="宋体" w:hAnsi="宋体" w:cs="宋体"/>
          <w:bCs/>
          <w:szCs w:val="21"/>
          <w:u w:val="single"/>
        </w:rPr>
        <w:t xml:space="preserve">                                         </w:t>
      </w:r>
    </w:p>
    <w:p>
      <w:pPr>
        <w:pStyle w:val="146"/>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2"/>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组成合同的文件</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（1）政府采购合同协议书及其变更、补充协议</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（2）政府采购合同专用条款</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（3）政府采购合同通用条款</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（4）中标（成交）通知书</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（5）投标（响应）文件</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（6）采购文件</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（7）有关技术文件，图纸</w:t>
      </w:r>
    </w:p>
    <w:p>
      <w:pPr>
        <w:pStyle w:val="146"/>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pPr>
        <w:numPr>
          <w:ilvl w:val="0"/>
          <w:numId w:val="2"/>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合同生效</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本合同自</w:t>
      </w:r>
      <w:r>
        <w:rPr>
          <w:rFonts w:hint="eastAsia" w:ascii="宋体" w:hAnsi="宋体" w:cs="宋体"/>
          <w:szCs w:val="21"/>
          <w:u w:val="single"/>
        </w:rPr>
        <w:t xml:space="preserve">                             </w:t>
      </w:r>
      <w:r>
        <w:rPr>
          <w:rFonts w:hint="eastAsia" w:ascii="宋体" w:hAnsi="宋体" w:cs="宋体"/>
          <w:szCs w:val="21"/>
        </w:rPr>
        <w:t>生效。</w:t>
      </w:r>
    </w:p>
    <w:p>
      <w:pPr>
        <w:numPr>
          <w:ilvl w:val="0"/>
          <w:numId w:val="2"/>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合同份数</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份，甲方执</w:t>
      </w:r>
      <w:r>
        <w:rPr>
          <w:rFonts w:hint="eastAsia" w:ascii="宋体" w:hAnsi="宋体" w:cs="宋体"/>
          <w:szCs w:val="21"/>
          <w:u w:val="single"/>
        </w:rPr>
        <w:t xml:space="preserve">    </w:t>
      </w:r>
      <w:r>
        <w:rPr>
          <w:rFonts w:hint="eastAsia" w:ascii="宋体" w:hAnsi="宋体" w:cs="宋体"/>
          <w:szCs w:val="21"/>
        </w:rPr>
        <w:t>份，乙方执</w:t>
      </w:r>
      <w:r>
        <w:rPr>
          <w:rFonts w:hint="eastAsia" w:ascii="宋体" w:hAnsi="宋体" w:cs="宋体"/>
          <w:szCs w:val="21"/>
          <w:u w:val="single"/>
        </w:rPr>
        <w:t xml:space="preserve">    </w:t>
      </w:r>
      <w:r>
        <w:rPr>
          <w:rFonts w:hint="eastAsia" w:ascii="宋体" w:hAnsi="宋体" w:cs="宋体"/>
          <w:szCs w:val="21"/>
        </w:rPr>
        <w:t>份，均具有同等法律效力。</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合同订立时间：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合同订立地点：</w:t>
      </w:r>
      <w:r>
        <w:rPr>
          <w:rFonts w:hint="eastAsia" w:ascii="宋体" w:hAnsi="宋体" w:cs="宋体"/>
          <w:szCs w:val="21"/>
          <w:u w:val="single"/>
        </w:rPr>
        <w:t xml:space="preserve">                           </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附件：具体标的及其技术要求和商务要求、联合协议、分包意向协议等。</w:t>
      </w:r>
    </w:p>
    <w:p>
      <w:pPr>
        <w:pStyle w:val="95"/>
        <w:spacing w:line="400" w:lineRule="exact"/>
        <w:rPr>
          <w:rFonts w:ascii="宋体" w:hAnsi="宋体" w:cs="宋体"/>
          <w:szCs w:val="21"/>
        </w:rPr>
      </w:pPr>
    </w:p>
    <w:p>
      <w:pPr>
        <w:pStyle w:val="4"/>
        <w:rPr>
          <w:rFonts w:ascii="宋体" w:hAnsi="宋体" w:eastAsia="宋体" w:cs="宋体"/>
          <w:b w:val="0"/>
          <w:bCs w:val="0"/>
          <w:sz w:val="21"/>
          <w:szCs w:val="21"/>
        </w:rPr>
      </w:pPr>
      <w:r>
        <w:rPr>
          <w:rFonts w:hint="eastAsia" w:ascii="宋体" w:hAnsi="宋体" w:eastAsia="宋体" w:cs="宋体"/>
          <w:sz w:val="21"/>
          <w:szCs w:val="21"/>
          <w:lang w:val="en"/>
        </w:rPr>
        <w:t xml:space="preserve">   </w:t>
      </w:r>
    </w:p>
    <w:p>
      <w:pPr>
        <w:rPr>
          <w:rFonts w:ascii="宋体" w:hAnsi="宋体" w:cs="宋体"/>
          <w:szCs w:val="21"/>
        </w:rPr>
      </w:pPr>
      <w:r>
        <w:rPr>
          <w:rFonts w:hint="eastAsia" w:ascii="宋体" w:hAnsi="宋体" w:cs="宋体"/>
          <w:szCs w:val="21"/>
        </w:rPr>
        <w:br w:type="page"/>
      </w:r>
    </w:p>
    <w:p>
      <w:pPr>
        <w:pStyle w:val="95"/>
        <w:rPr>
          <w:rFonts w:ascii="宋体" w:hAnsi="宋体" w:cs="宋体"/>
          <w:szCs w:val="21"/>
        </w:rPr>
      </w:pPr>
    </w:p>
    <w:tbl>
      <w:tblPr>
        <w:tblStyle w:val="4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119" w:type="dxa"/>
            <w:gridSpan w:val="2"/>
            <w:tcBorders>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甲方（采购人、受采购人委托签订合同的单位或采购文件约定的合同甲方）</w:t>
            </w:r>
          </w:p>
        </w:tc>
        <w:tc>
          <w:tcPr>
            <w:tcW w:w="4871" w:type="dxa"/>
            <w:gridSpan w:val="2"/>
            <w:tcBorders>
              <w:left w:val="single" w:color="auto" w:sz="2" w:space="0"/>
              <w:bottom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单位名称（公章或合同章）</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单位名称（公章或合同章）</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法定代表人</w:t>
            </w:r>
          </w:p>
          <w:p>
            <w:pPr>
              <w:adjustRightInd w:val="0"/>
              <w:snapToGrid w:val="0"/>
              <w:spacing w:line="300" w:lineRule="exact"/>
              <w:ind w:firstLine="100" w:firstLineChars="48"/>
              <w:jc w:val="center"/>
              <w:rPr>
                <w:rFonts w:ascii="宋体" w:hAnsi="宋体" w:cs="宋体"/>
                <w:szCs w:val="21"/>
              </w:rPr>
            </w:pPr>
            <w:r>
              <w:rPr>
                <w:rFonts w:hint="eastAsia" w:ascii="宋体" w:hAnsi="宋体" w:cs="宋体"/>
                <w:szCs w:val="21"/>
              </w:rPr>
              <w:t>或其委托代理人（签章）</w:t>
            </w:r>
          </w:p>
        </w:tc>
        <w:tc>
          <w:tcPr>
            <w:tcW w:w="2869"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法定代表人</w:t>
            </w:r>
          </w:p>
          <w:p>
            <w:pPr>
              <w:adjustRightInd w:val="0"/>
              <w:snapToGrid w:val="0"/>
              <w:spacing w:line="300" w:lineRule="exact"/>
              <w:jc w:val="center"/>
              <w:rPr>
                <w:rFonts w:ascii="宋体" w:hAnsi="宋体" w:cs="宋体"/>
                <w:szCs w:val="21"/>
              </w:rPr>
            </w:pPr>
            <w:r>
              <w:rPr>
                <w:rFonts w:hint="eastAsia" w:ascii="宋体" w:hAnsi="宋体" w:cs="宋体"/>
                <w:szCs w:val="21"/>
              </w:rPr>
              <w:t>或其委托代理人（签章）</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869"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拥有者性别</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住  所</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住  所</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联 系 人</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联系电话</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通信地址</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邮政编码</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电子邮箱</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统一社会信用代码</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开户名称</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开户银行</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银行账号</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990" w:type="dxa"/>
            <w:gridSpan w:val="4"/>
            <w:tcBorders>
              <w:top w:val="single" w:color="auto" w:sz="2" w:space="0"/>
            </w:tcBorders>
            <w:vAlign w:val="center"/>
          </w:tcPr>
          <w:p>
            <w:pPr>
              <w:pStyle w:val="19"/>
              <w:adjustRightInd w:val="0"/>
              <w:snapToGrid w:val="0"/>
              <w:spacing w:before="156" w:beforeLines="50" w:line="360" w:lineRule="auto"/>
              <w:ind w:firstLine="739"/>
              <w:jc w:val="left"/>
              <w:rPr>
                <w:rFonts w:ascii="宋体" w:hAnsi="宋体" w:eastAsia="宋体" w:cs="宋体"/>
                <w:spacing w:val="20"/>
                <w:sz w:val="21"/>
                <w:szCs w:val="21"/>
              </w:rPr>
            </w:pPr>
            <w:r>
              <w:rPr>
                <w:rFonts w:hint="eastAsia" w:ascii="宋体" w:hAnsi="宋体" w:eastAsia="宋体" w:cs="宋体"/>
                <w:sz w:val="21"/>
                <w:szCs w:val="21"/>
              </w:rPr>
              <w:t>注：涉及联合体或其他合同主体的信息应按上表格式加列。</w:t>
            </w:r>
          </w:p>
        </w:tc>
      </w:tr>
    </w:tbl>
    <w:p>
      <w:pPr>
        <w:pStyle w:val="4"/>
        <w:adjustRightInd w:val="0"/>
        <w:snapToGrid w:val="0"/>
        <w:spacing w:before="156" w:beforeLines="50"/>
        <w:jc w:val="center"/>
        <w:rPr>
          <w:rFonts w:ascii="宋体" w:hAnsi="宋体" w:eastAsia="宋体" w:cs="宋体"/>
          <w:sz w:val="21"/>
          <w:szCs w:val="21"/>
        </w:rPr>
      </w:pPr>
      <w:r>
        <w:rPr>
          <w:rFonts w:hint="eastAsia" w:ascii="宋体" w:hAnsi="宋体" w:eastAsia="宋体" w:cs="宋体"/>
          <w:sz w:val="21"/>
          <w:szCs w:val="21"/>
          <w:u w:val="single"/>
        </w:rPr>
        <w:br w:type="page"/>
      </w:r>
      <w:bookmarkStart w:id="125" w:name="_Toc27624"/>
      <w:r>
        <w:rPr>
          <w:rFonts w:hint="eastAsia" w:ascii="宋体" w:hAnsi="宋体" w:eastAsia="宋体" w:cs="宋体"/>
          <w:b w:val="0"/>
          <w:bCs w:val="0"/>
          <w:sz w:val="21"/>
          <w:szCs w:val="21"/>
        </w:rPr>
        <w:t>第二节 政府采购合同通用条款</w:t>
      </w:r>
      <w:bookmarkEnd w:id="125"/>
    </w:p>
    <w:p>
      <w:pPr>
        <w:tabs>
          <w:tab w:val="left" w:pos="8820"/>
          <w:tab w:val="left" w:pos="9345"/>
          <w:tab w:val="left" w:pos="9765"/>
        </w:tabs>
        <w:adjustRightInd w:val="0"/>
        <w:snapToGrid w:val="0"/>
        <w:spacing w:line="400" w:lineRule="exact"/>
        <w:jc w:val="left"/>
        <w:rPr>
          <w:rFonts w:ascii="宋体" w:hAnsi="宋体" w:cs="宋体"/>
          <w:b/>
          <w:bCs/>
          <w:szCs w:val="21"/>
        </w:rPr>
      </w:pPr>
      <w:r>
        <w:rPr>
          <w:rFonts w:hint="eastAsia" w:ascii="宋体" w:hAnsi="宋体" w:cs="宋体"/>
          <w:b/>
          <w:szCs w:val="21"/>
        </w:rPr>
        <w:t xml:space="preserve">1. </w:t>
      </w:r>
      <w:r>
        <w:rPr>
          <w:rFonts w:hint="eastAsia" w:ascii="宋体" w:hAnsi="宋体" w:cs="宋体"/>
          <w:b/>
          <w:bCs/>
          <w:szCs w:val="21"/>
        </w:rPr>
        <w:t>定义</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1.1合同当事人</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cs="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1.2本合同下列术语应解释为：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（1）“合同”系指</w:t>
      </w:r>
      <w:r>
        <w:rPr>
          <w:rFonts w:hint="eastAsia" w:ascii="宋体" w:hAnsi="宋体" w:cs="宋体"/>
          <w:bCs/>
          <w:szCs w:val="21"/>
        </w:rPr>
        <w:t>合同当事人意思表示达成一致的任何协议，包括签署的</w:t>
      </w:r>
      <w:r>
        <w:rPr>
          <w:rFonts w:hint="eastAsia" w:ascii="宋体" w:hAnsi="宋体" w:cs="宋体"/>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tabs>
          <w:tab w:val="left" w:pos="570"/>
          <w:tab w:val="left" w:pos="9240"/>
          <w:tab w:val="left" w:pos="9555"/>
        </w:tabs>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（3）“货物”系指乙方根据本合同规定须向甲方提供的各种形态和种类的物品，包括原材料、设备、产品（包括软件）及相关的其备品备件、工具、手册及</w:t>
      </w:r>
      <w:r>
        <w:rPr>
          <w:rFonts w:hint="eastAsia" w:ascii="宋体" w:hAnsi="宋体" w:cs="宋体"/>
          <w:szCs w:val="21"/>
          <w:lang w:val="en"/>
        </w:rPr>
        <w:t>其他</w:t>
      </w:r>
      <w:r>
        <w:rPr>
          <w:rFonts w:hint="eastAsia" w:ascii="宋体" w:hAnsi="宋体" w:cs="宋体"/>
          <w:szCs w:val="21"/>
        </w:rPr>
        <w:t>技术资料和材料等。</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（4）“相关服务”系指根据合同规定，乙方应提供的与货物有关的技术、管理和</w:t>
      </w:r>
      <w:r>
        <w:rPr>
          <w:rFonts w:hint="eastAsia" w:ascii="宋体" w:hAnsi="宋体" w:cs="宋体"/>
          <w:szCs w:val="21"/>
          <w:lang w:val="en"/>
        </w:rPr>
        <w:t>其他</w:t>
      </w:r>
      <w:r>
        <w:rPr>
          <w:rFonts w:hint="eastAsia" w:ascii="宋体" w:hAnsi="宋体" w:cs="宋体"/>
          <w:szCs w:val="21"/>
        </w:rPr>
        <w:t>服务，包括但不限于：管理和质量保证、运输、保险、检验、现场准备、安装、集成、调试、培训、维修、废弃处置、技术支持等以及合同中规定乙方应承担的</w:t>
      </w:r>
      <w:r>
        <w:rPr>
          <w:rFonts w:hint="eastAsia" w:ascii="宋体" w:hAnsi="宋体" w:cs="宋体"/>
          <w:szCs w:val="21"/>
          <w:lang w:val="en"/>
        </w:rPr>
        <w:t>其他</w:t>
      </w:r>
      <w:r>
        <w:rPr>
          <w:rFonts w:hint="eastAsia" w:ascii="宋体" w:hAnsi="宋体" w:cs="宋体"/>
          <w:szCs w:val="21"/>
        </w:rPr>
        <w:t>义务。</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szCs w:val="21"/>
        </w:rPr>
        <w:t>政府采购合同专用条款</w:t>
      </w:r>
      <w:r>
        <w:rPr>
          <w:rFonts w:hint="eastAsia" w:ascii="宋体" w:hAnsi="宋体" w:cs="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（7）其他术语解释，见【</w:t>
      </w:r>
      <w:r>
        <w:rPr>
          <w:rFonts w:hint="eastAsia" w:ascii="宋体" w:hAnsi="宋体" w:cs="宋体"/>
          <w:b/>
          <w:bCs/>
          <w:szCs w:val="21"/>
        </w:rPr>
        <w:t>政府采购合同专用条款</w:t>
      </w:r>
      <w:r>
        <w:rPr>
          <w:rFonts w:hint="eastAsia" w:ascii="宋体" w:hAnsi="宋体" w:cs="宋体"/>
          <w:szCs w:val="21"/>
        </w:rPr>
        <w:t>】。</w:t>
      </w:r>
    </w:p>
    <w:p>
      <w:pPr>
        <w:numPr>
          <w:ilvl w:val="0"/>
          <w:numId w:val="5"/>
        </w:numPr>
        <w:autoSpaceDE w:val="0"/>
        <w:autoSpaceDN w:val="0"/>
        <w:adjustRightInd w:val="0"/>
        <w:snapToGrid w:val="0"/>
        <w:spacing w:line="400" w:lineRule="exact"/>
        <w:jc w:val="left"/>
        <w:rPr>
          <w:rFonts w:ascii="宋体" w:hAnsi="宋体" w:cs="宋体"/>
          <w:b/>
          <w:bCs/>
          <w:szCs w:val="21"/>
        </w:rPr>
      </w:pPr>
      <w:r>
        <w:rPr>
          <w:rFonts w:hint="eastAsia" w:ascii="宋体" w:hAnsi="宋体" w:cs="宋体"/>
          <w:b/>
          <w:szCs w:val="21"/>
        </w:rPr>
        <w:t>合同标的及金额</w:t>
      </w:r>
    </w:p>
    <w:p>
      <w:pPr>
        <w:autoSpaceDE w:val="0"/>
        <w:autoSpaceDN w:val="0"/>
        <w:adjustRightInd w:val="0"/>
        <w:snapToGrid w:val="0"/>
        <w:spacing w:line="400" w:lineRule="exact"/>
        <w:ind w:firstLine="420" w:firstLineChars="200"/>
        <w:jc w:val="left"/>
        <w:rPr>
          <w:rFonts w:ascii="宋体" w:hAnsi="宋体" w:cs="宋体"/>
          <w:b/>
          <w:bCs/>
          <w:i/>
          <w:iCs/>
          <w:szCs w:val="21"/>
        </w:rPr>
      </w:pPr>
      <w:r>
        <w:rPr>
          <w:rFonts w:hint="eastAsia" w:ascii="宋体" w:hAnsi="宋体" w:cs="宋体"/>
          <w:szCs w:val="21"/>
        </w:rPr>
        <w:t>2.1 合同标的及金额应与中标（成交）结果一致。乙方为履行本合同而发生的所有费用均应包含在合同价款中，甲方不再另行支付</w:t>
      </w:r>
      <w:r>
        <w:rPr>
          <w:rFonts w:hint="eastAsia" w:ascii="宋体" w:hAnsi="宋体" w:cs="宋体"/>
          <w:szCs w:val="21"/>
          <w:lang w:val="en"/>
        </w:rPr>
        <w:t>其他</w:t>
      </w:r>
      <w:r>
        <w:rPr>
          <w:rFonts w:hint="eastAsia" w:ascii="宋体" w:hAnsi="宋体" w:cs="宋体"/>
          <w:szCs w:val="21"/>
        </w:rPr>
        <w:t>任何费用。</w:t>
      </w:r>
    </w:p>
    <w:p>
      <w:pPr>
        <w:adjustRightInd w:val="0"/>
        <w:snapToGrid w:val="0"/>
        <w:spacing w:line="400" w:lineRule="exact"/>
        <w:jc w:val="left"/>
        <w:rPr>
          <w:rFonts w:ascii="宋体" w:hAnsi="宋体" w:cs="宋体"/>
          <w:b/>
          <w:szCs w:val="21"/>
        </w:rPr>
      </w:pPr>
      <w:r>
        <w:rPr>
          <w:rFonts w:hint="eastAsia" w:ascii="宋体" w:hAnsi="宋体" w:cs="宋体"/>
          <w:b/>
          <w:szCs w:val="21"/>
        </w:rPr>
        <w:t>3. 履行合同的时间、地点和方式</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3.1 乙方应当在约定的时间、地点，按照约定方式履行合同。</w:t>
      </w:r>
    </w:p>
    <w:p>
      <w:pPr>
        <w:autoSpaceDE w:val="0"/>
        <w:autoSpaceDN w:val="0"/>
        <w:adjustRightInd w:val="0"/>
        <w:snapToGrid w:val="0"/>
        <w:spacing w:line="400" w:lineRule="exact"/>
        <w:jc w:val="left"/>
        <w:rPr>
          <w:rFonts w:ascii="宋体" w:hAnsi="宋体" w:cs="宋体"/>
          <w:b/>
          <w:bCs/>
          <w:szCs w:val="21"/>
        </w:rPr>
      </w:pPr>
      <w:r>
        <w:rPr>
          <w:rFonts w:hint="eastAsia" w:ascii="宋体" w:hAnsi="宋体" w:cs="宋体"/>
          <w:b/>
          <w:bCs/>
          <w:szCs w:val="21"/>
        </w:rPr>
        <w:t>4. 甲方的权利和义务</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4.3 甲方有权要求乙方对缺陷部分予以修复，并按合同约定享有货物保修及其他合同约定的权利。</w:t>
      </w:r>
    </w:p>
    <w:p>
      <w:pPr>
        <w:snapToGrid w:val="0"/>
        <w:spacing w:line="400" w:lineRule="exact"/>
        <w:ind w:firstLine="420" w:firstLineChars="200"/>
        <w:rPr>
          <w:rFonts w:ascii="宋体" w:hAnsi="宋体" w:cs="宋体"/>
          <w:szCs w:val="21"/>
        </w:rPr>
      </w:pPr>
      <w:r>
        <w:rPr>
          <w:rFonts w:hint="eastAsia" w:ascii="宋体" w:hAnsi="宋体" w:cs="宋体"/>
          <w:szCs w:val="21"/>
        </w:rPr>
        <w:t>4.4 甲方应当按照合同约定及时对交付的货物进行验收，未在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约定的期限内对乙方履约提出任何异议或者向乙方作出任何说明的，视为验收通过。</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4.5 甲方应当根据合同约定及时向乙方支付合同价款，不得以内部人员变更、履行内部付款流程等为由，拒绝或迟延支付。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4.6 国家法律法规规定及</w:t>
      </w:r>
      <w:r>
        <w:rPr>
          <w:rFonts w:hint="eastAsia" w:ascii="宋体" w:hAnsi="宋体" w:cs="宋体"/>
          <w:b/>
          <w:bCs/>
          <w:szCs w:val="21"/>
        </w:rPr>
        <w:t>【政府采购合同专用条款】</w:t>
      </w:r>
      <w:r>
        <w:rPr>
          <w:rFonts w:hint="eastAsia" w:ascii="宋体" w:hAnsi="宋体" w:cs="宋体"/>
          <w:szCs w:val="21"/>
        </w:rPr>
        <w:t>约定应由甲方承担的其他义务和责任。</w:t>
      </w:r>
    </w:p>
    <w:p>
      <w:pPr>
        <w:autoSpaceDE w:val="0"/>
        <w:autoSpaceDN w:val="0"/>
        <w:adjustRightInd w:val="0"/>
        <w:snapToGrid w:val="0"/>
        <w:spacing w:line="400" w:lineRule="exact"/>
        <w:jc w:val="left"/>
        <w:rPr>
          <w:rFonts w:ascii="宋体" w:hAnsi="宋体" w:cs="宋体"/>
          <w:b/>
          <w:bCs/>
          <w:szCs w:val="21"/>
        </w:rPr>
      </w:pPr>
      <w:r>
        <w:rPr>
          <w:rFonts w:hint="eastAsia" w:ascii="宋体" w:hAnsi="宋体" w:cs="宋体"/>
          <w:b/>
          <w:bCs/>
          <w:szCs w:val="21"/>
        </w:rPr>
        <w:t>5. 乙方的权利和义务</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5.1 签署合同后，乙方应确定项目负责人（或项目联系人），负责与本合同有关的事务。</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2"/>
        <w:spacing w:line="400" w:lineRule="exact"/>
        <w:ind w:firstLine="369" w:firstLineChars="176"/>
        <w:rPr>
          <w:rFonts w:ascii="宋体" w:hAnsi="宋体" w:cs="宋体"/>
          <w:sz w:val="21"/>
          <w:szCs w:val="21"/>
        </w:rPr>
      </w:pPr>
      <w:r>
        <w:rPr>
          <w:rFonts w:hint="eastAsia" w:ascii="宋体" w:hAnsi="宋体" w:cs="宋体"/>
          <w:sz w:val="21"/>
          <w:szCs w:val="21"/>
        </w:rPr>
        <w:t>5.3乙方有权根据合同约定向甲方收取合同价款。</w:t>
      </w:r>
    </w:p>
    <w:p>
      <w:pPr>
        <w:pStyle w:val="2"/>
        <w:spacing w:line="400" w:lineRule="exact"/>
        <w:ind w:firstLine="369" w:firstLineChars="176"/>
        <w:rPr>
          <w:rFonts w:ascii="宋体" w:hAnsi="宋体" w:cs="宋体"/>
          <w:sz w:val="21"/>
          <w:szCs w:val="21"/>
        </w:rPr>
      </w:pPr>
      <w:r>
        <w:rPr>
          <w:rFonts w:hint="eastAsia" w:ascii="宋体" w:hAnsi="宋体" w:cs="宋体"/>
          <w:sz w:val="21"/>
          <w:szCs w:val="21"/>
        </w:rPr>
        <w:t>5.4国家法律法规规定及</w:t>
      </w:r>
      <w:r>
        <w:rPr>
          <w:rFonts w:hint="eastAsia" w:ascii="宋体" w:hAnsi="宋体" w:cs="宋体"/>
          <w:b/>
          <w:bCs/>
          <w:sz w:val="21"/>
          <w:szCs w:val="21"/>
        </w:rPr>
        <w:t>【政府采购合同专用条款】</w:t>
      </w:r>
      <w:r>
        <w:rPr>
          <w:rFonts w:hint="eastAsia" w:ascii="宋体" w:hAnsi="宋体" w:cs="宋体"/>
          <w:sz w:val="21"/>
          <w:szCs w:val="21"/>
        </w:rPr>
        <w:t>约定应由乙方承担的其他义务和责任。</w:t>
      </w:r>
    </w:p>
    <w:p>
      <w:pPr>
        <w:numPr>
          <w:ilvl w:val="0"/>
          <w:numId w:val="6"/>
        </w:numPr>
        <w:autoSpaceDE w:val="0"/>
        <w:autoSpaceDN w:val="0"/>
        <w:adjustRightInd w:val="0"/>
        <w:snapToGrid w:val="0"/>
        <w:spacing w:line="400" w:lineRule="exact"/>
        <w:jc w:val="left"/>
        <w:rPr>
          <w:rFonts w:ascii="宋体" w:hAnsi="宋体" w:cs="宋体"/>
          <w:b/>
          <w:bCs/>
          <w:szCs w:val="21"/>
        </w:rPr>
      </w:pPr>
      <w:r>
        <w:rPr>
          <w:rFonts w:hint="eastAsia" w:ascii="宋体" w:hAnsi="宋体" w:cs="宋体"/>
          <w:b/>
          <w:bCs/>
          <w:szCs w:val="21"/>
        </w:rPr>
        <w:t>合同履行</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6.1 甲乙双方应当按照</w:t>
      </w:r>
      <w:r>
        <w:rPr>
          <w:rFonts w:hint="eastAsia" w:ascii="宋体" w:hAnsi="宋体" w:cs="宋体"/>
          <w:b/>
          <w:bCs/>
          <w:szCs w:val="21"/>
        </w:rPr>
        <w:t>【政府采购合同专用条款】</w:t>
      </w:r>
      <w:r>
        <w:rPr>
          <w:rFonts w:hint="eastAsia" w:ascii="宋体" w:hAnsi="宋体" w:cs="宋体"/>
          <w:szCs w:val="21"/>
        </w:rPr>
        <w:t>约定顺序履行合同义务；如果没有先后顺序的，应当同时履行。</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cs="宋体"/>
          <w:b/>
          <w:bCs/>
          <w:szCs w:val="21"/>
        </w:rPr>
      </w:pPr>
      <w:r>
        <w:rPr>
          <w:rFonts w:hint="eastAsia" w:ascii="宋体" w:hAnsi="宋体" w:cs="宋体"/>
          <w:b/>
          <w:bCs/>
          <w:szCs w:val="21"/>
        </w:rPr>
        <w:t>7. 货物包装、运输、保险和交付要求</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7.1 本合同</w:t>
      </w:r>
      <w:r>
        <w:rPr>
          <w:rFonts w:hint="eastAsia" w:ascii="宋体" w:hAnsi="宋体" w:cs="宋体"/>
          <w:bCs/>
          <w:szCs w:val="21"/>
        </w:rPr>
        <w:t>涉及商品包装、快递包装的，</w:t>
      </w:r>
      <w:r>
        <w:rPr>
          <w:rFonts w:hint="eastAsia" w:ascii="宋体" w:hAnsi="宋体" w:cs="宋体"/>
          <w:szCs w:val="21"/>
        </w:rPr>
        <w:t>除</w:t>
      </w:r>
      <w:r>
        <w:rPr>
          <w:rFonts w:hint="eastAsia" w:ascii="宋体" w:hAnsi="宋体" w:cs="宋体"/>
          <w:b/>
          <w:szCs w:val="21"/>
        </w:rPr>
        <w:t>【政府采购合同专用条款】</w:t>
      </w:r>
      <w:r>
        <w:rPr>
          <w:rFonts w:hint="eastAsia" w:ascii="宋体" w:hAnsi="宋体" w:cs="宋体"/>
          <w:bCs/>
          <w:szCs w:val="21"/>
        </w:rPr>
        <w:t>另有约定外，</w:t>
      </w:r>
      <w:r>
        <w:rPr>
          <w:rFonts w:hint="eastAsia" w:ascii="宋体" w:hAnsi="宋体" w:cs="宋体"/>
          <w:szCs w:val="21"/>
        </w:rPr>
        <w:t>包装应适应远距离运输、防潮、防震、防锈和防野蛮装卸等要求，确保货物安全无损地运抵</w:t>
      </w:r>
      <w:r>
        <w:rPr>
          <w:rFonts w:hint="eastAsia" w:ascii="宋体" w:hAnsi="宋体" w:cs="宋体"/>
          <w:b/>
          <w:szCs w:val="21"/>
        </w:rPr>
        <w:t>【政府采购合同专用条款】</w:t>
      </w:r>
      <w:r>
        <w:rPr>
          <w:rFonts w:hint="eastAsia" w:ascii="宋体" w:hAnsi="宋体" w:cs="宋体"/>
          <w:bCs/>
          <w:szCs w:val="21"/>
        </w:rPr>
        <w:t>约定的</w:t>
      </w:r>
      <w:r>
        <w:rPr>
          <w:rFonts w:hint="eastAsia" w:ascii="宋体" w:hAnsi="宋体" w:cs="宋体"/>
          <w:szCs w:val="21"/>
        </w:rPr>
        <w:t>指定现场。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7.2 除</w:t>
      </w:r>
      <w:r>
        <w:rPr>
          <w:rFonts w:hint="eastAsia" w:ascii="宋体" w:hAnsi="宋体" w:cs="宋体"/>
          <w:b/>
          <w:szCs w:val="21"/>
        </w:rPr>
        <w:t>【政府采购合同专用条款】</w:t>
      </w:r>
      <w:r>
        <w:rPr>
          <w:rFonts w:hint="eastAsia" w:ascii="宋体" w:hAnsi="宋体" w:cs="宋体"/>
          <w:bCs/>
          <w:szCs w:val="21"/>
        </w:rPr>
        <w:t>另有约定外，</w:t>
      </w:r>
      <w:r>
        <w:rPr>
          <w:rFonts w:hint="eastAsia" w:ascii="宋体" w:hAnsi="宋体" w:cs="宋体"/>
          <w:szCs w:val="21"/>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7.3 货物保险要求按</w:t>
      </w:r>
      <w:r>
        <w:rPr>
          <w:rFonts w:hint="eastAsia" w:ascii="宋体" w:hAnsi="宋体" w:cs="宋体"/>
          <w:b/>
          <w:szCs w:val="21"/>
        </w:rPr>
        <w:t>【政府采购合同专用条款】</w:t>
      </w:r>
      <w:r>
        <w:rPr>
          <w:rFonts w:hint="eastAsia" w:ascii="宋体" w:hAnsi="宋体" w:cs="宋体"/>
          <w:bCs/>
          <w:szCs w:val="21"/>
        </w:rPr>
        <w:t>规定执行</w:t>
      </w:r>
      <w:r>
        <w:rPr>
          <w:rFonts w:hint="eastAsia" w:ascii="宋体" w:hAnsi="宋体" w:cs="宋体"/>
          <w:szCs w:val="21"/>
        </w:rPr>
        <w:t>。</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7.5 乙方在运输到达之前应提前通知甲方，并提示货物运输装卸的注意事项，甲方配合乙方做好货物的接收工作。</w:t>
      </w:r>
    </w:p>
    <w:p>
      <w:pPr>
        <w:pStyle w:val="146"/>
        <w:ind w:firstLine="420"/>
        <w:rPr>
          <w:rFonts w:ascii="宋体" w:hAnsi="宋体" w:eastAsia="宋体" w:cs="宋体"/>
          <w:sz w:val="21"/>
        </w:rPr>
      </w:pPr>
      <w:r>
        <w:rPr>
          <w:rFonts w:hint="eastAsia" w:ascii="宋体" w:hAnsi="宋体" w:eastAsia="宋体" w:cs="宋体"/>
          <w:kern w:val="2"/>
          <w:sz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ascii="宋体" w:hAnsi="宋体" w:cs="宋体"/>
          <w:b/>
          <w:szCs w:val="21"/>
        </w:rPr>
      </w:pPr>
      <w:r>
        <w:rPr>
          <w:rFonts w:hint="eastAsia" w:ascii="宋体" w:hAnsi="宋体" w:cs="宋体"/>
          <w:b/>
          <w:szCs w:val="21"/>
        </w:rPr>
        <w:t>8. 质量标准和保证</w:t>
      </w:r>
    </w:p>
    <w:p>
      <w:pPr>
        <w:pStyle w:val="23"/>
        <w:adjustRightInd w:val="0"/>
        <w:snapToGrid w:val="0"/>
        <w:spacing w:line="400" w:lineRule="exact"/>
        <w:ind w:firstLine="420" w:firstLineChars="200"/>
        <w:jc w:val="left"/>
        <w:rPr>
          <w:rFonts w:hAnsi="宋体" w:cs="宋体"/>
          <w:b/>
        </w:rPr>
      </w:pPr>
      <w:r>
        <w:rPr>
          <w:rFonts w:hint="eastAsia" w:hAnsi="宋体" w:cs="宋体"/>
        </w:rPr>
        <w:t>8.1 质量标准</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3"/>
        <w:adjustRightInd w:val="0"/>
        <w:snapToGrid w:val="0"/>
        <w:spacing w:line="400" w:lineRule="exact"/>
        <w:ind w:firstLine="420" w:firstLineChars="200"/>
        <w:jc w:val="left"/>
        <w:rPr>
          <w:rFonts w:hAnsi="宋体" w:cs="宋体"/>
        </w:rPr>
      </w:pPr>
      <w:r>
        <w:rPr>
          <w:rFonts w:hint="eastAsia" w:hAnsi="宋体" w:cs="宋体"/>
        </w:rPr>
        <w:t>（2）采用中华人民共和国法定计量单位。</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8.2 保证</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szCs w:val="21"/>
        </w:rPr>
        <w:t>【政府采购合同专用条款】</w:t>
      </w:r>
      <w:r>
        <w:rPr>
          <w:rFonts w:hint="eastAsia" w:ascii="宋体" w:hAnsi="宋体" w:cs="宋体"/>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（3）乙方收到通知后，应在</w:t>
      </w:r>
      <w:r>
        <w:rPr>
          <w:rFonts w:hint="eastAsia" w:ascii="宋体" w:hAnsi="宋体" w:cs="宋体"/>
          <w:b/>
          <w:szCs w:val="21"/>
        </w:rPr>
        <w:t>【政府采购合同专用条款】</w:t>
      </w:r>
      <w:r>
        <w:rPr>
          <w:rFonts w:hint="eastAsia" w:ascii="宋体" w:hAnsi="宋体" w:cs="宋体"/>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cs="宋体"/>
          <w:b/>
          <w:bCs/>
          <w:szCs w:val="21"/>
        </w:rPr>
      </w:pPr>
      <w:r>
        <w:rPr>
          <w:rFonts w:hint="eastAsia" w:ascii="宋体" w:hAnsi="宋体" w:cs="宋体"/>
          <w:b/>
          <w:bCs/>
          <w:szCs w:val="21"/>
        </w:rPr>
        <w:t>9. 权利瑕疵担保</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9.1 乙方保证对其出售的货物享有合法的权利。</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9.2 乙方保证在交付的货物上不存在抵押权等担保物权。</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9.3 如甲方使用上述货物构成对第三人侵权的，则由乙方承担全部责任。</w:t>
      </w:r>
    </w:p>
    <w:p>
      <w:pPr>
        <w:autoSpaceDE w:val="0"/>
        <w:autoSpaceDN w:val="0"/>
        <w:adjustRightInd w:val="0"/>
        <w:snapToGrid w:val="0"/>
        <w:spacing w:line="400" w:lineRule="exact"/>
        <w:jc w:val="left"/>
        <w:rPr>
          <w:rFonts w:ascii="宋体" w:hAnsi="宋体" w:cs="宋体"/>
          <w:b/>
          <w:bCs/>
          <w:szCs w:val="21"/>
        </w:rPr>
      </w:pPr>
      <w:r>
        <w:rPr>
          <w:rFonts w:hint="eastAsia" w:ascii="宋体" w:hAnsi="宋体" w:cs="宋体"/>
          <w:b/>
          <w:bCs/>
          <w:szCs w:val="21"/>
        </w:rPr>
        <w:t>10. 知识产权保护</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10.1 乙方对其所销售的货物应当享有知识产权或经权利人合法授权，保证没有侵犯任何第三人的知识产权等权利。</w:t>
      </w:r>
      <w:bookmarkStart w:id="126" w:name="_Hlk163047038"/>
      <w:r>
        <w:rPr>
          <w:rFonts w:hint="eastAsia" w:ascii="宋体" w:hAnsi="宋体" w:cs="宋体"/>
          <w:szCs w:val="21"/>
        </w:rPr>
        <w:t>因违反前述约定对第三人构成侵权的，应当由乙方向第三人承担法律责任；甲方依法向第三人赔偿后，有权向乙方追偿。甲方有其他损失的，乙方应当赔偿</w:t>
      </w:r>
      <w:bookmarkEnd w:id="126"/>
      <w:r>
        <w:rPr>
          <w:rFonts w:hint="eastAsia" w:ascii="宋体" w:hAnsi="宋体" w:cs="宋体"/>
          <w:szCs w:val="21"/>
        </w:rPr>
        <w:t>。</w:t>
      </w:r>
    </w:p>
    <w:p>
      <w:pPr>
        <w:autoSpaceDE w:val="0"/>
        <w:autoSpaceDN w:val="0"/>
        <w:adjustRightInd w:val="0"/>
        <w:snapToGrid w:val="0"/>
        <w:spacing w:line="400" w:lineRule="exact"/>
        <w:jc w:val="left"/>
        <w:rPr>
          <w:rFonts w:ascii="宋体" w:hAnsi="宋体" w:cs="宋体"/>
          <w:b/>
          <w:bCs/>
          <w:szCs w:val="21"/>
        </w:rPr>
      </w:pPr>
      <w:r>
        <w:rPr>
          <w:rFonts w:hint="eastAsia" w:ascii="宋体" w:hAnsi="宋体" w:cs="宋体"/>
          <w:b/>
          <w:bCs/>
          <w:szCs w:val="21"/>
        </w:rPr>
        <w:t>11. 保密义务</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21"/>
        </w:rPr>
        <w:t>【政府采购合同专用条款】</w:t>
      </w:r>
      <w:r>
        <w:rPr>
          <w:rFonts w:hint="eastAsia" w:ascii="宋体" w:hAnsi="宋体" w:cs="宋体"/>
          <w:szCs w:val="21"/>
        </w:rPr>
        <w:t>中约定。</w:t>
      </w:r>
    </w:p>
    <w:p>
      <w:pPr>
        <w:autoSpaceDE w:val="0"/>
        <w:autoSpaceDN w:val="0"/>
        <w:adjustRightInd w:val="0"/>
        <w:snapToGrid w:val="0"/>
        <w:spacing w:line="400" w:lineRule="exact"/>
        <w:jc w:val="left"/>
        <w:rPr>
          <w:rFonts w:ascii="宋体" w:hAnsi="宋体" w:cs="宋体"/>
          <w:b/>
          <w:bCs/>
          <w:szCs w:val="21"/>
        </w:rPr>
      </w:pPr>
      <w:r>
        <w:rPr>
          <w:rFonts w:hint="eastAsia" w:ascii="宋体" w:hAnsi="宋体" w:cs="宋体"/>
          <w:b/>
          <w:bCs/>
          <w:szCs w:val="21"/>
        </w:rPr>
        <w:t>12. 合同价款支付</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12.1 合同价款支付按照国库集中支付制度及财政管理相关规定执行。</w:t>
      </w:r>
    </w:p>
    <w:p>
      <w:pPr>
        <w:pStyle w:val="4"/>
        <w:ind w:firstLine="420" w:firstLineChars="200"/>
        <w:rPr>
          <w:rFonts w:ascii="宋体" w:hAnsi="宋体" w:eastAsia="宋体" w:cs="宋体"/>
          <w:sz w:val="21"/>
          <w:szCs w:val="21"/>
        </w:rPr>
      </w:pPr>
      <w:r>
        <w:rPr>
          <w:rFonts w:hint="eastAsia" w:ascii="宋体" w:hAnsi="宋体" w:eastAsia="宋体" w:cs="宋体"/>
          <w:b w:val="0"/>
          <w:bCs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sz w:val="21"/>
          <w:szCs w:val="21"/>
        </w:rPr>
        <w:t>政府采购合同专用条款</w:t>
      </w:r>
      <w:r>
        <w:rPr>
          <w:rFonts w:hint="eastAsia" w:ascii="宋体" w:hAnsi="宋体" w:eastAsia="宋体" w:cs="宋体"/>
          <w:b w:val="0"/>
          <w:bCs w:val="0"/>
          <w:sz w:val="21"/>
          <w:szCs w:val="21"/>
        </w:rPr>
        <w:t>】中约定。</w:t>
      </w:r>
    </w:p>
    <w:p>
      <w:pPr>
        <w:pStyle w:val="2"/>
        <w:spacing w:line="400" w:lineRule="exact"/>
        <w:rPr>
          <w:rFonts w:ascii="宋体" w:hAnsi="宋体" w:cs="宋体"/>
          <w:b/>
          <w:bCs/>
          <w:sz w:val="21"/>
          <w:szCs w:val="21"/>
        </w:rPr>
      </w:pPr>
      <w:r>
        <w:rPr>
          <w:rFonts w:hint="eastAsia" w:ascii="宋体" w:hAnsi="宋体" w:cs="宋体"/>
          <w:b/>
          <w:bCs/>
          <w:sz w:val="21"/>
          <w:szCs w:val="21"/>
        </w:rPr>
        <w:t>13. 履约保证金</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13.1 乙方应当以支票、汇票、本票或者金融机构、担保机构出具的保函等非现金形式提交。</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13.2 如果乙方出现</w:t>
      </w:r>
      <w:r>
        <w:rPr>
          <w:rFonts w:hint="eastAsia" w:ascii="宋体" w:hAnsi="宋体" w:cs="宋体"/>
          <w:b/>
          <w:bCs/>
          <w:szCs w:val="21"/>
        </w:rPr>
        <w:t>【政府采购合同专用条款】</w:t>
      </w:r>
      <w:r>
        <w:rPr>
          <w:rFonts w:hint="eastAsia" w:ascii="宋体" w:hAnsi="宋体" w:cs="宋体"/>
          <w:szCs w:val="21"/>
        </w:rPr>
        <w:t>约定情形的，履约保证金不予退还；如果乙方未能按合同约定全面履行义务，甲方有权从履约保证金中取得补偿或赔偿，且不影响甲方要求乙方承担合同约定的超过履约保证金的违约责任的权利。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ascii="宋体" w:hAnsi="宋体" w:cs="宋体"/>
          <w:szCs w:val="21"/>
        </w:rPr>
      </w:pPr>
      <w:r>
        <w:rPr>
          <w:rFonts w:hint="eastAsia" w:ascii="宋体" w:hAnsi="宋体" w:cs="宋体"/>
          <w:szCs w:val="21"/>
        </w:rPr>
        <w:t>13.3 甲方在项目通过验收后按照</w:t>
      </w:r>
      <w:r>
        <w:rPr>
          <w:rFonts w:hint="eastAsia" w:ascii="宋体" w:hAnsi="宋体" w:cs="宋体"/>
          <w:b/>
          <w:szCs w:val="21"/>
        </w:rPr>
        <w:t>【政府采购合同专用条款】</w:t>
      </w:r>
      <w:r>
        <w:rPr>
          <w:rFonts w:hint="eastAsia" w:ascii="宋体" w:hAnsi="宋体" w:cs="宋体"/>
          <w:szCs w:val="21"/>
        </w:rPr>
        <w:t>规定的时间内将履约保证金退还乙方；逾期退还的，乙方可要求甲方支付违约金，违约金按照</w:t>
      </w:r>
      <w:r>
        <w:rPr>
          <w:rFonts w:hint="eastAsia" w:ascii="宋体" w:hAnsi="宋体" w:cs="宋体"/>
          <w:b/>
          <w:szCs w:val="21"/>
        </w:rPr>
        <w:t>【政府采购合同专用条款】</w:t>
      </w:r>
      <w:r>
        <w:rPr>
          <w:rFonts w:hint="eastAsia" w:ascii="宋体" w:hAnsi="宋体" w:cs="宋体"/>
          <w:szCs w:val="21"/>
        </w:rPr>
        <w:t>规定支付。</w:t>
      </w:r>
    </w:p>
    <w:p>
      <w:pPr>
        <w:autoSpaceDE w:val="0"/>
        <w:autoSpaceDN w:val="0"/>
        <w:adjustRightInd w:val="0"/>
        <w:snapToGrid w:val="0"/>
        <w:spacing w:line="400" w:lineRule="exact"/>
        <w:jc w:val="left"/>
        <w:rPr>
          <w:rFonts w:ascii="宋体" w:hAnsi="宋体" w:cs="宋体"/>
          <w:b/>
          <w:szCs w:val="21"/>
        </w:rPr>
      </w:pPr>
      <w:r>
        <w:rPr>
          <w:rFonts w:hint="eastAsia" w:ascii="宋体" w:hAnsi="宋体" w:cs="宋体"/>
          <w:b/>
          <w:bCs/>
          <w:szCs w:val="21"/>
        </w:rPr>
        <w:t xml:space="preserve">14. </w:t>
      </w:r>
      <w:r>
        <w:rPr>
          <w:rFonts w:hint="eastAsia" w:ascii="宋体" w:hAnsi="宋体" w:cs="宋体"/>
          <w:b/>
          <w:szCs w:val="21"/>
        </w:rPr>
        <w:t>售后服务</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（1）货物的现场移动、安装、调试、启动监督及技术支持；</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（2）提供货物组装和维修所需的专用工具和辅助材料；</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（3）在</w:t>
      </w:r>
      <w:r>
        <w:rPr>
          <w:rFonts w:hint="eastAsia" w:ascii="宋体" w:hAnsi="宋体" w:cs="宋体"/>
          <w:b/>
          <w:bCs/>
          <w:szCs w:val="21"/>
        </w:rPr>
        <w:t>【政府采购合同专用条款】</w:t>
      </w:r>
      <w:r>
        <w:rPr>
          <w:rFonts w:hint="eastAsia" w:ascii="宋体" w:hAnsi="宋体" w:cs="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（4）在制造商所在地或指定现场就货物的安装、启动、运营、维护、废弃处置等对甲方操作人员进行培训；</w:t>
      </w:r>
    </w:p>
    <w:p>
      <w:pPr>
        <w:pStyle w:val="146"/>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b/>
          <w:szCs w:val="21"/>
        </w:rPr>
        <w:t>【政府采购合同专用条款】</w:t>
      </w:r>
      <w:r>
        <w:rPr>
          <w:rFonts w:hint="eastAsia" w:ascii="宋体" w:hAnsi="宋体" w:cs="宋体"/>
          <w:szCs w:val="21"/>
        </w:rPr>
        <w:t>规定由乙方提供的其他服务。</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14.2 乙方提供的售后服务的费用已包含在合同价款中，甲方不再另行支付。</w:t>
      </w:r>
    </w:p>
    <w:p>
      <w:pPr>
        <w:adjustRightInd w:val="0"/>
        <w:snapToGrid w:val="0"/>
        <w:spacing w:line="400" w:lineRule="exact"/>
        <w:jc w:val="left"/>
        <w:rPr>
          <w:rFonts w:ascii="宋体" w:hAnsi="宋体" w:cs="宋体"/>
          <w:b/>
          <w:bCs/>
          <w:szCs w:val="21"/>
        </w:rPr>
      </w:pPr>
      <w:r>
        <w:rPr>
          <w:rFonts w:hint="eastAsia" w:ascii="宋体" w:hAnsi="宋体" w:cs="宋体"/>
          <w:b/>
          <w:bCs/>
          <w:szCs w:val="21"/>
        </w:rPr>
        <w:t>15. 违约责任</w:t>
      </w:r>
    </w:p>
    <w:p>
      <w:pPr>
        <w:adjustRightInd w:val="0"/>
        <w:snapToGrid w:val="0"/>
        <w:spacing w:line="400" w:lineRule="exact"/>
        <w:ind w:firstLine="420" w:firstLineChars="200"/>
        <w:jc w:val="left"/>
        <w:rPr>
          <w:rFonts w:ascii="宋体" w:hAnsi="宋体" w:cs="宋体"/>
          <w:bCs/>
          <w:szCs w:val="21"/>
        </w:rPr>
      </w:pPr>
      <w:r>
        <w:rPr>
          <w:rFonts w:hint="eastAsia" w:ascii="宋体" w:hAnsi="宋体" w:cs="宋体"/>
          <w:bCs/>
          <w:szCs w:val="21"/>
        </w:rPr>
        <w:t>15.1质量瑕疵的违约责任</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乙方提供的产品不符合合同约定的质量标准或存在产品质量缺陷，甲方有权要求乙方根据</w:t>
      </w:r>
      <w:r>
        <w:rPr>
          <w:rFonts w:hint="eastAsia" w:ascii="宋体" w:hAnsi="宋体" w:cs="宋体"/>
          <w:b/>
          <w:szCs w:val="21"/>
        </w:rPr>
        <w:t>【政府采购合同专用条款】</w:t>
      </w:r>
      <w:r>
        <w:rPr>
          <w:rFonts w:hint="eastAsia" w:ascii="宋体" w:hAnsi="宋体" w:cs="宋体"/>
          <w:bCs/>
          <w:szCs w:val="21"/>
        </w:rPr>
        <w:t>要求</w:t>
      </w:r>
      <w:r>
        <w:rPr>
          <w:rFonts w:hint="eastAsia" w:ascii="宋体" w:hAnsi="宋体" w:cs="宋体"/>
          <w:szCs w:val="21"/>
        </w:rPr>
        <w:t>及时修理、重作、更换，并承担由此给甲方造成的损失。</w:t>
      </w:r>
    </w:p>
    <w:p>
      <w:pPr>
        <w:autoSpaceDE w:val="0"/>
        <w:autoSpaceDN w:val="0"/>
        <w:adjustRightInd w:val="0"/>
        <w:snapToGrid w:val="0"/>
        <w:spacing w:line="400" w:lineRule="exact"/>
        <w:ind w:firstLine="420" w:firstLineChars="200"/>
        <w:jc w:val="left"/>
        <w:rPr>
          <w:rFonts w:ascii="宋体" w:hAnsi="宋体" w:cs="宋体"/>
          <w:bCs/>
          <w:szCs w:val="21"/>
        </w:rPr>
      </w:pPr>
      <w:r>
        <w:rPr>
          <w:rFonts w:hint="eastAsia" w:ascii="宋体" w:hAnsi="宋体" w:cs="宋体"/>
          <w:bCs/>
          <w:szCs w:val="21"/>
        </w:rPr>
        <w:t>15.2 迟延交货的违约责任</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（2）如果乙方没有按照合同规定的时间交货和提供相关服务，甲方有权从货款中扣除误期赔偿费而不影响合同项下的其他补救方法，赔偿费按</w:t>
      </w:r>
      <w:r>
        <w:rPr>
          <w:rFonts w:hint="eastAsia" w:ascii="宋体" w:hAnsi="宋体" w:cs="宋体"/>
          <w:b/>
          <w:szCs w:val="21"/>
        </w:rPr>
        <w:t>【政府采购合同专用条款】</w:t>
      </w:r>
      <w:r>
        <w:rPr>
          <w:rFonts w:hint="eastAsia" w:ascii="宋体" w:hAnsi="宋体" w:cs="宋体"/>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15.3 迟延支付的违约责任</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甲方存在迟延支付乙方合同款项的，应当承担</w:t>
      </w:r>
      <w:r>
        <w:rPr>
          <w:rFonts w:hint="eastAsia" w:ascii="宋体" w:hAnsi="宋体" w:cs="宋体"/>
          <w:b/>
          <w:bCs/>
          <w:szCs w:val="21"/>
        </w:rPr>
        <w:t>【政府采购合同专用条款】</w:t>
      </w:r>
      <w:r>
        <w:rPr>
          <w:rFonts w:hint="eastAsia" w:ascii="宋体" w:hAnsi="宋体" w:cs="宋体"/>
          <w:szCs w:val="21"/>
        </w:rPr>
        <w:t>规定的逾期付款利息。</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bCs/>
          <w:szCs w:val="21"/>
        </w:rPr>
        <w:t>15.4其他违约责任根据项目实际需要按</w:t>
      </w:r>
      <w:r>
        <w:rPr>
          <w:rFonts w:hint="eastAsia" w:ascii="宋体" w:hAnsi="宋体" w:cs="宋体"/>
          <w:b/>
          <w:bCs/>
          <w:szCs w:val="21"/>
        </w:rPr>
        <w:t>【政府采购合同专用条款】</w:t>
      </w:r>
      <w:r>
        <w:rPr>
          <w:rFonts w:hint="eastAsia" w:ascii="宋体" w:hAnsi="宋体" w:cs="宋体"/>
          <w:szCs w:val="21"/>
        </w:rPr>
        <w:t>规定执行。</w:t>
      </w:r>
    </w:p>
    <w:p>
      <w:pPr>
        <w:numPr>
          <w:ilvl w:val="0"/>
          <w:numId w:val="7"/>
        </w:numPr>
        <w:autoSpaceDE w:val="0"/>
        <w:autoSpaceDN w:val="0"/>
        <w:adjustRightInd w:val="0"/>
        <w:snapToGrid w:val="0"/>
        <w:spacing w:line="400" w:lineRule="exact"/>
        <w:jc w:val="left"/>
        <w:rPr>
          <w:rFonts w:ascii="宋体" w:hAnsi="宋体" w:cs="宋体"/>
          <w:b/>
          <w:szCs w:val="21"/>
        </w:rPr>
      </w:pPr>
      <w:r>
        <w:rPr>
          <w:rFonts w:hint="eastAsia" w:ascii="宋体" w:hAnsi="宋体" w:cs="宋体"/>
          <w:b/>
          <w:szCs w:val="21"/>
        </w:rPr>
        <w:t>合同变更、中止与终止</w:t>
      </w:r>
    </w:p>
    <w:p>
      <w:pPr>
        <w:adjustRightInd w:val="0"/>
        <w:snapToGrid w:val="0"/>
        <w:spacing w:line="400" w:lineRule="exact"/>
        <w:jc w:val="left"/>
        <w:rPr>
          <w:rFonts w:ascii="宋体" w:hAnsi="宋体" w:cs="宋体"/>
          <w:szCs w:val="21"/>
        </w:rPr>
      </w:pPr>
      <w:r>
        <w:rPr>
          <w:rFonts w:hint="eastAsia" w:ascii="宋体" w:hAnsi="宋体" w:cs="宋体"/>
          <w:szCs w:val="21"/>
        </w:rPr>
        <w:t xml:space="preserve">    16.1合同的变更</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16.2合同的中止</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46"/>
        <w:ind w:firstLine="420"/>
        <w:jc w:val="both"/>
        <w:rPr>
          <w:rFonts w:ascii="宋体" w:hAnsi="宋体" w:eastAsia="宋体" w:cs="宋体"/>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ascii="宋体" w:hAnsi="宋体" w:cs="宋体"/>
          <w:szCs w:val="21"/>
        </w:rPr>
      </w:pPr>
      <w:r>
        <w:rPr>
          <w:rFonts w:hint="eastAsia" w:ascii="宋体" w:hAnsi="宋体" w:cs="宋体"/>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16.3合同的终止</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（1）合同因有效期限届满而终止；</w:t>
      </w:r>
    </w:p>
    <w:p>
      <w:pPr>
        <w:snapToGrid w:val="0"/>
        <w:spacing w:line="400" w:lineRule="exact"/>
        <w:ind w:firstLine="420" w:firstLineChars="200"/>
        <w:rPr>
          <w:rFonts w:ascii="宋体" w:hAnsi="宋体" w:cs="宋体"/>
          <w:szCs w:val="21"/>
        </w:rPr>
      </w:pPr>
      <w:r>
        <w:rPr>
          <w:rFonts w:hint="eastAsia" w:ascii="宋体" w:hAnsi="宋体" w:cs="宋体"/>
          <w:szCs w:val="21"/>
        </w:rPr>
        <w:t>（2）乙方未按合同约定履行，构成根本性违约的，甲方有权终止合同，并追究乙方的违约责任。</w:t>
      </w:r>
    </w:p>
    <w:p>
      <w:pPr>
        <w:pStyle w:val="146"/>
        <w:ind w:firstLine="420"/>
        <w:rPr>
          <w:rFonts w:ascii="宋体" w:hAnsi="宋体" w:eastAsia="宋体" w:cs="宋体"/>
          <w:sz w:val="21"/>
        </w:rPr>
      </w:pPr>
      <w:r>
        <w:rPr>
          <w:rFonts w:hint="eastAsia" w:ascii="宋体" w:hAnsi="宋体" w:eastAsia="宋体" w:cs="宋体"/>
          <w:sz w:val="21"/>
        </w:rPr>
        <w:t xml:space="preserve">16.4 </w:t>
      </w:r>
      <w:r>
        <w:rPr>
          <w:rFonts w:hint="eastAsia" w:ascii="宋体" w:hAnsi="宋体" w:eastAsia="宋体" w:cs="宋体"/>
          <w:kern w:val="2"/>
          <w:sz w:val="21"/>
        </w:rPr>
        <w:t>涉及国家利益、社会公共利益的情形</w:t>
      </w:r>
    </w:p>
    <w:p>
      <w:pPr>
        <w:pStyle w:val="146"/>
        <w:ind w:firstLine="420"/>
        <w:jc w:val="both"/>
        <w:rPr>
          <w:rFonts w:ascii="宋体" w:hAnsi="宋体" w:eastAsia="宋体" w:cs="宋体"/>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cs="宋体"/>
          <w:b/>
          <w:bCs/>
          <w:szCs w:val="21"/>
        </w:rPr>
      </w:pPr>
      <w:r>
        <w:rPr>
          <w:rFonts w:hint="eastAsia" w:ascii="宋体" w:hAnsi="宋体" w:cs="宋体"/>
          <w:b/>
          <w:bCs/>
          <w:szCs w:val="21"/>
        </w:rPr>
        <w:t>17. 合同分包</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cs="宋体"/>
          <w:b/>
          <w:bCs/>
          <w:szCs w:val="21"/>
        </w:rPr>
      </w:pPr>
      <w:r>
        <w:rPr>
          <w:rFonts w:hint="eastAsia" w:ascii="宋体" w:hAnsi="宋体" w:cs="宋体"/>
          <w:b/>
          <w:bCs/>
          <w:szCs w:val="21"/>
        </w:rPr>
        <w:t>18. 不可抗力</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cs="宋体"/>
          <w:b/>
          <w:bCs/>
          <w:szCs w:val="21"/>
        </w:rPr>
      </w:pPr>
      <w:r>
        <w:rPr>
          <w:rFonts w:hint="eastAsia" w:ascii="宋体" w:hAnsi="宋体" w:cs="宋体"/>
          <w:b/>
          <w:bCs/>
          <w:szCs w:val="21"/>
        </w:rPr>
        <w:t>19. 解决争议的方法</w:t>
      </w:r>
    </w:p>
    <w:p>
      <w:pPr>
        <w:pStyle w:val="146"/>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pPr>
        <w:pStyle w:val="146"/>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146"/>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cs="宋体"/>
          <w:szCs w:val="21"/>
        </w:rPr>
      </w:pPr>
      <w:r>
        <w:rPr>
          <w:rFonts w:hint="eastAsia" w:ascii="宋体" w:hAnsi="宋体" w:cs="宋体"/>
          <w:b/>
          <w:szCs w:val="21"/>
        </w:rPr>
        <w:t>20. 政府采购政策</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 xml:space="preserve">20.1 </w:t>
      </w:r>
      <w:r>
        <w:rPr>
          <w:rFonts w:hint="eastAsia" w:ascii="宋体" w:hAnsi="宋体" w:cs="宋体"/>
          <w:szCs w:val="21"/>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20.2 本合同依法执行政府采购政策的方式和内容，属于合同履约验收的范围。甲乙双方</w:t>
      </w:r>
      <w:r>
        <w:rPr>
          <w:rFonts w:hint="eastAsia" w:ascii="宋体" w:hAnsi="宋体" w:cs="宋体"/>
          <w:szCs w:val="21"/>
          <w:lang w:val="en-GB"/>
        </w:rPr>
        <w:t>未按规定要求执行政府采购政策造成损失的</w:t>
      </w:r>
      <w:r>
        <w:rPr>
          <w:rFonts w:hint="eastAsia" w:ascii="宋体" w:hAnsi="宋体" w:cs="宋体"/>
          <w:szCs w:val="21"/>
        </w:rPr>
        <w:t>，有过错的一方应当承担赔偿责任，双方都有过错的，各自承担相应的责任。</w:t>
      </w:r>
    </w:p>
    <w:p>
      <w:pPr>
        <w:pStyle w:val="2"/>
        <w:spacing w:line="400" w:lineRule="exact"/>
        <w:ind w:firstLine="420" w:firstLineChars="200"/>
        <w:rPr>
          <w:rFonts w:ascii="宋体" w:hAnsi="宋体" w:cs="宋体"/>
          <w:sz w:val="21"/>
          <w:szCs w:val="21"/>
        </w:rPr>
      </w:pPr>
      <w:r>
        <w:rPr>
          <w:rFonts w:hint="eastAsia" w:ascii="宋体" w:hAnsi="宋体" w:cs="宋体"/>
          <w:sz w:val="21"/>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cs="宋体"/>
          <w:b/>
          <w:szCs w:val="21"/>
        </w:rPr>
      </w:pPr>
      <w:r>
        <w:rPr>
          <w:rFonts w:hint="eastAsia" w:ascii="宋体" w:hAnsi="宋体" w:cs="宋体"/>
          <w:b/>
          <w:szCs w:val="21"/>
        </w:rPr>
        <w:t>21. 法律适用</w:t>
      </w:r>
    </w:p>
    <w:p>
      <w:pPr>
        <w:pStyle w:val="146"/>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pPr>
        <w:pStyle w:val="146"/>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pPr>
        <w:autoSpaceDE w:val="0"/>
        <w:autoSpaceDN w:val="0"/>
        <w:adjustRightInd w:val="0"/>
        <w:snapToGrid w:val="0"/>
        <w:spacing w:line="400" w:lineRule="exact"/>
        <w:jc w:val="left"/>
        <w:rPr>
          <w:rFonts w:ascii="宋体" w:hAnsi="宋体" w:cs="宋体"/>
          <w:b/>
          <w:szCs w:val="21"/>
        </w:rPr>
      </w:pPr>
      <w:r>
        <w:rPr>
          <w:rFonts w:hint="eastAsia" w:ascii="宋体" w:hAnsi="宋体" w:cs="宋体"/>
          <w:b/>
          <w:szCs w:val="21"/>
        </w:rPr>
        <w:t>22. 通知</w:t>
      </w:r>
    </w:p>
    <w:p>
      <w:pPr>
        <w:pStyle w:val="146"/>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pPr>
        <w:pStyle w:val="146"/>
        <w:ind w:firstLine="0" w:firstLineChars="0"/>
        <w:jc w:val="both"/>
        <w:rPr>
          <w:rFonts w:ascii="宋体" w:hAnsi="宋体" w:eastAsia="宋体" w:cs="宋体"/>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22.4通知以送达之日或通知书中规定的生效之日起生效，两者中以较迟之日为准。</w:t>
      </w:r>
    </w:p>
    <w:p>
      <w:pPr>
        <w:numPr>
          <w:ilvl w:val="0"/>
          <w:numId w:val="8"/>
        </w:numPr>
        <w:adjustRightInd w:val="0"/>
        <w:snapToGrid w:val="0"/>
        <w:spacing w:line="400" w:lineRule="exact"/>
        <w:jc w:val="left"/>
        <w:rPr>
          <w:rFonts w:ascii="宋体" w:hAnsi="宋体" w:cs="宋体"/>
          <w:b/>
          <w:bCs/>
          <w:szCs w:val="21"/>
        </w:rPr>
      </w:pPr>
      <w:r>
        <w:rPr>
          <w:rFonts w:hint="eastAsia" w:ascii="宋体" w:hAnsi="宋体" w:cs="宋体"/>
          <w:b/>
          <w:bCs/>
          <w:szCs w:val="21"/>
        </w:rPr>
        <w:t>合同未尽事项</w:t>
      </w:r>
    </w:p>
    <w:p>
      <w:pPr>
        <w:adjustRightInd w:val="0"/>
        <w:snapToGrid w:val="0"/>
        <w:spacing w:line="400" w:lineRule="exact"/>
        <w:ind w:firstLine="420" w:firstLineChars="200"/>
        <w:jc w:val="left"/>
        <w:rPr>
          <w:rFonts w:ascii="宋体" w:hAnsi="宋体" w:cs="宋体"/>
          <w:bCs/>
          <w:szCs w:val="21"/>
        </w:rPr>
      </w:pPr>
      <w:r>
        <w:rPr>
          <w:rFonts w:hint="eastAsia" w:ascii="宋体" w:hAnsi="宋体" w:cs="宋体"/>
          <w:bCs/>
          <w:szCs w:val="21"/>
        </w:rPr>
        <w:t>23.1合同未尽事项见</w:t>
      </w:r>
      <w:r>
        <w:rPr>
          <w:rFonts w:hint="eastAsia" w:ascii="宋体" w:hAnsi="宋体" w:cs="宋体"/>
          <w:b/>
          <w:szCs w:val="21"/>
        </w:rPr>
        <w:t>【政府采购合同专用条款】</w:t>
      </w:r>
      <w:r>
        <w:rPr>
          <w:rFonts w:hint="eastAsia" w:ascii="宋体" w:hAnsi="宋体" w:cs="宋体"/>
          <w:bCs/>
          <w:szCs w:val="21"/>
        </w:rPr>
        <w:t>。</w:t>
      </w:r>
    </w:p>
    <w:p>
      <w:pPr>
        <w:adjustRightInd w:val="0"/>
        <w:snapToGrid w:val="0"/>
        <w:spacing w:line="400" w:lineRule="exact"/>
        <w:jc w:val="left"/>
        <w:rPr>
          <w:rFonts w:ascii="宋体" w:hAnsi="宋体" w:cs="宋体"/>
          <w:szCs w:val="21"/>
        </w:rPr>
      </w:pPr>
      <w:r>
        <w:rPr>
          <w:rFonts w:hint="eastAsia" w:ascii="宋体" w:hAnsi="宋体" w:cs="宋体"/>
          <w:bCs/>
          <w:szCs w:val="21"/>
        </w:rPr>
        <w:t xml:space="preserve">    23.2 合同附件与合同正文具有同等的法律效力。</w:t>
      </w:r>
      <w:bookmarkStart w:id="127" w:name="_Toc20313"/>
    </w:p>
    <w:p>
      <w:pPr>
        <w:adjustRightInd w:val="0"/>
        <w:snapToGrid w:val="0"/>
        <w:ind w:firstLine="420" w:firstLineChars="200"/>
        <w:rPr>
          <w:rFonts w:ascii="宋体" w:hAnsi="宋体" w:cs="宋体"/>
          <w:szCs w:val="21"/>
        </w:rPr>
      </w:pPr>
    </w:p>
    <w:p>
      <w:pPr>
        <w:adjustRightInd w:val="0"/>
        <w:snapToGrid w:val="0"/>
        <w:ind w:firstLine="420" w:firstLineChars="200"/>
        <w:rPr>
          <w:rFonts w:ascii="宋体" w:hAnsi="宋体" w:cs="宋体"/>
          <w:szCs w:val="21"/>
        </w:rPr>
      </w:pPr>
      <w:r>
        <w:rPr>
          <w:rFonts w:hint="eastAsia" w:ascii="宋体" w:hAnsi="宋体" w:cs="宋体"/>
          <w:szCs w:val="21"/>
        </w:rPr>
        <w:t>第三节 政府采购合同专用条款</w:t>
      </w:r>
      <w:bookmarkEnd w:id="127"/>
    </w:p>
    <w:tbl>
      <w:tblPr>
        <w:tblStyle w:val="40"/>
        <w:tblW w:w="939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2"/>
        <w:gridCol w:w="2355"/>
        <w:gridCol w:w="47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第1.2（6）项</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联合体具体要求</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第1.2（7）项</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其他术语解释</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第4.4款</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履约验收中甲方提出异议或作出说明的期限</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第4.6款</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约定甲方承担的其他义务和责任</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snapToGrid w:val="0"/>
              <w:jc w:val="center"/>
              <w:rPr>
                <w:rFonts w:ascii="宋体" w:hAnsi="宋体" w:cs="宋体"/>
                <w:szCs w:val="21"/>
              </w:rPr>
            </w:pPr>
            <w:r>
              <w:rPr>
                <w:rFonts w:hint="eastAsia" w:ascii="宋体" w:hAnsi="宋体" w:cs="宋体"/>
                <w:szCs w:val="21"/>
              </w:rPr>
              <w:t>第5.4款</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约定乙方承担的其他义务和责任</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snapToGrid w:val="0"/>
              <w:jc w:val="center"/>
              <w:rPr>
                <w:rFonts w:ascii="宋体" w:hAnsi="宋体" w:cs="宋体"/>
                <w:szCs w:val="21"/>
              </w:rPr>
            </w:pPr>
            <w:r>
              <w:rPr>
                <w:rFonts w:hint="eastAsia" w:ascii="宋体" w:hAnsi="宋体" w:cs="宋体"/>
                <w:szCs w:val="21"/>
              </w:rPr>
              <w:t>第6.1款</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履行合同义务的顺序</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302" w:type="dxa"/>
            <w:vMerge w:val="restart"/>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第7.1款</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包装特殊要求</w:t>
            </w:r>
          </w:p>
        </w:tc>
        <w:tc>
          <w:tcPr>
            <w:tcW w:w="4740"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302" w:type="dxa"/>
            <w:vMerge w:val="continue"/>
            <w:vAlign w:val="center"/>
          </w:tcPr>
          <w:p>
            <w:pPr>
              <w:adjustRightInd w:val="0"/>
              <w:snapToGrid w:val="0"/>
              <w:jc w:val="center"/>
              <w:rPr>
                <w:rFonts w:ascii="宋体" w:hAnsi="宋体" w:cs="宋体"/>
                <w:szCs w:val="21"/>
              </w:rPr>
            </w:pP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指定现场</w:t>
            </w:r>
          </w:p>
        </w:tc>
        <w:tc>
          <w:tcPr>
            <w:tcW w:w="4740"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第7.2款</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运输特殊要求</w:t>
            </w:r>
          </w:p>
        </w:tc>
        <w:tc>
          <w:tcPr>
            <w:tcW w:w="4740"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第7.3款</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保险要求</w:t>
            </w:r>
          </w:p>
        </w:tc>
        <w:tc>
          <w:tcPr>
            <w:tcW w:w="4740"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第8.2（1）项</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质量保证期</w:t>
            </w:r>
          </w:p>
        </w:tc>
        <w:tc>
          <w:tcPr>
            <w:tcW w:w="4740" w:type="dxa"/>
            <w:vAlign w:val="center"/>
          </w:tcPr>
          <w:p>
            <w:pPr>
              <w:autoSpaceDE w:val="0"/>
              <w:autoSpaceDN w:val="0"/>
              <w:adjustRightInd w:val="0"/>
              <w:snapToGrid w:val="0"/>
              <w:ind w:firstLine="420" w:firstLineChars="20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第8.2（3）项</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货物质量缺陷</w:t>
            </w:r>
          </w:p>
          <w:p>
            <w:pPr>
              <w:adjustRightInd w:val="0"/>
              <w:snapToGrid w:val="0"/>
              <w:jc w:val="left"/>
              <w:rPr>
                <w:rFonts w:ascii="宋体" w:hAnsi="宋体" w:cs="宋体"/>
                <w:szCs w:val="21"/>
              </w:rPr>
            </w:pPr>
            <w:r>
              <w:rPr>
                <w:rFonts w:hint="eastAsia" w:ascii="宋体" w:hAnsi="宋体" w:cs="宋体"/>
                <w:szCs w:val="21"/>
              </w:rPr>
              <w:t>响应时间</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02" w:type="dxa"/>
            <w:vAlign w:val="center"/>
          </w:tcPr>
          <w:p>
            <w:pPr>
              <w:snapToGrid w:val="0"/>
              <w:jc w:val="center"/>
              <w:rPr>
                <w:rFonts w:ascii="宋体" w:hAnsi="宋体" w:cs="宋体"/>
                <w:szCs w:val="21"/>
              </w:rPr>
            </w:pPr>
            <w:r>
              <w:rPr>
                <w:rFonts w:hint="eastAsia" w:ascii="宋体" w:hAnsi="宋体" w:cs="宋体"/>
                <w:szCs w:val="21"/>
              </w:rPr>
              <w:t>第二节</w:t>
            </w:r>
          </w:p>
          <w:p>
            <w:pPr>
              <w:pStyle w:val="146"/>
              <w:ind w:firstLine="0" w:firstLineChars="0"/>
              <w:jc w:val="center"/>
              <w:rPr>
                <w:rFonts w:ascii="宋体" w:hAnsi="宋体" w:eastAsia="宋体" w:cs="宋体"/>
                <w:sz w:val="21"/>
              </w:rPr>
            </w:pPr>
            <w:r>
              <w:rPr>
                <w:rFonts w:hint="eastAsia" w:ascii="宋体" w:hAnsi="宋体" w:eastAsia="宋体" w:cs="宋体"/>
                <w:sz w:val="21"/>
              </w:rPr>
              <w:t>第11.1款</w:t>
            </w:r>
          </w:p>
        </w:tc>
        <w:tc>
          <w:tcPr>
            <w:tcW w:w="2355" w:type="dxa"/>
            <w:vAlign w:val="center"/>
          </w:tcPr>
          <w:p>
            <w:pPr>
              <w:adjustRightInd w:val="0"/>
              <w:snapToGrid w:val="0"/>
              <w:rPr>
                <w:rFonts w:ascii="宋体" w:hAnsi="宋体" w:cs="宋体"/>
                <w:szCs w:val="21"/>
              </w:rPr>
            </w:pPr>
            <w:r>
              <w:rPr>
                <w:rFonts w:hint="eastAsia" w:ascii="宋体" w:hAnsi="宋体" w:cs="宋体"/>
                <w:szCs w:val="21"/>
              </w:rPr>
              <w:t>其他应当保密的信息</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第12.2款</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合同价款支付时间</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第13.2款</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履约保证金不予退还的情形</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第13.3款</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履约保证金退还时间及逾期退还的违约金</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第14.1（3）项</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运行监督、维修期限</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第14.1（5）项</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货物回收的约定</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第14.1（6）项</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乙方提供的其他服务</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第15.1款</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修理、重作、更换相关具体规定</w:t>
            </w:r>
          </w:p>
        </w:tc>
        <w:tc>
          <w:tcPr>
            <w:tcW w:w="4740" w:type="dxa"/>
            <w:vAlign w:val="center"/>
          </w:tcPr>
          <w:p>
            <w:pPr>
              <w:adjustRightInd w:val="0"/>
              <w:snapToGrid w:val="0"/>
              <w:jc w:val="left"/>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第15.2（2）项</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迟延交货赔偿费</w:t>
            </w:r>
          </w:p>
        </w:tc>
        <w:tc>
          <w:tcPr>
            <w:tcW w:w="4740" w:type="dxa"/>
            <w:vAlign w:val="center"/>
          </w:tcPr>
          <w:p>
            <w:pPr>
              <w:adjustRightInd w:val="0"/>
              <w:snapToGrid w:val="0"/>
              <w:jc w:val="left"/>
              <w:rPr>
                <w:rFonts w:ascii="宋体" w:hAnsi="宋体" w:cs="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第15.3款</w:t>
            </w:r>
          </w:p>
        </w:tc>
        <w:tc>
          <w:tcPr>
            <w:tcW w:w="2355" w:type="dxa"/>
            <w:vAlign w:val="center"/>
          </w:tcPr>
          <w:p>
            <w:pPr>
              <w:adjustRightInd w:val="0"/>
              <w:snapToGrid w:val="0"/>
              <w:jc w:val="left"/>
              <w:rPr>
                <w:rFonts w:ascii="宋体" w:hAnsi="宋体" w:cs="宋体"/>
                <w:szCs w:val="21"/>
              </w:rPr>
            </w:pPr>
            <w:r>
              <w:rPr>
                <w:rFonts w:hint="eastAsia" w:ascii="宋体" w:hAnsi="宋体" w:cs="宋体"/>
                <w:szCs w:val="21"/>
              </w:rPr>
              <w:t>逾期付款利息</w:t>
            </w:r>
          </w:p>
        </w:tc>
        <w:tc>
          <w:tcPr>
            <w:tcW w:w="4740" w:type="dxa"/>
            <w:vAlign w:val="center"/>
          </w:tcPr>
          <w:p>
            <w:pPr>
              <w:adjustRightInd w:val="0"/>
              <w:snapToGrid w:val="0"/>
              <w:jc w:val="left"/>
              <w:rPr>
                <w:rFonts w:ascii="宋体" w:hAnsi="宋体" w:cs="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2302" w:type="dxa"/>
            <w:tcBorders>
              <w:bottom w:val="single" w:color="auto" w:sz="2" w:space="0"/>
              <w:right w:val="single" w:color="auto" w:sz="2" w:space="0"/>
            </w:tcBorders>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第15.4款</w:t>
            </w:r>
          </w:p>
        </w:tc>
        <w:tc>
          <w:tcPr>
            <w:tcW w:w="2355"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cs="宋体"/>
                <w:szCs w:val="21"/>
              </w:rPr>
            </w:pPr>
            <w:r>
              <w:rPr>
                <w:rFonts w:hint="eastAsia" w:ascii="宋体" w:hAnsi="宋体" w:cs="宋体"/>
                <w:szCs w:val="21"/>
              </w:rPr>
              <w:t>其他违约责任</w:t>
            </w:r>
          </w:p>
        </w:tc>
        <w:tc>
          <w:tcPr>
            <w:tcW w:w="4740" w:type="dxa"/>
            <w:tcBorders>
              <w:left w:val="single" w:color="auto" w:sz="2" w:space="0"/>
              <w:bottom w:val="single" w:color="auto" w:sz="2" w:space="0"/>
            </w:tcBorders>
            <w:vAlign w:val="center"/>
          </w:tcPr>
          <w:p>
            <w:pPr>
              <w:adjustRightInd w:val="0"/>
              <w:snapToGrid w:val="0"/>
              <w:jc w:val="left"/>
              <w:rPr>
                <w:rFonts w:ascii="宋体" w:hAnsi="宋体" w:cs="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302" w:type="dxa"/>
            <w:tcBorders>
              <w:top w:val="single" w:color="auto" w:sz="2" w:space="0"/>
              <w:right w:val="single" w:color="auto" w:sz="2" w:space="0"/>
            </w:tcBorders>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第19.2款</w:t>
            </w:r>
          </w:p>
        </w:tc>
        <w:tc>
          <w:tcPr>
            <w:tcW w:w="2355"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cs="宋体"/>
                <w:szCs w:val="21"/>
              </w:rPr>
            </w:pPr>
            <w:r>
              <w:rPr>
                <w:rFonts w:hint="eastAsia" w:ascii="宋体" w:hAnsi="宋体" w:cs="宋体"/>
                <w:szCs w:val="21"/>
              </w:rPr>
              <w:t>解决争议的方法</w:t>
            </w:r>
          </w:p>
        </w:tc>
        <w:tc>
          <w:tcPr>
            <w:tcW w:w="474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pPr>
              <w:adjustRightInd w:val="0"/>
              <w:snapToGrid w:val="0"/>
              <w:jc w:val="left"/>
              <w:rPr>
                <w:rFonts w:ascii="宋体" w:hAnsi="宋体" w:cs="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2302" w:type="dxa"/>
            <w:vAlign w:val="center"/>
          </w:tcPr>
          <w:p>
            <w:pPr>
              <w:adjustRightInd w:val="0"/>
              <w:snapToGrid w:val="0"/>
              <w:jc w:val="center"/>
              <w:rPr>
                <w:rFonts w:ascii="宋体" w:hAnsi="宋体" w:cs="宋体"/>
                <w:szCs w:val="21"/>
              </w:rPr>
            </w:pPr>
            <w:r>
              <w:rPr>
                <w:rFonts w:hint="eastAsia" w:ascii="宋体" w:hAnsi="宋体" w:cs="宋体"/>
                <w:szCs w:val="21"/>
              </w:rPr>
              <w:t>第二节</w:t>
            </w:r>
          </w:p>
          <w:p>
            <w:pPr>
              <w:adjustRightInd w:val="0"/>
              <w:snapToGrid w:val="0"/>
              <w:jc w:val="center"/>
              <w:rPr>
                <w:rFonts w:ascii="宋体" w:hAnsi="宋体" w:cs="宋体"/>
                <w:szCs w:val="21"/>
              </w:rPr>
            </w:pPr>
            <w:r>
              <w:rPr>
                <w:rFonts w:hint="eastAsia" w:ascii="宋体" w:hAnsi="宋体" w:cs="宋体"/>
                <w:szCs w:val="21"/>
              </w:rPr>
              <w:t>第23.1款</w:t>
            </w:r>
          </w:p>
        </w:tc>
        <w:tc>
          <w:tcPr>
            <w:tcW w:w="2355" w:type="dxa"/>
            <w:vAlign w:val="center"/>
          </w:tcPr>
          <w:p>
            <w:pPr>
              <w:adjustRightInd w:val="0"/>
              <w:snapToGrid w:val="0"/>
              <w:jc w:val="left"/>
              <w:rPr>
                <w:rFonts w:ascii="宋体" w:hAnsi="宋体" w:cs="宋体"/>
                <w:szCs w:val="21"/>
              </w:rPr>
            </w:pPr>
            <w:r>
              <w:rPr>
                <w:rFonts w:hint="eastAsia" w:ascii="宋体" w:hAnsi="宋体" w:cs="宋体"/>
                <w:bCs/>
                <w:szCs w:val="21"/>
              </w:rPr>
              <w:t>其他专用条款</w:t>
            </w:r>
          </w:p>
        </w:tc>
        <w:tc>
          <w:tcPr>
            <w:tcW w:w="4740" w:type="dxa"/>
            <w:vAlign w:val="center"/>
          </w:tcPr>
          <w:p>
            <w:pPr>
              <w:adjustRightInd w:val="0"/>
              <w:snapToGrid w:val="0"/>
              <w:jc w:val="left"/>
              <w:rPr>
                <w:rFonts w:ascii="宋体" w:hAnsi="宋体" w:cs="宋体"/>
                <w:szCs w:val="21"/>
              </w:rPr>
            </w:pPr>
          </w:p>
        </w:tc>
      </w:tr>
    </w:tbl>
    <w:p>
      <w:pPr>
        <w:rPr>
          <w:rFonts w:ascii="宋体" w:hAnsi="宋体" w:cs="宋体"/>
          <w:szCs w:val="21"/>
        </w:rPr>
      </w:pPr>
    </w:p>
    <w:p>
      <w:pPr>
        <w:rPr>
          <w:rFonts w:ascii="宋体" w:hAnsi="宋体" w:cs="宋体"/>
          <w:szCs w:val="21"/>
        </w:rPr>
      </w:pPr>
    </w:p>
    <w:p>
      <w:pPr>
        <w:pStyle w:val="23"/>
        <w:jc w:val="left"/>
      </w:pPr>
    </w:p>
    <w:p/>
    <w:p/>
    <w:p/>
    <w:p/>
    <w:p/>
    <w:p/>
    <w:p/>
    <w:p/>
    <w:p/>
    <w:p/>
    <w:p/>
    <w:p/>
    <w:p>
      <w:pPr>
        <w:pStyle w:val="37"/>
      </w:pPr>
    </w:p>
    <w:p/>
    <w:p>
      <w:pPr>
        <w:pStyle w:val="37"/>
      </w:pPr>
    </w:p>
    <w:p/>
    <w:p>
      <w:pPr>
        <w:pStyle w:val="37"/>
      </w:pPr>
    </w:p>
    <w:p/>
    <w:p>
      <w:pPr>
        <w:pStyle w:val="37"/>
      </w:pPr>
    </w:p>
    <w:p/>
    <w:p>
      <w:pPr>
        <w:pStyle w:val="23"/>
        <w:jc w:val="left"/>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pStyle w:val="3"/>
        <w:numPr>
          <w:ilvl w:val="0"/>
          <w:numId w:val="9"/>
        </w:numPr>
        <w:spacing w:line="400" w:lineRule="exact"/>
        <w:rPr>
          <w:rFonts w:ascii="方正小标宋_GBK" w:hAnsi="方正小标宋_GBK" w:eastAsia="方正小标宋_GBK"/>
          <w:color w:val="0D0D0D" w:themeColor="text1" w:themeTint="F2"/>
          <w14:textFill>
            <w14:solidFill>
              <w14:schemeClr w14:val="tx1">
                <w14:lumMod w14:val="95000"/>
                <w14:lumOff w14:val="5000"/>
              </w14:schemeClr>
            </w14:solidFill>
          </w14:textFill>
        </w:rPr>
      </w:pPr>
      <w:bookmarkStart w:id="128" w:name="_Toc397585460"/>
      <w:bookmarkStart w:id="129" w:name="_Toc92355028"/>
      <w:r>
        <w:rPr>
          <w:rFonts w:hint="eastAsia" w:ascii="方正小标宋_GBK" w:hAnsi="方正小标宋_GBK" w:eastAsia="方正小标宋_GBK"/>
          <w:color w:val="0D0D0D" w:themeColor="text1" w:themeTint="F2"/>
          <w14:textFill>
            <w14:solidFill>
              <w14:schemeClr w14:val="tx1">
                <w14:lumMod w14:val="95000"/>
                <w14:lumOff w14:val="5000"/>
              </w14:schemeClr>
            </w14:solidFill>
          </w14:textFill>
        </w:rPr>
        <w:t xml:space="preserve"> 响应文件格式</w:t>
      </w:r>
      <w:bookmarkEnd w:id="128"/>
      <w:bookmarkEnd w:id="129"/>
    </w:p>
    <w:p>
      <w:r>
        <w:rPr>
          <w:rFonts w:hint="eastAsia"/>
        </w:rPr>
        <w:t xml:space="preserve">                                              </w:t>
      </w:r>
      <w:r>
        <w:rPr>
          <w:rFonts w:hint="eastAsia" w:hAnsi="宋体" w:cs="Courier New"/>
          <w:b/>
          <w:bCs/>
          <w:color w:val="0D0D0D" w:themeColor="text1" w:themeTint="F2"/>
          <w:sz w:val="28"/>
          <w:szCs w:val="28"/>
          <w14:textFill>
            <w14:solidFill>
              <w14:schemeClr w14:val="tx1">
                <w14:lumMod w14:val="95000"/>
                <w14:lumOff w14:val="5000"/>
              </w14:schemeClr>
            </w14:solidFill>
          </w14:textFill>
        </w:rPr>
        <w:t>（参考文本）</w:t>
      </w:r>
    </w:p>
    <w:p>
      <w:pPr>
        <w:ind w:firstLine="5421" w:firstLineChars="1800"/>
        <w:jc w:val="left"/>
        <w:rPr>
          <w:rFonts w:hAnsi="宋体"/>
          <w:color w:val="0D0D0D" w:themeColor="text1" w:themeTint="F2"/>
          <w:sz w:val="36"/>
          <w:szCs w:val="36"/>
          <w14:textFill>
            <w14:solidFill>
              <w14:schemeClr w14:val="tx1">
                <w14:lumMod w14:val="95000"/>
                <w14:lumOff w14:val="5000"/>
              </w14:schemeClr>
            </w14:solidFill>
          </w14:textFill>
        </w:rPr>
      </w:pPr>
      <w:r>
        <w:rPr>
          <w:b/>
          <w:color w:val="0D0D0D" w:themeColor="text1" w:themeTint="F2"/>
          <w:sz w:val="30"/>
          <w:szCs w:val="30"/>
          <w14:textFill>
            <w14:solidFill>
              <w14:schemeClr w14:val="tx1">
                <w14:lumMod w14:val="95000"/>
                <w14:lumOff w14:val="5000"/>
              </w14:schemeClr>
            </w14:solidFill>
          </w14:textFill>
        </w:rPr>
        <w:br w:type="page"/>
      </w:r>
      <w:r>
        <w:rPr>
          <w:rFonts w:hint="eastAsia" w:ascii="仿宋_GB2312"/>
          <w:b/>
          <w:bCs/>
          <w:color w:val="0D0D0D" w:themeColor="text1" w:themeTint="F2"/>
          <w:sz w:val="36"/>
          <w:szCs w:val="36"/>
          <w14:textFill>
            <w14:solidFill>
              <w14:schemeClr w14:val="tx1">
                <w14:lumMod w14:val="95000"/>
                <w14:lumOff w14:val="5000"/>
              </w14:schemeClr>
            </w14:solidFill>
          </w14:textFill>
        </w:rPr>
        <w:t>一、供应商资格文件</w:t>
      </w:r>
    </w:p>
    <w:p>
      <w:pPr>
        <w:tabs>
          <w:tab w:val="left" w:pos="3402"/>
        </w:tabs>
        <w:ind w:firstLine="602"/>
        <w:jc w:val="center"/>
        <w:rPr>
          <w:rFonts w:ascii="仿宋_GB2312" w:hAnsi="Adobe 仿宋 Std R" w:eastAsia="仿宋_GB2312"/>
          <w:b/>
          <w:color w:val="000000"/>
          <w:spacing w:val="10"/>
          <w:sz w:val="32"/>
          <w:szCs w:val="32"/>
        </w:rPr>
      </w:pPr>
      <w:bookmarkStart w:id="130" w:name="_Hlk111728366"/>
      <w:r>
        <w:rPr>
          <w:rFonts w:hint="eastAsia" w:ascii="仿宋_GB2312" w:hAnsi="Adobe 仿宋 Std R" w:eastAsia="仿宋_GB2312"/>
          <w:b/>
          <w:color w:val="000000"/>
          <w:spacing w:val="10"/>
          <w:sz w:val="32"/>
          <w:szCs w:val="32"/>
        </w:rPr>
        <w:t>供应商具备参加政府采购活动条件的承诺书</w:t>
      </w:r>
      <w:r>
        <w:rPr>
          <w:rFonts w:hint="eastAsia" w:ascii="仿宋_GB2312" w:hAnsi="Adobe 仿宋 Std R" w:eastAsia="仿宋_GB2312" w:cs="黑体"/>
          <w:bCs/>
          <w:sz w:val="24"/>
        </w:rPr>
        <w:t>(格式)</w:t>
      </w:r>
    </w:p>
    <w:p>
      <w:pPr>
        <w:tabs>
          <w:tab w:val="left" w:pos="3402"/>
        </w:tabs>
        <w:jc w:val="left"/>
        <w:rPr>
          <w:rFonts w:ascii="仿宋_GB2312" w:hAnsi="仿宋" w:eastAsia="仿宋_GB2312"/>
          <w:b/>
          <w:color w:val="000000"/>
          <w:spacing w:val="10"/>
          <w:szCs w:val="21"/>
        </w:rPr>
      </w:pPr>
    </w:p>
    <w:p>
      <w:pPr>
        <w:spacing w:line="520" w:lineRule="exact"/>
        <w:rPr>
          <w:rFonts w:ascii="宋体" w:hAnsi="宋体"/>
          <w:bCs/>
          <w:color w:val="000000"/>
          <w:szCs w:val="22"/>
        </w:rPr>
      </w:pPr>
      <w:r>
        <w:rPr>
          <w:rFonts w:hint="eastAsia" w:ascii="宋体" w:hAnsi="宋体"/>
          <w:bCs/>
          <w:color w:val="000000"/>
          <w:szCs w:val="22"/>
        </w:rPr>
        <w:t>钦州市政府采购中心：</w:t>
      </w:r>
    </w:p>
    <w:p>
      <w:pPr>
        <w:spacing w:line="520" w:lineRule="exact"/>
        <w:ind w:firstLine="420"/>
        <w:rPr>
          <w:rFonts w:ascii="宋体" w:hAnsi="宋体"/>
          <w:bCs/>
          <w:color w:val="000000"/>
          <w:szCs w:val="22"/>
        </w:rPr>
      </w:pPr>
      <w:r>
        <w:rPr>
          <w:rFonts w:hint="eastAsia" w:ascii="宋体" w:hAnsi="宋体"/>
          <w:bCs/>
          <w:color w:val="000000"/>
          <w:szCs w:val="22"/>
        </w:rPr>
        <w:t>根据《中华人民共和国政府采购法》实施条例第十七条的规定，现郑重承诺：</w:t>
      </w:r>
    </w:p>
    <w:p>
      <w:pPr>
        <w:spacing w:line="520" w:lineRule="exact"/>
        <w:ind w:firstLine="420"/>
        <w:rPr>
          <w:rFonts w:ascii="宋体" w:hAnsi="宋体"/>
          <w:bCs/>
          <w:color w:val="000000"/>
          <w:szCs w:val="22"/>
        </w:rPr>
      </w:pPr>
      <w:r>
        <w:rPr>
          <w:rFonts w:ascii="宋体" w:hAnsi="宋体"/>
          <w:bCs/>
          <w:color w:val="000000"/>
          <w:szCs w:val="22"/>
          <w:u w:val="single"/>
        </w:rPr>
        <w:t>(</w:t>
      </w:r>
      <w:r>
        <w:rPr>
          <w:rFonts w:hint="eastAsia" w:ascii="宋体" w:hAnsi="宋体"/>
          <w:bCs/>
          <w:color w:val="A6A6A6"/>
          <w:szCs w:val="22"/>
          <w:u w:val="single"/>
        </w:rPr>
        <w:t>供应商名称</w:t>
      </w:r>
      <w:r>
        <w:rPr>
          <w:rFonts w:hint="eastAsia" w:ascii="宋体" w:hAnsi="宋体"/>
          <w:bCs/>
          <w:color w:val="000000"/>
          <w:szCs w:val="22"/>
          <w:u w:val="single"/>
        </w:rPr>
        <w:t>)</w:t>
      </w:r>
      <w:r>
        <w:rPr>
          <w:rFonts w:hint="eastAsia" w:ascii="宋体" w:hAnsi="宋体"/>
          <w:bCs/>
          <w:color w:val="000000"/>
          <w:szCs w:val="22"/>
        </w:rPr>
        <w:t>具有良好的商业信誉和健全的财务会计制度，具有履行合同所必需的设备和专业技术能力，有依法缴纳税收和社会保障资金的良好记录。</w:t>
      </w:r>
    </w:p>
    <w:p>
      <w:pPr>
        <w:spacing w:line="520" w:lineRule="exact"/>
        <w:ind w:firstLine="420"/>
        <w:rPr>
          <w:rFonts w:ascii="宋体" w:hAnsi="宋体"/>
          <w:bCs/>
          <w:color w:val="000000"/>
          <w:szCs w:val="22"/>
        </w:rPr>
      </w:pPr>
      <w:r>
        <w:rPr>
          <w:rFonts w:hint="eastAsia" w:ascii="宋体" w:hAnsi="宋体"/>
          <w:bCs/>
          <w:color w:val="000000"/>
          <w:szCs w:val="22"/>
        </w:rPr>
        <w:t>本单位对上述承诺内容事项真实性负责，如有虚假，由我单位承担相关法律责任。</w:t>
      </w:r>
    </w:p>
    <w:p>
      <w:pPr>
        <w:spacing w:line="520" w:lineRule="exact"/>
        <w:ind w:firstLine="420"/>
        <w:rPr>
          <w:rFonts w:ascii="宋体" w:hAnsi="宋体"/>
          <w:bCs/>
          <w:color w:val="000000"/>
          <w:szCs w:val="22"/>
        </w:rPr>
      </w:pPr>
      <w:r>
        <w:rPr>
          <w:rFonts w:hint="eastAsia" w:ascii="宋体" w:hAnsi="宋体"/>
          <w:bCs/>
          <w:color w:val="000000"/>
          <w:szCs w:val="22"/>
        </w:rPr>
        <w:t>特此承诺。</w:t>
      </w:r>
    </w:p>
    <w:p>
      <w:pPr>
        <w:ind w:firstLine="420"/>
        <w:rPr>
          <w:rFonts w:ascii="宋体" w:hAnsi="宋体"/>
          <w:bCs/>
          <w:color w:val="000000"/>
          <w:szCs w:val="22"/>
        </w:rPr>
      </w:pPr>
    </w:p>
    <w:p>
      <w:pPr>
        <w:ind w:firstLine="420"/>
        <w:rPr>
          <w:rFonts w:ascii="宋体" w:hAnsi="宋体"/>
          <w:bCs/>
          <w:color w:val="000000"/>
          <w:szCs w:val="22"/>
        </w:rPr>
      </w:pPr>
    </w:p>
    <w:p>
      <w:pPr>
        <w:spacing w:line="440" w:lineRule="exact"/>
        <w:ind w:right="1050" w:rightChars="500" w:firstLine="5250" w:firstLineChars="2500"/>
        <w:jc w:val="left"/>
        <w:rPr>
          <w:rFonts w:ascii="宋体" w:hAnsi="宋体"/>
          <w:bCs/>
        </w:rPr>
      </w:pPr>
      <w:r>
        <w:rPr>
          <w:rFonts w:hint="eastAsia" w:ascii="宋体" w:hAnsi="宋体"/>
          <w:bCs/>
          <w:color w:val="000000"/>
          <w:szCs w:val="22"/>
        </w:rPr>
        <w:t xml:space="preserve"> </w:t>
      </w:r>
      <w:r>
        <w:rPr>
          <w:rFonts w:ascii="宋体" w:hAnsi="宋体"/>
          <w:bCs/>
          <w:color w:val="000000"/>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30"/>
    <w:p/>
    <w:p/>
    <w:p/>
    <w:p/>
    <w:p/>
    <w:p>
      <w:pPr>
        <w:tabs>
          <w:tab w:val="left" w:pos="3402"/>
        </w:tabs>
        <w:spacing w:line="460" w:lineRule="exact"/>
        <w:jc w:val="center"/>
        <w:rPr>
          <w:rFonts w:ascii="仿宋_GB2312" w:hAnsi="仿宋" w:eastAsia="仿宋_GB2312"/>
          <w:b/>
          <w:color w:val="0D0D0D" w:themeColor="text1" w:themeTint="F2"/>
          <w:spacing w:val="10"/>
          <w:sz w:val="32"/>
          <w:szCs w:val="32"/>
          <w14:textFill>
            <w14:solidFill>
              <w14:schemeClr w14:val="tx1">
                <w14:lumMod w14:val="95000"/>
                <w14:lumOff w14:val="5000"/>
              </w14:schemeClr>
            </w14:solidFill>
          </w14:textFill>
        </w:rPr>
      </w:pPr>
      <w:r>
        <w:rPr>
          <w:rFonts w:hint="eastAsia" w:ascii="仿宋_GB2312" w:hAnsi="仿宋" w:eastAsia="仿宋_GB2312"/>
          <w:b/>
          <w:color w:val="0D0D0D" w:themeColor="text1" w:themeTint="F2"/>
          <w:spacing w:val="10"/>
          <w:sz w:val="32"/>
          <w:szCs w:val="32"/>
          <w14:textFill>
            <w14:solidFill>
              <w14:schemeClr w14:val="tx1">
                <w14:lumMod w14:val="95000"/>
                <w14:lumOff w14:val="5000"/>
              </w14:schemeClr>
            </w14:solidFill>
          </w14:textFill>
        </w:rPr>
        <w:t>无重大违法记录的书面声明</w:t>
      </w:r>
      <w:r>
        <w:rPr>
          <w:rFonts w:hint="eastAsia" w:ascii="仿宋" w:hAnsi="仿宋" w:eastAsia="仿宋" w:cs="黑体"/>
          <w:bCs/>
          <w:color w:val="0D0D0D" w:themeColor="text1" w:themeTint="F2"/>
          <w:sz w:val="24"/>
          <w14:textFill>
            <w14:solidFill>
              <w14:schemeClr w14:val="tx1">
                <w14:lumMod w14:val="95000"/>
                <w14:lumOff w14:val="5000"/>
              </w14:schemeClr>
            </w14:solidFill>
          </w14:textFill>
        </w:rPr>
        <w:t>(格式</w:t>
      </w:r>
      <w:r>
        <w:rPr>
          <w:rFonts w:ascii="仿宋" w:hAnsi="仿宋" w:eastAsia="仿宋" w:cs="黑体"/>
          <w:bCs/>
          <w:color w:val="0D0D0D" w:themeColor="text1" w:themeTint="F2"/>
          <w:sz w:val="24"/>
          <w14:textFill>
            <w14:solidFill>
              <w14:schemeClr w14:val="tx1">
                <w14:lumMod w14:val="95000"/>
                <w14:lumOff w14:val="5000"/>
              </w14:schemeClr>
            </w14:solidFill>
          </w14:textFill>
        </w:rPr>
        <w:t>)</w:t>
      </w:r>
    </w:p>
    <w:p>
      <w:pPr>
        <w:spacing w:line="400" w:lineRule="exact"/>
        <w:rPr>
          <w:rFonts w:ascii="宋体" w:hAnsi="宋体"/>
          <w:b/>
          <w:color w:val="0D0D0D" w:themeColor="text1" w:themeTint="F2"/>
          <w14:textFill>
            <w14:solidFill>
              <w14:schemeClr w14:val="tx1">
                <w14:lumMod w14:val="95000"/>
                <w14:lumOff w14:val="5000"/>
              </w14:schemeClr>
            </w14:solidFill>
          </w14:textFill>
        </w:rPr>
      </w:pPr>
    </w:p>
    <w:p>
      <w:pPr>
        <w:spacing w:line="520" w:lineRule="exact"/>
        <w:rPr>
          <w:rFonts w:ascii="宋体" w:hAnsi="宋体"/>
          <w:bCs/>
          <w:color w:val="0D0D0D" w:themeColor="text1" w:themeTint="F2"/>
          <w14:textFill>
            <w14:solidFill>
              <w14:schemeClr w14:val="tx1">
                <w14:lumMod w14:val="95000"/>
                <w14:lumOff w14:val="5000"/>
              </w14:schemeClr>
            </w14:solidFill>
          </w14:textFill>
        </w:rPr>
      </w:pPr>
      <w:r>
        <w:rPr>
          <w:rFonts w:hint="eastAsia" w:ascii="宋体" w:hAnsi="宋体"/>
          <w:bCs/>
          <w:color w:val="0D0D0D" w:themeColor="text1" w:themeTint="F2"/>
          <w14:textFill>
            <w14:solidFill>
              <w14:schemeClr w14:val="tx1">
                <w14:lumMod w14:val="95000"/>
                <w14:lumOff w14:val="5000"/>
              </w14:schemeClr>
            </w14:solidFill>
          </w14:textFill>
        </w:rPr>
        <w:t>钦州市政府采购中心：</w:t>
      </w:r>
    </w:p>
    <w:p>
      <w:pPr>
        <w:spacing w:line="520" w:lineRule="exact"/>
        <w:ind w:firstLine="420"/>
        <w:rPr>
          <w:rFonts w:ascii="宋体" w:hAnsi="宋体"/>
          <w:bCs/>
          <w:color w:val="0D0D0D" w:themeColor="text1" w:themeTint="F2"/>
          <w14:textFill>
            <w14:solidFill>
              <w14:schemeClr w14:val="tx1">
                <w14:lumMod w14:val="95000"/>
                <w14:lumOff w14:val="5000"/>
              </w14:schemeClr>
            </w14:solidFill>
          </w14:textFill>
        </w:rPr>
      </w:pPr>
      <w:r>
        <w:rPr>
          <w:rFonts w:hint="eastAsia" w:ascii="宋体" w:hAnsi="宋体"/>
          <w:bCs/>
          <w:color w:val="0D0D0D" w:themeColor="text1" w:themeTint="F2"/>
          <w14:textFill>
            <w14:solidFill>
              <w14:schemeClr w14:val="tx1">
                <w14:lumMod w14:val="95000"/>
                <w14:lumOff w14:val="5000"/>
              </w14:schemeClr>
            </w14:solidFill>
          </w14:textFill>
        </w:rPr>
        <w:t>根据《中华人民共和国政府采购法实施条例》第十七条第一款第(四</w:t>
      </w:r>
      <w:r>
        <w:rPr>
          <w:rFonts w:ascii="宋体" w:hAnsi="宋体"/>
          <w:bCs/>
          <w:color w:val="0D0D0D" w:themeColor="text1" w:themeTint="F2"/>
          <w14:textFill>
            <w14:solidFill>
              <w14:schemeClr w14:val="tx1">
                <w14:lumMod w14:val="95000"/>
                <w14:lumOff w14:val="5000"/>
              </w14:schemeClr>
            </w14:solidFill>
          </w14:textFill>
        </w:rPr>
        <w:t>）</w:t>
      </w:r>
      <w:r>
        <w:rPr>
          <w:rFonts w:hint="eastAsia" w:ascii="宋体" w:hAnsi="宋体"/>
          <w:bCs/>
          <w:color w:val="0D0D0D" w:themeColor="text1" w:themeTint="F2"/>
          <w14:textFill>
            <w14:solidFill>
              <w14:schemeClr w14:val="tx1">
                <w14:lumMod w14:val="95000"/>
                <w14:lumOff w14:val="5000"/>
              </w14:schemeClr>
            </w14:solidFill>
          </w14:textFill>
        </w:rPr>
        <w:t>项的规定，现郑重声明：</w:t>
      </w:r>
    </w:p>
    <w:p>
      <w:pPr>
        <w:spacing w:line="520" w:lineRule="exact"/>
        <w:ind w:firstLine="420"/>
        <w:rPr>
          <w:rFonts w:ascii="宋体" w:hAnsi="宋体"/>
          <w:bCs/>
          <w:color w:val="0D0D0D" w:themeColor="text1" w:themeTint="F2"/>
          <w14:textFill>
            <w14:solidFill>
              <w14:schemeClr w14:val="tx1">
                <w14:lumMod w14:val="95000"/>
                <w14:lumOff w14:val="5000"/>
              </w14:schemeClr>
            </w14:solidFill>
          </w14:textFill>
        </w:rPr>
      </w:pPr>
      <w:r>
        <w:rPr>
          <w:rFonts w:ascii="宋体" w:hAnsi="宋体"/>
          <w:bCs/>
          <w:color w:val="A6A6A6" w:themeColor="background1" w:themeShade="A6"/>
          <w:u w:val="single"/>
        </w:rPr>
        <w:t>(</w:t>
      </w:r>
      <w:r>
        <w:rPr>
          <w:rFonts w:hint="eastAsia" w:ascii="宋体" w:hAnsi="宋体"/>
          <w:bCs/>
          <w:color w:val="A6A6A6" w:themeColor="background1" w:themeShade="A6"/>
          <w:u w:val="single"/>
        </w:rPr>
        <w:t>供应商名称)</w:t>
      </w:r>
      <w:r>
        <w:rPr>
          <w:rFonts w:hint="eastAsia" w:ascii="宋体" w:hAnsi="宋体"/>
          <w:bCs/>
          <w:color w:val="0D0D0D" w:themeColor="text1" w:themeTint="F2"/>
          <w14:textFill>
            <w14:solidFill>
              <w14:schemeClr w14:val="tx1">
                <w14:lumMod w14:val="95000"/>
                <w14:lumOff w14:val="5000"/>
              </w14:schemeClr>
            </w14:solidFill>
          </w14:textFill>
        </w:rPr>
        <w:t>在参加本次政府采购活动前3年内在经营活动中没有重大违法记录（</w:t>
      </w:r>
      <w:r>
        <w:rPr>
          <w:rFonts w:hint="eastAsia" w:ascii="宋体" w:hAnsi="宋体"/>
          <w:bCs/>
          <w:color w:val="0D0D0D" w:themeColor="text1" w:themeTint="F2"/>
          <w:u w:val="single"/>
          <w14:textFill>
            <w14:solidFill>
              <w14:schemeClr w14:val="tx1">
                <w14:lumMod w14:val="95000"/>
                <w14:lumOff w14:val="5000"/>
              </w14:schemeClr>
            </w14:solidFill>
          </w14:textFill>
        </w:rPr>
        <w:t>即因违法经营受到刑事处罚或者责令停产停业、吊销许可证或者执照、较大数额罚款等行政处罚的行为</w:t>
      </w:r>
      <w:r>
        <w:rPr>
          <w:rFonts w:hint="eastAsia" w:ascii="宋体" w:hAnsi="宋体"/>
          <w:bCs/>
          <w:color w:val="0D0D0D" w:themeColor="text1" w:themeTint="F2"/>
          <w14:textFill>
            <w14:solidFill>
              <w14:schemeClr w14:val="tx1">
                <w14:lumMod w14:val="95000"/>
                <w14:lumOff w14:val="5000"/>
              </w14:schemeClr>
            </w14:solidFill>
          </w14:textFill>
        </w:rPr>
        <w:t>）。</w:t>
      </w:r>
    </w:p>
    <w:p>
      <w:pPr>
        <w:spacing w:line="520" w:lineRule="exact"/>
        <w:ind w:firstLine="420"/>
        <w:rPr>
          <w:rFonts w:ascii="宋体" w:hAnsi="宋体"/>
          <w:bCs/>
          <w:color w:val="0D0D0D" w:themeColor="text1" w:themeTint="F2"/>
          <w14:textFill>
            <w14:solidFill>
              <w14:schemeClr w14:val="tx1">
                <w14:lumMod w14:val="95000"/>
                <w14:lumOff w14:val="5000"/>
              </w14:schemeClr>
            </w14:solidFill>
          </w14:textFill>
        </w:rPr>
      </w:pPr>
      <w:r>
        <w:rPr>
          <w:rFonts w:hint="eastAsia" w:ascii="宋体" w:hAnsi="宋体"/>
          <w:bCs/>
          <w:color w:val="0D0D0D" w:themeColor="text1" w:themeTint="F2"/>
          <w14:textFill>
            <w14:solidFill>
              <w14:schemeClr w14:val="tx1">
                <w14:lumMod w14:val="95000"/>
                <w14:lumOff w14:val="5000"/>
              </w14:schemeClr>
            </w14:solidFill>
          </w14:textFill>
        </w:rPr>
        <w:t>本单位对上述声明内容事项真实性负责，如有虚假，由我单位承担相关法律责任。</w:t>
      </w:r>
    </w:p>
    <w:p>
      <w:pPr>
        <w:spacing w:line="520" w:lineRule="exact"/>
        <w:ind w:firstLine="420"/>
        <w:rPr>
          <w:rFonts w:ascii="宋体" w:hAnsi="宋体"/>
          <w:bCs/>
          <w:color w:val="0D0D0D" w:themeColor="text1" w:themeTint="F2"/>
          <w14:textFill>
            <w14:solidFill>
              <w14:schemeClr w14:val="tx1">
                <w14:lumMod w14:val="95000"/>
                <w14:lumOff w14:val="5000"/>
              </w14:schemeClr>
            </w14:solidFill>
          </w14:textFill>
        </w:rPr>
      </w:pPr>
      <w:r>
        <w:rPr>
          <w:rFonts w:hint="eastAsia" w:ascii="宋体" w:hAnsi="宋体"/>
          <w:bCs/>
          <w:color w:val="0D0D0D" w:themeColor="text1" w:themeTint="F2"/>
          <w14:textFill>
            <w14:solidFill>
              <w14:schemeClr w14:val="tx1">
                <w14:lumMod w14:val="95000"/>
                <w14:lumOff w14:val="5000"/>
              </w14:schemeClr>
            </w14:solidFill>
          </w14:textFill>
        </w:rPr>
        <w:t>特此声明。</w:t>
      </w:r>
    </w:p>
    <w:p>
      <w:pPr>
        <w:rPr>
          <w:rFonts w:ascii="宋体" w:hAnsi="宋体"/>
          <w:bCs/>
          <w:color w:val="000000"/>
          <w:szCs w:val="22"/>
        </w:rPr>
      </w:pPr>
    </w:p>
    <w:p>
      <w:pPr>
        <w:rPr>
          <w:rFonts w:ascii="宋体" w:hAnsi="宋体"/>
          <w:bCs/>
          <w:color w:val="000000"/>
          <w:szCs w:val="22"/>
        </w:rPr>
      </w:pPr>
    </w:p>
    <w:p>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spacing w:line="400" w:lineRule="exact"/>
        <w:ind w:right="1050" w:rightChars="500"/>
        <w:jc w:val="right"/>
        <w:rPr>
          <w:rFonts w:ascii="黑体" w:hAnsi="黑体" w:eastAsia="黑体" w:cs="黑体"/>
          <w:b/>
          <w:color w:val="0D0D0D" w:themeColor="text1" w:themeTint="F2"/>
          <w:sz w:val="32"/>
          <w:szCs w:val="32"/>
          <w14:textFill>
            <w14:solidFill>
              <w14:schemeClr w14:val="tx1">
                <w14:lumMod w14:val="95000"/>
                <w14:lumOff w14:val="5000"/>
              </w14:schemeClr>
            </w14:solidFill>
          </w14:textFill>
        </w:rPr>
      </w:pPr>
    </w:p>
    <w:p>
      <w:pPr>
        <w:widowControl/>
        <w:jc w:val="left"/>
        <w:rPr>
          <w:rFonts w:ascii="黑体" w:hAnsi="黑体" w:eastAsia="黑体" w:cs="黑体"/>
          <w:b/>
          <w:color w:val="0D0D0D" w:themeColor="text1" w:themeTint="F2"/>
          <w:sz w:val="32"/>
          <w:szCs w:val="32"/>
          <w14:textFill>
            <w14:solidFill>
              <w14:schemeClr w14:val="tx1">
                <w14:lumMod w14:val="95000"/>
                <w14:lumOff w14:val="5000"/>
              </w14:schemeClr>
            </w14:solidFill>
          </w14:textFill>
        </w:rPr>
      </w:pPr>
      <w:r>
        <w:rPr>
          <w:rFonts w:ascii="黑体" w:hAnsi="黑体" w:eastAsia="黑体" w:cs="黑体"/>
          <w:b/>
          <w:color w:val="0D0D0D" w:themeColor="text1" w:themeTint="F2"/>
          <w:sz w:val="32"/>
          <w:szCs w:val="32"/>
          <w14:textFill>
            <w14:solidFill>
              <w14:schemeClr w14:val="tx1">
                <w14:lumMod w14:val="95000"/>
                <w14:lumOff w14:val="5000"/>
              </w14:schemeClr>
            </w14:solidFill>
          </w14:textFill>
        </w:rPr>
        <w:br w:type="page"/>
      </w:r>
      <w:r>
        <w:rPr>
          <w:rFonts w:hint="eastAsia" w:ascii="仿宋" w:hAnsi="仿宋" w:eastAsia="仿宋"/>
          <w:b/>
          <w:color w:val="0D0D0D" w:themeColor="text1" w:themeTint="F2"/>
          <w:sz w:val="36"/>
          <w:szCs w:val="36"/>
          <w14:textFill>
            <w14:solidFill>
              <w14:schemeClr w14:val="tx1">
                <w14:lumMod w14:val="95000"/>
                <w14:lumOff w14:val="5000"/>
              </w14:schemeClr>
            </w14:solidFill>
          </w14:textFill>
        </w:rPr>
        <w:t>二、商务技术文件</w:t>
      </w:r>
    </w:p>
    <w:p>
      <w:pPr>
        <w:widowControl/>
        <w:jc w:val="center"/>
        <w:rPr>
          <w:rFonts w:ascii="仿宋" w:hAnsi="仿宋" w:eastAsia="仿宋" w:cs="黑体"/>
          <w:b/>
          <w:color w:val="0D0D0D" w:themeColor="text1" w:themeTint="F2"/>
          <w:sz w:val="32"/>
          <w:szCs w:val="32"/>
          <w14:textFill>
            <w14:solidFill>
              <w14:schemeClr w14:val="tx1">
                <w14:lumMod w14:val="95000"/>
                <w14:lumOff w14:val="5000"/>
              </w14:schemeClr>
            </w14:solidFill>
          </w14:textFill>
        </w:rPr>
      </w:pPr>
      <w:bookmarkStart w:id="131" w:name="_Hlk92702324"/>
      <w:r>
        <w:rPr>
          <w:rFonts w:hint="eastAsia" w:ascii="仿宋" w:hAnsi="仿宋" w:eastAsia="仿宋" w:cs="黑体"/>
          <w:b/>
          <w:color w:val="0D0D0D" w:themeColor="text1" w:themeTint="F2"/>
          <w:sz w:val="32"/>
          <w:szCs w:val="32"/>
          <w14:textFill>
            <w14:solidFill>
              <w14:schemeClr w14:val="tx1">
                <w14:lumMod w14:val="95000"/>
                <w14:lumOff w14:val="5000"/>
              </w14:schemeClr>
            </w14:solidFill>
          </w14:textFill>
        </w:rPr>
        <w:t>谈 判 函</w:t>
      </w:r>
      <w:bookmarkEnd w:id="131"/>
      <w:r>
        <w:rPr>
          <w:rFonts w:hint="eastAsia" w:ascii="仿宋" w:hAnsi="仿宋" w:eastAsia="仿宋" w:cs="黑体"/>
          <w:bCs/>
          <w:color w:val="0D0D0D" w:themeColor="text1" w:themeTint="F2"/>
          <w:sz w:val="24"/>
          <w14:textFill>
            <w14:solidFill>
              <w14:schemeClr w14:val="tx1">
                <w14:lumMod w14:val="95000"/>
                <w14:lumOff w14:val="5000"/>
              </w14:schemeClr>
            </w14:solidFill>
          </w14:textFill>
        </w:rPr>
        <w:t>(格式</w:t>
      </w:r>
      <w:r>
        <w:rPr>
          <w:rFonts w:ascii="仿宋" w:hAnsi="仿宋" w:eastAsia="仿宋" w:cs="黑体"/>
          <w:bCs/>
          <w:color w:val="0D0D0D" w:themeColor="text1" w:themeTint="F2"/>
          <w:sz w:val="24"/>
          <w14:textFill>
            <w14:solidFill>
              <w14:schemeClr w14:val="tx1">
                <w14:lumMod w14:val="95000"/>
                <w14:lumOff w14:val="5000"/>
              </w14:schemeClr>
            </w14:solidFill>
          </w14:textFill>
        </w:rPr>
        <w:t>)</w:t>
      </w:r>
    </w:p>
    <w:p>
      <w:pPr>
        <w:spacing w:line="360" w:lineRule="exact"/>
        <w:jc w:val="center"/>
        <w:rPr>
          <w:rFonts w:ascii="宋体" w:hAnsi="宋体"/>
          <w:b/>
          <w:color w:val="0D0D0D" w:themeColor="text1" w:themeTint="F2"/>
          <w:szCs w:val="21"/>
          <w14:textFill>
            <w14:solidFill>
              <w14:schemeClr w14:val="tx1">
                <w14:lumMod w14:val="95000"/>
                <w14:lumOff w14:val="5000"/>
              </w14:schemeClr>
            </w14:solidFill>
          </w14:textFill>
        </w:rPr>
      </w:pPr>
    </w:p>
    <w:p>
      <w:pPr>
        <w:spacing w:line="400" w:lineRule="exact"/>
        <w:rPr>
          <w:rFonts w:ascii="宋体" w:hAnsi="宋体"/>
          <w:color w:val="000000"/>
          <w:szCs w:val="21"/>
        </w:rPr>
      </w:pPr>
      <w:r>
        <w:rPr>
          <w:rFonts w:hint="eastAsia" w:ascii="宋体" w:hAnsi="宋体"/>
          <w:color w:val="000000"/>
          <w:szCs w:val="21"/>
        </w:rPr>
        <w:t>致：钦州市政府采购中心：</w:t>
      </w:r>
    </w:p>
    <w:p>
      <w:pPr>
        <w:pStyle w:val="23"/>
        <w:spacing w:line="480" w:lineRule="exact"/>
        <w:ind w:firstLine="420"/>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依据贵方</w:t>
      </w:r>
      <w:r>
        <w:rPr>
          <w:rFonts w:hint="eastAsia" w:hAnsi="宋体"/>
          <w:color w:val="A6A6A6" w:themeColor="background1" w:themeShade="A6"/>
          <w:u w:val="single"/>
        </w:rPr>
        <w:t>（项目名称/文件编号）</w:t>
      </w:r>
      <w:r>
        <w:rPr>
          <w:rFonts w:hint="eastAsia" w:hAnsi="宋体"/>
          <w:color w:val="0D0D0D" w:themeColor="text1" w:themeTint="F2"/>
          <w14:textFill>
            <w14:solidFill>
              <w14:schemeClr w14:val="tx1">
                <w14:lumMod w14:val="95000"/>
                <w14:lumOff w14:val="5000"/>
              </w14:schemeClr>
            </w14:solidFill>
          </w14:textFill>
        </w:rPr>
        <w:t>项目竞争性谈判采购文件，</w:t>
      </w:r>
      <w:r>
        <w:rPr>
          <w:rFonts w:hint="eastAsia" w:hAnsi="宋体"/>
          <w:color w:val="000000"/>
        </w:rPr>
        <w:t>我方</w:t>
      </w:r>
      <w:r>
        <w:rPr>
          <w:rFonts w:hint="eastAsia" w:hAnsi="宋体"/>
          <w:color w:val="A6A6A6"/>
          <w:u w:val="single"/>
        </w:rPr>
        <w:t xml:space="preserve"> （供应商名称） </w:t>
      </w:r>
      <w:r>
        <w:rPr>
          <w:rFonts w:hint="eastAsia" w:hAnsi="宋体"/>
          <w:color w:val="000000"/>
        </w:rPr>
        <w:t>经正式授权代表</w:t>
      </w:r>
      <w:r>
        <w:rPr>
          <w:rFonts w:hint="eastAsia" w:hAnsi="宋体"/>
          <w:color w:val="A6A6A6"/>
          <w:u w:val="single"/>
        </w:rPr>
        <w:t xml:space="preserve">   （被授权人）</w:t>
      </w:r>
      <w:r>
        <w:rPr>
          <w:rFonts w:hint="eastAsia" w:hAnsi="宋体"/>
          <w:color w:val="000000"/>
        </w:rPr>
        <w:t>提交</w:t>
      </w:r>
      <w:r>
        <w:rPr>
          <w:rFonts w:hint="eastAsia" w:hAnsi="宋体"/>
          <w:color w:val="0D0D0D" w:themeColor="text1" w:themeTint="F2"/>
          <w14:textFill>
            <w14:solidFill>
              <w14:schemeClr w14:val="tx1">
                <w14:lumMod w14:val="95000"/>
                <w14:lumOff w14:val="5000"/>
              </w14:schemeClr>
            </w14:solidFill>
          </w14:textFill>
        </w:rPr>
        <w:t>响应文件。</w:t>
      </w:r>
    </w:p>
    <w:p>
      <w:pPr>
        <w:spacing w:line="400" w:lineRule="exact"/>
        <w:rPr>
          <w:rFonts w:ascii="宋体" w:hAnsi="宋体"/>
          <w:color w:val="000000"/>
          <w:szCs w:val="21"/>
        </w:rPr>
      </w:pPr>
      <w:r>
        <w:rPr>
          <w:rFonts w:ascii="宋体" w:hAnsi="宋体"/>
          <w:color w:val="000000"/>
          <w:szCs w:val="21"/>
        </w:rPr>
        <w:tab/>
      </w:r>
      <w:r>
        <w:rPr>
          <w:rFonts w:hint="eastAsia" w:ascii="宋体" w:hAnsi="宋体"/>
          <w:color w:val="000000"/>
          <w:szCs w:val="21"/>
        </w:rPr>
        <w:t>据此函，我公司承诺：</w:t>
      </w:r>
    </w:p>
    <w:p>
      <w:pPr>
        <w:snapToGrid w:val="0"/>
        <w:spacing w:line="360" w:lineRule="exact"/>
        <w:ind w:firstLine="420" w:firstLineChars="200"/>
        <w:rPr>
          <w:rFonts w:ascii="宋体" w:hAnsi="宋体"/>
          <w:szCs w:val="21"/>
        </w:rPr>
      </w:pPr>
      <w:r>
        <w:rPr>
          <w:rFonts w:ascii="宋体" w:hAnsi="宋体"/>
          <w:color w:val="000000"/>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ascii="宋体" w:hAnsi="宋体"/>
          <w:color w:val="000000"/>
          <w:szCs w:val="21"/>
        </w:rPr>
      </w:pPr>
      <w:r>
        <w:rPr>
          <w:rFonts w:hint="eastAsia" w:ascii="宋体" w:hAnsi="宋体"/>
          <w:szCs w:val="21"/>
        </w:rPr>
        <w:t>2.</w:t>
      </w:r>
      <w:r>
        <w:rPr>
          <w:rFonts w:hint="eastAsia" w:ascii="宋体" w:hAnsi="宋体"/>
          <w:color w:val="000000"/>
          <w:szCs w:val="21"/>
        </w:rPr>
        <w:t>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ascii="宋体" w:hAnsi="宋体"/>
          <w:szCs w:val="21"/>
        </w:rPr>
      </w:pPr>
      <w:r>
        <w:rPr>
          <w:rFonts w:ascii="宋体" w:hAnsi="宋体"/>
          <w:color w:val="000000"/>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pPr>
        <w:spacing w:line="400" w:lineRule="exact"/>
        <w:rPr>
          <w:rFonts w:ascii="宋体" w:hAnsi="宋体"/>
          <w:color w:val="000000"/>
          <w:szCs w:val="21"/>
        </w:rPr>
      </w:pPr>
      <w:r>
        <w:rPr>
          <w:rFonts w:ascii="宋体" w:hAnsi="宋体"/>
          <w:color w:val="000000"/>
          <w:szCs w:val="21"/>
        </w:rPr>
        <w:tab/>
      </w:r>
      <w:r>
        <w:rPr>
          <w:rFonts w:ascii="宋体" w:hAnsi="宋体"/>
          <w:color w:val="000000"/>
          <w:szCs w:val="21"/>
        </w:rPr>
        <w:t>4</w:t>
      </w:r>
      <w:r>
        <w:rPr>
          <w:rFonts w:hint="eastAsia" w:ascii="宋体" w:hAnsi="宋体"/>
          <w:color w:val="000000"/>
          <w:szCs w:val="21"/>
        </w:rPr>
        <w:t>.我方根据采购文件的规定，承担完成合同的责任和义务。</w:t>
      </w:r>
    </w:p>
    <w:p>
      <w:pPr>
        <w:spacing w:line="400" w:lineRule="exact"/>
        <w:rPr>
          <w:rFonts w:ascii="宋体" w:hAnsi="宋体"/>
          <w:color w:val="000000"/>
          <w:szCs w:val="21"/>
        </w:rPr>
      </w:pPr>
      <w:r>
        <w:rPr>
          <w:rFonts w:ascii="宋体" w:hAnsi="宋体"/>
          <w:color w:val="000000"/>
          <w:szCs w:val="21"/>
        </w:rPr>
        <w:tab/>
      </w:r>
      <w:r>
        <w:rPr>
          <w:rFonts w:ascii="宋体" w:hAnsi="宋体"/>
          <w:color w:val="000000"/>
          <w:szCs w:val="21"/>
        </w:rPr>
        <w:t>5</w:t>
      </w:r>
      <w:r>
        <w:rPr>
          <w:rFonts w:hint="eastAsia" w:ascii="宋体" w:hAnsi="宋体"/>
          <w:color w:val="000000"/>
          <w:szCs w:val="21"/>
        </w:rPr>
        <w:t>.同意向贵方提供贵方可能要求的与本项目采购有关的人员、数据和资料。</w:t>
      </w:r>
    </w:p>
    <w:p>
      <w:pPr>
        <w:spacing w:line="400" w:lineRule="exact"/>
        <w:ind w:firstLine="424" w:firstLineChars="202"/>
        <w:rPr>
          <w:rFonts w:ascii="宋体" w:hAnsi="宋体"/>
          <w:color w:val="000000"/>
          <w:szCs w:val="21"/>
        </w:rPr>
      </w:pPr>
      <w:r>
        <w:rPr>
          <w:rFonts w:ascii="宋体" w:hAnsi="宋体"/>
          <w:color w:val="000000"/>
          <w:szCs w:val="21"/>
        </w:rPr>
        <w:t>6.</w:t>
      </w:r>
      <w:r>
        <w:rPr>
          <w:rFonts w:hint="eastAsia" w:ascii="宋体" w:hAnsi="宋体"/>
          <w:color w:val="000000"/>
          <w:szCs w:val="21"/>
        </w:rPr>
        <w:t>我方向贵方提交的所有响应文件、资料都是准确的和真实的。</w:t>
      </w:r>
    </w:p>
    <w:p>
      <w:pPr>
        <w:spacing w:line="400" w:lineRule="exact"/>
        <w:rPr>
          <w:rFonts w:ascii="宋体" w:hAnsi="宋体"/>
          <w:color w:val="000000"/>
          <w:szCs w:val="21"/>
        </w:rPr>
      </w:pPr>
    </w:p>
    <w:p>
      <w:pPr>
        <w:spacing w:line="400" w:lineRule="exact"/>
        <w:ind w:firstLine="426"/>
        <w:rPr>
          <w:rFonts w:ascii="宋体" w:hAnsi="宋体"/>
          <w:color w:val="000000"/>
          <w:szCs w:val="21"/>
        </w:rPr>
      </w:pPr>
      <w:r>
        <w:rPr>
          <w:rFonts w:hint="eastAsia" w:ascii="宋体" w:hAnsi="宋体"/>
          <w:color w:val="000000"/>
          <w:szCs w:val="21"/>
        </w:rPr>
        <w:t>与我公司有关的正式通讯方式：</w:t>
      </w:r>
    </w:p>
    <w:p>
      <w:pPr>
        <w:spacing w:line="400" w:lineRule="exact"/>
        <w:rPr>
          <w:rFonts w:ascii="宋体" w:hAnsi="宋体"/>
          <w:color w:val="000000"/>
          <w:szCs w:val="21"/>
        </w:rPr>
      </w:pPr>
      <w:r>
        <w:rPr>
          <w:rFonts w:ascii="宋体" w:hAnsi="宋体"/>
          <w:color w:val="000000"/>
          <w:szCs w:val="21"/>
        </w:rPr>
        <w:tab/>
      </w:r>
      <w:r>
        <w:rPr>
          <w:rFonts w:hint="eastAsia" w:ascii="宋体" w:hAnsi="宋体"/>
          <w:color w:val="000000"/>
          <w:szCs w:val="21"/>
        </w:rPr>
        <w:t>地址：</w:t>
      </w:r>
      <w:r>
        <w:rPr>
          <w:rFonts w:hint="eastAsia" w:ascii="宋体" w:hAnsi="宋体"/>
          <w:color w:val="000000"/>
          <w:szCs w:val="21"/>
          <w:u w:val="single"/>
        </w:rPr>
        <w:t xml:space="preserve">                                   </w:t>
      </w:r>
    </w:p>
    <w:p>
      <w:pPr>
        <w:spacing w:line="400" w:lineRule="exact"/>
        <w:rPr>
          <w:rFonts w:ascii="宋体" w:hAnsi="宋体"/>
          <w:color w:val="000000"/>
          <w:szCs w:val="21"/>
        </w:rPr>
      </w:pPr>
      <w:r>
        <w:rPr>
          <w:rFonts w:ascii="宋体" w:hAnsi="宋体"/>
          <w:color w:val="000000"/>
          <w:szCs w:val="21"/>
        </w:rPr>
        <w:tab/>
      </w:r>
      <w:r>
        <w:rPr>
          <w:rFonts w:hint="eastAsia" w:ascii="宋体" w:hAnsi="宋体"/>
          <w:color w:val="000000"/>
          <w:szCs w:val="21"/>
        </w:rPr>
        <w:t>邮政编码：</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rPr>
          <w:rFonts w:ascii="宋体" w:hAnsi="宋体"/>
          <w:color w:val="000000"/>
          <w:szCs w:val="21"/>
        </w:rPr>
      </w:pPr>
      <w:r>
        <w:rPr>
          <w:rFonts w:ascii="宋体" w:hAnsi="宋体"/>
          <w:color w:val="000000"/>
          <w:szCs w:val="21"/>
        </w:rPr>
        <w:tab/>
      </w:r>
      <w:r>
        <w:rPr>
          <w:rFonts w:hint="eastAsia" w:ascii="宋体" w:hAnsi="宋体"/>
          <w:color w:val="000000"/>
          <w:szCs w:val="21"/>
        </w:rPr>
        <w:t>电话、电报、传真或电传：</w:t>
      </w:r>
      <w:r>
        <w:rPr>
          <w:rFonts w:hint="eastAsia" w:ascii="宋体" w:hAnsi="宋体"/>
          <w:color w:val="000000"/>
          <w:szCs w:val="21"/>
          <w:u w:val="single"/>
        </w:rPr>
        <w:t xml:space="preserve">                 </w:t>
      </w:r>
    </w:p>
    <w:p>
      <w:pPr>
        <w:spacing w:line="400" w:lineRule="exact"/>
        <w:rPr>
          <w:rFonts w:ascii="宋体" w:hAnsi="宋体"/>
          <w:color w:val="000000"/>
          <w:szCs w:val="21"/>
        </w:rPr>
      </w:pPr>
      <w:r>
        <w:rPr>
          <w:rFonts w:ascii="宋体" w:hAnsi="宋体"/>
          <w:color w:val="000000"/>
          <w:szCs w:val="21"/>
        </w:rPr>
        <w:tab/>
      </w:r>
      <w:r>
        <w:rPr>
          <w:rFonts w:hint="eastAsia" w:ascii="宋体" w:hAnsi="宋体"/>
          <w:color w:val="000000"/>
          <w:szCs w:val="21"/>
        </w:rPr>
        <w:t>开户名称：</w:t>
      </w:r>
      <w:r>
        <w:rPr>
          <w:rFonts w:hint="eastAsia" w:ascii="宋体" w:hAnsi="宋体"/>
          <w:color w:val="000000"/>
          <w:szCs w:val="21"/>
          <w:u w:val="single"/>
        </w:rPr>
        <w:t xml:space="preserve">                               </w:t>
      </w:r>
    </w:p>
    <w:p>
      <w:pPr>
        <w:spacing w:line="400" w:lineRule="exact"/>
        <w:rPr>
          <w:rFonts w:ascii="宋体" w:hAnsi="宋体"/>
          <w:color w:val="000000"/>
          <w:szCs w:val="21"/>
        </w:rPr>
      </w:pPr>
      <w:r>
        <w:rPr>
          <w:rFonts w:ascii="宋体" w:hAnsi="宋体"/>
          <w:color w:val="000000"/>
          <w:szCs w:val="21"/>
        </w:rPr>
        <w:tab/>
      </w:r>
      <w:r>
        <w:rPr>
          <w:rFonts w:hint="eastAsia" w:ascii="宋体" w:hAnsi="宋体"/>
          <w:color w:val="000000"/>
          <w:szCs w:val="21"/>
        </w:rPr>
        <w:t>开户银行：</w:t>
      </w:r>
      <w:r>
        <w:rPr>
          <w:rFonts w:hint="eastAsia" w:ascii="宋体" w:hAnsi="宋体"/>
          <w:color w:val="000000"/>
          <w:szCs w:val="21"/>
          <w:u w:val="single"/>
        </w:rPr>
        <w:t xml:space="preserve">                               </w:t>
      </w:r>
    </w:p>
    <w:p>
      <w:pPr>
        <w:spacing w:line="400" w:lineRule="exact"/>
        <w:rPr>
          <w:rFonts w:ascii="宋体" w:hAnsi="宋体"/>
          <w:color w:val="000000"/>
          <w:szCs w:val="21"/>
          <w:u w:val="single"/>
        </w:rPr>
      </w:pPr>
      <w:r>
        <w:rPr>
          <w:rFonts w:ascii="宋体" w:hAnsi="宋体"/>
          <w:color w:val="000000"/>
          <w:szCs w:val="21"/>
        </w:rPr>
        <w:tab/>
      </w:r>
      <w:r>
        <w:rPr>
          <w:rFonts w:hint="eastAsia" w:ascii="宋体" w:hAnsi="宋体"/>
          <w:color w:val="000000"/>
          <w:szCs w:val="21"/>
        </w:rPr>
        <w:t>账    号：</w:t>
      </w:r>
      <w:r>
        <w:rPr>
          <w:rFonts w:hint="eastAsia" w:ascii="宋体" w:hAnsi="宋体"/>
          <w:color w:val="000000"/>
          <w:szCs w:val="21"/>
          <w:u w:val="single"/>
        </w:rPr>
        <w:t xml:space="preserve">                               </w:t>
      </w:r>
    </w:p>
    <w:p/>
    <w:p/>
    <w:p/>
    <w:p/>
    <w:p/>
    <w:p>
      <w:pPr>
        <w:spacing w:line="400" w:lineRule="exact"/>
        <w:rPr>
          <w:rFonts w:ascii="宋体" w:hAnsi="宋体"/>
          <w:color w:val="000000"/>
          <w:szCs w:val="21"/>
        </w:rPr>
      </w:pPr>
      <w:r>
        <w:rPr>
          <w:rFonts w:ascii="宋体" w:hAnsi="宋体"/>
          <w:color w:val="000000"/>
          <w:szCs w:val="21"/>
        </w:rPr>
        <w:tab/>
      </w:r>
      <w:r>
        <w:rPr>
          <w:rFonts w:ascii="宋体" w:hAnsi="宋体"/>
          <w:color w:val="000000"/>
          <w:szCs w:val="21"/>
        </w:rPr>
        <w:t xml:space="preserve">                                           </w:t>
      </w:r>
      <w:r>
        <w:rPr>
          <w:rFonts w:hint="eastAsia" w:ascii="宋体" w:hAnsi="宋体"/>
          <w:color w:val="000000"/>
          <w:szCs w:val="21"/>
        </w:rPr>
        <w:t>供应商（盖章）：</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rPr>
          <w:rFonts w:ascii="宋体" w:hAnsi="宋体"/>
          <w:color w:val="000000"/>
          <w:szCs w:val="21"/>
        </w:rPr>
      </w:pPr>
      <w:r>
        <w:rPr>
          <w:rFonts w:ascii="宋体" w:hAnsi="宋体"/>
          <w:color w:val="000000"/>
          <w:szCs w:val="21"/>
        </w:rPr>
        <w:tab/>
      </w:r>
      <w:r>
        <w:rPr>
          <w:rFonts w:ascii="宋体" w:hAnsi="宋体"/>
          <w:color w:val="000000"/>
          <w:szCs w:val="21"/>
        </w:rPr>
        <w:t xml:space="preserve">                                           </w:t>
      </w:r>
      <w:r>
        <w:rPr>
          <w:rFonts w:hint="eastAsia" w:ascii="宋体" w:hAnsi="宋体"/>
          <w:color w:val="000000"/>
          <w:szCs w:val="21"/>
        </w:rPr>
        <w:t>日期：</w:t>
      </w:r>
      <w:r>
        <w:rPr>
          <w:rFonts w:hint="eastAsia" w:ascii="宋体" w:hAnsi="宋体"/>
          <w:color w:val="000000"/>
          <w:szCs w:val="21"/>
          <w:u w:val="single"/>
        </w:rPr>
        <w:t xml:space="preserve">                    </w:t>
      </w:r>
      <w:r>
        <w:rPr>
          <w:rFonts w:ascii="宋体" w:hAnsi="宋体"/>
          <w:color w:val="000000"/>
          <w:szCs w:val="21"/>
          <w:u w:val="single"/>
        </w:rPr>
        <w:t xml:space="preserve">     </w:t>
      </w:r>
    </w:p>
    <w:p>
      <w:pPr>
        <w:widowControl/>
        <w:jc w:val="left"/>
      </w:pPr>
      <w:r>
        <w:br w:type="page"/>
      </w:r>
    </w:p>
    <w:p>
      <w:pPr>
        <w:jc w:val="center"/>
        <w:rPr>
          <w:rFonts w:ascii="仿宋_GB2312" w:eastAsia="仿宋_GB2312"/>
          <w:b/>
          <w:bCs/>
          <w:sz w:val="32"/>
          <w:szCs w:val="32"/>
        </w:rPr>
      </w:pPr>
      <w:bookmarkStart w:id="132" w:name="_Hlk173484693"/>
      <w:r>
        <w:rPr>
          <w:rFonts w:hint="eastAsia" w:ascii="仿宋_GB2312" w:eastAsia="仿宋_GB2312"/>
          <w:b/>
          <w:bCs/>
          <w:sz w:val="32"/>
          <w:szCs w:val="32"/>
        </w:rPr>
        <w:t>联合体协议书</w:t>
      </w:r>
      <w:bookmarkEnd w:id="132"/>
      <w:r>
        <w:rPr>
          <w:rFonts w:hint="eastAsia" w:ascii="仿宋_GB2312" w:eastAsia="仿宋_GB2312"/>
          <w:bCs/>
          <w:sz w:val="24"/>
        </w:rPr>
        <w:t>（格式）</w:t>
      </w:r>
    </w:p>
    <w:p>
      <w:pPr>
        <w:widowControl/>
        <w:ind w:firstLine="480"/>
        <w:jc w:val="left"/>
        <w:rPr>
          <w:rFonts w:ascii="宋体" w:hAnsi="宋体" w:cs="宋体"/>
          <w:kern w:val="0"/>
          <w:sz w:val="24"/>
          <w:lang w:bidi="ar"/>
        </w:rPr>
      </w:pPr>
    </w:p>
    <w:p>
      <w:pPr>
        <w:widowControl/>
        <w:ind w:firstLine="420"/>
        <w:jc w:val="left"/>
        <w:rPr>
          <w:szCs w:val="21"/>
        </w:rPr>
      </w:pPr>
      <w:r>
        <w:rPr>
          <w:rFonts w:hint="eastAsia" w:ascii="宋体" w:hAnsi="宋体" w:cs="宋体"/>
          <w:kern w:val="0"/>
          <w:szCs w:val="21"/>
          <w:u w:val="single"/>
          <w:lang w:bidi="ar"/>
        </w:rPr>
        <w:t xml:space="preserve">            </w:t>
      </w:r>
      <w:r>
        <w:rPr>
          <w:rFonts w:hint="eastAsia" w:ascii="宋体" w:hAnsi="宋体" w:cs="宋体"/>
          <w:kern w:val="0"/>
          <w:szCs w:val="21"/>
          <w:lang w:bidi="ar"/>
        </w:rPr>
        <w:t>（所有成员单位名称）自愿组成</w:t>
      </w:r>
      <w:r>
        <w:rPr>
          <w:rFonts w:hint="eastAsia" w:ascii="宋体" w:hAnsi="宋体" w:cs="宋体"/>
          <w:kern w:val="0"/>
          <w:szCs w:val="21"/>
          <w:u w:val="single"/>
          <w:lang w:bidi="ar"/>
        </w:rPr>
        <w:t xml:space="preserve">            </w:t>
      </w:r>
      <w:r>
        <w:rPr>
          <w:rFonts w:hint="eastAsia" w:ascii="宋体" w:hAnsi="宋体" w:cs="宋体"/>
          <w:kern w:val="0"/>
          <w:szCs w:val="21"/>
          <w:lang w:bidi="ar"/>
        </w:rPr>
        <w:t>（联合体名称）联合体，共同参加</w:t>
      </w:r>
      <w:r>
        <w:rPr>
          <w:rFonts w:hint="eastAsia" w:ascii="宋体" w:hAnsi="宋体" w:cs="宋体"/>
          <w:kern w:val="0"/>
          <w:szCs w:val="21"/>
          <w:u w:val="single"/>
          <w:lang w:bidi="ar"/>
        </w:rPr>
        <w:t>（采购代理机构名称）</w:t>
      </w:r>
      <w:r>
        <w:rPr>
          <w:rFonts w:hint="eastAsia" w:ascii="宋体" w:hAnsi="宋体" w:cs="宋体"/>
          <w:kern w:val="0"/>
          <w:szCs w:val="21"/>
          <w:lang w:bidi="ar"/>
        </w:rPr>
        <w:t>组织的</w:t>
      </w:r>
      <w:r>
        <w:rPr>
          <w:rFonts w:hint="eastAsia" w:ascii="宋体" w:hAnsi="宋体" w:cs="宋体"/>
          <w:kern w:val="0"/>
          <w:szCs w:val="21"/>
          <w:u w:val="single"/>
          <w:lang w:bidi="ar"/>
        </w:rPr>
        <w:t xml:space="preserve">（项目名称）  </w:t>
      </w:r>
      <w:r>
        <w:rPr>
          <w:rFonts w:hint="eastAsia" w:ascii="宋体" w:hAnsi="宋体" w:cs="宋体"/>
          <w:kern w:val="0"/>
          <w:szCs w:val="21"/>
          <w:lang w:bidi="ar"/>
        </w:rPr>
        <w:t>（项目编号：</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）项目。现就联合体响应事宜订立如下协议。 </w:t>
      </w:r>
    </w:p>
    <w:p>
      <w:pPr>
        <w:widowControl/>
        <w:ind w:firstLine="420"/>
        <w:jc w:val="left"/>
        <w:rPr>
          <w:szCs w:val="21"/>
        </w:rPr>
      </w:pPr>
      <w:r>
        <w:rPr>
          <w:rFonts w:hint="eastAsia" w:ascii="宋体" w:hAnsi="宋体" w:cs="宋体"/>
          <w:kern w:val="0"/>
          <w:szCs w:val="21"/>
          <w:lang w:bidi="ar"/>
        </w:rPr>
        <w:t>1.</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（某成员单位名称）为 </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（联合体名称）牵头人。 </w:t>
      </w:r>
    </w:p>
    <w:p>
      <w:pPr>
        <w:widowControl/>
        <w:ind w:firstLine="420"/>
        <w:jc w:val="left"/>
        <w:rPr>
          <w:szCs w:val="21"/>
        </w:rPr>
      </w:pPr>
      <w:r>
        <w:rPr>
          <w:rFonts w:hint="eastAsia" w:ascii="宋体" w:hAnsi="宋体" w:cs="宋体"/>
          <w:kern w:val="0"/>
          <w:szCs w:val="21"/>
          <w:lang w:bidi="ar"/>
        </w:rPr>
        <w:t xml:space="preserve">2.联合体各成员授权牵头人代表联合体参加政府采购活动，签署文件及对文件的盖章，提交和接收相关的资料、信息及指示，进行合同谈判活动，负责合同实施阶段的组织和协调工作，以及处理与本采购项目有关的一切事宜。 </w:t>
      </w:r>
    </w:p>
    <w:p>
      <w:pPr>
        <w:widowControl/>
        <w:ind w:firstLine="420"/>
        <w:jc w:val="left"/>
        <w:rPr>
          <w:szCs w:val="21"/>
        </w:rPr>
      </w:pPr>
      <w:r>
        <w:rPr>
          <w:rFonts w:hint="eastAsia" w:ascii="宋体" w:hAnsi="宋体" w:cs="宋体"/>
          <w:kern w:val="0"/>
          <w:szCs w:val="21"/>
          <w:lang w:bidi="ar"/>
        </w:rPr>
        <w:t xml:space="preserve">3.联合体牵头人在本项目中签署和盖章的一切文件和处理的一切事宜，联合体各成员均予以承认。联合体各成员将严格按照采购文件、响应文件和合同的要求全面履行义务，并向采购人承担连带责任。 </w:t>
      </w:r>
    </w:p>
    <w:p>
      <w:pPr>
        <w:widowControl/>
        <w:ind w:firstLine="420"/>
        <w:jc w:val="left"/>
        <w:rPr>
          <w:rFonts w:ascii="宋体" w:hAnsi="宋体" w:cs="宋体"/>
          <w:kern w:val="0"/>
          <w:szCs w:val="21"/>
          <w:lang w:bidi="ar"/>
        </w:rPr>
      </w:pPr>
      <w:r>
        <w:rPr>
          <w:rFonts w:hint="eastAsia" w:ascii="宋体" w:hAnsi="宋体" w:cs="宋体"/>
          <w:kern w:val="0"/>
          <w:szCs w:val="21"/>
          <w:lang w:bidi="ar"/>
        </w:rPr>
        <w:t>4.联合体各成员单位内部的职责分工如下：</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 。 </w:t>
      </w:r>
    </w:p>
    <w:p>
      <w:pPr>
        <w:pStyle w:val="23"/>
        <w:spacing w:line="360" w:lineRule="auto"/>
        <w:ind w:firstLine="420"/>
        <w:rPr>
          <w:rFonts w:ascii="Times New Roman" w:hAnsi="Times New Roman"/>
        </w:rPr>
      </w:pPr>
      <w:r>
        <w:rPr>
          <w:rFonts w:hint="eastAsia" w:hAnsi="宋体" w:cs="宋体"/>
          <w:kern w:val="0"/>
          <w:lang w:bidi="ar"/>
        </w:rPr>
        <w:t>5.</w:t>
      </w:r>
      <w:r>
        <w:rPr>
          <w:rFonts w:hint="eastAsia" w:hAnsi="宋体" w:cs="宋体"/>
          <w:kern w:val="0"/>
        </w:rPr>
        <w:t>本联合体中，</w:t>
      </w:r>
      <w:r>
        <w:rPr>
          <w:rFonts w:hint="eastAsia"/>
        </w:rPr>
        <w:t>________________________</w:t>
      </w:r>
      <w:r>
        <w:rPr>
          <w:rFonts w:hint="eastAsia" w:hAnsi="宋体" w:cs="宋体"/>
          <w:kern w:val="0"/>
        </w:rPr>
        <w:t>（某成员单位名称）为</w:t>
      </w:r>
      <w:r>
        <w:rPr>
          <w:rFonts w:hint="eastAsia"/>
        </w:rPr>
        <w:t>______（请填写：中型、小型、微型）企业，其协议合同金额占联合体协议合同总金额的______%。【如联合体成员中有小型、微型企业的，请填写此条，否则无需填写；如联合体成员中有多个小型、微型企业的，请逐一列出。】</w:t>
      </w:r>
    </w:p>
    <w:p>
      <w:pPr>
        <w:widowControl/>
        <w:ind w:firstLine="420"/>
        <w:jc w:val="left"/>
        <w:rPr>
          <w:szCs w:val="21"/>
        </w:rPr>
      </w:pPr>
      <w:r>
        <w:rPr>
          <w:rFonts w:hint="eastAsia" w:ascii="宋体" w:hAnsi="宋体" w:cs="宋体"/>
          <w:kern w:val="0"/>
          <w:szCs w:val="21"/>
          <w:lang w:bidi="ar"/>
        </w:rPr>
        <w:t xml:space="preserve">6.协议书自所有成员单位法定代表人或者其委托代理人签字（或者电子签名）或者盖公章之日起生效，合同履行完毕后自动失效。 </w:t>
      </w:r>
    </w:p>
    <w:p>
      <w:pPr>
        <w:widowControl/>
        <w:ind w:firstLine="420"/>
        <w:jc w:val="left"/>
        <w:rPr>
          <w:szCs w:val="21"/>
        </w:rPr>
      </w:pPr>
      <w:r>
        <w:rPr>
          <w:rFonts w:hint="eastAsia" w:ascii="宋体" w:hAnsi="宋体" w:cs="宋体"/>
          <w:kern w:val="0"/>
          <w:szCs w:val="21"/>
          <w:lang w:bidi="ar"/>
        </w:rPr>
        <w:t>7.本协议书一式</w:t>
      </w:r>
      <w:r>
        <w:rPr>
          <w:rFonts w:hint="eastAsia" w:ascii="宋体" w:hAnsi="宋体" w:cs="宋体"/>
          <w:kern w:val="0"/>
          <w:szCs w:val="21"/>
          <w:u w:val="single"/>
          <w:lang w:bidi="ar"/>
        </w:rPr>
        <w:t xml:space="preserve">    </w:t>
      </w:r>
      <w:r>
        <w:rPr>
          <w:rFonts w:hint="eastAsia" w:ascii="宋体" w:hAnsi="宋体" w:cs="宋体"/>
          <w:kern w:val="0"/>
          <w:szCs w:val="21"/>
          <w:lang w:bidi="ar"/>
        </w:rPr>
        <w:t xml:space="preserve">份，联合体成员和招标人各执一份。 </w:t>
      </w:r>
    </w:p>
    <w:p>
      <w:pPr>
        <w:widowControl/>
        <w:ind w:firstLine="420"/>
        <w:jc w:val="left"/>
        <w:rPr>
          <w:szCs w:val="21"/>
        </w:rPr>
      </w:pPr>
      <w:r>
        <w:rPr>
          <w:rFonts w:hint="eastAsia" w:ascii="宋体" w:hAnsi="宋体" w:cs="宋体"/>
          <w:kern w:val="0"/>
          <w:szCs w:val="21"/>
          <w:lang w:bidi="ar"/>
        </w:rPr>
        <w:t xml:space="preserve">注：本协议书应附法定代表人身份证明；有委托代理的，应附授权委托书。 </w:t>
      </w:r>
    </w:p>
    <w:p>
      <w:pPr>
        <w:widowControl/>
        <w:ind w:firstLine="420"/>
        <w:jc w:val="left"/>
        <w:rPr>
          <w:rFonts w:ascii="宋体" w:hAnsi="宋体" w:cs="宋体"/>
          <w:kern w:val="0"/>
          <w:szCs w:val="21"/>
          <w:lang w:bidi="ar"/>
        </w:rPr>
      </w:pPr>
    </w:p>
    <w:p>
      <w:pPr>
        <w:widowControl/>
        <w:ind w:firstLine="420"/>
        <w:jc w:val="left"/>
        <w:rPr>
          <w:szCs w:val="21"/>
        </w:rPr>
      </w:pPr>
      <w:r>
        <w:rPr>
          <w:rFonts w:hint="eastAsia" w:ascii="宋体" w:hAnsi="宋体" w:cs="宋体"/>
          <w:kern w:val="0"/>
          <w:szCs w:val="21"/>
          <w:lang w:bidi="ar"/>
        </w:rPr>
        <w:t xml:space="preserve">联合体牵头人名称（盖公章或者电子签章）： </w:t>
      </w:r>
    </w:p>
    <w:p>
      <w:pPr>
        <w:widowControl/>
        <w:ind w:firstLine="420"/>
        <w:jc w:val="left"/>
        <w:rPr>
          <w:szCs w:val="21"/>
        </w:rPr>
      </w:pPr>
      <w:r>
        <w:rPr>
          <w:rFonts w:hint="eastAsia" w:ascii="宋体" w:hAnsi="宋体" w:cs="宋体"/>
          <w:kern w:val="0"/>
          <w:szCs w:val="21"/>
          <w:lang w:bidi="ar"/>
        </w:rPr>
        <w:t xml:space="preserve">法定代表人或者其委托代理人（手写签名或者电子签名）：  </w:t>
      </w:r>
    </w:p>
    <w:p>
      <w:pPr>
        <w:widowControl/>
        <w:ind w:firstLine="420"/>
        <w:jc w:val="left"/>
        <w:rPr>
          <w:rFonts w:ascii="宋体" w:hAnsi="宋体" w:cs="宋体"/>
          <w:kern w:val="0"/>
          <w:szCs w:val="21"/>
          <w:lang w:bidi="ar"/>
        </w:rPr>
      </w:pPr>
    </w:p>
    <w:p>
      <w:pPr>
        <w:widowControl/>
        <w:ind w:firstLine="420"/>
        <w:jc w:val="left"/>
        <w:rPr>
          <w:szCs w:val="21"/>
        </w:rPr>
      </w:pPr>
      <w:r>
        <w:rPr>
          <w:rFonts w:hint="eastAsia" w:ascii="宋体" w:hAnsi="宋体" w:cs="宋体"/>
          <w:kern w:val="0"/>
          <w:szCs w:val="21"/>
          <w:lang w:bidi="ar"/>
        </w:rPr>
        <w:t xml:space="preserve">联合体成员名称（盖公章或者电子签章）： </w:t>
      </w:r>
    </w:p>
    <w:p>
      <w:pPr>
        <w:widowControl/>
        <w:ind w:firstLine="420"/>
        <w:jc w:val="left"/>
        <w:rPr>
          <w:szCs w:val="21"/>
        </w:rPr>
      </w:pPr>
      <w:r>
        <w:rPr>
          <w:rFonts w:hint="eastAsia" w:ascii="宋体" w:hAnsi="宋体" w:cs="宋体"/>
          <w:kern w:val="0"/>
          <w:szCs w:val="21"/>
          <w:lang w:bidi="ar"/>
        </w:rPr>
        <w:t xml:space="preserve">法定代表人或者其委托代理人 （手写签名或者电子签名）： </w:t>
      </w:r>
    </w:p>
    <w:p>
      <w:pPr>
        <w:widowControl/>
        <w:ind w:firstLine="420"/>
        <w:jc w:val="left"/>
        <w:rPr>
          <w:szCs w:val="21"/>
        </w:rPr>
      </w:pPr>
      <w:r>
        <w:rPr>
          <w:rFonts w:hint="eastAsia" w:ascii="宋体" w:hAnsi="宋体" w:cs="宋体"/>
          <w:kern w:val="0"/>
          <w:szCs w:val="21"/>
          <w:lang w:bidi="ar"/>
        </w:rPr>
        <w:t xml:space="preserve">…… </w:t>
      </w:r>
    </w:p>
    <w:p>
      <w:pPr>
        <w:widowControl/>
        <w:jc w:val="left"/>
        <w:rPr>
          <w:rFonts w:ascii="宋体" w:hAnsi="宋体" w:cs="宋体"/>
          <w:kern w:val="0"/>
          <w:szCs w:val="21"/>
          <w:lang w:bidi="ar"/>
        </w:rPr>
      </w:pPr>
    </w:p>
    <w:p>
      <w:pPr>
        <w:snapToGrid w:val="0"/>
        <w:spacing w:before="50" w:after="50" w:line="350" w:lineRule="exact"/>
        <w:ind w:right="-817" w:rightChars="-389" w:firstLine="5985" w:firstLineChars="2850"/>
        <w:rPr>
          <w:rFonts w:ascii="仿宋_GB2312" w:hAnsi="宋体" w:eastAsia="仿宋_GB2312"/>
          <w:b/>
          <w:sz w:val="32"/>
          <w:szCs w:val="32"/>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pPr>
      <w:r>
        <w:br w:type="page"/>
      </w:r>
    </w:p>
    <w:p/>
    <w:p>
      <w:pPr>
        <w:snapToGrid w:val="0"/>
        <w:spacing w:before="156" w:beforeLines="50" w:after="50" w:line="360" w:lineRule="exact"/>
        <w:ind w:firstLine="3213" w:firstLineChars="1000"/>
        <w:rPr>
          <w:rFonts w:ascii="仿宋_GB2312" w:eastAsia="仿宋_GB2312"/>
          <w:b/>
          <w:sz w:val="24"/>
        </w:rPr>
      </w:pPr>
      <w:bookmarkStart w:id="133" w:name="_Hlk92702580"/>
      <w:r>
        <w:rPr>
          <w:rFonts w:hint="eastAsia" w:ascii="仿宋_GB2312" w:hAnsi="宋体" w:eastAsia="仿宋_GB2312"/>
          <w:b/>
          <w:sz w:val="32"/>
          <w:szCs w:val="32"/>
        </w:rPr>
        <w:t>授权委托书</w:t>
      </w:r>
      <w:r>
        <w:rPr>
          <w:rFonts w:hint="eastAsia" w:ascii="仿宋_GB2312" w:eastAsia="仿宋_GB2312"/>
          <w:b/>
          <w:sz w:val="24"/>
        </w:rPr>
        <w:t>（非联合体投标格式）</w:t>
      </w:r>
    </w:p>
    <w:p>
      <w:pPr>
        <w:snapToGrid w:val="0"/>
        <w:spacing w:before="156" w:beforeLines="50" w:after="50" w:line="360" w:lineRule="exact"/>
        <w:ind w:firstLine="2409" w:firstLineChars="1000"/>
        <w:rPr>
          <w:rFonts w:ascii="仿宋_GB2312" w:eastAsia="仿宋_GB2312"/>
          <w:b/>
          <w:color w:val="FF0000"/>
          <w:sz w:val="24"/>
        </w:rPr>
      </w:pPr>
    </w:p>
    <w:p>
      <w:pPr>
        <w:snapToGrid w:val="0"/>
        <w:spacing w:before="156" w:beforeLines="50" w:after="50"/>
        <w:rPr>
          <w:rFonts w:ascii="宋体" w:hAnsi="宋体"/>
          <w:b/>
          <w:bCs/>
          <w:szCs w:val="21"/>
        </w:rPr>
      </w:pPr>
      <w:r>
        <w:rPr>
          <w:rFonts w:hint="eastAsia" w:ascii="宋体" w:hAnsi="宋体"/>
          <w:bCs/>
          <w:szCs w:val="21"/>
        </w:rPr>
        <w:t>致：</w:t>
      </w:r>
      <w:r>
        <w:rPr>
          <w:rFonts w:hint="eastAsia"/>
        </w:rPr>
        <w:t>钦州市政府采购中心</w:t>
      </w:r>
    </w:p>
    <w:p>
      <w:pPr>
        <w:snapToGrid w:val="0"/>
        <w:spacing w:before="156" w:beforeLines="50" w:after="50"/>
        <w:ind w:firstLine="42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的投标活动，并代表我方全权办理针对上述项目的投标、开标、评标、签约等具体事务和签署相关文件。</w:t>
      </w:r>
    </w:p>
    <w:p>
      <w:pPr>
        <w:snapToGrid w:val="0"/>
        <w:spacing w:before="156" w:beforeLines="50" w:after="50"/>
        <w:ind w:firstLine="420"/>
        <w:rPr>
          <w:rFonts w:ascii="宋体" w:hAnsi="宋体"/>
          <w:szCs w:val="21"/>
        </w:rPr>
      </w:pPr>
      <w:r>
        <w:rPr>
          <w:rFonts w:hint="eastAsia" w:ascii="宋体" w:hAnsi="宋体"/>
          <w:szCs w:val="21"/>
        </w:rPr>
        <w:t>我方对被授权人的签名事项负全部责任。</w:t>
      </w:r>
    </w:p>
    <w:p>
      <w:pPr>
        <w:snapToGrid w:val="0"/>
        <w:spacing w:before="156" w:beforeLines="50" w:after="50"/>
        <w:ind w:firstLine="42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ind w:firstLine="420"/>
        <w:rPr>
          <w:rFonts w:ascii="宋体" w:hAnsi="宋体"/>
          <w:szCs w:val="21"/>
        </w:rPr>
      </w:pPr>
      <w:r>
        <w:rPr>
          <w:rFonts w:hint="eastAsia" w:ascii="宋体" w:hAnsi="宋体"/>
          <w:szCs w:val="21"/>
        </w:rPr>
        <w:t>被授权人无转委托权，特此委托。</w:t>
      </w:r>
    </w:p>
    <w:p>
      <w:pPr>
        <w:snapToGrid w:val="0"/>
        <w:spacing w:before="156" w:beforeLines="50" w:after="50" w:line="300" w:lineRule="exact"/>
        <w:ind w:firstLine="525" w:firstLineChars="250"/>
        <w:rPr>
          <w:rFonts w:ascii="宋体" w:hAnsi="宋体"/>
          <w:szCs w:val="21"/>
        </w:rPr>
      </w:pPr>
    </w:p>
    <w:p>
      <w:pPr>
        <w:snapToGrid w:val="0"/>
        <w:spacing w:before="156" w:beforeLines="50" w:after="50" w:line="300" w:lineRule="exact"/>
        <w:ind w:firstLine="420"/>
        <w:rPr>
          <w:rFonts w:ascii="宋体" w:hAnsi="宋体"/>
          <w:szCs w:val="21"/>
        </w:rPr>
      </w:pPr>
      <w:r>
        <w:rPr>
          <w:rFonts w:hint="eastAsia" w:ascii="宋体" w:hAnsi="宋体"/>
          <w:szCs w:val="21"/>
        </w:rPr>
        <w:t>所在部门职务：</w:t>
      </w:r>
      <w:r>
        <w:rPr>
          <w:rFonts w:hint="eastAsia" w:ascii="宋体" w:hAnsi="宋体"/>
          <w:szCs w:val="21"/>
          <w:u w:val="single"/>
        </w:rPr>
        <w:t xml:space="preserve">                        </w:t>
      </w:r>
    </w:p>
    <w:p>
      <w:pPr>
        <w:snapToGrid w:val="0"/>
        <w:spacing w:before="156" w:beforeLines="50" w:after="50" w:line="300" w:lineRule="exact"/>
        <w:ind w:firstLine="420"/>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p>
    <w:p>
      <w:pPr>
        <w:snapToGrid w:val="0"/>
        <w:spacing w:before="156" w:beforeLines="50" w:after="50" w:line="300" w:lineRule="exact"/>
        <w:ind w:firstLine="42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before="156" w:beforeLines="50" w:after="50" w:line="300" w:lineRule="exact"/>
        <w:ind w:firstLine="420"/>
        <w:rPr>
          <w:rFonts w:hAnsi="宋体"/>
        </w:rPr>
      </w:pPr>
      <w:r>
        <w:rPr>
          <w:rFonts w:hint="eastAsia" w:hAnsi="宋体"/>
        </w:rPr>
        <w:t>附：委托代理人身份证扫描件(正反面</w:t>
      </w:r>
      <w:r>
        <w:rPr>
          <w:rFonts w:hAnsi="宋体"/>
        </w:rPr>
        <w:t>)</w:t>
      </w:r>
    </w:p>
    <w:p>
      <w:pPr>
        <w:ind w:left="420"/>
        <w:rPr>
          <w:rFonts w:ascii="宋体" w:hAnsi="宋体"/>
        </w:rPr>
      </w:pPr>
    </w:p>
    <w:p>
      <w:pPr>
        <w:ind w:left="420"/>
        <w:rPr>
          <w:rFonts w:ascii="宋体" w:hAnsi="宋体"/>
        </w:rPr>
      </w:pPr>
    </w:p>
    <w:p>
      <w:pPr>
        <w:ind w:left="420"/>
        <w:rPr>
          <w:rFonts w:ascii="宋体" w:hAnsi="宋体"/>
        </w:rPr>
      </w:pPr>
    </w:p>
    <w:p>
      <w:pPr>
        <w:snapToGrid w:val="0"/>
        <w:spacing w:before="156" w:beforeLines="50" w:after="50" w:line="200" w:lineRule="exact"/>
        <w:ind w:firstLine="3150" w:firstLineChars="1500"/>
        <w:rPr>
          <w:rFonts w:ascii="宋体" w:hAnsi="宋体"/>
          <w:szCs w:val="21"/>
          <w:u w:val="single"/>
        </w:rPr>
      </w:pPr>
      <w:r>
        <w:rPr>
          <w:rFonts w:hint="eastAsia" w:ascii="宋体" w:hAnsi="宋体"/>
          <w:szCs w:val="21"/>
        </w:rPr>
        <w:t>投标人（盖章）：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after="50" w:line="200" w:lineRule="exact"/>
        <w:ind w:firstLine="3150" w:firstLineChars="150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before="156" w:beforeLines="50" w:after="50" w:line="200" w:lineRule="exact"/>
        <w:ind w:firstLine="3150" w:firstLineChars="15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bookmarkEnd w:id="133"/>
    <w:p>
      <w:pPr>
        <w:spacing w:line="360" w:lineRule="exact"/>
      </w:pPr>
    </w:p>
    <w:p>
      <w:pPr>
        <w:spacing w:line="360" w:lineRule="exact"/>
      </w:pPr>
    </w:p>
    <w:p>
      <w:pPr>
        <w:spacing w:line="360" w:lineRule="exact"/>
        <w:rPr>
          <w:color w:val="FF0000"/>
        </w:rPr>
      </w:pPr>
    </w:p>
    <w:p>
      <w:pPr>
        <w:spacing w:line="360" w:lineRule="exact"/>
        <w:rPr>
          <w:color w:val="FF0000"/>
        </w:rPr>
      </w:pPr>
    </w:p>
    <w:p>
      <w:pPr>
        <w:spacing w:line="360" w:lineRule="exact"/>
        <w:rPr>
          <w:strike/>
          <w:color w:val="FF0000"/>
        </w:rPr>
      </w:pPr>
    </w:p>
    <w:p>
      <w:pPr>
        <w:spacing w:line="360" w:lineRule="exact"/>
        <w:rPr>
          <w:strike/>
          <w:color w:val="FF0000"/>
        </w:rPr>
      </w:pPr>
    </w:p>
    <w:p>
      <w:pPr>
        <w:spacing w:line="360" w:lineRule="exact"/>
        <w:rPr>
          <w:strike/>
          <w:color w:val="FF0000"/>
        </w:rPr>
      </w:pPr>
    </w:p>
    <w:p>
      <w:pPr>
        <w:spacing w:line="360" w:lineRule="exact"/>
        <w:rPr>
          <w:strike/>
          <w:color w:val="FF0000"/>
        </w:rPr>
      </w:pPr>
    </w:p>
    <w:p>
      <w:pPr>
        <w:spacing w:line="360" w:lineRule="exact"/>
        <w:rPr>
          <w:strike/>
          <w:color w:val="FF0000"/>
        </w:rPr>
      </w:pPr>
    </w:p>
    <w:p>
      <w:pPr>
        <w:widowControl/>
        <w:ind w:firstLine="860"/>
        <w:jc w:val="left"/>
        <w:rPr>
          <w:rFonts w:ascii="Arial Unicode MS" w:hAnsi="Arial Unicode MS" w:eastAsia="Arial Unicode MS" w:cs="Arial Unicode MS"/>
          <w:color w:val="000000"/>
          <w:kern w:val="0"/>
          <w:sz w:val="43"/>
          <w:szCs w:val="43"/>
          <w:lang w:bidi="ar"/>
        </w:rPr>
      </w:pPr>
    </w:p>
    <w:p>
      <w:pPr>
        <w:widowControl/>
        <w:ind w:firstLine="643"/>
        <w:jc w:val="center"/>
        <w:rPr>
          <w:rFonts w:ascii="仿宋_GB2312" w:hAnsi="宋体" w:eastAsia="仿宋_GB2312"/>
          <w:b/>
          <w:sz w:val="32"/>
          <w:szCs w:val="32"/>
        </w:rPr>
      </w:pPr>
    </w:p>
    <w:p>
      <w:pPr>
        <w:widowControl/>
        <w:ind w:firstLine="643"/>
        <w:jc w:val="center"/>
        <w:rPr>
          <w:rFonts w:ascii="仿宋_GB2312" w:hAnsi="宋体" w:eastAsia="仿宋_GB2312"/>
          <w:b/>
          <w:sz w:val="32"/>
          <w:szCs w:val="32"/>
        </w:rPr>
      </w:pPr>
    </w:p>
    <w:p>
      <w:pPr>
        <w:widowControl/>
        <w:ind w:firstLine="643"/>
        <w:jc w:val="center"/>
      </w:pPr>
      <w:r>
        <w:rPr>
          <w:rFonts w:hint="eastAsia" w:ascii="仿宋_GB2312" w:hAnsi="宋体" w:eastAsia="仿宋_GB2312"/>
          <w:b/>
          <w:sz w:val="32"/>
          <w:szCs w:val="32"/>
        </w:rPr>
        <w:t>授权委托书</w:t>
      </w:r>
      <w:r>
        <w:rPr>
          <w:rFonts w:hint="eastAsia" w:ascii="仿宋_GB2312" w:eastAsia="仿宋_GB2312"/>
          <w:b/>
          <w:sz w:val="24"/>
        </w:rPr>
        <w:t>（联合体投标格式）</w:t>
      </w:r>
    </w:p>
    <w:p>
      <w:pPr>
        <w:widowControl/>
        <w:ind w:firstLine="4960" w:firstLineChars="1600"/>
        <w:jc w:val="left"/>
      </w:pPr>
      <w:r>
        <w:rPr>
          <w:rFonts w:hint="eastAsia" w:ascii="Arial Unicode MS" w:hAnsi="Arial Unicode MS" w:eastAsia="Arial Unicode MS" w:cs="Arial Unicode MS"/>
          <w:kern w:val="0"/>
          <w:sz w:val="31"/>
          <w:szCs w:val="31"/>
          <w:lang w:bidi="ar"/>
        </w:rPr>
        <w:t xml:space="preserve"> </w:t>
      </w:r>
    </w:p>
    <w:p>
      <w:pPr>
        <w:widowControl/>
        <w:ind w:firstLine="5270" w:firstLineChars="1700"/>
        <w:jc w:val="left"/>
        <w:rPr>
          <w:rFonts w:ascii="宋体" w:hAnsi="宋体" w:cs="宋体"/>
          <w:kern w:val="0"/>
          <w:sz w:val="24"/>
          <w:lang w:bidi="ar"/>
        </w:rPr>
      </w:pPr>
      <w:r>
        <w:rPr>
          <w:rFonts w:hint="eastAsia" w:ascii="Arial Unicode MS" w:hAnsi="Arial Unicode MS" w:eastAsia="Arial Unicode MS" w:cs="Arial Unicode MS"/>
          <w:kern w:val="0"/>
          <w:sz w:val="31"/>
          <w:szCs w:val="31"/>
          <w:lang w:bidi="ar"/>
        </w:rPr>
        <w:t xml:space="preserve"> </w:t>
      </w:r>
    </w:p>
    <w:p>
      <w:pPr>
        <w:widowControl/>
        <w:jc w:val="left"/>
        <w:rPr>
          <w:szCs w:val="21"/>
        </w:rPr>
      </w:pPr>
      <w:r>
        <w:rPr>
          <w:rFonts w:hint="eastAsia" w:ascii="宋体" w:hAnsi="宋体" w:cs="宋体"/>
          <w:kern w:val="0"/>
          <w:szCs w:val="21"/>
          <w:lang w:bidi="ar"/>
        </w:rPr>
        <w:t>致：</w:t>
      </w:r>
      <w:r>
        <w:rPr>
          <w:rFonts w:hint="eastAsia"/>
        </w:rPr>
        <w:t>钦州市政府采购中心</w:t>
      </w:r>
      <w:r>
        <w:rPr>
          <w:rFonts w:hint="eastAsia" w:ascii="宋体" w:hAnsi="宋体" w:cs="宋体"/>
          <w:kern w:val="0"/>
          <w:szCs w:val="21"/>
          <w:lang w:bidi="ar"/>
        </w:rPr>
        <w:t xml:space="preserve"> </w:t>
      </w:r>
    </w:p>
    <w:p>
      <w:pPr>
        <w:widowControl/>
        <w:ind w:firstLine="420"/>
        <w:jc w:val="left"/>
        <w:rPr>
          <w:szCs w:val="21"/>
        </w:rPr>
      </w:pPr>
      <w:r>
        <w:rPr>
          <w:rFonts w:hint="eastAsia" w:ascii="宋体" w:hAnsi="宋体" w:cs="宋体"/>
          <w:kern w:val="0"/>
          <w:szCs w:val="21"/>
          <w:lang w:bidi="ar"/>
        </w:rPr>
        <w:t>根据</w:t>
      </w:r>
      <w:r>
        <w:rPr>
          <w:rFonts w:hint="eastAsia" w:ascii="宋体" w:hAnsi="宋体" w:cs="宋体"/>
          <w:kern w:val="0"/>
          <w:szCs w:val="21"/>
          <w:u w:val="single"/>
          <w:lang w:bidi="ar"/>
        </w:rPr>
        <w:t xml:space="preserve"> （牵头人名称）</w:t>
      </w:r>
      <w:r>
        <w:rPr>
          <w:rFonts w:hint="eastAsia" w:ascii="宋体" w:hAnsi="宋体" w:cs="宋体"/>
          <w:kern w:val="0"/>
          <w:szCs w:val="21"/>
          <w:lang w:bidi="ar"/>
        </w:rPr>
        <w:t>与</w:t>
      </w:r>
      <w:r>
        <w:rPr>
          <w:rFonts w:hint="eastAsia" w:ascii="宋体" w:hAnsi="宋体" w:cs="宋体"/>
          <w:kern w:val="0"/>
          <w:szCs w:val="21"/>
          <w:u w:val="single"/>
          <w:lang w:bidi="ar"/>
        </w:rPr>
        <w:t>（联合体其他成员名称）</w:t>
      </w:r>
      <w:r>
        <w:rPr>
          <w:rFonts w:hint="eastAsia" w:ascii="宋体" w:hAnsi="宋体" w:cs="宋体"/>
          <w:kern w:val="0"/>
          <w:szCs w:val="21"/>
          <w:lang w:bidi="ar"/>
        </w:rPr>
        <w:t>签订的《联合体投标协议书》的内容，</w:t>
      </w:r>
      <w:r>
        <w:rPr>
          <w:rFonts w:hint="eastAsia" w:ascii="宋体" w:hAnsi="宋体" w:cs="宋体"/>
          <w:kern w:val="0"/>
          <w:szCs w:val="21"/>
          <w:u w:val="single"/>
          <w:lang w:bidi="ar"/>
        </w:rPr>
        <w:t>（牵头人名称）</w:t>
      </w:r>
      <w:r>
        <w:rPr>
          <w:rFonts w:hint="eastAsia" w:ascii="宋体" w:hAnsi="宋体" w:cs="宋体"/>
          <w:kern w:val="0"/>
          <w:szCs w:val="21"/>
          <w:lang w:bidi="ar"/>
        </w:rPr>
        <w:t>的法定代表人</w:t>
      </w:r>
      <w:r>
        <w:rPr>
          <w:rFonts w:hint="eastAsia" w:ascii="宋体" w:hAnsi="宋体" w:cs="宋体"/>
          <w:kern w:val="0"/>
          <w:szCs w:val="21"/>
          <w:u w:val="single"/>
          <w:lang w:bidi="ar"/>
        </w:rPr>
        <w:t>（姓名）</w:t>
      </w:r>
      <w:r>
        <w:rPr>
          <w:rFonts w:hint="eastAsia" w:ascii="宋体" w:hAnsi="宋体" w:cs="宋体"/>
          <w:kern w:val="0"/>
          <w:szCs w:val="21"/>
          <w:lang w:bidi="ar"/>
        </w:rPr>
        <w:t>现授权委托</w:t>
      </w:r>
      <w:r>
        <w:rPr>
          <w:rFonts w:hint="eastAsia" w:ascii="宋体" w:hAnsi="宋体" w:cs="宋体"/>
          <w:kern w:val="0"/>
          <w:szCs w:val="21"/>
          <w:u w:val="single"/>
          <w:lang w:bidi="ar"/>
        </w:rPr>
        <w:t xml:space="preserve"> （姓名）</w:t>
      </w:r>
      <w:r>
        <w:rPr>
          <w:rFonts w:hint="eastAsia" w:ascii="宋体" w:hAnsi="宋体" w:cs="宋体"/>
          <w:kern w:val="0"/>
          <w:szCs w:val="21"/>
          <w:lang w:bidi="ar"/>
        </w:rPr>
        <w:t xml:space="preserve">以我方的名义参加项目的投标活动，并代表我方全权办理针对上述项目的所有采购程序和环节的具体事务和签署相关文件。 </w:t>
      </w:r>
    </w:p>
    <w:p>
      <w:pPr>
        <w:widowControl/>
        <w:ind w:firstLine="420"/>
        <w:jc w:val="left"/>
        <w:rPr>
          <w:szCs w:val="21"/>
        </w:rPr>
      </w:pPr>
      <w:r>
        <w:rPr>
          <w:rFonts w:hint="eastAsia" w:ascii="宋体" w:hAnsi="宋体" w:cs="宋体"/>
          <w:kern w:val="0"/>
          <w:szCs w:val="21"/>
          <w:lang w:bidi="ar"/>
        </w:rPr>
        <w:t xml:space="preserve">我方对委托代理人的签字或者电子签名事项负全部责任。 </w:t>
      </w:r>
    </w:p>
    <w:p>
      <w:pPr>
        <w:widowControl/>
        <w:ind w:firstLine="420"/>
        <w:jc w:val="left"/>
        <w:rPr>
          <w:szCs w:val="21"/>
        </w:rPr>
      </w:pPr>
      <w:r>
        <w:rPr>
          <w:rFonts w:hint="eastAsia" w:ascii="宋体" w:hAnsi="宋体" w:cs="宋体"/>
          <w:kern w:val="0"/>
          <w:szCs w:val="21"/>
          <w:lang w:bidi="ar"/>
        </w:rPr>
        <w:t xml:space="preserve">本授权书自签署之日起生效，在撤销授权的书面通知以前，本授权书一直有效。委托代理人在授权书有效期内签署的所有文件不因授权的撤销而失效。 </w:t>
      </w:r>
    </w:p>
    <w:p>
      <w:pPr>
        <w:widowControl/>
        <w:ind w:firstLine="420"/>
        <w:jc w:val="left"/>
        <w:rPr>
          <w:szCs w:val="21"/>
        </w:rPr>
      </w:pPr>
      <w:r>
        <w:rPr>
          <w:rFonts w:hint="eastAsia" w:ascii="宋体" w:hAnsi="宋体" w:cs="宋体"/>
          <w:kern w:val="0"/>
          <w:szCs w:val="21"/>
          <w:lang w:bidi="ar"/>
        </w:rPr>
        <w:t xml:space="preserve">委托代理人无转委托权，特此委托。 </w:t>
      </w:r>
    </w:p>
    <w:p>
      <w:pPr>
        <w:widowControl/>
        <w:ind w:firstLine="420"/>
        <w:jc w:val="left"/>
        <w:rPr>
          <w:rFonts w:ascii="宋体" w:hAnsi="宋体" w:cs="宋体"/>
          <w:kern w:val="0"/>
          <w:szCs w:val="21"/>
          <w:lang w:bidi="ar"/>
        </w:rPr>
      </w:pPr>
      <w:r>
        <w:rPr>
          <w:rFonts w:hint="eastAsia" w:ascii="宋体" w:hAnsi="宋体" w:cs="宋体"/>
          <w:kern w:val="0"/>
          <w:szCs w:val="21"/>
          <w:lang w:bidi="ar"/>
        </w:rPr>
        <w:t xml:space="preserve">附：牵头人法定代表人身份证明及委托代理人有效身份证正反面复印件 </w:t>
      </w:r>
    </w:p>
    <w:p>
      <w:pPr>
        <w:widowControl/>
        <w:ind w:firstLine="420"/>
        <w:jc w:val="left"/>
        <w:rPr>
          <w:rFonts w:ascii="宋体" w:hAnsi="宋体" w:cs="宋体"/>
          <w:kern w:val="0"/>
          <w:szCs w:val="21"/>
          <w:lang w:bidi="ar"/>
        </w:rPr>
      </w:pPr>
    </w:p>
    <w:p>
      <w:pPr>
        <w:widowControl/>
        <w:ind w:firstLine="420"/>
        <w:jc w:val="left"/>
        <w:rPr>
          <w:szCs w:val="21"/>
        </w:rPr>
      </w:pPr>
      <w:r>
        <w:rPr>
          <w:rFonts w:hint="eastAsia" w:ascii="宋体" w:hAnsi="宋体" w:cs="宋体"/>
          <w:kern w:val="0"/>
          <w:szCs w:val="21"/>
          <w:lang w:bidi="ar"/>
        </w:rPr>
        <w:t xml:space="preserve">牵头人法定代表人（签名）： </w:t>
      </w:r>
    </w:p>
    <w:p>
      <w:pPr>
        <w:widowControl/>
        <w:ind w:firstLine="420"/>
        <w:jc w:val="left"/>
        <w:rPr>
          <w:szCs w:val="21"/>
        </w:rPr>
      </w:pPr>
      <w:r>
        <w:rPr>
          <w:rFonts w:hint="eastAsia" w:ascii="宋体" w:hAnsi="宋体" w:cs="宋体"/>
          <w:kern w:val="0"/>
          <w:szCs w:val="21"/>
          <w:lang w:bidi="ar"/>
        </w:rPr>
        <w:t xml:space="preserve">牵头人（盖章）： </w:t>
      </w:r>
    </w:p>
    <w:p>
      <w:pPr>
        <w:widowControl/>
        <w:ind w:firstLine="420"/>
        <w:jc w:val="left"/>
        <w:rPr>
          <w:szCs w:val="21"/>
        </w:rPr>
      </w:pPr>
      <w:r>
        <w:rPr>
          <w:rFonts w:hint="eastAsia" w:ascii="宋体" w:hAnsi="宋体" w:cs="宋体"/>
          <w:kern w:val="0"/>
          <w:szCs w:val="21"/>
          <w:lang w:bidi="ar"/>
        </w:rPr>
        <w:t xml:space="preserve">日期： 年 月 日 </w:t>
      </w:r>
    </w:p>
    <w:p>
      <w:pPr>
        <w:widowControl/>
        <w:ind w:firstLine="420"/>
        <w:jc w:val="left"/>
        <w:rPr>
          <w:rFonts w:ascii="宋体" w:hAnsi="宋体" w:cs="宋体"/>
          <w:kern w:val="0"/>
          <w:szCs w:val="21"/>
          <w:lang w:bidi="ar"/>
        </w:rPr>
      </w:pPr>
    </w:p>
    <w:p>
      <w:pPr>
        <w:widowControl/>
        <w:ind w:firstLine="420"/>
        <w:jc w:val="left"/>
        <w:rPr>
          <w:szCs w:val="21"/>
        </w:rPr>
      </w:pPr>
      <w:r>
        <w:rPr>
          <w:rFonts w:hint="eastAsia" w:ascii="宋体" w:hAnsi="宋体" w:cs="宋体"/>
          <w:kern w:val="0"/>
          <w:szCs w:val="21"/>
          <w:lang w:bidi="ar"/>
        </w:rPr>
        <w:t xml:space="preserve">被授权人（签名）： </w:t>
      </w:r>
    </w:p>
    <w:p>
      <w:pPr>
        <w:widowControl/>
        <w:ind w:firstLine="420"/>
        <w:jc w:val="left"/>
        <w:rPr>
          <w:szCs w:val="21"/>
        </w:rPr>
      </w:pPr>
      <w:r>
        <w:rPr>
          <w:rFonts w:hint="eastAsia" w:ascii="宋体" w:hAnsi="宋体" w:cs="宋体"/>
          <w:kern w:val="0"/>
          <w:szCs w:val="21"/>
          <w:lang w:bidi="ar"/>
        </w:rPr>
        <w:t xml:space="preserve">日期： 年 月 日 </w:t>
      </w:r>
    </w:p>
    <w:p>
      <w:pPr>
        <w:widowControl/>
        <w:ind w:firstLine="420"/>
        <w:jc w:val="left"/>
        <w:rPr>
          <w:rFonts w:ascii="宋体" w:hAnsi="宋体" w:cs="宋体"/>
          <w:kern w:val="0"/>
          <w:szCs w:val="21"/>
          <w:lang w:bidi="ar"/>
        </w:rPr>
      </w:pPr>
    </w:p>
    <w:p>
      <w:r>
        <w:rPr>
          <w:strike/>
          <w:color w:val="FF0000"/>
          <w:szCs w:val="21"/>
        </w:rPr>
        <w:br w:type="page"/>
      </w:r>
    </w:p>
    <w:p>
      <w:pPr>
        <w:snapToGrid w:val="0"/>
        <w:spacing w:before="156" w:beforeLines="50" w:after="50" w:line="360" w:lineRule="exact"/>
        <w:jc w:val="center"/>
        <w:rPr>
          <w:rFonts w:ascii="仿宋" w:hAnsi="仿宋" w:eastAsia="仿宋"/>
          <w:b/>
          <w:color w:val="000000"/>
          <w:sz w:val="32"/>
          <w:szCs w:val="32"/>
        </w:rPr>
      </w:pPr>
      <w:r>
        <w:rPr>
          <w:rFonts w:hint="eastAsia" w:ascii="仿宋" w:hAnsi="仿宋" w:eastAsia="仿宋"/>
          <w:b/>
          <w:color w:val="000000"/>
          <w:sz w:val="32"/>
          <w:szCs w:val="32"/>
        </w:rPr>
        <w:t>商务响应表</w:t>
      </w:r>
      <w:r>
        <w:rPr>
          <w:rFonts w:hint="eastAsia" w:ascii="仿宋" w:hAnsi="仿宋" w:eastAsia="仿宋"/>
          <w:color w:val="0D0D0D" w:themeColor="text1" w:themeTint="F2"/>
          <w:sz w:val="24"/>
          <w14:textFill>
            <w14:solidFill>
              <w14:schemeClr w14:val="tx1">
                <w14:lumMod w14:val="95000"/>
                <w14:lumOff w14:val="5000"/>
              </w14:schemeClr>
            </w14:solidFill>
          </w14:textFill>
        </w:rPr>
        <w:t>(格式</w:t>
      </w:r>
      <w:r>
        <w:rPr>
          <w:rFonts w:ascii="仿宋" w:hAnsi="仿宋" w:eastAsia="仿宋"/>
          <w:color w:val="0D0D0D" w:themeColor="text1" w:themeTint="F2"/>
          <w:sz w:val="24"/>
          <w14:textFill>
            <w14:solidFill>
              <w14:schemeClr w14:val="tx1">
                <w14:lumMod w14:val="95000"/>
                <w14:lumOff w14:val="5000"/>
              </w14:schemeClr>
            </w14:solidFill>
          </w14:textFill>
        </w:rPr>
        <w:t>)</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000000"/>
                <w:szCs w:val="21"/>
              </w:rPr>
            </w:pPr>
            <w:r>
              <w:rPr>
                <w:rFonts w:hint="eastAsia" w:ascii="宋体" w:hAnsi="宋体"/>
                <w:b/>
                <w:color w:val="000000"/>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000000"/>
                <w:szCs w:val="21"/>
              </w:rPr>
            </w:pPr>
            <w:r>
              <w:rPr>
                <w:rFonts w:hint="eastAsia" w:ascii="宋体" w:hAnsi="宋体"/>
                <w:b/>
                <w:color w:val="000000"/>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000000"/>
                <w:szCs w:val="21"/>
              </w:rPr>
            </w:pPr>
            <w:r>
              <w:rPr>
                <w:rFonts w:hint="eastAsia" w:ascii="宋体" w:hAnsi="宋体"/>
                <w:b/>
                <w:color w:val="000000"/>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000000"/>
                <w:szCs w:val="21"/>
              </w:rPr>
            </w:pPr>
            <w:r>
              <w:rPr>
                <w:rFonts w:hint="eastAsia" w:ascii="宋体" w:hAnsi="宋体"/>
                <w:b/>
                <w:color w:val="000000"/>
                <w:szCs w:val="21"/>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000000"/>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szCs w:val="21"/>
              </w:rPr>
            </w:pPr>
          </w:p>
        </w:tc>
      </w:tr>
    </w:tbl>
    <w:p>
      <w:pPr>
        <w:tabs>
          <w:tab w:val="left" w:pos="3870"/>
          <w:tab w:val="left" w:pos="4085"/>
        </w:tabs>
        <w:snapToGrid w:val="0"/>
        <w:spacing w:line="400" w:lineRule="exact"/>
        <w:rPr>
          <w:rFonts w:ascii="宋体" w:hAnsi="宋体"/>
          <w:b/>
          <w:color w:val="000000"/>
          <w:szCs w:val="21"/>
        </w:rPr>
      </w:pPr>
    </w:p>
    <w:p>
      <w:pPr>
        <w:tabs>
          <w:tab w:val="left" w:pos="3870"/>
          <w:tab w:val="left" w:pos="4085"/>
        </w:tabs>
        <w:snapToGrid w:val="0"/>
        <w:spacing w:line="400" w:lineRule="exact"/>
        <w:rPr>
          <w:rFonts w:ascii="宋体" w:hAnsi="宋体"/>
          <w:b/>
          <w:color w:val="000000"/>
          <w:szCs w:val="21"/>
        </w:rPr>
      </w:pPr>
    </w:p>
    <w:p>
      <w:pPr>
        <w:snapToGrid w:val="0"/>
        <w:spacing w:before="50" w:after="50" w:line="350" w:lineRule="exact"/>
        <w:ind w:right="-817" w:rightChars="-389"/>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供应商（盖章）：</w:t>
      </w:r>
      <w:r>
        <w:rPr>
          <w:rFonts w:hint="eastAsia" w:ascii="宋体" w:hAnsi="宋体"/>
          <w:color w:val="000000"/>
          <w:szCs w:val="21"/>
          <w:u w:val="single"/>
        </w:rPr>
        <w:t xml:space="preserve">         </w:t>
      </w:r>
    </w:p>
    <w:p>
      <w:pPr>
        <w:snapToGrid w:val="0"/>
        <w:spacing w:before="50" w:after="50" w:line="350" w:lineRule="exact"/>
        <w:ind w:right="-817" w:rightChars="-389"/>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日</w:t>
      </w:r>
    </w:p>
    <w:p>
      <w:pPr>
        <w:snapToGrid w:val="0"/>
        <w:spacing w:before="50" w:after="50" w:line="350" w:lineRule="exact"/>
        <w:ind w:right="-817" w:rightChars="-389"/>
        <w:rPr>
          <w:rFonts w:ascii="宋体" w:hAnsi="宋体"/>
          <w:color w:val="000000"/>
          <w:szCs w:val="21"/>
        </w:rPr>
      </w:pPr>
    </w:p>
    <w:p>
      <w:pPr>
        <w:snapToGrid w:val="0"/>
        <w:spacing w:before="50" w:after="50" w:line="350" w:lineRule="exact"/>
        <w:ind w:right="-817" w:rightChars="-389"/>
        <w:rPr>
          <w:rFonts w:ascii="宋体" w:hAnsi="宋体"/>
          <w:color w:val="000000"/>
          <w:szCs w:val="21"/>
        </w:rPr>
      </w:pPr>
    </w:p>
    <w:p>
      <w:pPr>
        <w:pStyle w:val="23"/>
        <w:spacing w:line="440" w:lineRule="exact"/>
        <w:ind w:firstLine="840"/>
        <w:jc w:val="center"/>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s="黑体"/>
          <w:b/>
          <w:color w:val="0D0D0D" w:themeColor="text1" w:themeTint="F2"/>
          <w:sz w:val="32"/>
          <w:szCs w:val="32"/>
          <w14:textFill>
            <w14:solidFill>
              <w14:schemeClr w14:val="tx1">
                <w14:lumMod w14:val="95000"/>
                <w14:lumOff w14:val="5000"/>
              </w14:schemeClr>
            </w14:solidFill>
          </w14:textFill>
        </w:rPr>
        <w:t>技术响应表</w:t>
      </w:r>
      <w:r>
        <w:rPr>
          <w:rFonts w:hint="eastAsia" w:ascii="仿宋" w:hAnsi="仿宋" w:eastAsia="仿宋"/>
          <w:color w:val="0D0D0D" w:themeColor="text1" w:themeTint="F2"/>
          <w:sz w:val="24"/>
          <w:szCs w:val="24"/>
          <w14:textFill>
            <w14:solidFill>
              <w14:schemeClr w14:val="tx1">
                <w14:lumMod w14:val="95000"/>
                <w14:lumOff w14:val="5000"/>
              </w14:schemeClr>
            </w14:solidFill>
          </w14:textFill>
        </w:rPr>
        <w:t>(格式</w:t>
      </w:r>
      <w:r>
        <w:rPr>
          <w:rFonts w:ascii="仿宋" w:hAnsi="仿宋" w:eastAsia="仿宋"/>
          <w:color w:val="0D0D0D" w:themeColor="text1" w:themeTint="F2"/>
          <w:sz w:val="24"/>
          <w:szCs w:val="24"/>
          <w14:textFill>
            <w14:solidFill>
              <w14:schemeClr w14:val="tx1">
                <w14:lumMod w14:val="95000"/>
                <w14:lumOff w14:val="5000"/>
              </w14:schemeClr>
            </w14:solidFill>
          </w14:textFill>
        </w:rPr>
        <w:t>)</w:t>
      </w:r>
    </w:p>
    <w:p/>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采购项目编号：</w:t>
      </w:r>
      <w:r>
        <w:rPr>
          <w:rFonts w:hint="eastAsia"/>
          <w:color w:val="0D0D0D" w:themeColor="text1" w:themeTint="F2"/>
          <w:u w:val="single"/>
          <w14:textFill>
            <w14:solidFill>
              <w14:schemeClr w14:val="tx1">
                <w14:lumMod w14:val="95000"/>
                <w14:lumOff w14:val="5000"/>
              </w14:schemeClr>
            </w14:solidFill>
          </w14:textFill>
        </w:rPr>
        <w:t xml:space="preserve">                 </w:t>
      </w:r>
    </w:p>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采购项目名称：</w:t>
      </w:r>
      <w:r>
        <w:rPr>
          <w:rFonts w:hint="eastAsia"/>
          <w:color w:val="0D0D0D" w:themeColor="text1" w:themeTint="F2"/>
          <w:u w:val="single"/>
          <w14:textFill>
            <w14:solidFill>
              <w14:schemeClr w14:val="tx1">
                <w14:lumMod w14:val="95000"/>
                <w14:lumOff w14:val="5000"/>
              </w14:schemeClr>
            </w14:solidFill>
          </w14:textFill>
        </w:rPr>
        <w:t xml:space="preserve">                 </w:t>
      </w:r>
    </w:p>
    <w:tbl>
      <w:tblPr>
        <w:tblStyle w:val="40"/>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48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标的名称</w:t>
            </w:r>
          </w:p>
        </w:tc>
        <w:tc>
          <w:tcPr>
            <w:tcW w:w="28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竞争性谈判采购文件要求</w:t>
            </w:r>
          </w:p>
        </w:tc>
        <w:tc>
          <w:tcPr>
            <w:tcW w:w="226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响应文件具体响应</w:t>
            </w:r>
          </w:p>
        </w:tc>
        <w:tc>
          <w:tcPr>
            <w:tcW w:w="141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响应/偏离</w:t>
            </w:r>
          </w:p>
        </w:tc>
        <w:tc>
          <w:tcPr>
            <w:tcW w:w="70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80" w:type="dxa"/>
            <w:vAlign w:val="center"/>
          </w:tcPr>
          <w:p>
            <w:pPr>
              <w:rPr>
                <w:color w:val="000000" w:themeColor="text1"/>
                <w14:textFill>
                  <w14:solidFill>
                    <w14:schemeClr w14:val="tx1"/>
                  </w14:solidFill>
                </w14:textFill>
              </w:rPr>
            </w:pPr>
          </w:p>
        </w:tc>
        <w:tc>
          <w:tcPr>
            <w:tcW w:w="2835" w:type="dxa"/>
            <w:vAlign w:val="center"/>
          </w:tcPr>
          <w:p>
            <w:pPr>
              <w:rPr>
                <w:color w:val="000000" w:themeColor="text1"/>
                <w14:textFill>
                  <w14:solidFill>
                    <w14:schemeClr w14:val="tx1"/>
                  </w14:solidFill>
                </w14:textFill>
              </w:rPr>
            </w:pPr>
          </w:p>
        </w:tc>
        <w:tc>
          <w:tcPr>
            <w:tcW w:w="2268" w:type="dxa"/>
            <w:vAlign w:val="center"/>
          </w:tcPr>
          <w:p>
            <w:pPr>
              <w:rPr>
                <w:color w:val="000000" w:themeColor="text1"/>
                <w14:textFill>
                  <w14:solidFill>
                    <w14:schemeClr w14:val="tx1"/>
                  </w14:solidFill>
                </w14:textFill>
              </w:rPr>
            </w:pPr>
          </w:p>
        </w:tc>
        <w:tc>
          <w:tcPr>
            <w:tcW w:w="1418" w:type="dxa"/>
            <w:vAlign w:val="center"/>
          </w:tcPr>
          <w:p>
            <w:pPr>
              <w:rPr>
                <w:color w:val="000000" w:themeColor="text1"/>
                <w14:textFill>
                  <w14:solidFill>
                    <w14:schemeClr w14:val="tx1"/>
                  </w14:solidFill>
                </w14:textFill>
              </w:rPr>
            </w:pPr>
          </w:p>
        </w:tc>
        <w:tc>
          <w:tcPr>
            <w:tcW w:w="709" w:type="dxa"/>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80" w:type="dxa"/>
            <w:vAlign w:val="center"/>
          </w:tcPr>
          <w:p>
            <w:pPr>
              <w:rPr>
                <w:color w:val="000000" w:themeColor="text1"/>
                <w14:textFill>
                  <w14:solidFill>
                    <w14:schemeClr w14:val="tx1"/>
                  </w14:solidFill>
                </w14:textFill>
              </w:rPr>
            </w:pPr>
          </w:p>
        </w:tc>
        <w:tc>
          <w:tcPr>
            <w:tcW w:w="2835" w:type="dxa"/>
            <w:vAlign w:val="center"/>
          </w:tcPr>
          <w:p>
            <w:pPr>
              <w:rPr>
                <w:color w:val="000000" w:themeColor="text1"/>
                <w14:textFill>
                  <w14:solidFill>
                    <w14:schemeClr w14:val="tx1"/>
                  </w14:solidFill>
                </w14:textFill>
              </w:rPr>
            </w:pPr>
          </w:p>
        </w:tc>
        <w:tc>
          <w:tcPr>
            <w:tcW w:w="2268" w:type="dxa"/>
            <w:vAlign w:val="center"/>
          </w:tcPr>
          <w:p>
            <w:pPr>
              <w:rPr>
                <w:color w:val="000000" w:themeColor="text1"/>
                <w14:textFill>
                  <w14:solidFill>
                    <w14:schemeClr w14:val="tx1"/>
                  </w14:solidFill>
                </w14:textFill>
              </w:rPr>
            </w:pPr>
          </w:p>
        </w:tc>
        <w:tc>
          <w:tcPr>
            <w:tcW w:w="1418" w:type="dxa"/>
            <w:vAlign w:val="center"/>
          </w:tcPr>
          <w:p>
            <w:pPr>
              <w:rPr>
                <w:color w:val="000000" w:themeColor="text1"/>
                <w14:textFill>
                  <w14:solidFill>
                    <w14:schemeClr w14:val="tx1"/>
                  </w14:solidFill>
                </w14:textFill>
              </w:rPr>
            </w:pPr>
          </w:p>
        </w:tc>
        <w:tc>
          <w:tcPr>
            <w:tcW w:w="709" w:type="dxa"/>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480" w:type="dxa"/>
            <w:vAlign w:val="center"/>
          </w:tcPr>
          <w:p>
            <w:pPr>
              <w:rPr>
                <w:color w:val="000000" w:themeColor="text1"/>
                <w14:textFill>
                  <w14:solidFill>
                    <w14:schemeClr w14:val="tx1"/>
                  </w14:solidFill>
                </w14:textFill>
              </w:rPr>
            </w:pPr>
          </w:p>
        </w:tc>
        <w:tc>
          <w:tcPr>
            <w:tcW w:w="2835" w:type="dxa"/>
            <w:vAlign w:val="center"/>
          </w:tcPr>
          <w:p>
            <w:pPr>
              <w:rPr>
                <w:color w:val="000000" w:themeColor="text1"/>
                <w14:textFill>
                  <w14:solidFill>
                    <w14:schemeClr w14:val="tx1"/>
                  </w14:solidFill>
                </w14:textFill>
              </w:rPr>
            </w:pPr>
          </w:p>
        </w:tc>
        <w:tc>
          <w:tcPr>
            <w:tcW w:w="2268" w:type="dxa"/>
            <w:vAlign w:val="center"/>
          </w:tcPr>
          <w:p>
            <w:pPr>
              <w:rPr>
                <w:color w:val="000000" w:themeColor="text1"/>
                <w14:textFill>
                  <w14:solidFill>
                    <w14:schemeClr w14:val="tx1"/>
                  </w14:solidFill>
                </w14:textFill>
              </w:rPr>
            </w:pPr>
          </w:p>
        </w:tc>
        <w:tc>
          <w:tcPr>
            <w:tcW w:w="1418" w:type="dxa"/>
            <w:vAlign w:val="center"/>
          </w:tcPr>
          <w:p>
            <w:pPr>
              <w:rPr>
                <w:color w:val="000000" w:themeColor="text1"/>
                <w14:textFill>
                  <w14:solidFill>
                    <w14:schemeClr w14:val="tx1"/>
                  </w14:solidFill>
                </w14:textFill>
              </w:rPr>
            </w:pPr>
          </w:p>
        </w:tc>
        <w:tc>
          <w:tcPr>
            <w:tcW w:w="709" w:type="dxa"/>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480" w:type="dxa"/>
            <w:vAlign w:val="center"/>
          </w:tcPr>
          <w:p>
            <w:pPr>
              <w:rPr>
                <w:color w:val="000000" w:themeColor="text1"/>
                <w14:textFill>
                  <w14:solidFill>
                    <w14:schemeClr w14:val="tx1"/>
                  </w14:solidFill>
                </w14:textFill>
              </w:rPr>
            </w:pPr>
          </w:p>
        </w:tc>
        <w:tc>
          <w:tcPr>
            <w:tcW w:w="2835" w:type="dxa"/>
            <w:vAlign w:val="center"/>
          </w:tcPr>
          <w:p>
            <w:pPr>
              <w:rPr>
                <w:color w:val="000000" w:themeColor="text1"/>
                <w14:textFill>
                  <w14:solidFill>
                    <w14:schemeClr w14:val="tx1"/>
                  </w14:solidFill>
                </w14:textFill>
              </w:rPr>
            </w:pPr>
          </w:p>
        </w:tc>
        <w:tc>
          <w:tcPr>
            <w:tcW w:w="2268" w:type="dxa"/>
            <w:vAlign w:val="center"/>
          </w:tcPr>
          <w:p>
            <w:pPr>
              <w:rPr>
                <w:color w:val="000000" w:themeColor="text1"/>
                <w14:textFill>
                  <w14:solidFill>
                    <w14:schemeClr w14:val="tx1"/>
                  </w14:solidFill>
                </w14:textFill>
              </w:rPr>
            </w:pPr>
          </w:p>
        </w:tc>
        <w:tc>
          <w:tcPr>
            <w:tcW w:w="1418" w:type="dxa"/>
            <w:vAlign w:val="center"/>
          </w:tcPr>
          <w:p>
            <w:pPr>
              <w:rPr>
                <w:color w:val="000000" w:themeColor="text1"/>
                <w14:textFill>
                  <w14:solidFill>
                    <w14:schemeClr w14:val="tx1"/>
                  </w14:solidFill>
                </w14:textFill>
              </w:rPr>
            </w:pPr>
          </w:p>
        </w:tc>
        <w:tc>
          <w:tcPr>
            <w:tcW w:w="709" w:type="dxa"/>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480" w:type="dxa"/>
            <w:vAlign w:val="center"/>
          </w:tcPr>
          <w:p>
            <w:pPr>
              <w:rPr>
                <w:color w:val="000000" w:themeColor="text1"/>
                <w14:textFill>
                  <w14:solidFill>
                    <w14:schemeClr w14:val="tx1"/>
                  </w14:solidFill>
                </w14:textFill>
              </w:rPr>
            </w:pPr>
          </w:p>
        </w:tc>
        <w:tc>
          <w:tcPr>
            <w:tcW w:w="2835" w:type="dxa"/>
            <w:vAlign w:val="center"/>
          </w:tcPr>
          <w:p>
            <w:pPr>
              <w:rPr>
                <w:color w:val="000000" w:themeColor="text1"/>
                <w14:textFill>
                  <w14:solidFill>
                    <w14:schemeClr w14:val="tx1"/>
                  </w14:solidFill>
                </w14:textFill>
              </w:rPr>
            </w:pPr>
          </w:p>
        </w:tc>
        <w:tc>
          <w:tcPr>
            <w:tcW w:w="2268" w:type="dxa"/>
            <w:vAlign w:val="center"/>
          </w:tcPr>
          <w:p>
            <w:pPr>
              <w:rPr>
                <w:color w:val="000000" w:themeColor="text1"/>
                <w14:textFill>
                  <w14:solidFill>
                    <w14:schemeClr w14:val="tx1"/>
                  </w14:solidFill>
                </w14:textFill>
              </w:rPr>
            </w:pPr>
          </w:p>
        </w:tc>
        <w:tc>
          <w:tcPr>
            <w:tcW w:w="1418" w:type="dxa"/>
            <w:vAlign w:val="center"/>
          </w:tcPr>
          <w:p>
            <w:pPr>
              <w:rPr>
                <w:color w:val="000000" w:themeColor="text1"/>
                <w14:textFill>
                  <w14:solidFill>
                    <w14:schemeClr w14:val="tx1"/>
                  </w14:solidFill>
                </w14:textFill>
              </w:rPr>
            </w:pPr>
          </w:p>
        </w:tc>
        <w:tc>
          <w:tcPr>
            <w:tcW w:w="709" w:type="dxa"/>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480" w:type="dxa"/>
            <w:vAlign w:val="center"/>
          </w:tcPr>
          <w:p>
            <w:pPr>
              <w:rPr>
                <w:color w:val="000000" w:themeColor="text1"/>
                <w14:textFill>
                  <w14:solidFill>
                    <w14:schemeClr w14:val="tx1"/>
                  </w14:solidFill>
                </w14:textFill>
              </w:rPr>
            </w:pPr>
          </w:p>
        </w:tc>
        <w:tc>
          <w:tcPr>
            <w:tcW w:w="2835" w:type="dxa"/>
            <w:vAlign w:val="center"/>
          </w:tcPr>
          <w:p>
            <w:pPr>
              <w:rPr>
                <w:color w:val="000000" w:themeColor="text1"/>
                <w14:textFill>
                  <w14:solidFill>
                    <w14:schemeClr w14:val="tx1"/>
                  </w14:solidFill>
                </w14:textFill>
              </w:rPr>
            </w:pPr>
          </w:p>
        </w:tc>
        <w:tc>
          <w:tcPr>
            <w:tcW w:w="2268" w:type="dxa"/>
            <w:vAlign w:val="center"/>
          </w:tcPr>
          <w:p>
            <w:pPr>
              <w:rPr>
                <w:color w:val="000000" w:themeColor="text1"/>
                <w14:textFill>
                  <w14:solidFill>
                    <w14:schemeClr w14:val="tx1"/>
                  </w14:solidFill>
                </w14:textFill>
              </w:rPr>
            </w:pPr>
          </w:p>
        </w:tc>
        <w:tc>
          <w:tcPr>
            <w:tcW w:w="1418" w:type="dxa"/>
            <w:tcBorders>
              <w:right w:val="single" w:color="auto" w:sz="4" w:space="0"/>
            </w:tcBorders>
            <w:vAlign w:val="center"/>
          </w:tcPr>
          <w:p>
            <w:pPr>
              <w:rPr>
                <w:color w:val="000000" w:themeColor="text1"/>
                <w14:textFill>
                  <w14:solidFill>
                    <w14:schemeClr w14:val="tx1"/>
                  </w14:solidFill>
                </w14:textFill>
              </w:rPr>
            </w:pPr>
          </w:p>
        </w:tc>
        <w:tc>
          <w:tcPr>
            <w:tcW w:w="709" w:type="dxa"/>
            <w:tcBorders>
              <w:left w:val="single" w:color="auto" w:sz="4" w:space="0"/>
            </w:tcBorders>
            <w:vAlign w:val="center"/>
          </w:tcPr>
          <w:p>
            <w:pPr>
              <w:rPr>
                <w:color w:val="000000" w:themeColor="text1"/>
                <w14:textFill>
                  <w14:solidFill>
                    <w14:schemeClr w14:val="tx1"/>
                  </w14:solidFill>
                </w14:textFill>
              </w:rPr>
            </w:pPr>
          </w:p>
        </w:tc>
      </w:tr>
    </w:tbl>
    <w:p>
      <w:pPr>
        <w:pStyle w:val="19"/>
        <w:spacing w:line="300" w:lineRule="auto"/>
        <w:ind w:firstLine="105" w:firstLineChars="50"/>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00000" w:themeColor="text1"/>
          <w:sz w:val="21"/>
          <w:szCs w:val="21"/>
          <w14:textFill>
            <w14:solidFill>
              <w14:schemeClr w14:val="tx1"/>
            </w14:solidFill>
          </w14:textFill>
        </w:rPr>
        <w:t>注：供应商须对照竞争性谈判采购文件第二章《项目需求》，逐条说明所提供货物和服务对项目需求中货物的</w:t>
      </w:r>
      <w:bookmarkStart w:id="134" w:name="_Hlk92703260"/>
      <w:r>
        <w:rPr>
          <w:rFonts w:hint="eastAsia" w:ascii="宋体" w:hAnsi="宋体" w:eastAsia="宋体"/>
          <w:color w:val="000000" w:themeColor="text1"/>
          <w:sz w:val="21"/>
          <w:szCs w:val="21"/>
          <w14:textFill>
            <w14:solidFill>
              <w14:schemeClr w14:val="tx1"/>
            </w14:solidFill>
          </w14:textFill>
        </w:rPr>
        <w:t>技术参数及其性能（规格）</w:t>
      </w:r>
      <w:bookmarkEnd w:id="134"/>
      <w:r>
        <w:rPr>
          <w:rFonts w:hint="eastAsia" w:ascii="宋体" w:hAnsi="宋体" w:eastAsia="宋体"/>
          <w:color w:val="000000" w:themeColor="text1"/>
          <w:sz w:val="21"/>
          <w:szCs w:val="21"/>
          <w14:textFill>
            <w14:solidFill>
              <w14:schemeClr w14:val="tx1"/>
            </w14:solidFill>
          </w14:textFill>
        </w:rPr>
        <w:t>及服务要求作出的响应，并申明偏离情况。对有具体参数要求的指标，供应商须提供所供设备的具体技术参数及其性能（规格</w:t>
      </w: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w:t>
      </w:r>
    </w:p>
    <w:p>
      <w:pPr>
        <w:pStyle w:val="19"/>
        <w:spacing w:line="300" w:lineRule="auto"/>
        <w:ind w:firstLine="0" w:firstLineChars="0"/>
        <w:rPr>
          <w:rFonts w:ascii="宋体" w:hAnsi="宋体" w:eastAsia="宋体"/>
          <w:color w:val="0D0D0D" w:themeColor="text1" w:themeTint="F2"/>
          <w:sz w:val="21"/>
          <w:szCs w:val="21"/>
          <w14:textFill>
            <w14:solidFill>
              <w14:schemeClr w14:val="tx1">
                <w14:lumMod w14:val="95000"/>
                <w14:lumOff w14:val="5000"/>
              </w14:schemeClr>
            </w14:solidFill>
          </w14:textFill>
        </w:rPr>
      </w:pPr>
    </w:p>
    <w:p>
      <w:pPr>
        <w:pStyle w:val="23"/>
        <w:spacing w:line="300" w:lineRule="auto"/>
        <w:rPr>
          <w:rFonts w:hAnsi="宋体"/>
          <w:color w:val="0D0D0D" w:themeColor="text1" w:themeTint="F2"/>
          <w14:textFill>
            <w14:solidFill>
              <w14:schemeClr w14:val="tx1">
                <w14:lumMod w14:val="95000"/>
                <w14:lumOff w14:val="5000"/>
              </w14:schemeClr>
            </w14:solidFill>
          </w14:textFill>
        </w:rPr>
      </w:pPr>
    </w:p>
    <w:p>
      <w:pPr>
        <w:pStyle w:val="23"/>
        <w:spacing w:line="300" w:lineRule="auto"/>
        <w:ind w:firstLine="5880" w:firstLineChars="2800"/>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供应商（盖章）：</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u w:val="single"/>
          <w14:textFill>
            <w14:solidFill>
              <w14:schemeClr w14:val="tx1">
                <w14:lumMod w14:val="95000"/>
                <w14:lumOff w14:val="5000"/>
              </w14:schemeClr>
            </w14:solidFill>
          </w14:textFill>
        </w:rPr>
        <w:t xml:space="preserve"> </w:t>
      </w:r>
    </w:p>
    <w:p>
      <w:pPr>
        <w:pStyle w:val="23"/>
        <w:spacing w:line="300" w:lineRule="auto"/>
        <w:ind w:firstLine="5880" w:firstLineChars="2800"/>
        <w:rPr>
          <w:rFonts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日期：</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年</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月</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日</w:t>
      </w:r>
    </w:p>
    <w:bookmarkEnd w:id="42"/>
    <w:bookmarkEnd w:id="43"/>
    <w:bookmarkEnd w:id="44"/>
    <w:bookmarkEnd w:id="45"/>
    <w:p/>
    <w:p>
      <w:pPr>
        <w:spacing w:line="440" w:lineRule="exact"/>
        <w:ind w:left="-47" w:leftChars="-200" w:hanging="373" w:hangingChars="116"/>
        <w:jc w:val="center"/>
        <w:rPr>
          <w:rFonts w:ascii="仿宋_GB2312" w:hAnsi="宋体" w:eastAsia="仿宋_GB2312"/>
          <w:b/>
          <w:sz w:val="32"/>
          <w:szCs w:val="32"/>
        </w:rPr>
      </w:pPr>
      <w:r>
        <w:rPr>
          <w:rFonts w:hint="eastAsia" w:ascii="仿宋_GB2312" w:hAnsi="宋体" w:eastAsia="仿宋_GB2312"/>
          <w:b/>
          <w:sz w:val="32"/>
          <w:szCs w:val="32"/>
        </w:rPr>
        <w:t>中小企业声明函</w:t>
      </w:r>
      <w:r>
        <w:rPr>
          <w:rFonts w:hint="eastAsia" w:ascii="仿宋_GB2312" w:eastAsia="仿宋_GB2312"/>
          <w:bCs/>
          <w:sz w:val="24"/>
        </w:rPr>
        <w:t>（格式）</w:t>
      </w:r>
    </w:p>
    <w:p>
      <w:pPr>
        <w:spacing w:line="440" w:lineRule="exact"/>
        <w:ind w:left="2" w:hanging="2"/>
        <w:jc w:val="left"/>
        <w:rPr>
          <w:rFonts w:ascii="仿宋_GB2312" w:hAnsi="宋体" w:eastAsia="仿宋_GB2312"/>
          <w:b/>
          <w:szCs w:val="21"/>
        </w:rPr>
      </w:pPr>
    </w:p>
    <w:p>
      <w:pPr>
        <w:spacing w:line="600" w:lineRule="exact"/>
        <w:ind w:firstLine="420"/>
        <w:jc w:val="left"/>
        <w:rPr>
          <w:rFonts w:ascii="宋体" w:hAnsi="宋体"/>
          <w:bCs/>
          <w:szCs w:val="21"/>
        </w:rPr>
      </w:pPr>
      <w:bookmarkStart w:id="135" w:name="_Hlk94193902"/>
      <w:r>
        <w:rPr>
          <w:rFonts w:hint="eastAsia" w:ascii="宋体" w:hAnsi="宋体"/>
          <w:bCs/>
          <w:szCs w:val="21"/>
        </w:rPr>
        <w:t>本公司郑重声明，根据</w:t>
      </w:r>
      <w:bookmarkStart w:id="136"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7"/>
          <w:rFonts w:hint="eastAsia" w:ascii="宋体" w:hAnsi="宋体"/>
          <w:bCs/>
          <w:color w:val="auto"/>
          <w:szCs w:val="21"/>
          <w:u w:val="none"/>
        </w:rPr>
        <w:t>《政府采购促进中小企业发展管理办法》</w:t>
      </w:r>
      <w:bookmarkStart w:id="137" w:name="_Hlk60836554"/>
      <w:r>
        <w:rPr>
          <w:rStyle w:val="47"/>
          <w:rFonts w:hint="eastAsia" w:ascii="宋体" w:hAnsi="宋体"/>
          <w:bCs/>
          <w:color w:val="auto"/>
          <w:szCs w:val="21"/>
          <w:u w:val="none"/>
        </w:rPr>
        <w:t>（财库﹝2020﹞46号）</w:t>
      </w:r>
      <w:bookmarkEnd w:id="136"/>
      <w:bookmarkEnd w:id="137"/>
      <w:r>
        <w:rPr>
          <w:rFonts w:ascii="宋体" w:hAnsi="宋体"/>
          <w:bCs/>
          <w:szCs w:val="21"/>
        </w:rPr>
        <w:fldChar w:fldCharType="end"/>
      </w:r>
      <w:r>
        <w:rPr>
          <w:rFonts w:hint="eastAsia" w:ascii="宋体" w:hAnsi="宋体"/>
          <w:bCs/>
          <w:szCs w:val="21"/>
        </w:rPr>
        <w:t>的规定，本公司参加</w:t>
      </w:r>
      <w:bookmarkStart w:id="138"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38"/>
      <w:r>
        <w:rPr>
          <w:rFonts w:hint="eastAsia" w:ascii="宋体" w:hAnsi="宋体"/>
          <w:bCs/>
          <w:szCs w:val="21"/>
        </w:rPr>
        <w:t>采购活动，提供的货物全部由符合政策要求的中小企业制造。相关企业的具体情况如下：</w:t>
      </w:r>
    </w:p>
    <w:p>
      <w:pPr>
        <w:spacing w:line="600" w:lineRule="exact"/>
        <w:ind w:firstLine="294" w:firstLineChars="140"/>
        <w:jc w:val="left"/>
        <w:rPr>
          <w:rFonts w:ascii="宋体" w:hAnsi="宋体"/>
          <w:bCs/>
          <w:szCs w:val="21"/>
        </w:rPr>
      </w:pPr>
      <w:r>
        <w:rPr>
          <w:rFonts w:hint="eastAsia" w:ascii="宋体" w:hAnsi="宋体"/>
          <w:bCs/>
          <w:szCs w:val="21"/>
        </w:rPr>
        <w:t>1.</w:t>
      </w:r>
      <w:bookmarkStart w:id="139" w:name="_Hlk60836996"/>
      <w:r>
        <w:rPr>
          <w:rFonts w:hint="eastAsia" w:ascii="宋体" w:hAnsi="宋体"/>
          <w:bCs/>
          <w:szCs w:val="21"/>
        </w:rPr>
        <w:t>（</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），从业人员人，营业收入为万元，资产总额为万元，属于（</w:t>
      </w:r>
      <w:r>
        <w:rPr>
          <w:rFonts w:hint="eastAsia" w:ascii="宋体" w:hAnsi="宋体"/>
          <w:bCs/>
          <w:szCs w:val="21"/>
          <w:u w:val="single"/>
        </w:rPr>
        <w:t>中型企业、小型企业、微型企业</w:t>
      </w:r>
      <w:r>
        <w:rPr>
          <w:rFonts w:hint="eastAsia" w:ascii="宋体" w:hAnsi="宋体"/>
          <w:bCs/>
          <w:szCs w:val="21"/>
        </w:rPr>
        <w:t>）；</w:t>
      </w:r>
      <w:bookmarkEnd w:id="139"/>
    </w:p>
    <w:p>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），从业人员人，营业收入为万元，资产总额为万元，属于（</w:t>
      </w:r>
      <w:r>
        <w:rPr>
          <w:rFonts w:hint="eastAsia" w:ascii="宋体" w:hAnsi="宋体"/>
          <w:bCs/>
          <w:szCs w:val="21"/>
          <w:u w:val="single"/>
        </w:rPr>
        <w:t>中型企业、小型企业、微型企业</w:t>
      </w: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pPr>
        <w:rPr>
          <w:szCs w:val="21"/>
        </w:rPr>
      </w:pPr>
    </w:p>
    <w:p>
      <w:pPr>
        <w:rPr>
          <w:szCs w:val="21"/>
        </w:rPr>
      </w:pPr>
    </w:p>
    <w:p>
      <w:pPr>
        <w:rPr>
          <w:szCs w:val="21"/>
        </w:rPr>
      </w:pPr>
    </w:p>
    <w:p>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bookmarkEnd w:id="135"/>
    <w:p>
      <w:pPr>
        <w:rPr>
          <w:szCs w:val="21"/>
        </w:rPr>
      </w:pPr>
    </w:p>
    <w:p>
      <w:pPr>
        <w:rPr>
          <w:szCs w:val="21"/>
        </w:rPr>
      </w:pPr>
    </w:p>
    <w:p>
      <w:pPr>
        <w:rPr>
          <w:szCs w:val="21"/>
        </w:rPr>
      </w:pPr>
    </w:p>
    <w:p>
      <w:pPr>
        <w:rPr>
          <w:szCs w:val="21"/>
        </w:rPr>
      </w:pPr>
    </w:p>
    <w:p>
      <w:pPr>
        <w:rPr>
          <w:szCs w:val="21"/>
        </w:rPr>
      </w:pPr>
    </w:p>
    <w:p>
      <w:pPr>
        <w:spacing w:line="320" w:lineRule="exact"/>
        <w:rPr>
          <w:szCs w:val="21"/>
        </w:rPr>
      </w:pPr>
    </w:p>
    <w:p>
      <w:pPr>
        <w:spacing w:line="320" w:lineRule="exact"/>
        <w:rPr>
          <w:szCs w:val="21"/>
        </w:rPr>
      </w:pPr>
    </w:p>
    <w:p>
      <w:pPr>
        <w:pStyle w:val="49"/>
      </w:pPr>
    </w:p>
    <w:p>
      <w:pPr>
        <w:spacing w:line="320" w:lineRule="exact"/>
        <w:rPr>
          <w:szCs w:val="21"/>
        </w:rPr>
      </w:pPr>
    </w:p>
    <w:p>
      <w:pPr>
        <w:spacing w:line="320" w:lineRule="exact"/>
        <w:rPr>
          <w:szCs w:val="21"/>
        </w:rPr>
      </w:pPr>
    </w:p>
    <w:p>
      <w:pPr>
        <w:spacing w:line="320" w:lineRule="exact"/>
        <w:ind w:left="420"/>
        <w:rPr>
          <w:rFonts w:ascii="宋体" w:hAnsi="宋体"/>
          <w:sz w:val="18"/>
          <w:szCs w:val="18"/>
        </w:rPr>
      </w:pPr>
      <w:bookmarkStart w:id="140" w:name="_Hlk82091879"/>
      <w:r>
        <w:rPr>
          <w:rFonts w:ascii="宋体" w:hAnsi="宋体"/>
          <w:sz w:val="18"/>
          <w:szCs w:val="18"/>
        </w:rPr>
        <w:fldChar w:fldCharType="begin"/>
      </w:r>
      <w:r>
        <w:rPr>
          <w:rFonts w:ascii="宋体" w:hAnsi="宋体"/>
          <w:sz w:val="18"/>
          <w:szCs w:val="18"/>
        </w:rPr>
        <w:instrText xml:space="preserve">EQ \* jc2 \* hps9 \o\ad(\s\up 8(——),从)</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8(——),业)</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8(——),人)</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8(——),员)</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8(——),营)</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8(——),业)</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8(——),收)</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8(——),入)</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8(——),资)</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8(——),产)</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8(——),总)</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8(——),额)</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8(——),填)</w:instrText>
      </w:r>
      <w:r>
        <w:rPr>
          <w:rFonts w:ascii="宋体" w:hAnsi="宋体"/>
          <w:sz w:val="18"/>
          <w:szCs w:val="18"/>
        </w:rPr>
        <w:fldChar w:fldCharType="end"/>
      </w:r>
      <w:r>
        <w:rPr>
          <w:rFonts w:ascii="宋体" w:hAnsi="宋体"/>
          <w:sz w:val="18"/>
          <w:szCs w:val="18"/>
        </w:rPr>
        <w:fldChar w:fldCharType="begin"/>
      </w:r>
      <w:r>
        <w:rPr>
          <w:rFonts w:ascii="宋体" w:hAnsi="宋体"/>
          <w:sz w:val="18"/>
          <w:szCs w:val="18"/>
        </w:rPr>
        <w:instrText xml:space="preserve">EQ \* jc2 \* hps9 \o\ad(\s\up 8(——),报)</w:instrText>
      </w:r>
      <w:r>
        <w:rPr>
          <w:rFonts w:ascii="宋体" w:hAnsi="宋体"/>
          <w:sz w:val="18"/>
          <w:szCs w:val="18"/>
        </w:rPr>
        <w:fldChar w:fldCharType="end"/>
      </w:r>
      <w:bookmarkEnd w:id="140"/>
      <w:r>
        <w:rPr>
          <w:rFonts w:hint="eastAsia" w:ascii="宋体" w:hAnsi="宋体"/>
          <w:sz w:val="18"/>
          <w:szCs w:val="18"/>
        </w:rPr>
        <w:t>上一年度数据，无上一年度数据的新成立企业可不填报。</w:t>
      </w:r>
    </w:p>
    <w:p>
      <w:r>
        <w:br w:type="page"/>
      </w:r>
    </w:p>
    <w:p>
      <w:pPr>
        <w:pStyle w:val="23"/>
        <w:spacing w:line="360" w:lineRule="exact"/>
        <w:rPr>
          <w:rFonts w:cs="宋体"/>
          <w:b/>
        </w:rPr>
      </w:pPr>
      <w:r>
        <w:rPr>
          <w:rFonts w:hint="eastAsia" w:cs="宋体"/>
          <w:b/>
        </w:rPr>
        <w:t>注：①从业人员、营业收入、资产总额填报上一年度数据，无上一年度数据的新成立企业可不填报。</w:t>
      </w:r>
    </w:p>
    <w:p>
      <w:pPr>
        <w:snapToGrid w:val="0"/>
        <w:spacing w:line="360" w:lineRule="exact"/>
        <w:ind w:firstLine="422"/>
        <w:jc w:val="left"/>
        <w:rPr>
          <w:rFonts w:hAnsi="宋体"/>
          <w:b/>
          <w:szCs w:val="21"/>
        </w:rPr>
      </w:pPr>
      <w:r>
        <w:rPr>
          <w:rFonts w:hint="eastAsia" w:hAnsi="宋体"/>
          <w:b/>
          <w:szCs w:val="21"/>
        </w:rPr>
        <w:t>②所属行业依照《中小企业划型标准规定》（工信部联企业〔2011〕300号）及《国民经济行业分类》（GB/T4754-2017）的有关规定执行。</w:t>
      </w:r>
    </w:p>
    <w:p>
      <w:pPr>
        <w:snapToGrid w:val="0"/>
        <w:spacing w:line="360" w:lineRule="exact"/>
        <w:ind w:firstLine="422"/>
        <w:jc w:val="left"/>
        <w:rPr>
          <w:rFonts w:hAnsi="宋体" w:cs="宋体"/>
          <w:b/>
          <w:bCs/>
        </w:rPr>
      </w:pPr>
      <w:r>
        <w:rPr>
          <w:rFonts w:hint="eastAsia"/>
          <w:b/>
          <w:bCs/>
        </w:rPr>
        <w:t>附表</w:t>
      </w:r>
    </w:p>
    <w:p>
      <w:pPr>
        <w:widowControl/>
        <w:spacing w:before="156" w:beforeLines="50" w:after="156" w:afterLines="50"/>
        <w:ind w:firstLine="602"/>
        <w:jc w:val="center"/>
        <w:rPr>
          <w:rFonts w:hAnsi="宋体" w:cs="宋体"/>
          <w:b/>
          <w:bCs/>
          <w:kern w:val="0"/>
          <w:sz w:val="30"/>
          <w:szCs w:val="30"/>
        </w:rPr>
      </w:pPr>
      <w:bookmarkStart w:id="141" w:name="_Toc28361_WPSOffice_Level2"/>
      <w:r>
        <w:rPr>
          <w:rFonts w:hint="eastAsia" w:hAnsi="宋体" w:cs="宋体"/>
          <w:b/>
          <w:bCs/>
          <w:kern w:val="0"/>
          <w:sz w:val="30"/>
          <w:szCs w:val="30"/>
        </w:rPr>
        <w:t>统计上大中小微型企业划分标准</w:t>
      </w:r>
      <w:bookmarkEnd w:id="141"/>
    </w:p>
    <w:tbl>
      <w:tblPr>
        <w:tblStyle w:val="40"/>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451"/>
        <w:gridCol w:w="750"/>
        <w:gridCol w:w="1191"/>
        <w:gridCol w:w="1803"/>
        <w:gridCol w:w="1511"/>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blHeader/>
        </w:trPr>
        <w:tc>
          <w:tcPr>
            <w:tcW w:w="2239" w:type="dxa"/>
            <w:shd w:val="clear" w:color="auto" w:fill="8DB3E2"/>
            <w:vAlign w:val="center"/>
          </w:tcPr>
          <w:p>
            <w:pPr>
              <w:widowControl/>
              <w:spacing w:line="240" w:lineRule="exact"/>
              <w:ind w:firstLine="361"/>
              <w:rPr>
                <w:rFonts w:hAnsi="宋体" w:cs="宋体"/>
                <w:b/>
                <w:bCs/>
                <w:kern w:val="0"/>
                <w:sz w:val="18"/>
                <w:szCs w:val="21"/>
              </w:rPr>
            </w:pPr>
            <w:r>
              <w:rPr>
                <w:rFonts w:hint="eastAsia" w:hAnsi="宋体" w:cs="宋体"/>
                <w:b/>
                <w:bCs/>
                <w:kern w:val="0"/>
                <w:sz w:val="18"/>
                <w:szCs w:val="21"/>
              </w:rPr>
              <w:t>行业名称</w:t>
            </w:r>
          </w:p>
        </w:tc>
        <w:tc>
          <w:tcPr>
            <w:tcW w:w="1451" w:type="dxa"/>
            <w:shd w:val="clear" w:color="auto" w:fill="8DB3E2"/>
            <w:vAlign w:val="center"/>
          </w:tcPr>
          <w:p>
            <w:pPr>
              <w:widowControl/>
              <w:ind w:firstLine="361"/>
              <w:jc w:val="center"/>
              <w:rPr>
                <w:rFonts w:hAnsi="宋体" w:cs="宋体"/>
                <w:b/>
                <w:bCs/>
                <w:kern w:val="0"/>
                <w:sz w:val="18"/>
                <w:szCs w:val="18"/>
              </w:rPr>
            </w:pPr>
            <w:r>
              <w:rPr>
                <w:rFonts w:hint="eastAsia" w:hAnsi="宋体" w:cs="宋体"/>
                <w:b/>
                <w:bCs/>
                <w:kern w:val="0"/>
                <w:sz w:val="18"/>
                <w:szCs w:val="18"/>
              </w:rPr>
              <w:t>指标名称</w:t>
            </w:r>
          </w:p>
        </w:tc>
        <w:tc>
          <w:tcPr>
            <w:tcW w:w="750" w:type="dxa"/>
            <w:shd w:val="clear" w:color="auto" w:fill="8DB3E2"/>
            <w:vAlign w:val="center"/>
          </w:tcPr>
          <w:p>
            <w:pPr>
              <w:widowControl/>
              <w:jc w:val="center"/>
              <w:rPr>
                <w:rFonts w:hAnsi="宋体" w:cs="宋体"/>
                <w:b/>
                <w:bCs/>
                <w:kern w:val="0"/>
                <w:sz w:val="18"/>
                <w:szCs w:val="18"/>
              </w:rPr>
            </w:pPr>
            <w:r>
              <w:rPr>
                <w:rFonts w:hint="eastAsia" w:hAnsi="宋体" w:cs="宋体"/>
                <w:b/>
                <w:bCs/>
                <w:kern w:val="0"/>
                <w:sz w:val="18"/>
                <w:szCs w:val="18"/>
              </w:rPr>
              <w:t>计量</w:t>
            </w:r>
          </w:p>
          <w:p>
            <w:pPr>
              <w:widowControl/>
              <w:jc w:val="center"/>
              <w:rPr>
                <w:rFonts w:hAnsi="宋体" w:cs="宋体"/>
                <w:b/>
                <w:bCs/>
                <w:kern w:val="0"/>
                <w:sz w:val="18"/>
                <w:szCs w:val="18"/>
              </w:rPr>
            </w:pPr>
            <w:r>
              <w:rPr>
                <w:rFonts w:hint="eastAsia" w:hAnsi="宋体" w:cs="宋体"/>
                <w:b/>
                <w:bCs/>
                <w:kern w:val="0"/>
                <w:sz w:val="18"/>
                <w:szCs w:val="18"/>
              </w:rPr>
              <w:t>单位</w:t>
            </w:r>
          </w:p>
        </w:tc>
        <w:tc>
          <w:tcPr>
            <w:tcW w:w="1191" w:type="dxa"/>
            <w:shd w:val="clear" w:color="auto" w:fill="8DB3E2"/>
            <w:vAlign w:val="center"/>
          </w:tcPr>
          <w:p>
            <w:pPr>
              <w:widowControl/>
              <w:ind w:firstLine="361"/>
              <w:rPr>
                <w:rFonts w:hAnsi="宋体" w:cs="宋体"/>
                <w:b/>
                <w:bCs/>
                <w:kern w:val="0"/>
                <w:sz w:val="18"/>
                <w:szCs w:val="18"/>
              </w:rPr>
            </w:pPr>
            <w:r>
              <w:rPr>
                <w:rFonts w:hint="eastAsia" w:hAnsi="宋体" w:cs="宋体"/>
                <w:b/>
                <w:bCs/>
                <w:kern w:val="0"/>
                <w:sz w:val="18"/>
                <w:szCs w:val="18"/>
              </w:rPr>
              <w:t>大型</w:t>
            </w:r>
          </w:p>
        </w:tc>
        <w:tc>
          <w:tcPr>
            <w:tcW w:w="1803" w:type="dxa"/>
            <w:shd w:val="clear" w:color="auto" w:fill="8DB3E2"/>
            <w:vAlign w:val="center"/>
          </w:tcPr>
          <w:p>
            <w:pPr>
              <w:widowControl/>
              <w:ind w:firstLine="361"/>
              <w:jc w:val="center"/>
              <w:rPr>
                <w:rFonts w:hAnsi="宋体" w:cs="宋体"/>
                <w:b/>
                <w:bCs/>
                <w:kern w:val="0"/>
                <w:sz w:val="18"/>
                <w:szCs w:val="18"/>
              </w:rPr>
            </w:pPr>
            <w:r>
              <w:rPr>
                <w:rFonts w:hint="eastAsia" w:hAnsi="宋体" w:cs="宋体"/>
                <w:b/>
                <w:bCs/>
                <w:kern w:val="0"/>
                <w:sz w:val="18"/>
                <w:szCs w:val="18"/>
              </w:rPr>
              <w:t>中型</w:t>
            </w:r>
          </w:p>
        </w:tc>
        <w:tc>
          <w:tcPr>
            <w:tcW w:w="1511" w:type="dxa"/>
            <w:shd w:val="clear" w:color="auto" w:fill="8DB3E2"/>
            <w:vAlign w:val="center"/>
          </w:tcPr>
          <w:p>
            <w:pPr>
              <w:widowControl/>
              <w:ind w:firstLine="361"/>
              <w:jc w:val="center"/>
              <w:rPr>
                <w:rFonts w:hAnsi="宋体" w:cs="宋体"/>
                <w:b/>
                <w:bCs/>
                <w:kern w:val="0"/>
                <w:sz w:val="18"/>
                <w:szCs w:val="18"/>
              </w:rPr>
            </w:pPr>
            <w:r>
              <w:rPr>
                <w:rFonts w:hint="eastAsia" w:hAnsi="宋体" w:cs="宋体"/>
                <w:b/>
                <w:bCs/>
                <w:kern w:val="0"/>
                <w:sz w:val="18"/>
                <w:szCs w:val="18"/>
              </w:rPr>
              <w:t>小型</w:t>
            </w:r>
          </w:p>
        </w:tc>
        <w:tc>
          <w:tcPr>
            <w:tcW w:w="1049" w:type="dxa"/>
            <w:shd w:val="clear" w:color="auto" w:fill="8DB3E2"/>
            <w:vAlign w:val="center"/>
          </w:tcPr>
          <w:p>
            <w:pPr>
              <w:widowControl/>
              <w:ind w:firstLine="361"/>
              <w:jc w:val="center"/>
              <w:rPr>
                <w:rFonts w:hAnsi="宋体" w:cs="宋体"/>
                <w:b/>
                <w:bCs/>
                <w:kern w:val="0"/>
                <w:sz w:val="18"/>
                <w:szCs w:val="18"/>
              </w:rPr>
            </w:pPr>
            <w:r>
              <w:rPr>
                <w:rFonts w:hint="eastAsia"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农、林、牧、渔业</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Y≥20000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500≤Y＜20000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50≤Y＜500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工业 *</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X≥1000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300≤X＜1000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20≤X＜300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Y≥40000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2000≤Y＜40000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300≤Y＜2000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建筑业</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Y≥80000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6000≤Y＜80000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300≤Y＜6000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资产总额(Z)</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Z≥80000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5000≤Z＜80000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300≤Z＜5000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批发业</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X≥200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20≤X＜200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5≤X＜20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Y≥40000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5000≤Y＜40000</w:t>
            </w:r>
          </w:p>
        </w:tc>
        <w:tc>
          <w:tcPr>
            <w:tcW w:w="1511" w:type="dxa"/>
            <w:vAlign w:val="center"/>
          </w:tcPr>
          <w:p>
            <w:pPr>
              <w:widowControl/>
              <w:ind w:left="-2" w:leftChars="-1"/>
              <w:jc w:val="center"/>
              <w:rPr>
                <w:rFonts w:hAnsi="宋体" w:cs="宋体"/>
                <w:kern w:val="0"/>
                <w:sz w:val="18"/>
                <w:szCs w:val="18"/>
              </w:rPr>
            </w:pPr>
            <w:r>
              <w:rPr>
                <w:rFonts w:hint="eastAsia" w:hAnsi="宋体" w:cs="宋体"/>
                <w:kern w:val="0"/>
                <w:sz w:val="18"/>
                <w:szCs w:val="18"/>
              </w:rPr>
              <w:t>1000≤Y＜5000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零售业</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X≥300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50≤X＜300</w:t>
            </w:r>
          </w:p>
        </w:tc>
        <w:tc>
          <w:tcPr>
            <w:tcW w:w="1511" w:type="dxa"/>
            <w:vAlign w:val="center"/>
          </w:tcPr>
          <w:p>
            <w:pPr>
              <w:widowControl/>
              <w:ind w:left="-2" w:leftChars="-1"/>
              <w:jc w:val="center"/>
              <w:rPr>
                <w:rFonts w:hAnsi="宋体" w:cs="宋体"/>
                <w:kern w:val="0"/>
                <w:sz w:val="18"/>
                <w:szCs w:val="18"/>
              </w:rPr>
            </w:pPr>
            <w:r>
              <w:rPr>
                <w:rFonts w:hint="eastAsia" w:hAnsi="宋体" w:cs="宋体"/>
                <w:kern w:val="0"/>
                <w:sz w:val="18"/>
                <w:szCs w:val="18"/>
              </w:rPr>
              <w:t>10≤X＜50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Y≥20000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500≤Y＜20000</w:t>
            </w:r>
          </w:p>
        </w:tc>
        <w:tc>
          <w:tcPr>
            <w:tcW w:w="1511" w:type="dxa"/>
            <w:vAlign w:val="center"/>
          </w:tcPr>
          <w:p>
            <w:pPr>
              <w:widowControl/>
              <w:ind w:left="-2" w:leftChars="-1"/>
              <w:jc w:val="center"/>
              <w:rPr>
                <w:rFonts w:hAnsi="宋体" w:cs="宋体"/>
                <w:kern w:val="0"/>
                <w:sz w:val="18"/>
                <w:szCs w:val="18"/>
              </w:rPr>
            </w:pPr>
            <w:r>
              <w:rPr>
                <w:rFonts w:hint="eastAsia" w:hAnsi="宋体" w:cs="宋体"/>
                <w:kern w:val="0"/>
                <w:sz w:val="18"/>
                <w:szCs w:val="18"/>
              </w:rPr>
              <w:t>100≤Y＜500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交通运输业 *</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X≥1000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300≤X＜1000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20≤X＜300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Y≥30000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3000≤Y＜30000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200≤Y＜3000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仓储业*</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X≥200</w:t>
            </w:r>
          </w:p>
        </w:tc>
        <w:tc>
          <w:tcPr>
            <w:tcW w:w="1803" w:type="dxa"/>
            <w:vAlign w:val="center"/>
          </w:tcPr>
          <w:p>
            <w:pPr>
              <w:widowControl/>
              <w:ind w:left="-107" w:leftChars="-51"/>
              <w:jc w:val="center"/>
              <w:rPr>
                <w:rFonts w:hAnsi="宋体" w:cs="宋体"/>
                <w:kern w:val="0"/>
                <w:sz w:val="18"/>
                <w:szCs w:val="18"/>
              </w:rPr>
            </w:pPr>
            <w:r>
              <w:rPr>
                <w:rFonts w:hint="eastAsia" w:hAnsi="宋体" w:cs="宋体"/>
                <w:kern w:val="0"/>
                <w:sz w:val="18"/>
                <w:szCs w:val="18"/>
              </w:rPr>
              <w:t>100≤X＜200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20≤X＜100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Y≥30000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1000≤Y＜30000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100≤Y＜1000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邮政业</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X≥1000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300≤X＜1000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20≤X＜300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Y≥30000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2000≤Y＜30000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100≤Y＜2000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住宿业</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X≥300</w:t>
            </w:r>
          </w:p>
        </w:tc>
        <w:tc>
          <w:tcPr>
            <w:tcW w:w="1803" w:type="dxa"/>
            <w:vAlign w:val="center"/>
          </w:tcPr>
          <w:p>
            <w:pPr>
              <w:widowControl/>
              <w:ind w:left="-107" w:leftChars="-51"/>
              <w:jc w:val="center"/>
              <w:rPr>
                <w:rFonts w:hAnsi="宋体" w:cs="宋体"/>
                <w:kern w:val="0"/>
                <w:sz w:val="18"/>
                <w:szCs w:val="18"/>
              </w:rPr>
            </w:pPr>
            <w:r>
              <w:rPr>
                <w:rFonts w:hint="eastAsia" w:hAnsi="宋体" w:cs="宋体"/>
                <w:kern w:val="0"/>
                <w:sz w:val="18"/>
                <w:szCs w:val="18"/>
              </w:rPr>
              <w:t>100≤X＜300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10≤X＜100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Y≥10000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2000≤Y＜10000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100≤Y＜2000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餐饮业</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X≥300</w:t>
            </w:r>
          </w:p>
        </w:tc>
        <w:tc>
          <w:tcPr>
            <w:tcW w:w="1803" w:type="dxa"/>
            <w:vAlign w:val="center"/>
          </w:tcPr>
          <w:p>
            <w:pPr>
              <w:widowControl/>
              <w:ind w:left="-107" w:leftChars="-51"/>
              <w:jc w:val="center"/>
              <w:rPr>
                <w:rFonts w:hAnsi="宋体" w:cs="宋体"/>
                <w:kern w:val="0"/>
                <w:sz w:val="18"/>
                <w:szCs w:val="18"/>
              </w:rPr>
            </w:pPr>
            <w:r>
              <w:rPr>
                <w:rFonts w:hint="eastAsia" w:hAnsi="宋体" w:cs="宋体"/>
                <w:kern w:val="0"/>
                <w:sz w:val="18"/>
                <w:szCs w:val="18"/>
              </w:rPr>
              <w:t>100≤X＜300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10≤X＜100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Y≥10000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2000≤Y＜10000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100≤Y＜2000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信息传输业 *</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X≥2000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100≤X＜2000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10≤X＜100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Y≥100000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1000≤Y＜100000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100≤Y＜1000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restart"/>
            <w:vAlign w:val="center"/>
          </w:tcPr>
          <w:p>
            <w:pPr>
              <w:widowControl/>
              <w:spacing w:line="240" w:lineRule="exact"/>
              <w:ind w:firstLine="312"/>
              <w:jc w:val="left"/>
              <w:rPr>
                <w:rFonts w:hAnsi="宋体" w:cs="宋体"/>
                <w:spacing w:val="-12"/>
                <w:kern w:val="0"/>
                <w:sz w:val="18"/>
                <w:szCs w:val="18"/>
              </w:rPr>
            </w:pPr>
            <w:r>
              <w:rPr>
                <w:rFonts w:hint="eastAsia" w:hAnsi="宋体" w:cs="宋体"/>
                <w:spacing w:val="-12"/>
                <w:kern w:val="0"/>
                <w:sz w:val="18"/>
                <w:szCs w:val="18"/>
              </w:rPr>
              <w:t>软件和信息技术服</w:t>
            </w:r>
            <w:r>
              <w:rPr>
                <w:rFonts w:hint="eastAsia" w:hAnsi="宋体" w:cs="宋体"/>
                <w:kern w:val="0"/>
                <w:sz w:val="18"/>
                <w:szCs w:val="18"/>
              </w:rPr>
              <w:t>务业</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X≥300</w:t>
            </w:r>
          </w:p>
        </w:tc>
        <w:tc>
          <w:tcPr>
            <w:tcW w:w="1803" w:type="dxa"/>
            <w:vAlign w:val="center"/>
          </w:tcPr>
          <w:p>
            <w:pPr>
              <w:widowControl/>
              <w:ind w:left="-107" w:leftChars="-51"/>
              <w:jc w:val="center"/>
              <w:rPr>
                <w:rFonts w:hAnsi="宋体" w:cs="宋体"/>
                <w:kern w:val="0"/>
                <w:sz w:val="18"/>
                <w:szCs w:val="18"/>
              </w:rPr>
            </w:pPr>
            <w:r>
              <w:rPr>
                <w:rFonts w:hint="eastAsia" w:hAnsi="宋体" w:cs="宋体"/>
                <w:kern w:val="0"/>
                <w:sz w:val="18"/>
                <w:szCs w:val="18"/>
              </w:rPr>
              <w:t>100≤X＜300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10≤X＜100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239" w:type="dxa"/>
            <w:vMerge w:val="continue"/>
            <w:vAlign w:val="center"/>
          </w:tcPr>
          <w:p>
            <w:pPr>
              <w:widowControl/>
              <w:ind w:firstLine="312"/>
              <w:jc w:val="left"/>
              <w:rPr>
                <w:rFonts w:hAnsi="宋体" w:cs="宋体"/>
                <w:spacing w:val="-12"/>
                <w:kern w:val="0"/>
                <w:sz w:val="18"/>
                <w:szCs w:val="18"/>
              </w:rPr>
            </w:pP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Y≥10000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1000≤Y＜10000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50≤Y＜1000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房地产开发经营</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Y≥200000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1000≤Y＜200000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100≤Y＜1000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资产总额(Z)</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Z≥10000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5000≤Z＜10000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2000≤Z＜5000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物业管理</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X≥1000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300≤X＜1000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100≤X＜300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营业收入(Y)</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Y≥5000</w:t>
            </w:r>
          </w:p>
        </w:tc>
        <w:tc>
          <w:tcPr>
            <w:tcW w:w="1803" w:type="dxa"/>
            <w:vAlign w:val="center"/>
          </w:tcPr>
          <w:p>
            <w:pPr>
              <w:widowControl/>
              <w:ind w:left="-107" w:leftChars="-51"/>
              <w:jc w:val="center"/>
              <w:rPr>
                <w:rFonts w:hAnsi="宋体" w:cs="宋体"/>
                <w:kern w:val="0"/>
                <w:sz w:val="18"/>
                <w:szCs w:val="18"/>
              </w:rPr>
            </w:pPr>
            <w:r>
              <w:rPr>
                <w:rFonts w:hint="eastAsia" w:hAnsi="宋体" w:cs="宋体"/>
                <w:kern w:val="0"/>
                <w:sz w:val="18"/>
                <w:szCs w:val="18"/>
              </w:rPr>
              <w:t>1000≤Y＜5000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500≤Y＜1000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2239" w:type="dxa"/>
            <w:vMerge w:val="restart"/>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租赁和商务服务业</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X≥300</w:t>
            </w:r>
          </w:p>
        </w:tc>
        <w:tc>
          <w:tcPr>
            <w:tcW w:w="1803" w:type="dxa"/>
            <w:vAlign w:val="center"/>
          </w:tcPr>
          <w:p>
            <w:pPr>
              <w:widowControl/>
              <w:ind w:left="-107" w:leftChars="-51"/>
              <w:jc w:val="center"/>
              <w:rPr>
                <w:rFonts w:hAnsi="宋体" w:cs="宋体"/>
                <w:kern w:val="0"/>
                <w:sz w:val="18"/>
                <w:szCs w:val="18"/>
              </w:rPr>
            </w:pPr>
            <w:r>
              <w:rPr>
                <w:rFonts w:hint="eastAsia" w:hAnsi="宋体" w:cs="宋体"/>
                <w:kern w:val="0"/>
                <w:sz w:val="18"/>
                <w:szCs w:val="18"/>
              </w:rPr>
              <w:t>100≤X＜300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10≤X＜100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2239" w:type="dxa"/>
            <w:vMerge w:val="continue"/>
            <w:vAlign w:val="center"/>
          </w:tcPr>
          <w:p>
            <w:pPr>
              <w:widowControl/>
              <w:ind w:firstLine="360"/>
              <w:jc w:val="left"/>
              <w:rPr>
                <w:rFonts w:hAnsi="宋体" w:cs="宋体"/>
                <w:kern w:val="0"/>
                <w:sz w:val="18"/>
                <w:szCs w:val="18"/>
              </w:rPr>
            </w:pPr>
          </w:p>
        </w:tc>
        <w:tc>
          <w:tcPr>
            <w:tcW w:w="1451" w:type="dxa"/>
            <w:vAlign w:val="center"/>
          </w:tcPr>
          <w:p>
            <w:pPr>
              <w:widowControl/>
              <w:spacing w:line="240" w:lineRule="exact"/>
              <w:jc w:val="center"/>
              <w:rPr>
                <w:rFonts w:hAnsi="宋体" w:cs="宋体"/>
                <w:kern w:val="0"/>
                <w:sz w:val="18"/>
                <w:szCs w:val="18"/>
              </w:rPr>
            </w:pPr>
            <w:r>
              <w:rPr>
                <w:rFonts w:hint="eastAsia" w:hAnsi="宋体" w:cs="宋体"/>
                <w:kern w:val="0"/>
                <w:sz w:val="18"/>
                <w:szCs w:val="18"/>
              </w:rPr>
              <w:t>资产总额(Z)</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万元</w:t>
            </w:r>
          </w:p>
        </w:tc>
        <w:tc>
          <w:tcPr>
            <w:tcW w:w="1191" w:type="dxa"/>
            <w:vAlign w:val="center"/>
          </w:tcPr>
          <w:p>
            <w:pPr>
              <w:widowControl/>
              <w:jc w:val="center"/>
              <w:rPr>
                <w:rFonts w:hAnsi="宋体" w:cs="宋体"/>
                <w:kern w:val="0"/>
                <w:sz w:val="18"/>
                <w:szCs w:val="18"/>
              </w:rPr>
            </w:pPr>
            <w:r>
              <w:rPr>
                <w:rFonts w:hint="eastAsia" w:hAnsi="宋体" w:cs="宋体"/>
                <w:kern w:val="0"/>
                <w:sz w:val="18"/>
                <w:szCs w:val="18"/>
              </w:rPr>
              <w:t>Z≥120000</w:t>
            </w:r>
          </w:p>
        </w:tc>
        <w:tc>
          <w:tcPr>
            <w:tcW w:w="1803" w:type="dxa"/>
            <w:vAlign w:val="center"/>
          </w:tcPr>
          <w:p>
            <w:pPr>
              <w:widowControl/>
              <w:jc w:val="center"/>
              <w:rPr>
                <w:rFonts w:hAnsi="宋体" w:cs="宋体"/>
                <w:kern w:val="0"/>
                <w:sz w:val="18"/>
                <w:szCs w:val="18"/>
              </w:rPr>
            </w:pPr>
            <w:r>
              <w:rPr>
                <w:rFonts w:hint="eastAsia" w:hAnsi="宋体" w:cs="宋体"/>
                <w:kern w:val="0"/>
                <w:sz w:val="18"/>
                <w:szCs w:val="18"/>
              </w:rPr>
              <w:t>8000≤Z＜120000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100≤Z＜8000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2239" w:type="dxa"/>
            <w:vAlign w:val="center"/>
          </w:tcPr>
          <w:p>
            <w:pPr>
              <w:widowControl/>
              <w:spacing w:line="240" w:lineRule="exact"/>
              <w:ind w:firstLine="360"/>
              <w:jc w:val="left"/>
              <w:rPr>
                <w:rFonts w:hAnsi="宋体" w:cs="宋体"/>
                <w:kern w:val="0"/>
                <w:sz w:val="18"/>
                <w:szCs w:val="18"/>
              </w:rPr>
            </w:pPr>
            <w:r>
              <w:rPr>
                <w:rFonts w:hint="eastAsia" w:hAnsi="宋体" w:cs="宋体"/>
                <w:kern w:val="0"/>
                <w:sz w:val="18"/>
                <w:szCs w:val="18"/>
              </w:rPr>
              <w:t>其他未列明行业 *</w:t>
            </w:r>
          </w:p>
        </w:tc>
        <w:tc>
          <w:tcPr>
            <w:tcW w:w="1451" w:type="dxa"/>
            <w:vAlign w:val="center"/>
          </w:tcPr>
          <w:p>
            <w:pPr>
              <w:widowControl/>
              <w:jc w:val="center"/>
              <w:rPr>
                <w:rFonts w:hAnsi="宋体" w:cs="宋体"/>
                <w:kern w:val="0"/>
                <w:sz w:val="18"/>
                <w:szCs w:val="18"/>
              </w:rPr>
            </w:pPr>
            <w:r>
              <w:rPr>
                <w:rFonts w:hint="eastAsia" w:hAnsi="宋体" w:cs="宋体"/>
                <w:kern w:val="0"/>
                <w:sz w:val="18"/>
                <w:szCs w:val="18"/>
              </w:rPr>
              <w:t>从业人员(X)</w:t>
            </w:r>
          </w:p>
        </w:tc>
        <w:tc>
          <w:tcPr>
            <w:tcW w:w="750" w:type="dxa"/>
            <w:vAlign w:val="center"/>
          </w:tcPr>
          <w:p>
            <w:pPr>
              <w:widowControl/>
              <w:jc w:val="center"/>
              <w:rPr>
                <w:rFonts w:hAnsi="宋体" w:cs="宋体"/>
                <w:kern w:val="0"/>
                <w:sz w:val="18"/>
                <w:szCs w:val="18"/>
              </w:rPr>
            </w:pPr>
            <w:r>
              <w:rPr>
                <w:rFonts w:hint="eastAsia" w:hAnsi="宋体" w:cs="宋体"/>
                <w:kern w:val="0"/>
                <w:sz w:val="18"/>
                <w:szCs w:val="18"/>
              </w:rPr>
              <w:t>人</w:t>
            </w:r>
          </w:p>
        </w:tc>
        <w:tc>
          <w:tcPr>
            <w:tcW w:w="1191" w:type="dxa"/>
            <w:vAlign w:val="center"/>
          </w:tcPr>
          <w:p>
            <w:pPr>
              <w:widowControl/>
              <w:ind w:firstLine="360"/>
              <w:jc w:val="center"/>
              <w:rPr>
                <w:rFonts w:hAnsi="宋体" w:cs="宋体"/>
                <w:kern w:val="0"/>
                <w:sz w:val="18"/>
                <w:szCs w:val="18"/>
              </w:rPr>
            </w:pPr>
            <w:r>
              <w:rPr>
                <w:rFonts w:hint="eastAsia" w:hAnsi="宋体" w:cs="宋体"/>
                <w:kern w:val="0"/>
                <w:sz w:val="18"/>
                <w:szCs w:val="18"/>
              </w:rPr>
              <w:t>X≥300</w:t>
            </w:r>
          </w:p>
        </w:tc>
        <w:tc>
          <w:tcPr>
            <w:tcW w:w="1803" w:type="dxa"/>
            <w:vAlign w:val="center"/>
          </w:tcPr>
          <w:p>
            <w:pPr>
              <w:widowControl/>
              <w:ind w:left="1" w:leftChars="-51" w:hanging="108" w:hangingChars="60"/>
              <w:jc w:val="center"/>
              <w:rPr>
                <w:rFonts w:hAnsi="宋体" w:cs="宋体"/>
                <w:kern w:val="0"/>
                <w:sz w:val="18"/>
                <w:szCs w:val="18"/>
              </w:rPr>
            </w:pPr>
            <w:r>
              <w:rPr>
                <w:rFonts w:hint="eastAsia" w:hAnsi="宋体" w:cs="宋体"/>
                <w:kern w:val="0"/>
                <w:sz w:val="18"/>
                <w:szCs w:val="18"/>
              </w:rPr>
              <w:t>100≤X＜300</w:t>
            </w:r>
          </w:p>
        </w:tc>
        <w:tc>
          <w:tcPr>
            <w:tcW w:w="1511" w:type="dxa"/>
            <w:vAlign w:val="center"/>
          </w:tcPr>
          <w:p>
            <w:pPr>
              <w:widowControl/>
              <w:jc w:val="center"/>
              <w:rPr>
                <w:rFonts w:hAnsi="宋体" w:cs="宋体"/>
                <w:kern w:val="0"/>
                <w:sz w:val="18"/>
                <w:szCs w:val="18"/>
              </w:rPr>
            </w:pPr>
            <w:r>
              <w:rPr>
                <w:rFonts w:hint="eastAsia" w:hAnsi="宋体" w:cs="宋体"/>
                <w:kern w:val="0"/>
                <w:sz w:val="18"/>
                <w:szCs w:val="18"/>
              </w:rPr>
              <w:t>10≤X＜100</w:t>
            </w:r>
          </w:p>
        </w:tc>
        <w:tc>
          <w:tcPr>
            <w:tcW w:w="1049" w:type="dxa"/>
            <w:vAlign w:val="center"/>
          </w:tcPr>
          <w:p>
            <w:pPr>
              <w:widowControl/>
              <w:jc w:val="center"/>
              <w:rPr>
                <w:rFonts w:hAnsi="宋体" w:cs="宋体"/>
                <w:kern w:val="0"/>
                <w:sz w:val="18"/>
                <w:szCs w:val="18"/>
              </w:rPr>
            </w:pPr>
            <w:r>
              <w:rPr>
                <w:rFonts w:hint="eastAsia" w:hAnsi="宋体" w:cs="宋体"/>
                <w:kern w:val="0"/>
                <w:sz w:val="18"/>
                <w:szCs w:val="18"/>
              </w:rPr>
              <w:t>X＜10</w:t>
            </w:r>
          </w:p>
        </w:tc>
      </w:tr>
    </w:tbl>
    <w:p>
      <w:pPr>
        <w:widowControl/>
        <w:spacing w:line="540" w:lineRule="exact"/>
        <w:ind w:firstLine="512"/>
        <w:rPr>
          <w:rFonts w:hAnsi="宋体" w:cs="宋体"/>
          <w:spacing w:val="8"/>
          <w:kern w:val="0"/>
          <w:sz w:val="24"/>
        </w:rPr>
      </w:pPr>
    </w:p>
    <w:p>
      <w:pPr>
        <w:widowControl/>
        <w:spacing w:line="540" w:lineRule="exact"/>
        <w:ind w:firstLine="452"/>
        <w:rPr>
          <w:rFonts w:hAnsi="宋体" w:cs="宋体"/>
          <w:spacing w:val="8"/>
          <w:kern w:val="0"/>
          <w:szCs w:val="21"/>
        </w:rPr>
      </w:pPr>
    </w:p>
    <w:p>
      <w:pPr>
        <w:pStyle w:val="23"/>
        <w:adjustRightInd w:val="0"/>
        <w:spacing w:line="380" w:lineRule="exact"/>
        <w:ind w:firstLine="420"/>
        <w:contextualSpacing/>
        <w:rPr>
          <w:rFonts w:hAnsi="宋体" w:cs="Times New Roman"/>
          <w:bCs/>
        </w:rPr>
      </w:pPr>
      <w:r>
        <w:rPr>
          <w:rFonts w:hint="eastAsia" w:hAnsi="宋体" w:cs="Times New Roman"/>
          <w:bCs/>
        </w:rPr>
        <w:t>说明：</w:t>
      </w:r>
    </w:p>
    <w:p>
      <w:pPr>
        <w:pStyle w:val="23"/>
        <w:adjustRightInd w:val="0"/>
        <w:spacing w:line="380" w:lineRule="exact"/>
        <w:ind w:firstLine="420"/>
        <w:contextualSpacing/>
        <w:rPr>
          <w:rFonts w:hAnsi="宋体" w:cs="Times New Roman"/>
          <w:bCs/>
        </w:rPr>
      </w:pPr>
      <w:r>
        <w:rPr>
          <w:rFonts w:hint="eastAsia" w:hAnsi="宋体" w:cs="Times New Roman"/>
          <w:bCs/>
        </w:rPr>
        <w:t>1.大型、中型和小型企业须同时满足所列指标的下限，否则下划一档；微型企业只须满足所列指标中的一项即可。</w:t>
      </w:r>
    </w:p>
    <w:p>
      <w:pPr>
        <w:pStyle w:val="23"/>
        <w:adjustRightInd w:val="0"/>
        <w:spacing w:line="380" w:lineRule="exact"/>
        <w:ind w:firstLine="420"/>
        <w:contextualSpacing/>
        <w:rPr>
          <w:rFonts w:hAnsi="宋体" w:cs="Times New Roman"/>
          <w:bCs/>
        </w:rPr>
      </w:pPr>
      <w:r>
        <w:rPr>
          <w:rFonts w:hint="eastAsia" w:hAnsi="宋体" w:cs="Times New Roman"/>
          <w:bCs/>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3"/>
        <w:adjustRightInd w:val="0"/>
        <w:spacing w:line="380" w:lineRule="exact"/>
        <w:ind w:firstLine="420"/>
        <w:contextualSpacing/>
        <w:rPr>
          <w:rFonts w:hAnsi="宋体" w:cs="Times New Roman"/>
          <w:bCs/>
        </w:rPr>
      </w:pPr>
      <w:r>
        <w:rPr>
          <w:rFonts w:hint="eastAsia" w:hAnsi="宋体" w:cs="Times New Roman"/>
          <w:bCs/>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49"/>
      </w:pPr>
    </w:p>
    <w:p>
      <w:pPr>
        <w:spacing w:line="440" w:lineRule="exact"/>
        <w:jc w:val="center"/>
        <w:rPr>
          <w:rFonts w:ascii="仿宋_GB2312" w:hAnsi="宋体" w:eastAsia="仿宋_GB2312" w:cs="Courier New"/>
          <w:b/>
          <w:kern w:val="0"/>
          <w:sz w:val="32"/>
          <w:szCs w:val="32"/>
        </w:rPr>
      </w:pPr>
    </w:p>
    <w:p>
      <w:pPr>
        <w:spacing w:line="440" w:lineRule="exact"/>
        <w:jc w:val="center"/>
        <w:rPr>
          <w:rFonts w:ascii="仿宋_GB2312" w:hAnsi="宋体" w:eastAsia="仿宋_GB2312" w:cs="Courier New"/>
          <w:b/>
          <w:kern w:val="0"/>
          <w:sz w:val="32"/>
          <w:szCs w:val="32"/>
        </w:rPr>
      </w:pPr>
    </w:p>
    <w:p>
      <w:pPr>
        <w:spacing w:line="440" w:lineRule="exact"/>
        <w:jc w:val="center"/>
        <w:rPr>
          <w:rFonts w:ascii="仿宋_GB2312" w:hAnsi="宋体" w:eastAsia="仿宋_GB2312" w:cs="Courier New"/>
          <w:b/>
          <w:kern w:val="0"/>
          <w:sz w:val="32"/>
          <w:szCs w:val="32"/>
        </w:rPr>
      </w:pPr>
    </w:p>
    <w:p>
      <w:pPr>
        <w:spacing w:line="440" w:lineRule="exact"/>
        <w:jc w:val="center"/>
        <w:rPr>
          <w:rFonts w:ascii="仿宋_GB2312" w:hAnsi="宋体" w:eastAsia="仿宋_GB2312" w:cs="Courier New"/>
          <w:b/>
          <w:kern w:val="0"/>
          <w:sz w:val="32"/>
          <w:szCs w:val="32"/>
        </w:rPr>
      </w:pPr>
    </w:p>
    <w:p>
      <w:pPr>
        <w:spacing w:line="440" w:lineRule="exact"/>
        <w:jc w:val="center"/>
        <w:rPr>
          <w:rFonts w:ascii="仿宋_GB2312" w:hAnsi="宋体" w:eastAsia="仿宋_GB2312" w:cs="Courier New"/>
          <w:b/>
          <w:kern w:val="0"/>
          <w:sz w:val="32"/>
          <w:szCs w:val="32"/>
        </w:rPr>
      </w:pPr>
    </w:p>
    <w:p>
      <w:pPr>
        <w:spacing w:line="440" w:lineRule="exact"/>
        <w:jc w:val="center"/>
        <w:rPr>
          <w:rFonts w:ascii="仿宋_GB2312" w:hAnsi="宋体" w:eastAsia="仿宋_GB2312" w:cs="Courier New"/>
          <w:b/>
          <w:kern w:val="0"/>
          <w:sz w:val="32"/>
          <w:szCs w:val="32"/>
        </w:rPr>
      </w:pPr>
    </w:p>
    <w:p>
      <w:pPr>
        <w:spacing w:line="440" w:lineRule="exact"/>
        <w:jc w:val="center"/>
        <w:rPr>
          <w:rFonts w:ascii="仿宋_GB2312" w:hAnsi="宋体" w:eastAsia="仿宋_GB2312" w:cs="Courier New"/>
          <w:b/>
          <w:kern w:val="0"/>
          <w:sz w:val="32"/>
          <w:szCs w:val="32"/>
        </w:rPr>
      </w:pPr>
    </w:p>
    <w:p>
      <w:pPr>
        <w:spacing w:line="440" w:lineRule="exact"/>
        <w:jc w:val="center"/>
        <w:rPr>
          <w:rFonts w:ascii="仿宋_GB2312" w:hAnsi="宋体" w:eastAsia="仿宋_GB2312" w:cs="Courier New"/>
          <w:b/>
          <w:kern w:val="0"/>
          <w:sz w:val="32"/>
          <w:szCs w:val="32"/>
        </w:rPr>
      </w:pPr>
    </w:p>
    <w:p>
      <w:pPr>
        <w:spacing w:line="440" w:lineRule="exact"/>
        <w:jc w:val="center"/>
        <w:rPr>
          <w:rFonts w:ascii="仿宋_GB2312" w:hAnsi="宋体" w:eastAsia="仿宋_GB2312" w:cs="Courier New"/>
          <w:b/>
          <w:kern w:val="0"/>
          <w:sz w:val="32"/>
          <w:szCs w:val="32"/>
        </w:rPr>
      </w:pPr>
    </w:p>
    <w:p>
      <w:pPr>
        <w:spacing w:line="440" w:lineRule="exact"/>
        <w:jc w:val="center"/>
        <w:rPr>
          <w:rFonts w:ascii="仿宋_GB2312" w:hAnsi="宋体" w:eastAsia="仿宋_GB2312" w:cs="Courier New"/>
          <w:b/>
          <w:kern w:val="0"/>
          <w:sz w:val="32"/>
          <w:szCs w:val="32"/>
        </w:rPr>
      </w:pPr>
    </w:p>
    <w:p>
      <w:pPr>
        <w:spacing w:line="440" w:lineRule="exact"/>
        <w:jc w:val="center"/>
        <w:rPr>
          <w:rFonts w:ascii="仿宋_GB2312" w:hAnsi="宋体" w:eastAsia="仿宋_GB2312" w:cs="Courier New"/>
          <w:b/>
          <w:kern w:val="0"/>
          <w:sz w:val="32"/>
          <w:szCs w:val="32"/>
        </w:rPr>
      </w:pPr>
      <w:r>
        <w:rPr>
          <w:rFonts w:hint="eastAsia" w:ascii="仿宋_GB2312" w:hAnsi="宋体" w:eastAsia="仿宋_GB2312" w:cs="Courier New"/>
          <w:b/>
          <w:kern w:val="0"/>
          <w:sz w:val="32"/>
          <w:szCs w:val="32"/>
        </w:rPr>
        <w:t>残疾人福利性单位声明函</w:t>
      </w:r>
      <w:r>
        <w:rPr>
          <w:rFonts w:hint="eastAsia" w:ascii="仿宋_GB2312" w:eastAsia="仿宋_GB2312"/>
          <w:bCs/>
          <w:sz w:val="24"/>
        </w:rPr>
        <w:t>（格式）</w:t>
      </w:r>
    </w:p>
    <w:p/>
    <w:p>
      <w:pPr>
        <w:spacing w:line="660" w:lineRule="exact"/>
        <w:ind w:firstLine="420"/>
        <w:rPr>
          <w:rFonts w:ascii="宋体" w:hAnsi="宋体" w:cs="Courier New"/>
          <w:kern w:val="0"/>
          <w:szCs w:val="21"/>
        </w:rPr>
      </w:pPr>
      <w:bookmarkStart w:id="142" w:name="_Hlk94193952"/>
      <w:r>
        <w:rPr>
          <w:rFonts w:hint="eastAsia" w:ascii="宋体" w:hAnsi="宋体" w:cs="Courier New"/>
          <w:kern w:val="0"/>
          <w:szCs w:val="21"/>
        </w:rPr>
        <w:t>本单位郑重声明，根据</w:t>
      </w:r>
      <w:bookmarkStart w:id="143"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43"/>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pPr>
        <w:spacing w:line="660" w:lineRule="exact"/>
        <w:ind w:firstLine="42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pPr>
        <w:rPr>
          <w:szCs w:val="21"/>
        </w:rPr>
      </w:pPr>
    </w:p>
    <w:p>
      <w:pPr>
        <w:rPr>
          <w:szCs w:val="21"/>
        </w:rPr>
      </w:pPr>
    </w:p>
    <w:p>
      <w:pPr>
        <w:rPr>
          <w:szCs w:val="21"/>
        </w:rPr>
      </w:pPr>
    </w:p>
    <w:p>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42"/>
    <w:p>
      <w:pPr>
        <w:spacing w:line="440" w:lineRule="exact"/>
        <w:ind w:firstLine="4000" w:firstLineChars="1905"/>
        <w:rPr>
          <w:rFonts w:ascii="宋体" w:hAnsi="宋体" w:cs="Courier New"/>
          <w:szCs w:val="21"/>
          <w:u w:val="single"/>
        </w:rPr>
      </w:pPr>
    </w:p>
    <w:p>
      <w:pPr>
        <w:spacing w:line="360" w:lineRule="exact"/>
        <w:jc w:val="left"/>
        <w:rPr>
          <w:rFonts w:ascii="宋体" w:hAnsi="Courier New" w:cs="Courier New"/>
          <w:szCs w:val="21"/>
          <w:u w:val="single"/>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r>
        <w:rPr>
          <w:rFonts w:hint="eastAsia" w:ascii="宋体" w:hAnsi="宋体"/>
          <w:b/>
          <w:bCs/>
          <w:sz w:val="36"/>
          <w:szCs w:val="36"/>
        </w:rPr>
        <w:t>三、报价文件</w:t>
      </w:r>
    </w:p>
    <w:p>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color w:val="0D0D0D" w:themeColor="text1" w:themeTint="F2"/>
          <w:sz w:val="24"/>
          <w14:textFill>
            <w14:solidFill>
              <w14:schemeClr w14:val="tx1">
                <w14:lumMod w14:val="95000"/>
                <w14:lumOff w14:val="5000"/>
              </w14:schemeClr>
            </w14:solidFill>
          </w14:textFill>
        </w:rPr>
        <w:t>(格式</w:t>
      </w:r>
      <w:r>
        <w:rPr>
          <w:rFonts w:ascii="仿宋" w:hAnsi="仿宋" w:eastAsia="仿宋"/>
          <w:color w:val="0D0D0D" w:themeColor="text1" w:themeTint="F2"/>
          <w:sz w:val="24"/>
          <w14:textFill>
            <w14:solidFill>
              <w14:schemeClr w14:val="tx1">
                <w14:lumMod w14:val="95000"/>
                <w14:lumOff w14:val="5000"/>
              </w14:schemeClr>
            </w14:solidFill>
          </w14:textFill>
        </w:rPr>
        <w:t>)</w:t>
      </w:r>
    </w:p>
    <w:p/>
    <w:p>
      <w:pPr>
        <w:spacing w:line="400" w:lineRule="exact"/>
        <w:rPr>
          <w:rFonts w:ascii="宋体" w:hAnsi="宋体"/>
          <w:color w:val="000000"/>
          <w:szCs w:val="21"/>
          <w:u w:val="single"/>
        </w:rPr>
      </w:pPr>
      <w:r>
        <w:rPr>
          <w:rFonts w:hint="eastAsia" w:ascii="宋体" w:hAnsi="宋体"/>
          <w:color w:val="000000"/>
          <w:szCs w:val="21"/>
        </w:rPr>
        <w:t>项目编号：</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rPr>
          <w:rFonts w:ascii="宋体" w:hAnsi="宋体"/>
          <w:color w:val="000000"/>
          <w:szCs w:val="21"/>
          <w:u w:val="single"/>
        </w:rPr>
      </w:pPr>
      <w:r>
        <w:rPr>
          <w:rFonts w:hint="eastAsia" w:ascii="宋体" w:hAnsi="宋体"/>
          <w:color w:val="000000"/>
          <w:szCs w:val="21"/>
        </w:rPr>
        <w:t>项目名称：</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 xml:space="preserve">                                             单位：元</w:t>
      </w:r>
    </w:p>
    <w:tbl>
      <w:tblPr>
        <w:tblStyle w:val="40"/>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697"/>
        <w:gridCol w:w="1145"/>
        <w:gridCol w:w="698"/>
        <w:gridCol w:w="709"/>
        <w:gridCol w:w="708"/>
        <w:gridCol w:w="1701"/>
        <w:gridCol w:w="1701"/>
        <w:gridCol w:w="851"/>
        <w:gridCol w:w="1340"/>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207" w:hRule="atLeast"/>
          <w:jc w:val="center"/>
        </w:trPr>
        <w:tc>
          <w:tcPr>
            <w:tcW w:w="704" w:type="dxa"/>
            <w:gridSpan w:val="2"/>
            <w:tcBorders>
              <w:bottom w:val="single" w:color="auto" w:sz="4" w:space="0"/>
            </w:tcBorders>
            <w:vAlign w:val="center"/>
          </w:tcPr>
          <w:p>
            <w:pPr>
              <w:spacing w:line="300" w:lineRule="exact"/>
              <w:jc w:val="center"/>
              <w:rPr>
                <w:rFonts w:ascii="宋体" w:hAnsi="宋体" w:cs="Courier New"/>
                <w:color w:val="000000"/>
                <w:szCs w:val="21"/>
              </w:rPr>
            </w:pPr>
            <w:bookmarkStart w:id="144" w:name="_Hlk97823529"/>
            <w:r>
              <w:rPr>
                <w:rFonts w:hint="eastAsia" w:ascii="宋体" w:hAnsi="宋体" w:cs="Courier New"/>
                <w:color w:val="000000"/>
                <w:szCs w:val="21"/>
              </w:rPr>
              <w:t>序号</w:t>
            </w:r>
          </w:p>
        </w:tc>
        <w:tc>
          <w:tcPr>
            <w:tcW w:w="1145" w:type="dxa"/>
            <w:tcBorders>
              <w:bottom w:val="single" w:color="auto" w:sz="4" w:space="0"/>
            </w:tcBorders>
            <w:vAlign w:val="center"/>
          </w:tcPr>
          <w:p>
            <w:pPr>
              <w:tabs>
                <w:tab w:val="left" w:pos="180"/>
                <w:tab w:val="left" w:pos="1620"/>
              </w:tabs>
              <w:spacing w:line="300" w:lineRule="exact"/>
              <w:jc w:val="center"/>
              <w:rPr>
                <w:rFonts w:ascii="宋体" w:hAnsi="宋体"/>
                <w:color w:val="000000"/>
                <w:szCs w:val="21"/>
              </w:rPr>
            </w:pPr>
            <w:r>
              <w:rPr>
                <w:rFonts w:hint="eastAsia" w:ascii="宋体" w:hAnsi="宋体"/>
                <w:color w:val="000000"/>
                <w:szCs w:val="21"/>
              </w:rPr>
              <w:t>货物名称</w:t>
            </w:r>
          </w:p>
        </w:tc>
        <w:tc>
          <w:tcPr>
            <w:tcW w:w="698" w:type="dxa"/>
            <w:tcBorders>
              <w:bottom w:val="single" w:color="auto" w:sz="4" w:space="0"/>
            </w:tcBorders>
            <w:vAlign w:val="center"/>
          </w:tcPr>
          <w:p>
            <w:pPr>
              <w:tabs>
                <w:tab w:val="left" w:pos="180"/>
                <w:tab w:val="left" w:pos="1620"/>
              </w:tabs>
              <w:spacing w:line="300" w:lineRule="exact"/>
              <w:jc w:val="center"/>
              <w:rPr>
                <w:rFonts w:ascii="宋体" w:hAnsi="宋体"/>
                <w:color w:val="000000"/>
                <w:szCs w:val="21"/>
              </w:rPr>
            </w:pPr>
            <w:r>
              <w:rPr>
                <w:rFonts w:hint="eastAsia" w:ascii="宋体" w:hAnsi="宋体"/>
                <w:color w:val="000000"/>
                <w:szCs w:val="21"/>
              </w:rPr>
              <w:t>品牌</w:t>
            </w:r>
          </w:p>
        </w:tc>
        <w:tc>
          <w:tcPr>
            <w:tcW w:w="709" w:type="dxa"/>
            <w:tcBorders>
              <w:bottom w:val="single" w:color="auto" w:sz="4" w:space="0"/>
            </w:tcBorders>
            <w:vAlign w:val="center"/>
          </w:tcPr>
          <w:p>
            <w:pPr>
              <w:tabs>
                <w:tab w:val="left" w:pos="180"/>
                <w:tab w:val="left" w:pos="1620"/>
              </w:tabs>
              <w:spacing w:line="300" w:lineRule="exact"/>
              <w:jc w:val="center"/>
              <w:rPr>
                <w:rFonts w:ascii="宋体" w:hAnsi="宋体"/>
                <w:color w:val="000000"/>
                <w:szCs w:val="21"/>
              </w:rPr>
            </w:pPr>
            <w:r>
              <w:rPr>
                <w:rFonts w:hint="eastAsia" w:ascii="宋体" w:hAnsi="宋体"/>
                <w:color w:val="000000"/>
                <w:szCs w:val="21"/>
              </w:rPr>
              <w:t>型号</w:t>
            </w:r>
          </w:p>
        </w:tc>
        <w:tc>
          <w:tcPr>
            <w:tcW w:w="708" w:type="dxa"/>
            <w:tcBorders>
              <w:bottom w:val="single" w:color="auto" w:sz="4" w:space="0"/>
            </w:tcBorders>
            <w:vAlign w:val="center"/>
          </w:tcPr>
          <w:p>
            <w:pPr>
              <w:tabs>
                <w:tab w:val="left" w:pos="180"/>
                <w:tab w:val="left" w:pos="1620"/>
              </w:tabs>
              <w:spacing w:line="300" w:lineRule="exact"/>
              <w:jc w:val="center"/>
              <w:rPr>
                <w:rFonts w:ascii="宋体" w:hAnsi="宋体"/>
                <w:color w:val="000000"/>
                <w:szCs w:val="21"/>
              </w:rPr>
            </w:pPr>
            <w:r>
              <w:rPr>
                <w:rFonts w:hint="eastAsia" w:ascii="宋体" w:hAnsi="宋体"/>
                <w:color w:val="000000"/>
                <w:szCs w:val="21"/>
              </w:rPr>
              <w:t>产地</w:t>
            </w:r>
          </w:p>
        </w:tc>
        <w:tc>
          <w:tcPr>
            <w:tcW w:w="1701" w:type="dxa"/>
            <w:tcBorders>
              <w:bottom w:val="single" w:color="auto" w:sz="4" w:space="0"/>
            </w:tcBorders>
            <w:vAlign w:val="center"/>
          </w:tcPr>
          <w:p>
            <w:pPr>
              <w:tabs>
                <w:tab w:val="left" w:pos="180"/>
                <w:tab w:val="left" w:pos="1620"/>
              </w:tabs>
              <w:spacing w:line="300" w:lineRule="exact"/>
              <w:jc w:val="center"/>
              <w:rPr>
                <w:rFonts w:ascii="宋体" w:hAnsi="宋体"/>
                <w:color w:val="000000"/>
                <w:szCs w:val="21"/>
              </w:rPr>
            </w:pPr>
            <w:r>
              <w:rPr>
                <w:rFonts w:hint="eastAsia" w:ascii="宋体" w:hAnsi="宋体"/>
                <w:color w:val="000000"/>
                <w:szCs w:val="21"/>
              </w:rPr>
              <w:t>技</w:t>
            </w:r>
            <w:r>
              <w:rPr>
                <w:rFonts w:hint="eastAsia" w:ascii="宋体" w:hAnsi="宋体"/>
                <w:color w:val="000000" w:themeColor="text1"/>
                <w:szCs w:val="21"/>
                <w14:textFill>
                  <w14:solidFill>
                    <w14:schemeClr w14:val="tx1"/>
                  </w14:solidFill>
                </w14:textFill>
              </w:rPr>
              <w:t>术参数及性能（规格）</w:t>
            </w:r>
          </w:p>
        </w:tc>
        <w:tc>
          <w:tcPr>
            <w:tcW w:w="1701" w:type="dxa"/>
            <w:tcBorders>
              <w:bottom w:val="single" w:color="auto" w:sz="4" w:space="0"/>
            </w:tcBorders>
            <w:vAlign w:val="center"/>
          </w:tcPr>
          <w:p>
            <w:pPr>
              <w:tabs>
                <w:tab w:val="left" w:pos="180"/>
                <w:tab w:val="left" w:pos="1620"/>
              </w:tabs>
              <w:spacing w:line="300" w:lineRule="exact"/>
              <w:jc w:val="center"/>
              <w:rPr>
                <w:rFonts w:ascii="宋体" w:hAnsi="宋体"/>
                <w:color w:val="000000"/>
                <w:szCs w:val="21"/>
              </w:rPr>
            </w:pPr>
            <w:r>
              <w:rPr>
                <w:rFonts w:hint="eastAsia" w:ascii="宋体" w:hAnsi="宋体"/>
                <w:color w:val="000000"/>
                <w:szCs w:val="21"/>
              </w:rPr>
              <w:t>数量、单位</w:t>
            </w:r>
            <w:r>
              <w:rPr>
                <w:rFonts w:hint="eastAsia" w:hAnsi="宋体"/>
                <w:color w:val="000000"/>
              </w:rPr>
              <w:t>①</w:t>
            </w:r>
          </w:p>
        </w:tc>
        <w:tc>
          <w:tcPr>
            <w:tcW w:w="851" w:type="dxa"/>
            <w:tcBorders>
              <w:bottom w:val="single" w:color="auto" w:sz="4" w:space="0"/>
            </w:tcBorders>
            <w:vAlign w:val="center"/>
          </w:tcPr>
          <w:p>
            <w:pPr>
              <w:tabs>
                <w:tab w:val="left" w:pos="180"/>
                <w:tab w:val="left" w:pos="1620"/>
              </w:tabs>
              <w:spacing w:line="300" w:lineRule="exact"/>
              <w:jc w:val="center"/>
              <w:rPr>
                <w:rFonts w:ascii="宋体" w:hAnsi="宋体"/>
                <w:color w:val="000000"/>
                <w:szCs w:val="21"/>
              </w:rPr>
            </w:pPr>
            <w:r>
              <w:rPr>
                <w:rFonts w:hint="eastAsia" w:ascii="宋体" w:hAnsi="宋体"/>
                <w:color w:val="000000"/>
                <w:szCs w:val="21"/>
              </w:rPr>
              <w:t>单价</w:t>
            </w:r>
            <w:r>
              <w:rPr>
                <w:rFonts w:hint="eastAsia" w:hAnsi="宋体"/>
                <w:color w:val="000000"/>
              </w:rPr>
              <w:t>②</w:t>
            </w:r>
          </w:p>
        </w:tc>
        <w:tc>
          <w:tcPr>
            <w:tcW w:w="1340" w:type="dxa"/>
            <w:tcBorders>
              <w:bottom w:val="single" w:color="auto" w:sz="4" w:space="0"/>
            </w:tcBorders>
            <w:vAlign w:val="center"/>
          </w:tcPr>
          <w:p>
            <w:pPr>
              <w:spacing w:line="300" w:lineRule="exact"/>
              <w:jc w:val="center"/>
              <w:rPr>
                <w:rFonts w:ascii="宋体" w:hAnsi="宋体" w:cs="Courier New"/>
                <w:color w:val="000000"/>
                <w:szCs w:val="21"/>
              </w:rPr>
            </w:pPr>
            <w:r>
              <w:rPr>
                <w:rFonts w:hint="eastAsia" w:ascii="宋体" w:hAnsi="宋体" w:cs="Courier New"/>
                <w:color w:val="000000"/>
                <w:szCs w:val="21"/>
              </w:rPr>
              <w:t>单项合价</w:t>
            </w:r>
          </w:p>
          <w:p>
            <w:pPr>
              <w:spacing w:line="300" w:lineRule="exact"/>
              <w:jc w:val="center"/>
              <w:rPr>
                <w:rFonts w:ascii="宋体" w:hAnsi="宋体" w:cs="Courier New"/>
                <w:color w:val="000000"/>
                <w:szCs w:val="21"/>
              </w:rPr>
            </w:pPr>
            <w:r>
              <w:rPr>
                <w:rFonts w:hint="eastAsia" w:ascii="宋体" w:hAnsi="宋体" w:cs="Courier New"/>
                <w:color w:val="000000"/>
                <w:szCs w:val="21"/>
              </w:rPr>
              <w:t>③</w:t>
            </w:r>
            <w:r>
              <w:rPr>
                <w:rFonts w:ascii="宋体" w:hAnsi="宋体" w:cs="Courier New"/>
                <w:color w:val="000000"/>
                <w:szCs w:val="21"/>
              </w:rPr>
              <w:t>=</w:t>
            </w:r>
            <w:r>
              <w:rPr>
                <w:rFonts w:hint="eastAsia" w:ascii="宋体" w:hAnsi="宋体" w:cs="Courier New"/>
                <w:color w:val="000000"/>
                <w:szCs w:val="21"/>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24" w:hRule="atLeast"/>
          <w:jc w:val="center"/>
        </w:trPr>
        <w:tc>
          <w:tcPr>
            <w:tcW w:w="704" w:type="dxa"/>
            <w:gridSpan w:val="2"/>
            <w:vAlign w:val="center"/>
          </w:tcPr>
          <w:p>
            <w:pPr>
              <w:spacing w:line="440" w:lineRule="exact"/>
              <w:ind w:right="-34" w:rightChars="-16"/>
              <w:jc w:val="center"/>
              <w:rPr>
                <w:rFonts w:ascii="宋体" w:hAnsi="宋体"/>
                <w:color w:val="000000"/>
                <w:sz w:val="24"/>
              </w:rPr>
            </w:pPr>
            <w:r>
              <w:rPr>
                <w:rFonts w:hint="eastAsia" w:ascii="宋体" w:hAnsi="宋体"/>
                <w:color w:val="000000"/>
                <w:sz w:val="24"/>
              </w:rPr>
              <w:t>1</w:t>
            </w:r>
          </w:p>
        </w:tc>
        <w:tc>
          <w:tcPr>
            <w:tcW w:w="1145" w:type="dxa"/>
            <w:vAlign w:val="center"/>
          </w:tcPr>
          <w:p>
            <w:pPr>
              <w:spacing w:line="440" w:lineRule="exact"/>
              <w:ind w:firstLine="33" w:firstLineChars="16"/>
              <w:jc w:val="center"/>
              <w:rPr>
                <w:rFonts w:ascii="宋体" w:hAnsi="宋体"/>
                <w:color w:val="000000"/>
              </w:rPr>
            </w:pPr>
          </w:p>
        </w:tc>
        <w:tc>
          <w:tcPr>
            <w:tcW w:w="698" w:type="dxa"/>
            <w:vAlign w:val="center"/>
          </w:tcPr>
          <w:p>
            <w:pPr>
              <w:spacing w:line="440" w:lineRule="exact"/>
              <w:ind w:firstLine="35" w:firstLineChars="17"/>
              <w:jc w:val="center"/>
              <w:rPr>
                <w:rFonts w:ascii="宋体" w:hAnsi="宋体"/>
                <w:color w:val="000000"/>
              </w:rPr>
            </w:pPr>
          </w:p>
        </w:tc>
        <w:tc>
          <w:tcPr>
            <w:tcW w:w="709" w:type="dxa"/>
            <w:vAlign w:val="center"/>
          </w:tcPr>
          <w:p>
            <w:pPr>
              <w:spacing w:line="440" w:lineRule="exact"/>
              <w:jc w:val="center"/>
              <w:rPr>
                <w:rFonts w:ascii="宋体" w:hAnsi="宋体"/>
                <w:color w:val="000000"/>
              </w:rPr>
            </w:pPr>
          </w:p>
        </w:tc>
        <w:tc>
          <w:tcPr>
            <w:tcW w:w="708" w:type="dxa"/>
            <w:vAlign w:val="center"/>
          </w:tcPr>
          <w:p>
            <w:pPr>
              <w:spacing w:line="440" w:lineRule="exact"/>
              <w:ind w:firstLine="23" w:firstLineChars="11"/>
              <w:jc w:val="center"/>
              <w:rPr>
                <w:rFonts w:ascii="宋体" w:hAnsi="宋体"/>
                <w:color w:val="000000"/>
              </w:rPr>
            </w:pPr>
          </w:p>
        </w:tc>
        <w:tc>
          <w:tcPr>
            <w:tcW w:w="1701" w:type="dxa"/>
            <w:vAlign w:val="center"/>
          </w:tcPr>
          <w:p>
            <w:pPr>
              <w:spacing w:line="440" w:lineRule="exact"/>
              <w:ind w:firstLine="23" w:firstLineChars="11"/>
              <w:jc w:val="center"/>
              <w:rPr>
                <w:rFonts w:ascii="宋体" w:hAnsi="宋体"/>
                <w:color w:val="000000"/>
              </w:rPr>
            </w:pPr>
          </w:p>
        </w:tc>
        <w:tc>
          <w:tcPr>
            <w:tcW w:w="1701" w:type="dxa"/>
            <w:vAlign w:val="center"/>
          </w:tcPr>
          <w:p>
            <w:pPr>
              <w:spacing w:line="440" w:lineRule="exact"/>
              <w:jc w:val="center"/>
              <w:rPr>
                <w:rFonts w:ascii="宋体" w:hAnsi="宋体"/>
                <w:color w:val="000000"/>
              </w:rPr>
            </w:pPr>
          </w:p>
        </w:tc>
        <w:tc>
          <w:tcPr>
            <w:tcW w:w="851" w:type="dxa"/>
            <w:vAlign w:val="center"/>
          </w:tcPr>
          <w:p>
            <w:pPr>
              <w:spacing w:line="440" w:lineRule="exact"/>
              <w:jc w:val="center"/>
              <w:rPr>
                <w:rFonts w:ascii="宋体" w:hAnsi="宋体"/>
                <w:color w:val="000000"/>
              </w:rPr>
            </w:pPr>
          </w:p>
        </w:tc>
        <w:tc>
          <w:tcPr>
            <w:tcW w:w="1340" w:type="dxa"/>
            <w:vAlign w:val="center"/>
          </w:tcPr>
          <w:p>
            <w:pPr>
              <w:spacing w:line="44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24" w:hRule="atLeast"/>
          <w:jc w:val="center"/>
        </w:trPr>
        <w:tc>
          <w:tcPr>
            <w:tcW w:w="704" w:type="dxa"/>
            <w:gridSpan w:val="2"/>
            <w:vAlign w:val="center"/>
          </w:tcPr>
          <w:p>
            <w:pPr>
              <w:spacing w:line="440" w:lineRule="exact"/>
              <w:jc w:val="center"/>
              <w:rPr>
                <w:rFonts w:ascii="宋体" w:hAnsi="宋体"/>
                <w:color w:val="000000"/>
                <w:sz w:val="24"/>
              </w:rPr>
            </w:pPr>
            <w:r>
              <w:rPr>
                <w:rFonts w:hint="eastAsia" w:ascii="宋体" w:hAnsi="宋体"/>
                <w:color w:val="000000"/>
                <w:sz w:val="24"/>
              </w:rPr>
              <w:t>2</w:t>
            </w:r>
          </w:p>
        </w:tc>
        <w:tc>
          <w:tcPr>
            <w:tcW w:w="1145" w:type="dxa"/>
            <w:vAlign w:val="center"/>
          </w:tcPr>
          <w:p>
            <w:pPr>
              <w:spacing w:line="440" w:lineRule="exact"/>
              <w:ind w:firstLine="33" w:firstLineChars="16"/>
              <w:jc w:val="center"/>
              <w:rPr>
                <w:rFonts w:ascii="宋体" w:hAnsi="宋体"/>
                <w:color w:val="000000"/>
              </w:rPr>
            </w:pPr>
          </w:p>
        </w:tc>
        <w:tc>
          <w:tcPr>
            <w:tcW w:w="698" w:type="dxa"/>
            <w:vAlign w:val="center"/>
          </w:tcPr>
          <w:p>
            <w:pPr>
              <w:spacing w:line="440" w:lineRule="exact"/>
              <w:ind w:firstLine="35" w:firstLineChars="17"/>
              <w:jc w:val="center"/>
              <w:rPr>
                <w:rFonts w:ascii="宋体" w:hAnsi="宋体"/>
                <w:color w:val="000000"/>
              </w:rPr>
            </w:pPr>
          </w:p>
        </w:tc>
        <w:tc>
          <w:tcPr>
            <w:tcW w:w="709" w:type="dxa"/>
            <w:vAlign w:val="center"/>
          </w:tcPr>
          <w:p>
            <w:pPr>
              <w:spacing w:line="440" w:lineRule="exact"/>
              <w:jc w:val="center"/>
              <w:rPr>
                <w:rFonts w:ascii="宋体" w:hAnsi="宋体"/>
                <w:color w:val="000000"/>
              </w:rPr>
            </w:pPr>
          </w:p>
        </w:tc>
        <w:tc>
          <w:tcPr>
            <w:tcW w:w="708" w:type="dxa"/>
            <w:vAlign w:val="center"/>
          </w:tcPr>
          <w:p>
            <w:pPr>
              <w:spacing w:line="440" w:lineRule="exact"/>
              <w:ind w:firstLine="23" w:firstLineChars="11"/>
              <w:jc w:val="center"/>
              <w:rPr>
                <w:rFonts w:ascii="宋体" w:hAnsi="宋体"/>
                <w:color w:val="000000"/>
              </w:rPr>
            </w:pPr>
          </w:p>
        </w:tc>
        <w:tc>
          <w:tcPr>
            <w:tcW w:w="1701" w:type="dxa"/>
            <w:vAlign w:val="center"/>
          </w:tcPr>
          <w:p>
            <w:pPr>
              <w:spacing w:line="440" w:lineRule="exact"/>
              <w:ind w:firstLine="23" w:firstLineChars="11"/>
              <w:jc w:val="center"/>
              <w:rPr>
                <w:rFonts w:ascii="宋体" w:hAnsi="宋体"/>
                <w:color w:val="000000"/>
              </w:rPr>
            </w:pPr>
          </w:p>
        </w:tc>
        <w:tc>
          <w:tcPr>
            <w:tcW w:w="1701" w:type="dxa"/>
            <w:vAlign w:val="center"/>
          </w:tcPr>
          <w:p>
            <w:pPr>
              <w:spacing w:line="440" w:lineRule="exact"/>
              <w:jc w:val="center"/>
              <w:rPr>
                <w:rFonts w:ascii="宋体" w:hAnsi="宋体"/>
                <w:color w:val="000000"/>
              </w:rPr>
            </w:pPr>
          </w:p>
        </w:tc>
        <w:tc>
          <w:tcPr>
            <w:tcW w:w="851" w:type="dxa"/>
            <w:vAlign w:val="center"/>
          </w:tcPr>
          <w:p>
            <w:pPr>
              <w:spacing w:line="440" w:lineRule="exact"/>
              <w:jc w:val="center"/>
              <w:rPr>
                <w:rFonts w:ascii="宋体" w:hAnsi="宋体"/>
                <w:color w:val="000000"/>
              </w:rPr>
            </w:pPr>
          </w:p>
        </w:tc>
        <w:tc>
          <w:tcPr>
            <w:tcW w:w="1340" w:type="dxa"/>
            <w:vAlign w:val="center"/>
          </w:tcPr>
          <w:p>
            <w:pPr>
              <w:spacing w:line="44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24" w:hRule="atLeast"/>
          <w:jc w:val="center"/>
        </w:trPr>
        <w:tc>
          <w:tcPr>
            <w:tcW w:w="704" w:type="dxa"/>
            <w:gridSpan w:val="2"/>
            <w:vAlign w:val="center"/>
          </w:tcPr>
          <w:p>
            <w:pPr>
              <w:spacing w:line="440" w:lineRule="exact"/>
              <w:jc w:val="center"/>
              <w:rPr>
                <w:rFonts w:ascii="宋体" w:hAnsi="宋体"/>
                <w:color w:val="000000"/>
                <w:sz w:val="24"/>
              </w:rPr>
            </w:pPr>
            <w:r>
              <w:rPr>
                <w:rFonts w:hint="eastAsia" w:ascii="宋体" w:hAnsi="宋体"/>
                <w:color w:val="000000"/>
                <w:sz w:val="24"/>
              </w:rPr>
              <w:t>3</w:t>
            </w:r>
          </w:p>
        </w:tc>
        <w:tc>
          <w:tcPr>
            <w:tcW w:w="1145" w:type="dxa"/>
            <w:vAlign w:val="center"/>
          </w:tcPr>
          <w:p>
            <w:pPr>
              <w:spacing w:line="440" w:lineRule="exact"/>
              <w:ind w:firstLine="33" w:firstLineChars="16"/>
              <w:jc w:val="center"/>
              <w:rPr>
                <w:rFonts w:ascii="宋体" w:hAnsi="宋体"/>
                <w:color w:val="000000"/>
              </w:rPr>
            </w:pPr>
          </w:p>
        </w:tc>
        <w:tc>
          <w:tcPr>
            <w:tcW w:w="698" w:type="dxa"/>
            <w:vAlign w:val="center"/>
          </w:tcPr>
          <w:p>
            <w:pPr>
              <w:spacing w:line="440" w:lineRule="exact"/>
              <w:ind w:firstLine="35" w:firstLineChars="17"/>
              <w:jc w:val="center"/>
              <w:rPr>
                <w:rFonts w:ascii="宋体" w:hAnsi="宋体"/>
                <w:color w:val="000000"/>
              </w:rPr>
            </w:pPr>
          </w:p>
        </w:tc>
        <w:tc>
          <w:tcPr>
            <w:tcW w:w="709" w:type="dxa"/>
            <w:vAlign w:val="center"/>
          </w:tcPr>
          <w:p>
            <w:pPr>
              <w:spacing w:line="440" w:lineRule="exact"/>
              <w:jc w:val="center"/>
              <w:rPr>
                <w:rFonts w:ascii="宋体" w:hAnsi="宋体"/>
                <w:color w:val="000000"/>
              </w:rPr>
            </w:pPr>
          </w:p>
        </w:tc>
        <w:tc>
          <w:tcPr>
            <w:tcW w:w="708" w:type="dxa"/>
            <w:vAlign w:val="center"/>
          </w:tcPr>
          <w:p>
            <w:pPr>
              <w:spacing w:line="440" w:lineRule="exact"/>
              <w:ind w:firstLine="23" w:firstLineChars="11"/>
              <w:jc w:val="center"/>
              <w:rPr>
                <w:rFonts w:ascii="宋体" w:hAnsi="宋体"/>
                <w:color w:val="000000"/>
              </w:rPr>
            </w:pPr>
          </w:p>
        </w:tc>
        <w:tc>
          <w:tcPr>
            <w:tcW w:w="1701" w:type="dxa"/>
            <w:vAlign w:val="center"/>
          </w:tcPr>
          <w:p>
            <w:pPr>
              <w:spacing w:line="440" w:lineRule="exact"/>
              <w:ind w:firstLine="23" w:firstLineChars="11"/>
              <w:jc w:val="center"/>
              <w:rPr>
                <w:rFonts w:ascii="宋体" w:hAnsi="宋体"/>
                <w:color w:val="000000"/>
              </w:rPr>
            </w:pPr>
          </w:p>
        </w:tc>
        <w:tc>
          <w:tcPr>
            <w:tcW w:w="1701" w:type="dxa"/>
            <w:vAlign w:val="center"/>
          </w:tcPr>
          <w:p>
            <w:pPr>
              <w:spacing w:line="440" w:lineRule="exact"/>
              <w:jc w:val="center"/>
              <w:rPr>
                <w:rFonts w:ascii="宋体" w:hAnsi="宋体"/>
                <w:color w:val="000000"/>
              </w:rPr>
            </w:pPr>
          </w:p>
        </w:tc>
        <w:tc>
          <w:tcPr>
            <w:tcW w:w="851" w:type="dxa"/>
            <w:vAlign w:val="center"/>
          </w:tcPr>
          <w:p>
            <w:pPr>
              <w:spacing w:line="440" w:lineRule="exact"/>
              <w:jc w:val="center"/>
              <w:rPr>
                <w:rFonts w:ascii="宋体" w:hAnsi="宋体"/>
                <w:color w:val="000000"/>
              </w:rPr>
            </w:pPr>
          </w:p>
        </w:tc>
        <w:tc>
          <w:tcPr>
            <w:tcW w:w="1340" w:type="dxa"/>
            <w:vAlign w:val="center"/>
          </w:tcPr>
          <w:p>
            <w:pPr>
              <w:spacing w:line="44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24" w:hRule="atLeast"/>
          <w:jc w:val="center"/>
        </w:trPr>
        <w:tc>
          <w:tcPr>
            <w:tcW w:w="704" w:type="dxa"/>
            <w:gridSpan w:val="2"/>
            <w:vAlign w:val="center"/>
          </w:tcPr>
          <w:p>
            <w:pPr>
              <w:spacing w:line="440" w:lineRule="exact"/>
              <w:jc w:val="center"/>
              <w:rPr>
                <w:rFonts w:ascii="宋体" w:hAnsi="宋体"/>
                <w:color w:val="000000"/>
                <w:sz w:val="24"/>
              </w:rPr>
            </w:pPr>
            <w:r>
              <w:rPr>
                <w:rFonts w:ascii="宋体" w:hAnsi="宋体"/>
                <w:color w:val="000000"/>
                <w:sz w:val="24"/>
              </w:rPr>
              <w:t>…</w:t>
            </w:r>
          </w:p>
        </w:tc>
        <w:tc>
          <w:tcPr>
            <w:tcW w:w="1145" w:type="dxa"/>
            <w:vAlign w:val="center"/>
          </w:tcPr>
          <w:p>
            <w:pPr>
              <w:spacing w:line="440" w:lineRule="exact"/>
              <w:ind w:firstLine="33" w:firstLineChars="16"/>
              <w:jc w:val="center"/>
              <w:rPr>
                <w:rFonts w:ascii="宋体" w:hAnsi="宋体"/>
                <w:color w:val="000000"/>
              </w:rPr>
            </w:pPr>
          </w:p>
        </w:tc>
        <w:tc>
          <w:tcPr>
            <w:tcW w:w="698" w:type="dxa"/>
            <w:vAlign w:val="center"/>
          </w:tcPr>
          <w:p>
            <w:pPr>
              <w:spacing w:line="440" w:lineRule="exact"/>
              <w:ind w:firstLine="35" w:firstLineChars="17"/>
              <w:jc w:val="center"/>
              <w:rPr>
                <w:rFonts w:ascii="宋体" w:hAnsi="宋体"/>
                <w:color w:val="000000"/>
              </w:rPr>
            </w:pPr>
          </w:p>
        </w:tc>
        <w:tc>
          <w:tcPr>
            <w:tcW w:w="709" w:type="dxa"/>
            <w:vAlign w:val="center"/>
          </w:tcPr>
          <w:p>
            <w:pPr>
              <w:spacing w:line="440" w:lineRule="exact"/>
              <w:jc w:val="center"/>
              <w:rPr>
                <w:rFonts w:ascii="宋体" w:hAnsi="宋体"/>
                <w:color w:val="000000"/>
              </w:rPr>
            </w:pPr>
          </w:p>
        </w:tc>
        <w:tc>
          <w:tcPr>
            <w:tcW w:w="708" w:type="dxa"/>
            <w:vAlign w:val="center"/>
          </w:tcPr>
          <w:p>
            <w:pPr>
              <w:spacing w:line="440" w:lineRule="exact"/>
              <w:ind w:firstLine="23" w:firstLineChars="11"/>
              <w:jc w:val="center"/>
              <w:rPr>
                <w:rFonts w:ascii="宋体" w:hAnsi="宋体"/>
                <w:color w:val="000000"/>
              </w:rPr>
            </w:pPr>
          </w:p>
        </w:tc>
        <w:tc>
          <w:tcPr>
            <w:tcW w:w="1701" w:type="dxa"/>
            <w:vAlign w:val="center"/>
          </w:tcPr>
          <w:p>
            <w:pPr>
              <w:spacing w:line="440" w:lineRule="exact"/>
              <w:ind w:firstLine="23" w:firstLineChars="11"/>
              <w:jc w:val="center"/>
              <w:rPr>
                <w:rFonts w:ascii="宋体" w:hAnsi="宋体"/>
                <w:color w:val="000000"/>
              </w:rPr>
            </w:pPr>
          </w:p>
        </w:tc>
        <w:tc>
          <w:tcPr>
            <w:tcW w:w="1701" w:type="dxa"/>
            <w:vAlign w:val="center"/>
          </w:tcPr>
          <w:p>
            <w:pPr>
              <w:spacing w:line="440" w:lineRule="exact"/>
              <w:jc w:val="center"/>
              <w:rPr>
                <w:rFonts w:ascii="宋体" w:hAnsi="宋体"/>
                <w:color w:val="000000"/>
              </w:rPr>
            </w:pPr>
          </w:p>
        </w:tc>
        <w:tc>
          <w:tcPr>
            <w:tcW w:w="851" w:type="dxa"/>
            <w:vAlign w:val="center"/>
          </w:tcPr>
          <w:p>
            <w:pPr>
              <w:spacing w:line="440" w:lineRule="exact"/>
              <w:jc w:val="center"/>
              <w:rPr>
                <w:rFonts w:ascii="宋体" w:hAnsi="宋体"/>
                <w:color w:val="000000"/>
              </w:rPr>
            </w:pPr>
          </w:p>
        </w:tc>
        <w:tc>
          <w:tcPr>
            <w:tcW w:w="1340" w:type="dxa"/>
            <w:vAlign w:val="center"/>
          </w:tcPr>
          <w:p>
            <w:pPr>
              <w:spacing w:line="44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24" w:hRule="atLeast"/>
          <w:jc w:val="center"/>
        </w:trPr>
        <w:tc>
          <w:tcPr>
            <w:tcW w:w="9564" w:type="dxa"/>
            <w:gridSpan w:val="10"/>
            <w:vAlign w:val="center"/>
          </w:tcPr>
          <w:p>
            <w:pPr>
              <w:spacing w:line="440" w:lineRule="exact"/>
              <w:ind w:firstLine="27" w:firstLineChars="14"/>
              <w:rPr>
                <w:rFonts w:ascii="宋体" w:hAnsi="宋体" w:cs="Courier New"/>
                <w:color w:val="000000"/>
                <w:spacing w:val="-6"/>
                <w:szCs w:val="21"/>
              </w:rPr>
            </w:pPr>
            <w:r>
              <w:rPr>
                <w:rFonts w:hint="eastAsia" w:ascii="宋体" w:hAnsi="宋体" w:cs="Courier New"/>
                <w:color w:val="000000"/>
                <w:spacing w:val="-6"/>
                <w:szCs w:val="21"/>
              </w:rPr>
              <w:t>总报价（人民币大写）：</w:t>
            </w:r>
            <w:r>
              <w:rPr>
                <w:rFonts w:hint="eastAsia" w:ascii="宋体" w:hAnsi="宋体" w:cs="Courier New"/>
                <w:color w:val="000000"/>
                <w:spacing w:val="-6"/>
                <w:szCs w:val="21"/>
                <w:u w:val="single"/>
              </w:rPr>
              <w:t xml:space="preserve">                                       </w:t>
            </w:r>
            <w:r>
              <w:rPr>
                <w:rFonts w:hint="eastAsia" w:ascii="宋体" w:hAnsi="宋体" w:cs="Courier New"/>
                <w:color w:val="000000"/>
                <w:spacing w:val="-6"/>
                <w:szCs w:val="21"/>
              </w:rPr>
              <w:t>（￥</w:t>
            </w:r>
            <w:r>
              <w:rPr>
                <w:rFonts w:hint="eastAsia" w:ascii="宋体" w:hAnsi="宋体" w:cs="Courier New"/>
                <w:color w:val="000000"/>
                <w:spacing w:val="-6"/>
                <w:szCs w:val="21"/>
                <w:u w:val="single"/>
              </w:rPr>
              <w:t xml:space="preserve">                       元</w:t>
            </w:r>
            <w:r>
              <w:rPr>
                <w:rFonts w:hint="eastAsia" w:ascii="宋体" w:hAnsi="宋体" w:cs="Courier New"/>
                <w:color w:val="000000"/>
                <w:spacing w:val="-6"/>
                <w:szCs w:val="21"/>
              </w:rPr>
              <w:t>）</w:t>
            </w:r>
          </w:p>
        </w:tc>
      </w:tr>
      <w:bookmarkEnd w:id="144"/>
    </w:tbl>
    <w:p>
      <w:pPr>
        <w:spacing w:line="440" w:lineRule="exact"/>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注：1.所有价格均用人民币表示，单位为元，精确到个数位。</w:t>
      </w:r>
    </w:p>
    <w:p>
      <w:pPr>
        <w:spacing w:line="440" w:lineRule="exact"/>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2.总报价应包括货款和安装调试费、服务费、验收费、税费、标准附件、备品备件、专用工具的价格、运输、装卸、调试、培训、技术支持、售后服务费、保险费和其他各项成本费用。。</w:t>
      </w:r>
    </w:p>
    <w:p/>
    <w:p/>
    <w:p>
      <w:pPr>
        <w:pStyle w:val="23"/>
        <w:spacing w:line="440" w:lineRule="exact"/>
        <w:ind w:firstLine="3675" w:firstLineChars="1750"/>
        <w:rPr>
          <w:rFonts w:hAnsi="宋体"/>
          <w:color w:val="0D0D0D" w:themeColor="text1" w:themeTint="F2"/>
          <w:u w:val="single"/>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供应商（盖章）：</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u w:val="single"/>
          <w14:textFill>
            <w14:solidFill>
              <w14:schemeClr w14:val="tx1">
                <w14:lumMod w14:val="95000"/>
                <w14:lumOff w14:val="5000"/>
              </w14:schemeClr>
            </w14:solidFill>
          </w14:textFill>
        </w:rPr>
        <w:t xml:space="preserve">                   </w:t>
      </w:r>
    </w:p>
    <w:p>
      <w:pPr>
        <w:spacing w:line="440" w:lineRule="exact"/>
        <w:ind w:firstLine="3675" w:firstLineChars="1750"/>
        <w:rPr>
          <w:rFonts w:ascii="宋体"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日期：</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年</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月</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日</w:t>
      </w:r>
    </w:p>
    <w:sectPr>
      <w:headerReference r:id="rId7" w:type="default"/>
      <w:footerReference r:id="rId8"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Adobe 仿宋 Std R">
    <w:altName w:val="仿宋"/>
    <w:panose1 w:val="00000000000000000000"/>
    <w:charset w:val="86"/>
    <w:family w:val="roman"/>
    <w:pitch w:val="default"/>
    <w:sig w:usb0="00000000" w:usb1="00000000" w:usb2="00000016" w:usb3="00000000" w:csb0="00060007"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22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7"/>
          <w:jc w:val="center"/>
        </w:pPr>
        <w:r>
          <w:fldChar w:fldCharType="begin"/>
        </w:r>
        <w:r>
          <w:instrText xml:space="preserve">PAGE   \* MERGEFORMAT</w:instrText>
        </w:r>
        <w:r>
          <w:fldChar w:fldCharType="separate"/>
        </w:r>
        <w:r>
          <w:t>25</w:t>
        </w:r>
        <w: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color w:val="000000"/>
      </w:rPr>
      <w:t>钦州市政府采购中心                    钦州幼儿师范高等专科学校中文专业融媒体实训室(QZZC2024-J1-990499-QZSZ)</w:t>
    </w:r>
    <w:r>
      <w:rPr>
        <w:rFonts w:hint="eastAsia"/>
      </w:rPr>
      <w:t xml:space="preserve"> </w:t>
    </w:r>
  </w:p>
  <w:p>
    <w:pPr>
      <w:rPr>
        <w:spacing w:val="-17"/>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rPr>
      <w:t xml:space="preserve">钦州市政府采购中心                     </w:t>
    </w:r>
    <w:r>
      <w:rPr>
        <w:rFonts w:hint="eastAsia"/>
        <w:color w:val="000000"/>
      </w:rPr>
      <w:t>钦州幼儿师范高等专科学校中文专业融媒体实训室</w:t>
    </w:r>
    <w:r>
      <w:rPr>
        <w:rFonts w:hint="eastAsia"/>
      </w:rPr>
      <w:t>(QZZC2024-J1-990499-QZSZ)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7"/>
    <w:multiLevelType w:val="multilevel"/>
    <w:tmpl w:val="00000007"/>
    <w:lvl w:ilvl="0" w:tentative="0">
      <w:start w:val="1"/>
      <w:numFmt w:val="chineseCountingThousand"/>
      <w:pStyle w:val="20"/>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7">
    <w:nsid w:val="6959DB1F"/>
    <w:multiLevelType w:val="singleLevel"/>
    <w:tmpl w:val="6959DB1F"/>
    <w:lvl w:ilvl="0" w:tentative="0">
      <w:start w:val="6"/>
      <w:numFmt w:val="chineseCounting"/>
      <w:suff w:val="space"/>
      <w:lvlText w:val="第%1章"/>
      <w:lvlJc w:val="left"/>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8"/>
  </w:num>
  <w:num w:numId="3">
    <w:abstractNumId w:val="1"/>
  </w:num>
  <w:num w:numId="4">
    <w:abstractNumId w:val="5"/>
  </w:num>
  <w:num w:numId="5">
    <w:abstractNumId w:val="3"/>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Y2NmMzcwNTljNGUwNzc4OGQ1MWZjMjhlOTU1NDYifQ=="/>
  </w:docVars>
  <w:rsids>
    <w:rsidRoot w:val="00466D33"/>
    <w:rsid w:val="00466D33"/>
    <w:rsid w:val="006D10E4"/>
    <w:rsid w:val="00891C17"/>
    <w:rsid w:val="00EF2068"/>
    <w:rsid w:val="01EA2131"/>
    <w:rsid w:val="163A1B9E"/>
    <w:rsid w:val="1BA53C56"/>
    <w:rsid w:val="1E224D47"/>
    <w:rsid w:val="27AB6A9A"/>
    <w:rsid w:val="2B355A43"/>
    <w:rsid w:val="2F227317"/>
    <w:rsid w:val="36CC7BF9"/>
    <w:rsid w:val="39EB1238"/>
    <w:rsid w:val="451C0B10"/>
    <w:rsid w:val="4621349D"/>
    <w:rsid w:val="46AB4D23"/>
    <w:rsid w:val="52000615"/>
    <w:rsid w:val="546B520C"/>
    <w:rsid w:val="55D1386A"/>
    <w:rsid w:val="5DEE1CC6"/>
    <w:rsid w:val="62FD136F"/>
    <w:rsid w:val="69C55170"/>
    <w:rsid w:val="7C200C9F"/>
    <w:rsid w:val="7E1957EE"/>
    <w:rsid w:val="97FF6E22"/>
    <w:rsid w:val="E7FE9E73"/>
    <w:rsid w:val="FF79B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8"/>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13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13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34"/>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5"/>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6"/>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9"/>
    <w:qFormat/>
    <w:uiPriority w:val="0"/>
    <w:pPr>
      <w:spacing w:line="380" w:lineRule="exact"/>
    </w:pPr>
    <w:rPr>
      <w:sz w:val="24"/>
    </w:rPr>
  </w:style>
  <w:style w:type="paragraph" w:styleId="8">
    <w:name w:val="Normal Indent"/>
    <w:basedOn w:val="1"/>
    <w:link w:val="62"/>
    <w:qFormat/>
    <w:uiPriority w:val="0"/>
    <w:pPr>
      <w:ind w:firstLine="420"/>
    </w:pPr>
    <w:rPr>
      <w:szCs w:val="20"/>
    </w:rPr>
  </w:style>
  <w:style w:type="paragraph" w:styleId="13">
    <w:name w:val="table of authorities"/>
    <w:basedOn w:val="1"/>
    <w:next w:val="1"/>
    <w:semiHidden/>
    <w:qFormat/>
    <w:uiPriority w:val="0"/>
    <w:pPr>
      <w:ind w:left="420" w:leftChars="200"/>
    </w:p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7"/>
    <w:qFormat/>
    <w:uiPriority w:val="0"/>
    <w:pPr>
      <w:shd w:val="clear" w:color="auto" w:fill="000080"/>
    </w:pPr>
  </w:style>
  <w:style w:type="paragraph" w:styleId="17">
    <w:name w:val="annotation text"/>
    <w:basedOn w:val="1"/>
    <w:link w:val="78"/>
    <w:qFormat/>
    <w:uiPriority w:val="0"/>
    <w:pPr>
      <w:jc w:val="left"/>
    </w:pPr>
  </w:style>
  <w:style w:type="paragraph" w:styleId="18">
    <w:name w:val="Body Text 3"/>
    <w:basedOn w:val="1"/>
    <w:link w:val="138"/>
    <w:qFormat/>
    <w:uiPriority w:val="0"/>
    <w:pPr>
      <w:spacing w:line="500" w:lineRule="exact"/>
    </w:pPr>
    <w:rPr>
      <w:b/>
      <w:bCs/>
      <w:sz w:val="24"/>
    </w:rPr>
  </w:style>
  <w:style w:type="paragraph" w:styleId="19">
    <w:name w:val="Body Text Indent"/>
    <w:basedOn w:val="1"/>
    <w:link w:val="71"/>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Plain Text"/>
    <w:basedOn w:val="1"/>
    <w:next w:val="6"/>
    <w:link w:val="58"/>
    <w:qFormat/>
    <w:uiPriority w:val="0"/>
    <w:rPr>
      <w:rFonts w:ascii="宋体" w:hAnsi="Courier New" w:cs="Courier New"/>
      <w:szCs w:val="21"/>
    </w:rPr>
  </w:style>
  <w:style w:type="paragraph" w:styleId="24">
    <w:name w:val="Date"/>
    <w:basedOn w:val="1"/>
    <w:next w:val="1"/>
    <w:link w:val="140"/>
    <w:qFormat/>
    <w:uiPriority w:val="0"/>
    <w:pPr>
      <w:ind w:left="100" w:leftChars="2500"/>
    </w:pPr>
    <w:rPr>
      <w:rFonts w:ascii="宋体" w:hAnsi="Courier New" w:cs="Courier New"/>
      <w:szCs w:val="21"/>
    </w:rPr>
  </w:style>
  <w:style w:type="paragraph" w:styleId="25">
    <w:name w:val="Body Text Indent 2"/>
    <w:basedOn w:val="1"/>
    <w:link w:val="141"/>
    <w:qFormat/>
    <w:uiPriority w:val="0"/>
    <w:pPr>
      <w:ind w:firstLine="630"/>
    </w:pPr>
    <w:rPr>
      <w:sz w:val="32"/>
      <w:szCs w:val="20"/>
    </w:rPr>
  </w:style>
  <w:style w:type="paragraph" w:styleId="26">
    <w:name w:val="Balloon Text"/>
    <w:basedOn w:val="1"/>
    <w:link w:val="77"/>
    <w:qFormat/>
    <w:uiPriority w:val="0"/>
    <w:rPr>
      <w:sz w:val="18"/>
      <w:szCs w:val="18"/>
      <w:lang w:val="zh-CN"/>
    </w:rPr>
  </w:style>
  <w:style w:type="paragraph" w:styleId="27">
    <w:name w:val="footer"/>
    <w:basedOn w:val="1"/>
    <w:next w:val="1"/>
    <w:link w:val="73"/>
    <w:qFormat/>
    <w:uiPriority w:val="99"/>
    <w:pPr>
      <w:tabs>
        <w:tab w:val="center" w:pos="4153"/>
        <w:tab w:val="right" w:pos="8306"/>
      </w:tabs>
      <w:snapToGrid w:val="0"/>
      <w:jc w:val="left"/>
    </w:pPr>
    <w:rPr>
      <w:sz w:val="18"/>
      <w:szCs w:val="18"/>
      <w:lang w:val="zh-CN"/>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Subtitle"/>
    <w:basedOn w:val="1"/>
    <w:next w:val="1"/>
    <w:link w:val="76"/>
    <w:qFormat/>
    <w:uiPriority w:val="0"/>
    <w:pPr>
      <w:spacing w:line="312" w:lineRule="auto"/>
      <w:ind w:left="200" w:leftChars="200"/>
      <w:jc w:val="left"/>
      <w:outlineLvl w:val="1"/>
    </w:pPr>
    <w:rPr>
      <w:rFonts w:ascii="Cambria" w:hAnsi="Cambria"/>
      <w:b/>
      <w:bCs/>
      <w:kern w:val="28"/>
      <w:sz w:val="28"/>
      <w:szCs w:val="32"/>
    </w:rPr>
  </w:style>
  <w:style w:type="paragraph" w:styleId="31">
    <w:name w:val="List"/>
    <w:basedOn w:val="1"/>
    <w:qFormat/>
    <w:uiPriority w:val="0"/>
    <w:pPr>
      <w:ind w:left="200" w:hanging="200" w:hangingChars="200"/>
    </w:pPr>
    <w:rPr>
      <w:sz w:val="28"/>
    </w:rPr>
  </w:style>
  <w:style w:type="paragraph" w:styleId="32">
    <w:name w:val="Body Text Indent 3"/>
    <w:basedOn w:val="1"/>
    <w:link w:val="142"/>
    <w:qFormat/>
    <w:uiPriority w:val="0"/>
    <w:pPr>
      <w:spacing w:after="120"/>
      <w:ind w:left="420" w:leftChars="200"/>
    </w:pPr>
    <w:rPr>
      <w:sz w:val="16"/>
      <w:szCs w:val="16"/>
    </w:rPr>
  </w:style>
  <w:style w:type="paragraph" w:styleId="33">
    <w:name w:val="toc 2"/>
    <w:basedOn w:val="1"/>
    <w:next w:val="1"/>
    <w:qFormat/>
    <w:uiPriority w:val="39"/>
    <w:pPr>
      <w:ind w:left="420" w:leftChars="200"/>
    </w:pPr>
  </w:style>
  <w:style w:type="paragraph" w:styleId="34">
    <w:name w:val="Body Text 2"/>
    <w:basedOn w:val="1"/>
    <w:link w:val="143"/>
    <w:qFormat/>
    <w:uiPriority w:val="0"/>
    <w:pPr>
      <w:spacing w:after="120" w:line="480" w:lineRule="auto"/>
    </w:pPr>
  </w:style>
  <w:style w:type="paragraph" w:styleId="35">
    <w:name w:val="HTML Preformatted"/>
    <w:basedOn w:val="1"/>
    <w:link w:val="1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qFormat/>
    <w:uiPriority w:val="0"/>
    <w:pPr>
      <w:widowControl/>
      <w:spacing w:before="100" w:beforeAutospacing="1" w:after="100" w:afterAutospacing="1"/>
      <w:jc w:val="left"/>
    </w:pPr>
    <w:rPr>
      <w:rFonts w:ascii="宋体" w:hAnsi="宋体"/>
      <w:kern w:val="0"/>
      <w:sz w:val="24"/>
    </w:rPr>
  </w:style>
  <w:style w:type="paragraph" w:styleId="37">
    <w:name w:val="index 1"/>
    <w:basedOn w:val="1"/>
    <w:next w:val="1"/>
    <w:semiHidden/>
    <w:qFormat/>
    <w:uiPriority w:val="0"/>
  </w:style>
  <w:style w:type="paragraph" w:styleId="38">
    <w:name w:val="annotation subject"/>
    <w:basedOn w:val="17"/>
    <w:next w:val="17"/>
    <w:link w:val="89"/>
    <w:qFormat/>
    <w:uiPriority w:val="0"/>
    <w:rPr>
      <w:b/>
      <w:bCs/>
    </w:rPr>
  </w:style>
  <w:style w:type="paragraph" w:styleId="39">
    <w:name w:val="Body Text First Indent 2"/>
    <w:basedOn w:val="2"/>
    <w:unhideWhenUsed/>
    <w:qFormat/>
    <w:uiPriority w:val="99"/>
    <w:pPr>
      <w:spacing w:after="120"/>
      <w:ind w:left="420" w:leftChars="200" w:firstLine="420" w:firstLineChars="200"/>
    </w:pPr>
    <w:rPr>
      <w:sz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rFonts w:ascii="Times New Roman" w:hAnsi="Times New Roman" w:eastAsia="宋体" w:cs="Times New Roman"/>
      <w:b/>
      <w:bCs/>
    </w:rPr>
  </w:style>
  <w:style w:type="character" w:styleId="44">
    <w:name w:val="page number"/>
    <w:qFormat/>
    <w:uiPriority w:val="0"/>
    <w:rPr>
      <w:rFonts w:ascii="Times New Roman" w:hAnsi="Times New Roman" w:eastAsia="宋体" w:cs="Times New Roman"/>
    </w:rPr>
  </w:style>
  <w:style w:type="character" w:styleId="45">
    <w:name w:val="FollowedHyperlink"/>
    <w:basedOn w:val="42"/>
    <w:unhideWhenUsed/>
    <w:qFormat/>
    <w:uiPriority w:val="99"/>
    <w:rPr>
      <w:color w:val="954F72" w:themeColor="followedHyperlink"/>
      <w:u w:val="single"/>
      <w14:textFill>
        <w14:solidFill>
          <w14:schemeClr w14:val="folHlink"/>
        </w14:solidFill>
      </w14:textFill>
    </w:rPr>
  </w:style>
  <w:style w:type="character" w:styleId="46">
    <w:name w:val="Emphasis"/>
    <w:qFormat/>
    <w:uiPriority w:val="0"/>
    <w:rPr>
      <w:rFonts w:ascii="Times New Roman" w:hAnsi="Times New Roman" w:eastAsia="宋体" w:cs="Times New Roman"/>
      <w:color w:val="CC0033"/>
    </w:rPr>
  </w:style>
  <w:style w:type="character" w:styleId="47">
    <w:name w:val="Hyperlink"/>
    <w:qFormat/>
    <w:uiPriority w:val="99"/>
    <w:rPr>
      <w:rFonts w:ascii="Times New Roman" w:hAnsi="Times New Roman" w:eastAsia="宋体" w:cs="Times New Roman"/>
      <w:color w:val="0000FF"/>
      <w:u w:val="single"/>
    </w:rPr>
  </w:style>
  <w:style w:type="character" w:styleId="48">
    <w:name w:val="annotation reference"/>
    <w:basedOn w:val="42"/>
    <w:qFormat/>
    <w:uiPriority w:val="0"/>
    <w:rPr>
      <w:rFonts w:ascii="Times New Roman" w:hAnsi="Times New Roman" w:eastAsia="宋体" w:cs="Times New Roman"/>
      <w:sz w:val="21"/>
      <w:szCs w:val="21"/>
    </w:rPr>
  </w:style>
  <w:style w:type="paragraph" w:customStyle="1" w:styleId="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font21"/>
    <w:qFormat/>
    <w:uiPriority w:val="0"/>
    <w:rPr>
      <w:rFonts w:hint="eastAsia" w:ascii="宋体" w:hAnsi="宋体" w:eastAsia="宋体" w:cs="宋体"/>
      <w:color w:val="000000"/>
      <w:sz w:val="20"/>
      <w:szCs w:val="20"/>
    </w:rPr>
  </w:style>
  <w:style w:type="character" w:customStyle="1" w:styleId="52">
    <w:name w:val="st1"/>
    <w:qFormat/>
    <w:uiPriority w:val="0"/>
    <w:rPr>
      <w:rFonts w:ascii="Times New Roman" w:hAnsi="Times New Roman" w:eastAsia="宋体" w:cs="Times New Roman"/>
    </w:rPr>
  </w:style>
  <w:style w:type="character" w:customStyle="1" w:styleId="53">
    <w:name w:val="标题 1 Char"/>
    <w:link w:val="3"/>
    <w:qFormat/>
    <w:uiPriority w:val="9"/>
    <w:rPr>
      <w:rFonts w:ascii="Times New Roman" w:hAnsi="Times New Roman" w:eastAsia="仿宋_GB2312" w:cs="Times New Roman"/>
      <w:b/>
      <w:bCs/>
      <w:kern w:val="44"/>
      <w:sz w:val="44"/>
      <w:szCs w:val="44"/>
      <w:lang w:val="en-US" w:eastAsia="zh-CN" w:bidi="ar-SA"/>
    </w:rPr>
  </w:style>
  <w:style w:type="character" w:customStyle="1" w:styleId="54">
    <w:name w:val="ca-2"/>
    <w:qFormat/>
    <w:uiPriority w:val="0"/>
    <w:rPr>
      <w:rFonts w:ascii="Times New Roman" w:hAnsi="Times New Roman" w:eastAsia="宋体" w:cs="Times New Roman"/>
    </w:rPr>
  </w:style>
  <w:style w:type="character" w:customStyle="1" w:styleId="55">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6">
    <w:name w:val="1ji Char"/>
    <w:link w:val="57"/>
    <w:qFormat/>
    <w:uiPriority w:val="0"/>
    <w:rPr>
      <w:rFonts w:ascii="宋体" w:hAnsi="宋体" w:eastAsia="仿宋_GB2312" w:cs="Times New Roman"/>
      <w:b/>
      <w:bCs/>
      <w:kern w:val="44"/>
      <w:sz w:val="36"/>
      <w:szCs w:val="44"/>
      <w:lang w:val="en-US" w:eastAsia="zh-CN" w:bidi="ar-SA"/>
    </w:rPr>
  </w:style>
  <w:style w:type="paragraph" w:customStyle="1" w:styleId="57">
    <w:name w:val="1ji"/>
    <w:basedOn w:val="3"/>
    <w:link w:val="56"/>
    <w:qFormat/>
    <w:uiPriority w:val="0"/>
    <w:pPr>
      <w:keepLines w:val="0"/>
      <w:widowControl/>
      <w:spacing w:before="0" w:after="0" w:line="240" w:lineRule="auto"/>
    </w:pPr>
    <w:rPr>
      <w:rFonts w:ascii="宋体" w:hAnsi="宋体"/>
      <w:sz w:val="36"/>
    </w:rPr>
  </w:style>
  <w:style w:type="character" w:customStyle="1" w:styleId="58">
    <w:name w:val="纯文本 Char"/>
    <w:link w:val="23"/>
    <w:qFormat/>
    <w:uiPriority w:val="0"/>
    <w:rPr>
      <w:rFonts w:ascii="宋体" w:hAnsi="Courier New" w:eastAsia="宋体" w:cs="Courier New"/>
      <w:kern w:val="2"/>
      <w:sz w:val="21"/>
      <w:szCs w:val="21"/>
      <w:lang w:val="en-US" w:eastAsia="zh-CN" w:bidi="ar-SA"/>
    </w:rPr>
  </w:style>
  <w:style w:type="character" w:customStyle="1" w:styleId="59">
    <w:name w:val="font41"/>
    <w:qFormat/>
    <w:uiPriority w:val="0"/>
    <w:rPr>
      <w:rFonts w:hint="default" w:ascii="Times New Roman" w:hAnsi="Times New Roman" w:eastAsia="宋体" w:cs="Times New Roman"/>
      <w:color w:val="000000"/>
      <w:sz w:val="20"/>
      <w:szCs w:val="20"/>
    </w:rPr>
  </w:style>
  <w:style w:type="character" w:customStyle="1" w:styleId="60">
    <w:name w:val="font31"/>
    <w:qFormat/>
    <w:uiPriority w:val="0"/>
    <w:rPr>
      <w:rFonts w:hint="default" w:ascii="Times New Roman" w:hAnsi="Times New Roman" w:eastAsia="宋体" w:cs="Times New Roman"/>
      <w:color w:val="000000"/>
      <w:sz w:val="20"/>
      <w:szCs w:val="20"/>
    </w:rPr>
  </w:style>
  <w:style w:type="character" w:customStyle="1" w:styleId="61">
    <w:name w:val="apple-style-span"/>
    <w:qFormat/>
    <w:uiPriority w:val="0"/>
    <w:rPr>
      <w:rFonts w:ascii="Times New Roman" w:hAnsi="Times New Roman" w:eastAsia="宋体" w:cs="Times New Roman"/>
    </w:rPr>
  </w:style>
  <w:style w:type="character" w:customStyle="1" w:styleId="62">
    <w:name w:val="正文缩进 Char"/>
    <w:link w:val="8"/>
    <w:qFormat/>
    <w:uiPriority w:val="0"/>
    <w:rPr>
      <w:rFonts w:ascii="Times New Roman" w:hAnsi="Times New Roman" w:eastAsia="宋体" w:cs="Times New Roman"/>
      <w:kern w:val="2"/>
      <w:sz w:val="21"/>
      <w:lang w:val="en-US" w:eastAsia="zh-CN" w:bidi="ar-SA"/>
    </w:rPr>
  </w:style>
  <w:style w:type="character" w:customStyle="1" w:styleId="63">
    <w:name w:val="font51"/>
    <w:qFormat/>
    <w:uiPriority w:val="0"/>
    <w:rPr>
      <w:rFonts w:hint="default" w:ascii="Times New Roman" w:hAnsi="Times New Roman" w:eastAsia="宋体" w:cs="Times New Roman"/>
      <w:color w:val="000000"/>
      <w:sz w:val="20"/>
      <w:szCs w:val="20"/>
    </w:rPr>
  </w:style>
  <w:style w:type="character" w:customStyle="1" w:styleId="64">
    <w:name w:val="标题 3 Char"/>
    <w:link w:val="5"/>
    <w:qFormat/>
    <w:uiPriority w:val="0"/>
    <w:rPr>
      <w:rFonts w:ascii="Times New Roman" w:hAnsi="Times New Roman" w:eastAsia="宋体" w:cs="Times New Roman"/>
      <w:b/>
      <w:bCs/>
      <w:kern w:val="2"/>
      <w:sz w:val="32"/>
      <w:szCs w:val="32"/>
      <w:lang w:val="en-US" w:eastAsia="zh-CN" w:bidi="ar-SA"/>
    </w:rPr>
  </w:style>
  <w:style w:type="character" w:customStyle="1" w:styleId="65">
    <w:name w:val="apple-converted-space"/>
    <w:qFormat/>
    <w:uiPriority w:val="0"/>
    <w:rPr>
      <w:rFonts w:ascii="Times New Roman" w:hAnsi="Times New Roman" w:eastAsia="宋体" w:cs="Times New Roman"/>
    </w:rPr>
  </w:style>
  <w:style w:type="character" w:customStyle="1" w:styleId="66">
    <w:name w:val="Header Char"/>
    <w:qFormat/>
    <w:uiPriority w:val="0"/>
    <w:rPr>
      <w:rFonts w:ascii="Calibri" w:hAnsi="Calibri" w:eastAsia="宋体" w:cs="Times New Roman"/>
      <w:kern w:val="2"/>
      <w:sz w:val="18"/>
      <w:szCs w:val="18"/>
      <w:lang w:val="en-US" w:eastAsia="zh-CN" w:bidi="ar-SA"/>
    </w:rPr>
  </w:style>
  <w:style w:type="character" w:customStyle="1" w:styleId="67">
    <w:name w:val="Footer Char"/>
    <w:qFormat/>
    <w:uiPriority w:val="0"/>
    <w:rPr>
      <w:rFonts w:ascii="Calibri" w:hAnsi="Calibri" w:eastAsia="宋体" w:cs="Times New Roman"/>
      <w:kern w:val="2"/>
      <w:sz w:val="18"/>
      <w:szCs w:val="18"/>
      <w:lang w:val="en-US" w:eastAsia="zh-CN" w:bidi="ar-SA"/>
    </w:rPr>
  </w:style>
  <w:style w:type="character" w:customStyle="1" w:styleId="68">
    <w:name w:val="Plain Text Char"/>
    <w:qFormat/>
    <w:uiPriority w:val="0"/>
    <w:rPr>
      <w:rFonts w:ascii="宋体" w:hAnsi="Courier New" w:eastAsia="宋体" w:cs="Times New Roman"/>
      <w:lang w:bidi="ar-SA"/>
    </w:rPr>
  </w:style>
  <w:style w:type="character" w:customStyle="1" w:styleId="69">
    <w:name w:val="普通文字 Char Char3"/>
    <w:qFormat/>
    <w:uiPriority w:val="0"/>
    <w:rPr>
      <w:rFonts w:ascii="宋体" w:hAnsi="Times New Roman" w:eastAsia="宋体" w:cs="Courier New"/>
      <w:kern w:val="2"/>
      <w:sz w:val="21"/>
      <w:szCs w:val="21"/>
      <w:lang w:val="en-US" w:eastAsia="zh-CN" w:bidi="ar-SA"/>
    </w:rPr>
  </w:style>
  <w:style w:type="character" w:customStyle="1" w:styleId="70">
    <w:name w:val="样式 正文 +"/>
    <w:qFormat/>
    <w:uiPriority w:val="0"/>
    <w:rPr>
      <w:rFonts w:ascii="Times New Roman" w:hAnsi="Times New Roman" w:eastAsia="宋体" w:cs="Times New Roman"/>
      <w:kern w:val="0"/>
      <w:sz w:val="28"/>
    </w:rPr>
  </w:style>
  <w:style w:type="character" w:customStyle="1" w:styleId="71">
    <w:name w:val="正文文本缩进 Char"/>
    <w:link w:val="19"/>
    <w:qFormat/>
    <w:uiPriority w:val="0"/>
    <w:rPr>
      <w:rFonts w:ascii="仿宋_GB2312" w:hAnsi="Times New Roman" w:eastAsia="仿宋_GB2312" w:cs="Times New Roman"/>
      <w:kern w:val="2"/>
      <w:sz w:val="32"/>
      <w:lang w:val="en-US" w:eastAsia="zh-CN" w:bidi="ar-SA"/>
    </w:rPr>
  </w:style>
  <w:style w:type="character" w:customStyle="1" w:styleId="72">
    <w:name w:val="普通文字 Char Char2"/>
    <w:qFormat/>
    <w:uiPriority w:val="0"/>
    <w:rPr>
      <w:rFonts w:ascii="宋体" w:hAnsi="Courier New" w:eastAsia="宋体" w:cs="Times New Roman"/>
      <w:kern w:val="2"/>
      <w:sz w:val="21"/>
      <w:lang w:val="en-US" w:eastAsia="zh-CN" w:bidi="ar-SA"/>
    </w:rPr>
  </w:style>
  <w:style w:type="character" w:customStyle="1" w:styleId="73">
    <w:name w:val="页脚 Char"/>
    <w:link w:val="27"/>
    <w:qFormat/>
    <w:uiPriority w:val="99"/>
    <w:rPr>
      <w:rFonts w:ascii="Times New Roman" w:hAnsi="Times New Roman" w:eastAsia="宋体" w:cs="Times New Roman"/>
      <w:kern w:val="2"/>
      <w:sz w:val="18"/>
      <w:szCs w:val="18"/>
    </w:rPr>
  </w:style>
  <w:style w:type="character" w:customStyle="1" w:styleId="74">
    <w:name w:val="样式 宋体 小四"/>
    <w:qFormat/>
    <w:uiPriority w:val="0"/>
    <w:rPr>
      <w:rFonts w:ascii="宋体" w:hAnsi="宋体" w:eastAsia="宋体" w:cs="Times New Roman"/>
      <w:sz w:val="24"/>
    </w:rPr>
  </w:style>
  <w:style w:type="character" w:customStyle="1" w:styleId="75">
    <w:name w:val="页眉 Char"/>
    <w:link w:val="28"/>
    <w:qFormat/>
    <w:uiPriority w:val="99"/>
    <w:rPr>
      <w:rFonts w:ascii="Times New Roman" w:hAnsi="Times New Roman" w:eastAsia="宋体" w:cs="Times New Roman"/>
      <w:kern w:val="2"/>
      <w:sz w:val="18"/>
      <w:szCs w:val="18"/>
      <w:lang w:val="en-US" w:eastAsia="zh-CN" w:bidi="ar-SA"/>
    </w:rPr>
  </w:style>
  <w:style w:type="character" w:customStyle="1" w:styleId="76">
    <w:name w:val="副标题 Char"/>
    <w:link w:val="30"/>
    <w:qFormat/>
    <w:uiPriority w:val="0"/>
    <w:rPr>
      <w:rFonts w:ascii="Cambria" w:hAnsi="Cambria" w:eastAsia="宋体" w:cs="Times New Roman"/>
      <w:b/>
      <w:bCs/>
      <w:kern w:val="28"/>
      <w:sz w:val="28"/>
      <w:szCs w:val="32"/>
      <w:lang w:val="en-US" w:eastAsia="zh-CN" w:bidi="ar-SA"/>
    </w:rPr>
  </w:style>
  <w:style w:type="character" w:customStyle="1" w:styleId="77">
    <w:name w:val="批注框文本 Char"/>
    <w:link w:val="26"/>
    <w:qFormat/>
    <w:uiPriority w:val="0"/>
    <w:rPr>
      <w:rFonts w:ascii="Times New Roman" w:hAnsi="Times New Roman" w:eastAsia="宋体" w:cs="Times New Roman"/>
      <w:kern w:val="2"/>
      <w:sz w:val="18"/>
      <w:szCs w:val="18"/>
    </w:rPr>
  </w:style>
  <w:style w:type="character" w:customStyle="1" w:styleId="78">
    <w:name w:val="批注文字 Char"/>
    <w:link w:val="17"/>
    <w:qFormat/>
    <w:uiPriority w:val="0"/>
    <w:rPr>
      <w:rFonts w:ascii="Times New Roman" w:hAnsi="Times New Roman" w:eastAsia="宋体" w:cs="Times New Roman"/>
      <w:kern w:val="2"/>
      <w:sz w:val="21"/>
      <w:szCs w:val="24"/>
      <w:lang w:val="en-US" w:eastAsia="zh-CN" w:bidi="ar-SA"/>
    </w:rPr>
  </w:style>
  <w:style w:type="character" w:customStyle="1" w:styleId="79">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80">
    <w:name w:val="ca-1"/>
    <w:qFormat/>
    <w:uiPriority w:val="0"/>
    <w:rPr>
      <w:rFonts w:ascii="Times New Roman" w:hAnsi="Times New Roman" w:eastAsia="宋体" w:cs="Times New Roman"/>
    </w:rPr>
  </w:style>
  <w:style w:type="character" w:customStyle="1" w:styleId="81">
    <w:name w:val="正文360首行缩进 Char"/>
    <w:link w:val="82"/>
    <w:qFormat/>
    <w:uiPriority w:val="0"/>
    <w:rPr>
      <w:rFonts w:ascii="Times New Roman" w:hAnsi="Times New Roman" w:eastAsia="宋体" w:cs="Times New Roman"/>
      <w:sz w:val="24"/>
      <w:szCs w:val="24"/>
    </w:rPr>
  </w:style>
  <w:style w:type="paragraph" w:customStyle="1" w:styleId="82">
    <w:name w:val="正文360首行缩进"/>
    <w:basedOn w:val="1"/>
    <w:link w:val="81"/>
    <w:qFormat/>
    <w:uiPriority w:val="0"/>
    <w:pPr>
      <w:widowControl/>
      <w:spacing w:before="120" w:line="300" w:lineRule="auto"/>
      <w:ind w:firstLine="200"/>
      <w:jc w:val="left"/>
    </w:pPr>
    <w:rPr>
      <w:kern w:val="0"/>
      <w:sz w:val="24"/>
    </w:rPr>
  </w:style>
  <w:style w:type="character" w:customStyle="1" w:styleId="83">
    <w:name w:val="List Paragraph Char"/>
    <w:link w:val="84"/>
    <w:qFormat/>
    <w:locked/>
    <w:uiPriority w:val="0"/>
    <w:rPr>
      <w:rFonts w:ascii="宋体" w:hAnsi="宋体" w:cs="宋体"/>
      <w:sz w:val="24"/>
      <w:szCs w:val="24"/>
    </w:rPr>
  </w:style>
  <w:style w:type="paragraph" w:customStyle="1" w:styleId="84">
    <w:name w:val="列表段落1"/>
    <w:basedOn w:val="1"/>
    <w:link w:val="83"/>
    <w:qFormat/>
    <w:uiPriority w:val="0"/>
    <w:pPr>
      <w:widowControl/>
      <w:ind w:firstLine="420" w:firstLineChars="200"/>
      <w:jc w:val="left"/>
    </w:pPr>
    <w:rPr>
      <w:rFonts w:ascii="宋体" w:hAnsi="宋体"/>
      <w:kern w:val="0"/>
      <w:sz w:val="24"/>
      <w:lang w:val="zh-CN"/>
    </w:rPr>
  </w:style>
  <w:style w:type="character" w:customStyle="1" w:styleId="85">
    <w:name w:val="yyii"/>
    <w:qFormat/>
    <w:uiPriority w:val="0"/>
    <w:rPr>
      <w:rFonts w:ascii="Times New Roman" w:hAnsi="Times New Roman" w:eastAsia="宋体" w:cs="Times New Roman"/>
    </w:rPr>
  </w:style>
  <w:style w:type="character" w:customStyle="1" w:styleId="86">
    <w:name w:val="纯文本 Char1"/>
    <w:qFormat/>
    <w:uiPriority w:val="0"/>
    <w:rPr>
      <w:rFonts w:ascii="宋体" w:hAnsi="Courier New" w:eastAsia="宋体" w:cs="Times New Roman"/>
      <w:kern w:val="2"/>
      <w:sz w:val="21"/>
    </w:rPr>
  </w:style>
  <w:style w:type="character" w:customStyle="1" w:styleId="87">
    <w:name w:val="标题 1 Char1"/>
    <w:qFormat/>
    <w:uiPriority w:val="0"/>
    <w:rPr>
      <w:rFonts w:ascii="Times New Roman" w:hAnsi="Times New Roman" w:eastAsia="宋体" w:cs="Times New Roman"/>
      <w:b/>
      <w:bCs/>
      <w:kern w:val="44"/>
      <w:sz w:val="44"/>
      <w:szCs w:val="44"/>
    </w:rPr>
  </w:style>
  <w:style w:type="character" w:customStyle="1" w:styleId="88">
    <w:name w:val="标题 2 Char"/>
    <w:link w:val="4"/>
    <w:qFormat/>
    <w:uiPriority w:val="9"/>
    <w:rPr>
      <w:rFonts w:ascii="Arial" w:hAnsi="Arial" w:eastAsia="黑体"/>
      <w:b/>
      <w:bCs/>
      <w:kern w:val="2"/>
      <w:sz w:val="24"/>
      <w:szCs w:val="32"/>
    </w:rPr>
  </w:style>
  <w:style w:type="character" w:customStyle="1" w:styleId="89">
    <w:name w:val="批注主题 Char"/>
    <w:link w:val="38"/>
    <w:qFormat/>
    <w:uiPriority w:val="0"/>
    <w:rPr>
      <w:rFonts w:ascii="Times New Roman" w:hAnsi="Times New Roman" w:eastAsia="宋体" w:cs="Times New Roman"/>
      <w:b/>
      <w:bCs/>
      <w:kern w:val="2"/>
      <w:sz w:val="21"/>
      <w:szCs w:val="24"/>
      <w:lang w:val="en-US" w:eastAsia="zh-CN" w:bidi="ar-SA"/>
    </w:rPr>
  </w:style>
  <w:style w:type="paragraph" w:customStyle="1" w:styleId="90">
    <w:name w:val="目录 11"/>
    <w:basedOn w:val="1"/>
    <w:next w:val="1"/>
    <w:qFormat/>
    <w:uiPriority w:val="39"/>
  </w:style>
  <w:style w:type="paragraph" w:customStyle="1" w:styleId="91">
    <w:name w:val="目录 21"/>
    <w:basedOn w:val="1"/>
    <w:next w:val="1"/>
    <w:qFormat/>
    <w:uiPriority w:val="39"/>
    <w:pPr>
      <w:tabs>
        <w:tab w:val="right" w:leader="dot" w:pos="9402"/>
      </w:tabs>
      <w:ind w:left="718" w:leftChars="200" w:hanging="298" w:hangingChars="142"/>
    </w:pPr>
  </w:style>
  <w:style w:type="paragraph" w:customStyle="1" w:styleId="92">
    <w:name w:val="目录 31"/>
    <w:basedOn w:val="1"/>
    <w:next w:val="1"/>
    <w:qFormat/>
    <w:uiPriority w:val="39"/>
    <w:pPr>
      <w:ind w:left="840" w:leftChars="400"/>
    </w:pPr>
  </w:style>
  <w:style w:type="paragraph" w:customStyle="1" w:styleId="93">
    <w:name w:val="正文首行缩进1"/>
    <w:basedOn w:val="2"/>
    <w:qFormat/>
    <w:uiPriority w:val="0"/>
    <w:pPr>
      <w:spacing w:after="120" w:line="240" w:lineRule="auto"/>
      <w:ind w:firstLine="420" w:firstLineChars="100"/>
    </w:pPr>
    <w:rPr>
      <w:sz w:val="21"/>
    </w:rPr>
  </w:style>
  <w:style w:type="paragraph" w:customStyle="1" w:styleId="94">
    <w:name w:val="Char Char1 Char Char Char Char"/>
    <w:basedOn w:val="16"/>
    <w:qFormat/>
    <w:uiPriority w:val="0"/>
    <w:rPr>
      <w:rFonts w:ascii="Tahoma" w:hAnsi="Tahoma"/>
      <w:sz w:val="24"/>
    </w:rPr>
  </w:style>
  <w:style w:type="paragraph" w:customStyle="1" w:styleId="95">
    <w:name w:val="列出段落1"/>
    <w:basedOn w:val="1"/>
    <w:qFormat/>
    <w:uiPriority w:val="99"/>
    <w:pPr>
      <w:ind w:firstLine="420" w:firstLineChars="200"/>
    </w:pPr>
    <w:rPr>
      <w:rFonts w:ascii="Calibri" w:hAnsi="Calibri"/>
    </w:rPr>
  </w:style>
  <w:style w:type="paragraph" w:customStyle="1" w:styleId="96">
    <w:name w:val="Char Char Char1 Char"/>
    <w:basedOn w:val="16"/>
    <w:qFormat/>
    <w:uiPriority w:val="0"/>
  </w:style>
  <w:style w:type="paragraph" w:customStyle="1" w:styleId="97">
    <w:name w:val="pa-5"/>
    <w:basedOn w:val="1"/>
    <w:qFormat/>
    <w:uiPriority w:val="0"/>
    <w:pPr>
      <w:widowControl/>
      <w:spacing w:before="150" w:after="150"/>
      <w:jc w:val="left"/>
    </w:pPr>
    <w:rPr>
      <w:rFonts w:ascii="宋体" w:hAnsi="宋体" w:cs="宋体"/>
      <w:kern w:val="0"/>
      <w:sz w:val="24"/>
    </w:rPr>
  </w:style>
  <w:style w:type="paragraph" w:customStyle="1" w:styleId="98">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9">
    <w:name w:val="Char Char1 Char Char Char Char1"/>
    <w:basedOn w:val="16"/>
    <w:qFormat/>
    <w:uiPriority w:val="0"/>
    <w:rPr>
      <w:rFonts w:ascii="Tahoma" w:hAnsi="Tahoma"/>
      <w:sz w:val="24"/>
    </w:rPr>
  </w:style>
  <w:style w:type="paragraph" w:customStyle="1" w:styleId="100">
    <w:name w:val="_Style 35"/>
    <w:basedOn w:val="16"/>
    <w:qFormat/>
    <w:uiPriority w:val="0"/>
    <w:pPr>
      <w:widowControl/>
      <w:ind w:firstLine="454"/>
      <w:jc w:val="left"/>
    </w:pPr>
  </w:style>
  <w:style w:type="paragraph" w:customStyle="1" w:styleId="101">
    <w:name w:val="5 Char Char Char Char Char Char Char Char Char Char"/>
    <w:basedOn w:val="1"/>
    <w:qFormat/>
    <w:uiPriority w:val="0"/>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3">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4">
    <w:name w:val="默认段落字体 Para Char"/>
    <w:basedOn w:val="1"/>
    <w:qFormat/>
    <w:uiPriority w:val="0"/>
    <w:rPr>
      <w:szCs w:val="20"/>
    </w:rPr>
  </w:style>
  <w:style w:type="paragraph" w:customStyle="1" w:styleId="105">
    <w:name w:val="表格文字"/>
    <w:basedOn w:val="1"/>
    <w:qFormat/>
    <w:uiPriority w:val="0"/>
    <w:pPr>
      <w:spacing w:before="25" w:after="25"/>
      <w:jc w:val="left"/>
    </w:pPr>
    <w:rPr>
      <w:bCs/>
      <w:spacing w:val="10"/>
      <w:kern w:val="0"/>
      <w:sz w:val="24"/>
    </w:rPr>
  </w:style>
  <w:style w:type="paragraph" w:customStyle="1" w:styleId="106">
    <w:name w:val="_Style 7"/>
    <w:basedOn w:val="16"/>
    <w:qFormat/>
    <w:uiPriority w:val="0"/>
  </w:style>
  <w:style w:type="paragraph" w:customStyle="1" w:styleId="10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默认段落字体 Para Char Char Char Char Char Char Char Char Char1 Char Char Char Char"/>
    <w:basedOn w:val="1"/>
    <w:qFormat/>
    <w:uiPriority w:val="0"/>
    <w:rPr>
      <w:rFonts w:ascii="Tahoma" w:hAnsi="Tahoma"/>
      <w:sz w:val="24"/>
      <w:szCs w:val="20"/>
    </w:rPr>
  </w:style>
  <w:style w:type="paragraph" w:customStyle="1" w:styleId="109">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10">
    <w:name w:val="样式 小四 行距: 1.5 倍行距"/>
    <w:basedOn w:val="1"/>
    <w:qFormat/>
    <w:uiPriority w:val="0"/>
    <w:pPr>
      <w:spacing w:line="360" w:lineRule="auto"/>
      <w:ind w:firstLine="480" w:firstLineChars="200"/>
    </w:pPr>
    <w:rPr>
      <w:rFonts w:cs="宋体"/>
      <w:sz w:val="24"/>
      <w:szCs w:val="20"/>
    </w:rPr>
  </w:style>
  <w:style w:type="paragraph" w:customStyle="1" w:styleId="111">
    <w:name w:val="p0"/>
    <w:basedOn w:val="1"/>
    <w:qFormat/>
    <w:uiPriority w:val="0"/>
    <w:pPr>
      <w:widowControl/>
    </w:pPr>
    <w:rPr>
      <w:rFonts w:ascii="宋体" w:hAnsi="宋体" w:cs="宋体"/>
      <w:kern w:val="0"/>
      <w:szCs w:val="21"/>
    </w:rPr>
  </w:style>
  <w:style w:type="paragraph" w:customStyle="1" w:styleId="112">
    <w:name w:val="Char Char Char Char Char Char Char Char Char Char Char Char"/>
    <w:basedOn w:val="1"/>
    <w:qFormat/>
    <w:uiPriority w:val="0"/>
    <w:pPr>
      <w:widowControl/>
      <w:spacing w:after="160" w:line="240" w:lineRule="exact"/>
      <w:jc w:val="left"/>
    </w:pPr>
  </w:style>
  <w:style w:type="paragraph" w:customStyle="1" w:styleId="113">
    <w:name w:val="Char Char Char1 Char1"/>
    <w:basedOn w:val="1"/>
    <w:qFormat/>
    <w:uiPriority w:val="0"/>
    <w:rPr>
      <w:rFonts w:ascii="Calibri" w:hAnsi="Calibri"/>
      <w:szCs w:val="22"/>
    </w:rPr>
  </w:style>
  <w:style w:type="paragraph" w:customStyle="1" w:styleId="114">
    <w:name w:val="Char Char Char Char Char Char Char"/>
    <w:basedOn w:val="1"/>
    <w:qFormat/>
    <w:uiPriority w:val="0"/>
  </w:style>
  <w:style w:type="paragraph" w:customStyle="1" w:styleId="115">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6">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Char"/>
    <w:basedOn w:val="16"/>
    <w:qFormat/>
    <w:uiPriority w:val="0"/>
    <w:pPr>
      <w:widowControl/>
      <w:ind w:firstLine="454"/>
      <w:jc w:val="left"/>
    </w:pPr>
    <w:rPr>
      <w:rFonts w:ascii="Tahoma" w:hAnsi="Tahoma" w:cs="宋体"/>
      <w:kern w:val="0"/>
      <w:sz w:val="24"/>
      <w:szCs w:val="20"/>
    </w:rPr>
  </w:style>
  <w:style w:type="paragraph" w:customStyle="1" w:styleId="120">
    <w:name w:val="Char1"/>
    <w:basedOn w:val="16"/>
    <w:qFormat/>
    <w:uiPriority w:val="0"/>
    <w:pPr>
      <w:widowControl/>
      <w:ind w:firstLine="454"/>
      <w:jc w:val="left"/>
    </w:pPr>
    <w:rPr>
      <w:rFonts w:ascii="Tahoma" w:hAnsi="Tahoma" w:cs="宋体"/>
      <w:kern w:val="0"/>
      <w:sz w:val="24"/>
      <w:szCs w:val="20"/>
    </w:rPr>
  </w:style>
  <w:style w:type="paragraph" w:customStyle="1" w:styleId="121">
    <w:name w:val="1"/>
    <w:basedOn w:val="1"/>
    <w:next w:val="23"/>
    <w:qFormat/>
    <w:uiPriority w:val="0"/>
    <w:rPr>
      <w:rFonts w:ascii="宋体" w:hAnsi="Courier New"/>
      <w:szCs w:val="20"/>
    </w:rPr>
  </w:style>
  <w:style w:type="paragraph" w:customStyle="1" w:styleId="122">
    <w:name w:val="_Style 2"/>
    <w:basedOn w:val="1"/>
    <w:qFormat/>
    <w:uiPriority w:val="0"/>
    <w:pPr>
      <w:ind w:firstLine="420" w:firstLineChars="200"/>
    </w:pPr>
  </w:style>
  <w:style w:type="paragraph" w:customStyle="1" w:styleId="123">
    <w:name w:val="正文段"/>
    <w:basedOn w:val="1"/>
    <w:qFormat/>
    <w:uiPriority w:val="0"/>
    <w:pPr>
      <w:widowControl/>
      <w:snapToGrid w:val="0"/>
      <w:spacing w:after="156" w:afterLines="50"/>
      <w:ind w:firstLine="200" w:firstLineChars="200"/>
    </w:pPr>
    <w:rPr>
      <w:kern w:val="0"/>
      <w:sz w:val="24"/>
      <w:szCs w:val="20"/>
    </w:rPr>
  </w:style>
  <w:style w:type="paragraph" w:customStyle="1" w:styleId="124">
    <w:name w:val="列出段落2"/>
    <w:basedOn w:val="1"/>
    <w:qFormat/>
    <w:uiPriority w:val="34"/>
    <w:pPr>
      <w:ind w:firstLine="420" w:firstLineChars="200"/>
    </w:pPr>
    <w:rPr>
      <w:rFonts w:ascii="Calibri" w:hAnsi="Calibri"/>
      <w:szCs w:val="22"/>
    </w:rPr>
  </w:style>
  <w:style w:type="paragraph" w:customStyle="1" w:styleId="12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6">
    <w:name w:val="未处理的提及1"/>
    <w:basedOn w:val="42"/>
    <w:unhideWhenUsed/>
    <w:qFormat/>
    <w:uiPriority w:val="99"/>
    <w:rPr>
      <w:color w:val="605E5C"/>
      <w:shd w:val="clear" w:color="auto" w:fill="E1DFDD"/>
    </w:rPr>
  </w:style>
  <w:style w:type="character" w:customStyle="1" w:styleId="127">
    <w:name w:val="font81"/>
    <w:basedOn w:val="42"/>
    <w:qFormat/>
    <w:uiPriority w:val="0"/>
    <w:rPr>
      <w:rFonts w:hint="eastAsia" w:ascii="宋体" w:hAnsi="宋体" w:eastAsia="宋体" w:cs="宋体"/>
      <w:color w:val="000000"/>
      <w:sz w:val="18"/>
      <w:szCs w:val="18"/>
      <w:u w:val="none"/>
    </w:rPr>
  </w:style>
  <w:style w:type="paragraph" w:customStyle="1" w:styleId="128">
    <w:name w:val="列出段落3"/>
    <w:basedOn w:val="1"/>
    <w:qFormat/>
    <w:uiPriority w:val="34"/>
    <w:pPr>
      <w:ind w:firstLine="420" w:firstLineChars="200"/>
    </w:pPr>
  </w:style>
  <w:style w:type="character" w:customStyle="1" w:styleId="129">
    <w:name w:val="未处理的提及2"/>
    <w:basedOn w:val="42"/>
    <w:unhideWhenUsed/>
    <w:qFormat/>
    <w:uiPriority w:val="99"/>
    <w:rPr>
      <w:color w:val="605E5C"/>
      <w:shd w:val="clear" w:color="auto" w:fill="E1DFDD"/>
    </w:rPr>
  </w:style>
  <w:style w:type="character" w:customStyle="1" w:styleId="130">
    <w:name w:val="纯文本 字符1"/>
    <w:qFormat/>
    <w:uiPriority w:val="0"/>
    <w:rPr>
      <w:rFonts w:ascii="宋体" w:hAnsi="Courier New" w:eastAsia="宋体" w:cs="Courier New"/>
      <w:kern w:val="2"/>
      <w:sz w:val="21"/>
      <w:szCs w:val="21"/>
      <w:lang w:val="en-US" w:eastAsia="zh-CN" w:bidi="ar-SA"/>
    </w:rPr>
  </w:style>
  <w:style w:type="paragraph" w:customStyle="1" w:styleId="13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32">
    <w:name w:val="标题 5 Char"/>
    <w:basedOn w:val="42"/>
    <w:link w:val="7"/>
    <w:qFormat/>
    <w:uiPriority w:val="0"/>
    <w:rPr>
      <w:b/>
      <w:kern w:val="2"/>
      <w:sz w:val="28"/>
      <w:szCs w:val="24"/>
    </w:rPr>
  </w:style>
  <w:style w:type="character" w:customStyle="1" w:styleId="133">
    <w:name w:val="标题 6 Char"/>
    <w:basedOn w:val="42"/>
    <w:link w:val="9"/>
    <w:qFormat/>
    <w:uiPriority w:val="0"/>
    <w:rPr>
      <w:rFonts w:ascii="Arial" w:hAnsi="Arial" w:eastAsia="黑体"/>
      <w:b/>
      <w:kern w:val="2"/>
      <w:sz w:val="24"/>
      <w:szCs w:val="24"/>
    </w:rPr>
  </w:style>
  <w:style w:type="character" w:customStyle="1" w:styleId="134">
    <w:name w:val="标题 7 Char"/>
    <w:basedOn w:val="42"/>
    <w:link w:val="10"/>
    <w:qFormat/>
    <w:uiPriority w:val="0"/>
    <w:rPr>
      <w:b/>
      <w:kern w:val="2"/>
      <w:sz w:val="24"/>
      <w:szCs w:val="24"/>
    </w:rPr>
  </w:style>
  <w:style w:type="character" w:customStyle="1" w:styleId="135">
    <w:name w:val="标题 8 Char"/>
    <w:basedOn w:val="42"/>
    <w:link w:val="11"/>
    <w:qFormat/>
    <w:uiPriority w:val="0"/>
    <w:rPr>
      <w:rFonts w:ascii="Arial" w:hAnsi="Arial" w:eastAsia="黑体"/>
      <w:kern w:val="2"/>
      <w:sz w:val="24"/>
      <w:szCs w:val="24"/>
    </w:rPr>
  </w:style>
  <w:style w:type="character" w:customStyle="1" w:styleId="136">
    <w:name w:val="标题 9 Char"/>
    <w:basedOn w:val="42"/>
    <w:link w:val="12"/>
    <w:qFormat/>
    <w:uiPriority w:val="0"/>
    <w:rPr>
      <w:rFonts w:ascii="Arial" w:hAnsi="Arial" w:eastAsia="黑体"/>
      <w:kern w:val="2"/>
      <w:sz w:val="21"/>
      <w:szCs w:val="24"/>
    </w:rPr>
  </w:style>
  <w:style w:type="character" w:customStyle="1" w:styleId="137">
    <w:name w:val="文档结构图 Char"/>
    <w:basedOn w:val="42"/>
    <w:link w:val="16"/>
    <w:qFormat/>
    <w:uiPriority w:val="0"/>
    <w:rPr>
      <w:kern w:val="2"/>
      <w:sz w:val="21"/>
      <w:szCs w:val="24"/>
      <w:shd w:val="clear" w:color="auto" w:fill="000080"/>
    </w:rPr>
  </w:style>
  <w:style w:type="character" w:customStyle="1" w:styleId="138">
    <w:name w:val="正文文本 3 Char"/>
    <w:basedOn w:val="42"/>
    <w:link w:val="18"/>
    <w:qFormat/>
    <w:uiPriority w:val="0"/>
    <w:rPr>
      <w:b/>
      <w:bCs/>
      <w:kern w:val="2"/>
      <w:sz w:val="24"/>
      <w:szCs w:val="24"/>
    </w:rPr>
  </w:style>
  <w:style w:type="character" w:customStyle="1" w:styleId="139">
    <w:name w:val="正文文本 Char"/>
    <w:basedOn w:val="42"/>
    <w:link w:val="2"/>
    <w:qFormat/>
    <w:uiPriority w:val="0"/>
    <w:rPr>
      <w:kern w:val="2"/>
      <w:sz w:val="24"/>
      <w:szCs w:val="24"/>
    </w:rPr>
  </w:style>
  <w:style w:type="character" w:customStyle="1" w:styleId="140">
    <w:name w:val="日期 Char"/>
    <w:basedOn w:val="42"/>
    <w:link w:val="24"/>
    <w:qFormat/>
    <w:uiPriority w:val="0"/>
    <w:rPr>
      <w:rFonts w:ascii="宋体" w:hAnsi="Courier New" w:cs="Courier New"/>
      <w:kern w:val="2"/>
      <w:sz w:val="21"/>
      <w:szCs w:val="21"/>
    </w:rPr>
  </w:style>
  <w:style w:type="character" w:customStyle="1" w:styleId="141">
    <w:name w:val="正文文本缩进 2 Char"/>
    <w:basedOn w:val="42"/>
    <w:link w:val="25"/>
    <w:qFormat/>
    <w:uiPriority w:val="0"/>
    <w:rPr>
      <w:kern w:val="2"/>
      <w:sz w:val="32"/>
    </w:rPr>
  </w:style>
  <w:style w:type="character" w:customStyle="1" w:styleId="142">
    <w:name w:val="正文文本缩进 3 Char"/>
    <w:basedOn w:val="42"/>
    <w:link w:val="32"/>
    <w:qFormat/>
    <w:uiPriority w:val="0"/>
    <w:rPr>
      <w:kern w:val="2"/>
      <w:sz w:val="16"/>
      <w:szCs w:val="16"/>
    </w:rPr>
  </w:style>
  <w:style w:type="character" w:customStyle="1" w:styleId="143">
    <w:name w:val="正文文本 2 Char"/>
    <w:basedOn w:val="42"/>
    <w:link w:val="34"/>
    <w:qFormat/>
    <w:uiPriority w:val="0"/>
    <w:rPr>
      <w:kern w:val="2"/>
      <w:sz w:val="21"/>
      <w:szCs w:val="24"/>
    </w:rPr>
  </w:style>
  <w:style w:type="character" w:customStyle="1" w:styleId="144">
    <w:name w:val="HTML 预设格式 Char"/>
    <w:basedOn w:val="42"/>
    <w:link w:val="35"/>
    <w:qFormat/>
    <w:uiPriority w:val="0"/>
    <w:rPr>
      <w:rFonts w:ascii="宋体" w:hAnsi="宋体" w:cs="宋体"/>
      <w:sz w:val="24"/>
      <w:szCs w:val="24"/>
    </w:rPr>
  </w:style>
  <w:style w:type="character" w:customStyle="1" w:styleId="145">
    <w:name w:val="font101"/>
    <w:basedOn w:val="42"/>
    <w:qFormat/>
    <w:uiPriority w:val="0"/>
    <w:rPr>
      <w:rFonts w:hint="eastAsia" w:ascii="宋体" w:hAnsi="宋体" w:eastAsia="宋体" w:cs="宋体"/>
      <w:color w:val="000000"/>
      <w:sz w:val="20"/>
      <w:szCs w:val="20"/>
      <w:u w:val="none"/>
    </w:rPr>
  </w:style>
  <w:style w:type="paragraph" w:customStyle="1" w:styleId="1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4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48">
    <w:name w:val="Unresolved Mention"/>
    <w:basedOn w:val="4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8192</Words>
  <Characters>46698</Characters>
  <Lines>389</Lines>
  <Paragraphs>109</Paragraphs>
  <TotalTime>69</TotalTime>
  <ScaleCrop>false</ScaleCrop>
  <LinksUpToDate>false</LinksUpToDate>
  <CharactersWithSpaces>54781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2022-05-08T09:50:00Z</dcterms:created>
  <dc:creator>Huang Qian</dc:creator>
  <cp:lastModifiedBy>聪聪皇</cp:lastModifiedBy>
  <cp:lastPrinted>2024-11-27T02:19:00Z</cp:lastPrinted>
  <dcterms:modified xsi:type="dcterms:W3CDTF">2024-12-02T03:53:41Z</dcterms:modified>
  <dc:title>竞争性谈判文件</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683E2DD0E239FD1CE89F3E674D582096_43</vt:lpwstr>
  </property>
</Properties>
</file>